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861" w:rsidRDefault="006D19F1" w:rsidP="00965861">
      <w:pPr>
        <w:rPr>
          <w:b/>
        </w:rPr>
      </w:pPr>
      <w:r w:rsidRPr="006D19F1">
        <w:rPr>
          <w:b/>
          <w:noProof/>
        </w:rPr>
      </w:r>
      <w:r>
        <w:rPr>
          <w:b/>
          <w:noProof/>
        </w:rPr>
        <w:pict>
          <v:shapetype id="_x0000_t202" coordsize="21600,21600" o:spt="202" path="m,l,21600r21600,l21600,xe">
            <v:stroke joinstyle="miter"/>
            <v:path gradientshapeok="t" o:connecttype="rect"/>
          </v:shapetype>
          <v:shape id="Text Box 8" o:spid="_x0000_s1028" type="#_x0000_t202" style="width:315pt;height:99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3KUgQIAABAFAAAOAAAAZHJzL2Uyb0RvYy54bWysVNuO2yAQfa/Uf0C8J77UudhaZ7WXpqq0&#10;vUi7/QACOEbFQIHE3lb99w44yWZ7kaqqfsDADIeZOWe4uBw6ifbcOqFVjbNpihFXVDOhtjX+9LCe&#10;LDFynihGpFa8xo/c4cvVyxcXval4rlstGbcIQJSrelPj1ntTJYmjLe+Im2rDFRgbbTviYWm3CbOk&#10;B/ROJnmazpNeW2asptw52L0djXgV8ZuGU/+haRz3SNYYYvNxtHHchDFZXZBqa4lpBT2EQf4hio4I&#10;BZeeoG6JJ2hnxS9QnaBWO934KdVdoptGUB5zgGyy9Kds7ltieMwFiuPMqUzu/8HS9/uPFglWYyBK&#10;kQ4oeuCDR9d6QMtQnd64CpzuDbj5AbaB5ZipM3eafnZI6ZuWqC2/slb3LScMosvCyeTs6IjjAsim&#10;f6cZXEN2XkegobFdKB0UAwE6sPR4YiaEQmGzSNN0loKJgi3LZ4tXsAh3kOp43Fjn33DdoTCpsQXq&#10;IzzZ3zk/uh5dwm1OS8HWQsq4sNvNjbRoT0Am6/gd0J+5SRWclQ7HRsRxB6KEO4ItxBtp/1ZmeZFe&#10;5+VkPV8uJsW6mE3KRbqcpFl5Xc7Toixu199DgFlRtYIxru6E4kcJZsXfUXxohlE8UYSor3E5y2cj&#10;R39MEuoJ3++S7ISHjpSiA0mcnEgVmH2tGKRNKk+EHOfJ8/AjIVCD4z9WJeogUD+KwA+bAVCCODaa&#10;PYIirAa+gFt4RmDSavsVox5assbuy45YjpF8q0BVZVYUoYfjopgtcljYc8vm3EIUBagae4zG6Y0f&#10;+35nrNi2cNOoY6WvQImNiBp5iuqgX2i7mMzhiQh9fb6OXk8P2eoHAAAA//8DAFBLAwQUAAYACAAA&#10;ACEAavESVNoAAAAFAQAADwAAAGRycy9kb3ducmV2LnhtbEyPzU7DMBCE70i8g7WVuCDq8Je2IU4F&#10;SKBeW/oAm3ibRI3XUew26duzcIHLSqMZzX6TryfXqTMNofVs4H6egCKuvG25NrD/+rhbggoR2WLn&#10;mQxcKMC6uL7KMbN+5C2dd7FWUsIhQwNNjH2mdagachjmvicW7+AHh1HkUGs74CjlrtMPSZJqhy3L&#10;hwZ7em+oOu5OzsBhM94+r8byM+4X26f0DdtF6S/G3Mym1xdQkab4F4YffEGHQphKf2IbVGdAhsTf&#10;K176mIgsJbRaJqCLXP+nL74BAAD//wMAUEsBAi0AFAAGAAgAAAAhALaDOJL+AAAA4QEAABMAAAAA&#10;AAAAAAAAAAAAAAAAAFtDb250ZW50X1R5cGVzXS54bWxQSwECLQAUAAYACAAAACEAOP0h/9YAAACU&#10;AQAACwAAAAAAAAAAAAAAAAAvAQAAX3JlbHMvLnJlbHNQSwECLQAUAAYACAAAACEAR8tylIECAAAQ&#10;BQAADgAAAAAAAAAAAAAAAAAuAgAAZHJzL2Uyb0RvYy54bWxQSwECLQAUAAYACAAAACEAavESVNoA&#10;AAAFAQAADwAAAAAAAAAAAAAAAADbBAAAZHJzL2Rvd25yZXYueG1sUEsFBgAAAAAEAAQA8wAAAOIF&#10;AAAAAA==&#10;" stroked="f">
            <v:textbox>
              <w:txbxContent>
                <w:p w:rsidR="002F4ECB" w:rsidRPr="00050E64" w:rsidRDefault="002F4ECB" w:rsidP="001D1714">
                  <w:pPr>
                    <w:spacing w:after="0" w:line="240" w:lineRule="auto"/>
                    <w:rPr>
                      <w:rFonts w:ascii="Times New Roman" w:eastAsia="Times New Roman" w:hAnsi="Times New Roman" w:cs="Times New Roman"/>
                      <w:b/>
                      <w:sz w:val="24"/>
                      <w:szCs w:val="24"/>
                      <w:lang w:val="en-GB" w:eastAsia="en-US"/>
                    </w:rPr>
                  </w:pPr>
                  <w:r w:rsidRPr="00965861">
                    <w:rPr>
                      <w:rFonts w:ascii="Times New Roman" w:eastAsia="Times New Roman" w:hAnsi="Times New Roman" w:cs="Times New Roman"/>
                      <w:b/>
                      <w:sz w:val="24"/>
                      <w:szCs w:val="24"/>
                      <w:lang w:val="en-GB" w:eastAsia="en-US"/>
                    </w:rPr>
                    <w:t>ERASMUS</w:t>
                  </w:r>
                  <w:r w:rsidRPr="001D1714">
                    <w:rPr>
                      <w:rFonts w:ascii="Times New Roman" w:eastAsia="Times New Roman" w:hAnsi="Times New Roman" w:cs="Times New Roman"/>
                      <w:b/>
                      <w:sz w:val="24"/>
                      <w:szCs w:val="24"/>
                      <w:lang w:val="en-GB" w:eastAsia="en-US"/>
                    </w:rPr>
                    <w:t xml:space="preserve"> </w:t>
                  </w:r>
                  <w:r w:rsidRPr="00050E64">
                    <w:rPr>
                      <w:rFonts w:ascii="Times New Roman" w:eastAsia="Times New Roman" w:hAnsi="Times New Roman" w:cs="Times New Roman"/>
                      <w:b/>
                      <w:sz w:val="24"/>
                      <w:szCs w:val="24"/>
                      <w:lang w:val="en-GB" w:eastAsia="en-US"/>
                    </w:rPr>
                    <w:t>UNIVERSITY ROTTERDAM</w:t>
                  </w:r>
                </w:p>
                <w:p w:rsidR="002F4ECB" w:rsidRPr="00050E64" w:rsidRDefault="002F4ECB" w:rsidP="001D1714">
                  <w:pPr>
                    <w:spacing w:after="0" w:line="240" w:lineRule="auto"/>
                    <w:rPr>
                      <w:rFonts w:ascii="Times New Roman" w:eastAsia="Times New Roman" w:hAnsi="Times New Roman" w:cs="Times New Roman"/>
                      <w:b/>
                      <w:sz w:val="24"/>
                      <w:szCs w:val="24"/>
                      <w:lang w:val="en-GB" w:eastAsia="en-US"/>
                    </w:rPr>
                  </w:pPr>
                  <w:r w:rsidRPr="00050E64">
                    <w:rPr>
                      <w:rFonts w:ascii="Times New Roman" w:eastAsia="Times New Roman" w:hAnsi="Times New Roman" w:cs="Times New Roman"/>
                      <w:b/>
                      <w:sz w:val="24"/>
                      <w:szCs w:val="24"/>
                      <w:lang w:val="en-GB" w:eastAsia="en-US"/>
                    </w:rPr>
                    <w:t>ERASMUS SCHOOL OF ECONOMICS</w:t>
                  </w:r>
                </w:p>
                <w:p w:rsidR="002F4ECB" w:rsidRPr="00050E64" w:rsidRDefault="002F4ECB" w:rsidP="001D1714">
                  <w:pPr>
                    <w:spacing w:after="0" w:line="240" w:lineRule="auto"/>
                    <w:rPr>
                      <w:rFonts w:ascii="Times New Roman" w:eastAsia="Times New Roman" w:hAnsi="Times New Roman" w:cs="Times New Roman"/>
                      <w:b/>
                      <w:sz w:val="24"/>
                      <w:szCs w:val="24"/>
                      <w:lang w:val="en-GB" w:eastAsia="en-US"/>
                    </w:rPr>
                  </w:pPr>
                  <w:r w:rsidRPr="00050E64">
                    <w:rPr>
                      <w:rFonts w:ascii="Times New Roman" w:eastAsia="Times New Roman" w:hAnsi="Times New Roman" w:cs="Times New Roman"/>
                      <w:b/>
                      <w:sz w:val="24"/>
                      <w:szCs w:val="24"/>
                      <w:lang w:val="en-GB" w:eastAsia="en-US"/>
                    </w:rPr>
                    <w:t>MSc Economics &amp; Business</w:t>
                  </w:r>
                </w:p>
                <w:p w:rsidR="002F4ECB" w:rsidRPr="00050E64" w:rsidRDefault="002F4ECB" w:rsidP="001D1714">
                  <w:pPr>
                    <w:spacing w:after="0" w:line="240" w:lineRule="auto"/>
                    <w:rPr>
                      <w:rFonts w:ascii="Times New Roman" w:eastAsia="Times New Roman" w:hAnsi="Times New Roman" w:cs="Times New Roman"/>
                      <w:b/>
                      <w:sz w:val="24"/>
                      <w:szCs w:val="24"/>
                      <w:lang w:val="en-GB" w:eastAsia="en-US"/>
                    </w:rPr>
                  </w:pPr>
                  <w:r w:rsidRPr="00050E64">
                    <w:rPr>
                      <w:rFonts w:ascii="Times New Roman" w:eastAsia="Times New Roman" w:hAnsi="Times New Roman" w:cs="Times New Roman"/>
                      <w:b/>
                      <w:sz w:val="24"/>
                      <w:szCs w:val="24"/>
                      <w:lang w:val="en-GB" w:eastAsia="en-US"/>
                    </w:rPr>
                    <w:t>M</w:t>
                  </w:r>
                  <w:r>
                    <w:rPr>
                      <w:rFonts w:ascii="Times New Roman" w:eastAsia="Times New Roman" w:hAnsi="Times New Roman" w:cs="Times New Roman"/>
                      <w:b/>
                      <w:sz w:val="24"/>
                      <w:szCs w:val="24"/>
                      <w:lang w:val="en-GB" w:eastAsia="en-US"/>
                    </w:rPr>
                    <w:t>aster Specialisation Financial Economics</w:t>
                  </w:r>
                </w:p>
                <w:p w:rsidR="002F4ECB" w:rsidRDefault="002F4ECB" w:rsidP="00965861"/>
              </w:txbxContent>
            </v:textbox>
            <w10:wrap type="none"/>
            <w10:anchorlock/>
          </v:shape>
        </w:pict>
      </w:r>
    </w:p>
    <w:p w:rsidR="00965861" w:rsidRDefault="00965861" w:rsidP="00965861">
      <w:pPr>
        <w:rPr>
          <w:b/>
        </w:rPr>
      </w:pPr>
    </w:p>
    <w:p w:rsidR="00965861" w:rsidRDefault="00965861" w:rsidP="00965861">
      <w:pPr>
        <w:rPr>
          <w:b/>
        </w:rPr>
      </w:pPr>
    </w:p>
    <w:p w:rsidR="00965861" w:rsidRDefault="00965861" w:rsidP="00965861">
      <w:pPr>
        <w:rPr>
          <w:b/>
        </w:rPr>
      </w:pPr>
    </w:p>
    <w:p w:rsidR="00965861" w:rsidRDefault="00965861" w:rsidP="00965861">
      <w:pPr>
        <w:rPr>
          <w:b/>
        </w:rPr>
      </w:pPr>
    </w:p>
    <w:p w:rsidR="00965861" w:rsidRDefault="00965861" w:rsidP="00965861">
      <w:pPr>
        <w:rPr>
          <w:b/>
        </w:rPr>
      </w:pPr>
    </w:p>
    <w:p w:rsidR="00965861" w:rsidRDefault="00965861" w:rsidP="00965861">
      <w:pPr>
        <w:rPr>
          <w:b/>
        </w:rPr>
      </w:pPr>
    </w:p>
    <w:p w:rsidR="00965861" w:rsidRDefault="00965861" w:rsidP="00965861">
      <w:pPr>
        <w:rPr>
          <w:b/>
        </w:rPr>
      </w:pPr>
    </w:p>
    <w:p w:rsidR="00965861" w:rsidRDefault="00965861" w:rsidP="00965861">
      <w:pPr>
        <w:rPr>
          <w:b/>
        </w:rPr>
      </w:pPr>
    </w:p>
    <w:p w:rsidR="00965861" w:rsidRDefault="00095AAA" w:rsidP="00E21353">
      <w:pPr>
        <w:spacing w:line="360" w:lineRule="auto"/>
        <w:rPr>
          <w:rFonts w:ascii="Times New Roman" w:hAnsi="Times New Roman" w:cs="Times New Roman"/>
          <w:b/>
          <w:sz w:val="28"/>
          <w:szCs w:val="28"/>
          <w:lang w:val="en-US"/>
        </w:rPr>
      </w:pPr>
      <w:r>
        <w:rPr>
          <w:rFonts w:ascii="Times New Roman" w:hAnsi="Times New Roman" w:cs="Times New Roman"/>
          <w:b/>
          <w:sz w:val="28"/>
          <w:szCs w:val="28"/>
          <w:lang w:val="en-US"/>
        </w:rPr>
        <w:t>R</w:t>
      </w:r>
      <w:r w:rsidR="00965861" w:rsidRPr="00454322">
        <w:rPr>
          <w:rFonts w:ascii="Times New Roman" w:hAnsi="Times New Roman" w:cs="Times New Roman"/>
          <w:b/>
          <w:sz w:val="28"/>
          <w:szCs w:val="28"/>
          <w:lang w:val="en-US"/>
        </w:rPr>
        <w:t>isk appetite of pension funds</w:t>
      </w:r>
      <w:r w:rsidR="00965861">
        <w:rPr>
          <w:rFonts w:ascii="Times New Roman" w:hAnsi="Times New Roman" w:cs="Times New Roman"/>
          <w:b/>
          <w:sz w:val="28"/>
          <w:szCs w:val="28"/>
          <w:lang w:val="en-US"/>
        </w:rPr>
        <w:t xml:space="preserve"> </w:t>
      </w:r>
      <w:r>
        <w:rPr>
          <w:rFonts w:ascii="Times New Roman" w:hAnsi="Times New Roman" w:cs="Times New Roman"/>
          <w:b/>
          <w:sz w:val="28"/>
          <w:szCs w:val="28"/>
          <w:lang w:val="en-US"/>
        </w:rPr>
        <w:t>and</w:t>
      </w:r>
      <w:r w:rsidR="00965861">
        <w:rPr>
          <w:rFonts w:ascii="Times New Roman" w:hAnsi="Times New Roman" w:cs="Times New Roman"/>
          <w:b/>
          <w:sz w:val="28"/>
          <w:szCs w:val="28"/>
          <w:lang w:val="en-US"/>
        </w:rPr>
        <w:t xml:space="preserve"> cultural differences</w:t>
      </w:r>
      <w:r>
        <w:rPr>
          <w:rFonts w:ascii="Times New Roman" w:hAnsi="Times New Roman" w:cs="Times New Roman"/>
          <w:b/>
          <w:sz w:val="28"/>
          <w:szCs w:val="28"/>
          <w:lang w:val="en-US"/>
        </w:rPr>
        <w:t xml:space="preserve"> among countries</w:t>
      </w:r>
    </w:p>
    <w:p w:rsidR="00965861" w:rsidRPr="00965861" w:rsidRDefault="00965861" w:rsidP="00965861">
      <w:pPr>
        <w:jc w:val="center"/>
        <w:rPr>
          <w:b/>
          <w:lang w:val="en-US"/>
        </w:rPr>
      </w:pPr>
    </w:p>
    <w:p w:rsidR="00965861" w:rsidRPr="00965861" w:rsidRDefault="00965861" w:rsidP="00965861">
      <w:pPr>
        <w:rPr>
          <w:b/>
          <w:lang w:val="en-GB"/>
        </w:rPr>
      </w:pPr>
    </w:p>
    <w:p w:rsidR="00965861" w:rsidRPr="00965861" w:rsidRDefault="00965861" w:rsidP="00965861">
      <w:pPr>
        <w:rPr>
          <w:b/>
          <w:lang w:val="en-GB"/>
        </w:rPr>
      </w:pPr>
    </w:p>
    <w:p w:rsidR="00965861" w:rsidRPr="00965861" w:rsidRDefault="00965861" w:rsidP="00965861">
      <w:pPr>
        <w:rPr>
          <w:b/>
          <w:lang w:val="en-GB"/>
        </w:rPr>
      </w:pPr>
    </w:p>
    <w:p w:rsidR="00965861" w:rsidRPr="00965861" w:rsidRDefault="00965861" w:rsidP="00965861">
      <w:pPr>
        <w:rPr>
          <w:b/>
          <w:lang w:val="en-GB"/>
        </w:rPr>
      </w:pPr>
    </w:p>
    <w:p w:rsidR="00965861" w:rsidRPr="00965861" w:rsidRDefault="00965861" w:rsidP="00965861">
      <w:pPr>
        <w:rPr>
          <w:b/>
          <w:lang w:val="en-GB"/>
        </w:rPr>
      </w:pPr>
    </w:p>
    <w:p w:rsidR="00965861" w:rsidRPr="00965861" w:rsidRDefault="00965861" w:rsidP="00965861">
      <w:pPr>
        <w:rPr>
          <w:b/>
          <w:lang w:val="en-GB"/>
        </w:rPr>
      </w:pPr>
    </w:p>
    <w:p w:rsidR="00965861" w:rsidRPr="00965861" w:rsidRDefault="00965861" w:rsidP="00965861">
      <w:pPr>
        <w:rPr>
          <w:b/>
          <w:lang w:val="en-GB"/>
        </w:rPr>
      </w:pPr>
    </w:p>
    <w:p w:rsidR="00965861" w:rsidRPr="00965861" w:rsidRDefault="00965861" w:rsidP="00965861">
      <w:pPr>
        <w:rPr>
          <w:b/>
          <w:lang w:val="en-GB"/>
        </w:rPr>
      </w:pPr>
    </w:p>
    <w:p w:rsidR="00965861" w:rsidRPr="00965861" w:rsidRDefault="00965861" w:rsidP="00965861">
      <w:pPr>
        <w:rPr>
          <w:b/>
          <w:lang w:val="en-GB"/>
        </w:rPr>
      </w:pPr>
    </w:p>
    <w:p w:rsidR="00965861" w:rsidRDefault="006D19F1" w:rsidP="00965861">
      <w:r w:rsidRPr="006D19F1">
        <w:rPr>
          <w:noProof/>
        </w:rPr>
      </w:r>
      <w:r>
        <w:rPr>
          <w:noProof/>
        </w:rPr>
        <w:pict>
          <v:shape id="Text Box 6" o:spid="_x0000_s1027" type="#_x0000_t202" style="width:378pt;height:91.2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bLhQIAABcFAAAOAAAAZHJzL2Uyb0RvYy54bWysVNuO2yAQfa/Uf0C8Z21HzsXWOqu9NFWl&#10;7UXa7QcQwDGqzVAgsbfV/nsHnOxme5Gqqn7AwAyHmTlnOL8YupbspXUKdEWzs5QSqTkIpbcV/Xy/&#10;niwpcZ5pwVrQsqIP0tGL1etX570p5RQaaIW0BEG0K3tT0cZ7UyaJ443smDsDIzUaa7Ad87i020RY&#10;1iN61ybTNJ0nPVhhLHDpHO7ejEa6ivh1Lbn/WNdOetJWFGPzcbRx3IQxWZ2zcmuZaRQ/hMH+IYqO&#10;KY2XPkHdMM/IzqpfoDrFLTio/RmHLoG6VlzGHDCbLP0pm7uGGRlzweI481Qm9/9g+Yf9J0uUqOic&#10;Es06pOheDp5cwUDmoTq9cSU63Rl08wNuI8sxU2dugX9xRMN1w/RWXloLfSOZwOiycDI5OTriuACy&#10;6d+DwGvYzkMEGmrbhdJhMQiiI0sPT8yEUDhu5kvkOkUTR1uWzZbLxSzewcrjcWOdfyuhI2FSUYvU&#10;R3i2v3U+hMPKo0u4zUGrxFq1bVzY7ea6tWTPUCbr+B3QX7i1OjhrCMdGxHEHo8Q7gi3EG2n/XmTT&#10;PL2aFpP1fLmY5Ot8NikW6XKSZsVVMU/zIr9ZP4YAs7xslBBS3yotjxLM8r+j+NAMo3iiCElf0WI2&#10;nY0c/THJNH6/S7JTHjuyVV1Fsej4BSdWBmbfaBHnnql2nCcvw49Vxhoc/7EqUQeB+lEEftgMUXBR&#10;JEEjGxAPKAwLSBtSjK8JThqw3yjpsTMr6r7umJWUtO80iqvI8jy0clzks8UUF/bUsjm1MM0RqqKe&#10;knF67cf23xmrtg3eNMpZwyUKslZRKs9RHWSM3RdzOrwUob1P19Hr+T1b/QAAAP//AwBQSwMEFAAG&#10;AAgAAAAhAAgtk7TaAAAABQEAAA8AAABkcnMvZG93bnJldi54bWxMj0FPg0AQhe8m/ofNNPFi7GIj&#10;UJGlURON19b+gAGmQMrOEnZb6L939GIvk7y8lzffyzez7dWZRt85NvC4jEARV67uuDGw//54WIPy&#10;AbnG3jEZuJCHTXF7k2NWu4m3dN6FRkkJ+wwNtCEMmda+asmiX7qBWLyDGy0GkWOj6xEnKbe9XkVR&#10;oi12LB9aHOi9peq4O1kDh6/pPn6eys+wT7dPyRt2aekuxtwt5tcXUIHm8B+GX3xBh0KYSnfi2qve&#10;gAwJf1e8NE5ElhJar2LQRa6v6YsfAAAA//8DAFBLAQItABQABgAIAAAAIQC2gziS/gAAAOEBAAAT&#10;AAAAAAAAAAAAAAAAAAAAAABbQ29udGVudF9UeXBlc10ueG1sUEsBAi0AFAAGAAgAAAAhADj9If/W&#10;AAAAlAEAAAsAAAAAAAAAAAAAAAAALwEAAF9yZWxzLy5yZWxzUEsBAi0AFAAGAAgAAAAhABpnFsuF&#10;AgAAFwUAAA4AAAAAAAAAAAAAAAAALgIAAGRycy9lMm9Eb2MueG1sUEsBAi0AFAAGAAgAAAAhAAgt&#10;k7TaAAAABQEAAA8AAAAAAAAAAAAAAAAA3wQAAGRycy9kb3ducmV2LnhtbFBLBQYAAAAABAAEAPMA&#10;AADmBQAAAAA=&#10;" stroked="f">
            <v:textbox>
              <w:txbxContent>
                <w:p w:rsidR="002F4ECB" w:rsidRPr="00965861" w:rsidRDefault="002F4ECB" w:rsidP="00965861">
                  <w:pPr>
                    <w:spacing w:after="0" w:line="240" w:lineRule="auto"/>
                    <w:rPr>
                      <w:sz w:val="24"/>
                      <w:lang w:val="en-GB"/>
                    </w:rPr>
                  </w:pPr>
                  <w:r w:rsidRPr="004A4FC9">
                    <w:rPr>
                      <w:rFonts w:ascii="Times New Roman" w:eastAsia="Times New Roman" w:hAnsi="Times New Roman" w:cs="Times New Roman"/>
                      <w:b/>
                      <w:sz w:val="24"/>
                      <w:szCs w:val="24"/>
                      <w:lang w:val="en-GB" w:eastAsia="en-US"/>
                    </w:rPr>
                    <w:t>Author:</w:t>
                  </w:r>
                  <w:r w:rsidRPr="00965861">
                    <w:rPr>
                      <w:sz w:val="24"/>
                      <w:lang w:val="en-GB"/>
                    </w:rPr>
                    <w:t xml:space="preserve"> </w:t>
                  </w:r>
                  <w:r w:rsidRPr="00965861">
                    <w:rPr>
                      <w:sz w:val="24"/>
                      <w:lang w:val="en-GB"/>
                    </w:rPr>
                    <w:tab/>
                  </w:r>
                  <w:r w:rsidRPr="00965861">
                    <w:rPr>
                      <w:sz w:val="24"/>
                      <w:lang w:val="en-GB"/>
                    </w:rPr>
                    <w:tab/>
                  </w:r>
                  <w:r w:rsidRPr="004A4FC9">
                    <w:rPr>
                      <w:rFonts w:ascii="Times New Roman" w:eastAsia="Times New Roman" w:hAnsi="Times New Roman" w:cs="Times New Roman"/>
                      <w:b/>
                      <w:sz w:val="24"/>
                      <w:szCs w:val="24"/>
                      <w:lang w:val="en-GB" w:eastAsia="en-US"/>
                    </w:rPr>
                    <w:t>T.Nellopoulou</w:t>
                  </w:r>
                </w:p>
                <w:p w:rsidR="002F4ECB" w:rsidRPr="00965861" w:rsidRDefault="002F4ECB" w:rsidP="00965861">
                  <w:pPr>
                    <w:spacing w:after="0" w:line="240" w:lineRule="auto"/>
                    <w:rPr>
                      <w:rFonts w:ascii="Times New Roman" w:eastAsia="Times New Roman" w:hAnsi="Times New Roman" w:cs="Times New Roman"/>
                      <w:b/>
                      <w:sz w:val="24"/>
                      <w:szCs w:val="24"/>
                      <w:lang w:val="en-GB" w:eastAsia="en-US"/>
                    </w:rPr>
                  </w:pPr>
                  <w:r w:rsidRPr="00965861">
                    <w:rPr>
                      <w:rFonts w:ascii="Times New Roman" w:eastAsia="Times New Roman" w:hAnsi="Times New Roman" w:cs="Times New Roman"/>
                      <w:b/>
                      <w:sz w:val="24"/>
                      <w:szCs w:val="24"/>
                      <w:lang w:val="en-GB" w:eastAsia="en-US"/>
                    </w:rPr>
                    <w:t>Student number:</w:t>
                  </w:r>
                  <w:r w:rsidRPr="00965861">
                    <w:rPr>
                      <w:rFonts w:ascii="Times New Roman" w:eastAsia="Times New Roman" w:hAnsi="Times New Roman" w:cs="Times New Roman"/>
                      <w:b/>
                      <w:sz w:val="24"/>
                      <w:szCs w:val="24"/>
                      <w:lang w:val="en-GB" w:eastAsia="en-US"/>
                    </w:rPr>
                    <w:tab/>
                    <w:t>357822</w:t>
                  </w:r>
                </w:p>
                <w:p w:rsidR="002F4ECB" w:rsidRPr="00965861" w:rsidRDefault="002F4ECB" w:rsidP="00965861">
                  <w:pPr>
                    <w:spacing w:after="0" w:line="240" w:lineRule="auto"/>
                    <w:rPr>
                      <w:rFonts w:ascii="Times New Roman" w:eastAsia="Times New Roman" w:hAnsi="Times New Roman" w:cs="Times New Roman"/>
                      <w:b/>
                      <w:sz w:val="24"/>
                      <w:szCs w:val="24"/>
                      <w:lang w:val="en-GB" w:eastAsia="en-US"/>
                    </w:rPr>
                  </w:pPr>
                  <w:r w:rsidRPr="00965861">
                    <w:rPr>
                      <w:rFonts w:ascii="Times New Roman" w:eastAsia="Times New Roman" w:hAnsi="Times New Roman" w:cs="Times New Roman"/>
                      <w:b/>
                      <w:sz w:val="24"/>
                      <w:szCs w:val="24"/>
                      <w:lang w:val="en-GB" w:eastAsia="en-US"/>
                    </w:rPr>
                    <w:t xml:space="preserve">Thesis supervisor: </w:t>
                  </w:r>
                  <w:r w:rsidRPr="00965861">
                    <w:rPr>
                      <w:rFonts w:ascii="Times New Roman" w:eastAsia="Times New Roman" w:hAnsi="Times New Roman" w:cs="Times New Roman"/>
                      <w:b/>
                      <w:sz w:val="24"/>
                      <w:szCs w:val="24"/>
                      <w:lang w:val="en-GB" w:eastAsia="en-US"/>
                    </w:rPr>
                    <w:tab/>
                  </w:r>
                  <w:r>
                    <w:rPr>
                      <w:rFonts w:ascii="Times New Roman" w:eastAsia="Times New Roman" w:hAnsi="Times New Roman" w:cs="Times New Roman"/>
                      <w:b/>
                      <w:sz w:val="24"/>
                      <w:szCs w:val="24"/>
                      <w:lang w:val="en-GB" w:eastAsia="en-US"/>
                    </w:rPr>
                    <w:t>Jairo Rivera Rozo</w:t>
                  </w:r>
                </w:p>
                <w:p w:rsidR="002F4ECB" w:rsidRPr="00965861" w:rsidRDefault="002F4ECB" w:rsidP="00965861">
                  <w:pPr>
                    <w:spacing w:after="0" w:line="240" w:lineRule="auto"/>
                    <w:rPr>
                      <w:rFonts w:ascii="Times New Roman" w:eastAsia="Times New Roman" w:hAnsi="Times New Roman" w:cs="Times New Roman"/>
                      <w:b/>
                      <w:sz w:val="24"/>
                      <w:szCs w:val="24"/>
                      <w:lang w:val="en-GB" w:eastAsia="en-US"/>
                    </w:rPr>
                  </w:pPr>
                  <w:r w:rsidRPr="00965861">
                    <w:rPr>
                      <w:rFonts w:ascii="Times New Roman" w:eastAsia="Times New Roman" w:hAnsi="Times New Roman" w:cs="Times New Roman"/>
                      <w:b/>
                      <w:sz w:val="24"/>
                      <w:szCs w:val="24"/>
                      <w:lang w:val="en-GB" w:eastAsia="en-US"/>
                    </w:rPr>
                    <w:t xml:space="preserve">Finish date:  </w:t>
                  </w:r>
                  <w:r w:rsidRPr="00965861">
                    <w:rPr>
                      <w:rFonts w:ascii="Times New Roman" w:eastAsia="Times New Roman" w:hAnsi="Times New Roman" w:cs="Times New Roman"/>
                      <w:b/>
                      <w:sz w:val="24"/>
                      <w:szCs w:val="24"/>
                      <w:lang w:val="en-GB" w:eastAsia="en-US"/>
                    </w:rPr>
                    <w:tab/>
                  </w:r>
                  <w:r w:rsidRPr="00965861">
                    <w:rPr>
                      <w:rFonts w:ascii="Times New Roman" w:eastAsia="Times New Roman" w:hAnsi="Times New Roman" w:cs="Times New Roman"/>
                      <w:b/>
                      <w:sz w:val="24"/>
                      <w:szCs w:val="24"/>
                      <w:lang w:val="en-GB" w:eastAsia="en-US"/>
                    </w:rPr>
                    <w:tab/>
                  </w:r>
                  <w:r>
                    <w:rPr>
                      <w:rFonts w:ascii="Times New Roman" w:eastAsia="Times New Roman" w:hAnsi="Times New Roman" w:cs="Times New Roman"/>
                      <w:b/>
                      <w:sz w:val="24"/>
                      <w:szCs w:val="24"/>
                      <w:lang w:val="en-GB" w:eastAsia="en-US"/>
                    </w:rPr>
                    <w:t>November 2013</w:t>
                  </w:r>
                </w:p>
              </w:txbxContent>
            </v:textbox>
            <w10:wrap type="none"/>
            <w10:anchorlock/>
          </v:shape>
        </w:pict>
      </w:r>
      <w:r w:rsidR="00965861">
        <w:br w:type="page"/>
      </w:r>
    </w:p>
    <w:p w:rsidR="00965861" w:rsidRPr="00965861" w:rsidRDefault="00965861" w:rsidP="00965861">
      <w:pPr>
        <w:pStyle w:val="Heading1"/>
        <w:keepLines w:val="0"/>
        <w:spacing w:before="240" w:after="60" w:line="240" w:lineRule="auto"/>
        <w:rPr>
          <w:lang w:val="en-GB"/>
        </w:rPr>
      </w:pPr>
      <w:bookmarkStart w:id="0" w:name="_Toc367967998"/>
      <w:r w:rsidRPr="00965861">
        <w:rPr>
          <w:rFonts w:ascii="Arial" w:eastAsia="Times New Roman" w:hAnsi="Arial" w:cs="Arial"/>
          <w:color w:val="auto"/>
          <w:kern w:val="32"/>
          <w:lang w:val="en-GB" w:eastAsia="en-US"/>
        </w:rPr>
        <w:lastRenderedPageBreak/>
        <w:t>PREFACE</w:t>
      </w:r>
      <w:r w:rsidRPr="00965861">
        <w:rPr>
          <w:lang w:val="en-GB"/>
        </w:rPr>
        <w:t xml:space="preserve"> </w:t>
      </w:r>
      <w:r w:rsidRPr="00965861">
        <w:rPr>
          <w:rFonts w:ascii="Arial" w:eastAsia="Times New Roman" w:hAnsi="Arial" w:cs="Arial"/>
          <w:color w:val="auto"/>
          <w:kern w:val="32"/>
          <w:lang w:val="en-GB" w:eastAsia="en-US"/>
        </w:rPr>
        <w:t>AND ACKNOWLEDGEMENTS</w:t>
      </w:r>
      <w:bookmarkEnd w:id="0"/>
    </w:p>
    <w:p w:rsidR="00965861" w:rsidRDefault="00965861" w:rsidP="00965861">
      <w:pPr>
        <w:rPr>
          <w:lang w:val="en-GB"/>
        </w:rPr>
      </w:pPr>
    </w:p>
    <w:p w:rsidR="00965861" w:rsidRDefault="00965861" w:rsidP="0001655D">
      <w:pPr>
        <w:jc w:val="both"/>
        <w:rPr>
          <w:rFonts w:ascii="Arial" w:hAnsi="Arial" w:cs="Arial"/>
          <w:i/>
          <w:szCs w:val="20"/>
          <w:lang w:val="en-GB"/>
        </w:rPr>
      </w:pPr>
    </w:p>
    <w:p w:rsidR="009B7488" w:rsidRDefault="009B7488" w:rsidP="009B7488">
      <w:pPr>
        <w:autoSpaceDE w:val="0"/>
        <w:autoSpaceDN w:val="0"/>
        <w:adjustRightInd w:val="0"/>
        <w:spacing w:after="0" w:line="240" w:lineRule="auto"/>
        <w:jc w:val="both"/>
        <w:rPr>
          <w:rFonts w:ascii="Arial" w:hAnsi="Arial" w:cs="Arial"/>
          <w:i/>
          <w:szCs w:val="20"/>
          <w:lang w:val="en-GB"/>
        </w:rPr>
      </w:pPr>
      <w:r>
        <w:rPr>
          <w:rFonts w:ascii="Arial" w:hAnsi="Arial" w:cs="Arial"/>
          <w:i/>
          <w:szCs w:val="20"/>
          <w:lang w:val="en-GB"/>
        </w:rPr>
        <w:t>I wou</w:t>
      </w:r>
      <w:r w:rsidR="005E4C9E">
        <w:rPr>
          <w:rFonts w:ascii="Arial" w:hAnsi="Arial" w:cs="Arial"/>
          <w:i/>
          <w:szCs w:val="20"/>
          <w:lang w:val="en-GB"/>
        </w:rPr>
        <w:t>ld like to thank my supervisor Jairo</w:t>
      </w:r>
      <w:r>
        <w:rPr>
          <w:rFonts w:ascii="Arial" w:hAnsi="Arial" w:cs="Arial"/>
          <w:i/>
          <w:szCs w:val="20"/>
          <w:lang w:val="en-GB"/>
        </w:rPr>
        <w:t xml:space="preserve"> River</w:t>
      </w:r>
      <w:r w:rsidR="005E4C9E">
        <w:rPr>
          <w:rFonts w:ascii="Arial" w:hAnsi="Arial" w:cs="Arial"/>
          <w:i/>
          <w:szCs w:val="20"/>
          <w:lang w:val="en-GB"/>
        </w:rPr>
        <w:t>a</w:t>
      </w:r>
      <w:r>
        <w:rPr>
          <w:rFonts w:ascii="Arial" w:hAnsi="Arial" w:cs="Arial"/>
          <w:i/>
          <w:szCs w:val="20"/>
          <w:lang w:val="en-GB"/>
        </w:rPr>
        <w:t xml:space="preserve"> Rozo for his support during the writing of this thesis and his trust in my independence and work ethic. I am grateful for trusting me with this research topic and supporting me with his constructive guidance.</w:t>
      </w:r>
    </w:p>
    <w:p w:rsidR="009B7488" w:rsidRDefault="009B7488" w:rsidP="009B7488">
      <w:pPr>
        <w:autoSpaceDE w:val="0"/>
        <w:autoSpaceDN w:val="0"/>
        <w:adjustRightInd w:val="0"/>
        <w:spacing w:after="0" w:line="240" w:lineRule="auto"/>
        <w:jc w:val="both"/>
        <w:rPr>
          <w:rFonts w:ascii="Arial" w:hAnsi="Arial" w:cs="Arial"/>
          <w:i/>
          <w:szCs w:val="20"/>
          <w:lang w:val="en-GB"/>
        </w:rPr>
      </w:pPr>
      <w:r>
        <w:rPr>
          <w:rFonts w:ascii="Arial" w:hAnsi="Arial" w:cs="Arial"/>
          <w:i/>
          <w:szCs w:val="20"/>
          <w:lang w:val="en-GB"/>
        </w:rPr>
        <w:br/>
      </w:r>
      <w:r w:rsidR="005E4C9E">
        <w:rPr>
          <w:rFonts w:ascii="Arial" w:hAnsi="Arial" w:cs="Arial"/>
          <w:i/>
          <w:szCs w:val="20"/>
          <w:lang w:val="en-GB"/>
        </w:rPr>
        <w:t xml:space="preserve">With this thesis my studies and student life comes to an end. </w:t>
      </w:r>
      <w:r>
        <w:rPr>
          <w:rFonts w:ascii="Arial" w:hAnsi="Arial" w:cs="Arial"/>
          <w:i/>
          <w:szCs w:val="20"/>
          <w:lang w:val="en-GB"/>
        </w:rPr>
        <w:t xml:space="preserve">“One of the joys of completion is to look over the journey past and remember all the friends and family who have helped and supported you along this road.” This is why I would also like to thank my friends and the “Fantastic4” for helping me with the layout of this thesis and keeping me focused to my goal. I see </w:t>
      </w:r>
      <w:r w:rsidR="005E4C9E">
        <w:rPr>
          <w:rFonts w:ascii="Arial" w:hAnsi="Arial" w:cs="Arial"/>
          <w:i/>
          <w:szCs w:val="20"/>
          <w:lang w:val="en-GB"/>
        </w:rPr>
        <w:t xml:space="preserve">all of </w:t>
      </w:r>
      <w:r>
        <w:rPr>
          <w:rFonts w:ascii="Arial" w:hAnsi="Arial" w:cs="Arial"/>
          <w:i/>
          <w:szCs w:val="20"/>
          <w:lang w:val="en-GB"/>
        </w:rPr>
        <w:t xml:space="preserve">them as my family, my home away from home, and having them next to me is a blessing. </w:t>
      </w:r>
    </w:p>
    <w:p w:rsidR="009B7488" w:rsidRDefault="009B7488" w:rsidP="009B7488">
      <w:pPr>
        <w:autoSpaceDE w:val="0"/>
        <w:autoSpaceDN w:val="0"/>
        <w:adjustRightInd w:val="0"/>
        <w:spacing w:after="0" w:line="240" w:lineRule="auto"/>
        <w:jc w:val="both"/>
        <w:rPr>
          <w:rFonts w:ascii="Arial" w:hAnsi="Arial" w:cs="Arial"/>
          <w:i/>
          <w:szCs w:val="20"/>
          <w:lang w:val="en-GB"/>
        </w:rPr>
      </w:pPr>
    </w:p>
    <w:p w:rsidR="009B7488" w:rsidRDefault="009B7488" w:rsidP="009B7488">
      <w:pPr>
        <w:autoSpaceDE w:val="0"/>
        <w:autoSpaceDN w:val="0"/>
        <w:adjustRightInd w:val="0"/>
        <w:spacing w:after="0" w:line="240" w:lineRule="auto"/>
        <w:jc w:val="both"/>
        <w:rPr>
          <w:rFonts w:ascii="Arial" w:hAnsi="Arial" w:cs="Arial"/>
          <w:i/>
          <w:szCs w:val="20"/>
          <w:lang w:val="en-GB"/>
        </w:rPr>
      </w:pPr>
      <w:r>
        <w:rPr>
          <w:rFonts w:ascii="Arial" w:hAnsi="Arial" w:cs="Arial"/>
          <w:i/>
          <w:szCs w:val="20"/>
          <w:lang w:val="en-GB"/>
        </w:rPr>
        <w:t xml:space="preserve">Finally, I could never leave out my parents and sisters. They are my cornerstone and their support and faith is what always keeps me going. Great gratitude to my mother, her love is the fuel for my ambitions. </w:t>
      </w:r>
    </w:p>
    <w:p w:rsidR="009B7488" w:rsidRDefault="009B7488" w:rsidP="009B7488">
      <w:pPr>
        <w:autoSpaceDE w:val="0"/>
        <w:autoSpaceDN w:val="0"/>
        <w:adjustRightInd w:val="0"/>
        <w:spacing w:after="0" w:line="240" w:lineRule="auto"/>
        <w:jc w:val="both"/>
        <w:rPr>
          <w:rFonts w:ascii="Arial" w:hAnsi="Arial" w:cs="Arial"/>
          <w:i/>
          <w:szCs w:val="20"/>
          <w:lang w:val="en-GB"/>
        </w:rPr>
      </w:pPr>
    </w:p>
    <w:p w:rsidR="009B7488" w:rsidRDefault="009B7488" w:rsidP="009B7488">
      <w:pPr>
        <w:autoSpaceDE w:val="0"/>
        <w:autoSpaceDN w:val="0"/>
        <w:adjustRightInd w:val="0"/>
        <w:spacing w:after="0" w:line="240" w:lineRule="auto"/>
        <w:jc w:val="both"/>
        <w:rPr>
          <w:rFonts w:ascii="Arial" w:hAnsi="Arial" w:cs="Arial"/>
          <w:i/>
          <w:szCs w:val="20"/>
          <w:lang w:val="en-GB"/>
        </w:rPr>
      </w:pPr>
      <w:r>
        <w:rPr>
          <w:rFonts w:ascii="Arial" w:hAnsi="Arial" w:cs="Arial"/>
          <w:i/>
          <w:szCs w:val="20"/>
          <w:lang w:val="en-GB"/>
        </w:rPr>
        <w:t>I dedicate this to the person that affects me and believes in me the most, my father. Thank you.</w:t>
      </w:r>
    </w:p>
    <w:p w:rsidR="00426430" w:rsidRDefault="00426430" w:rsidP="0001655D">
      <w:pPr>
        <w:jc w:val="both"/>
        <w:rPr>
          <w:rFonts w:ascii="Arial" w:hAnsi="Arial" w:cs="Arial"/>
          <w:i/>
          <w:szCs w:val="20"/>
          <w:lang w:val="en-GB"/>
        </w:rPr>
      </w:pPr>
    </w:p>
    <w:p w:rsidR="00426430" w:rsidRDefault="00426430" w:rsidP="0001655D">
      <w:pPr>
        <w:jc w:val="both"/>
        <w:rPr>
          <w:rFonts w:ascii="Arial" w:hAnsi="Arial" w:cs="Arial"/>
          <w:i/>
          <w:szCs w:val="20"/>
          <w:lang w:val="en-GB"/>
        </w:rPr>
      </w:pPr>
    </w:p>
    <w:p w:rsidR="00426430" w:rsidRDefault="00426430" w:rsidP="0001655D">
      <w:pPr>
        <w:jc w:val="both"/>
        <w:rPr>
          <w:rFonts w:ascii="Arial" w:hAnsi="Arial" w:cs="Arial"/>
          <w:i/>
          <w:szCs w:val="20"/>
          <w:lang w:val="en-GB"/>
        </w:rPr>
      </w:pPr>
    </w:p>
    <w:p w:rsidR="00426430" w:rsidRDefault="00426430" w:rsidP="0001655D">
      <w:pPr>
        <w:jc w:val="both"/>
        <w:rPr>
          <w:rFonts w:ascii="Arial" w:hAnsi="Arial" w:cs="Arial"/>
          <w:i/>
          <w:szCs w:val="20"/>
          <w:lang w:val="en-GB"/>
        </w:rPr>
      </w:pPr>
    </w:p>
    <w:p w:rsidR="000F3C62" w:rsidRDefault="000F3C62" w:rsidP="0001655D">
      <w:pPr>
        <w:jc w:val="both"/>
        <w:rPr>
          <w:rFonts w:ascii="Arial" w:hAnsi="Arial" w:cs="Arial"/>
          <w:i/>
          <w:szCs w:val="20"/>
          <w:lang w:val="en-GB"/>
        </w:rPr>
      </w:pPr>
    </w:p>
    <w:p w:rsidR="000F3C62" w:rsidRDefault="000F3C62" w:rsidP="0001655D">
      <w:pPr>
        <w:jc w:val="both"/>
        <w:rPr>
          <w:rFonts w:ascii="Arial" w:hAnsi="Arial" w:cs="Arial"/>
          <w:i/>
          <w:szCs w:val="20"/>
          <w:lang w:val="en-GB"/>
        </w:rPr>
      </w:pPr>
    </w:p>
    <w:p w:rsidR="008E6E95" w:rsidRPr="00965861" w:rsidRDefault="008E6E95" w:rsidP="00965861">
      <w:pPr>
        <w:rPr>
          <w:lang w:val="en-GB"/>
        </w:rPr>
      </w:pPr>
    </w:p>
    <w:p w:rsidR="00965861" w:rsidRPr="00965861" w:rsidRDefault="00965861" w:rsidP="00965861">
      <w:pPr>
        <w:rPr>
          <w:lang w:val="en-GB"/>
        </w:rPr>
      </w:pPr>
    </w:p>
    <w:p w:rsidR="000C576E" w:rsidRDefault="006D19F1" w:rsidP="000C576E">
      <w:r w:rsidRPr="006D19F1">
        <w:rPr>
          <w:noProof/>
        </w:rPr>
      </w:r>
      <w:r>
        <w:rPr>
          <w:noProof/>
        </w:rPr>
        <w:pict>
          <v:shape id="Text Box 5" o:spid="_x0000_s1026" type="#_x0000_t202" style="width:476.6pt;height:208.4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PDKLQIAAFgEAAAOAAAAZHJzL2Uyb0RvYy54bWysVF1v2yAUfZ+0/4B4X+x4cZpacaouXaZJ&#10;3YfU7gdgjG00zGVAYne/vhecZFG3vUzzAwLu5XDuORevb8ZekYOwToIu6XyWUiI0h1rqtqTfHndv&#10;VpQ4z3TNFGhR0ifh6M3m9av1YAqRQQeqFpYgiHbFYEraeW+KJHG8Ez1zMzBCY7AB2zOPS9smtWUD&#10;ovcqydJ0mQxga2OBC+dw924K0k3EbxrB/ZemccITVVLk5uNo41iFMdmsWdFaZjrJjzTYP7DomdR4&#10;6RnqjnlG9lb+BtVLbsFB42cc+gSaRnIRa8Bq5umLah46ZkSsBcVx5iyT+3+w/PPhqyWyLmlOiWY9&#10;WvQoRk/ewUjyoM5gXIFJDwbT/Ijb6HKs1Jl74N8d0bDtmG7FrbUwdILVyG4eTiYXRyccF0Cq4RPU&#10;eA3be4hAY2P7IB2KQRAdXXo6OxOocNxcpnm2yjDEMZYtF1dv55FdworTcWOd/yCgJ2FSUovWR3h2&#10;uHc+0GHFKSXc5kDJeieVigvbVltlyYFhm+ziFyt4kaY0GUp6nWf5pMBfIdL4/Qmilx77Xcm+pKtz&#10;EiuCbu91HbvRM6mmOVJW+ihk0G5S0Y/VGB3LTv5UUD+hsham9sbniJMO7E9KBmztkrofe2YFJeqj&#10;Rneu54tFeAtxscivgq72MlJdRpjmCFVST8k03frp/eyNlW2HN039oOEWHW1k1DpYP7E60sf2jRYc&#10;n1p4H5frmPXrh7B5BgAA//8DAFBLAwQUAAYACAAAACEAsZU8ut0AAAAFAQAADwAAAGRycy9kb3du&#10;cmV2LnhtbEyPzU7DMBCE70i8g7VIXFDr9C80IU6FkED0VlrUXt14m0TY62C7aXh7DBe4rDSa0cy3&#10;xWowmvXofGtJwGScAEOqrGqpFvC+ex4tgfkgSUltCQV8oYdVeX1VyFzZC71hvw01iyXkcymgCaHL&#10;OfdVg0b6se2QoneyzsgQpau5cvISy43m0yRJuZEtxYVGdvjUYPWxPRsBy/lrf/Dr2WZfpSedhbv7&#10;/uXTCXF7Mzw+AAs4hL8w/OBHdCgj09GeSXmmBcRHwu+NXraYTYEdBcwnaQa8LPh/+vIbAAD//wMA&#10;UEsBAi0AFAAGAAgAAAAhALaDOJL+AAAA4QEAABMAAAAAAAAAAAAAAAAAAAAAAFtDb250ZW50X1R5&#10;cGVzXS54bWxQSwECLQAUAAYACAAAACEAOP0h/9YAAACUAQAACwAAAAAAAAAAAAAAAAAvAQAAX3Jl&#10;bHMvLnJlbHNQSwECLQAUAAYACAAAACEAG/Twyi0CAABYBAAADgAAAAAAAAAAAAAAAAAuAgAAZHJz&#10;L2Uyb0RvYy54bWxQSwECLQAUAAYACAAAACEAsZU8ut0AAAAFAQAADwAAAAAAAAAAAAAAAACHBAAA&#10;ZHJzL2Rvd25yZXYueG1sUEsFBgAAAAAEAAQA8wAAAJEFAAAAAA==&#10;">
            <v:textbox>
              <w:txbxContent>
                <w:p w:rsidR="002F4ECB" w:rsidRPr="00965861" w:rsidRDefault="002F4ECB" w:rsidP="00965861">
                  <w:pPr>
                    <w:rPr>
                      <w:b/>
                      <w:lang w:val="en-GB"/>
                    </w:rPr>
                  </w:pPr>
                  <w:r w:rsidRPr="00965861">
                    <w:rPr>
                      <w:b/>
                      <w:lang w:val="en-GB"/>
                    </w:rPr>
                    <w:t>Copyright Statement</w:t>
                  </w:r>
                </w:p>
                <w:p w:rsidR="002F4ECB" w:rsidRPr="00965861" w:rsidRDefault="002F4ECB" w:rsidP="00965861">
                  <w:pPr>
                    <w:rPr>
                      <w:lang w:val="en-GB"/>
                    </w:rPr>
                  </w:pPr>
                  <w:r w:rsidRPr="00965861">
                    <w:rPr>
                      <w:lang w:val="en-GB"/>
                    </w:rPr>
                    <w:t>The author has copyright of this thesis, which represents part of the author’s study programme while at the Erasmus School of Economics (ESE). The views stated therein are those of the author and not necessarily those of the ESE.</w:t>
                  </w:r>
                </w:p>
                <w:p w:rsidR="002F4ECB" w:rsidRPr="00965861" w:rsidRDefault="002F4ECB" w:rsidP="00965861">
                  <w:pPr>
                    <w:rPr>
                      <w:lang w:val="en-GB"/>
                    </w:rPr>
                  </w:pPr>
                </w:p>
                <w:p w:rsidR="002F4ECB" w:rsidRPr="00965861" w:rsidRDefault="002F4ECB" w:rsidP="00965861">
                  <w:pPr>
                    <w:rPr>
                      <w:b/>
                      <w:lang w:val="en-GB"/>
                    </w:rPr>
                  </w:pPr>
                  <w:r w:rsidRPr="00965861">
                    <w:rPr>
                      <w:b/>
                      <w:lang w:val="en-GB"/>
                    </w:rPr>
                    <w:t>Non-plagiarism Statement</w:t>
                  </w:r>
                </w:p>
                <w:p w:rsidR="002F4ECB" w:rsidRPr="00965861" w:rsidRDefault="002F4ECB" w:rsidP="00965861">
                  <w:pPr>
                    <w:rPr>
                      <w:szCs w:val="20"/>
                      <w:lang w:val="en-GB"/>
                    </w:rPr>
                  </w:pPr>
                  <w:r w:rsidRPr="00965861">
                    <w:rPr>
                      <w:lang w:val="en-GB"/>
                    </w:rPr>
                    <w:t>By submitting this thesis the author declares to have written this thesis completely by himself/herself, and not to have used sources other than the ones mentioned. All sources used, quotes and citations that were literally taken from publications, or that were in close accordance with the meaning of those publications, are indicated as such.</w:t>
                  </w:r>
                </w:p>
              </w:txbxContent>
            </v:textbox>
            <w10:wrap type="none"/>
            <w10:anchorlock/>
          </v:shape>
        </w:pict>
      </w:r>
    </w:p>
    <w:p w:rsidR="009B7488" w:rsidRDefault="009B7488" w:rsidP="000C576E">
      <w:pPr>
        <w:rPr>
          <w:rStyle w:val="Heading1Char"/>
          <w:rFonts w:ascii="Arial" w:eastAsia="Times New Roman" w:hAnsi="Arial" w:cs="Arial"/>
          <w:color w:val="auto"/>
          <w:kern w:val="32"/>
          <w:szCs w:val="32"/>
          <w:lang w:val="en-GB" w:eastAsia="en-US"/>
        </w:rPr>
      </w:pPr>
      <w:bookmarkStart w:id="1" w:name="_Toc367967999"/>
    </w:p>
    <w:p w:rsidR="00965861" w:rsidRPr="004A4FC9" w:rsidRDefault="000C576E" w:rsidP="000C576E">
      <w:pPr>
        <w:rPr>
          <w:rStyle w:val="Heading1Char"/>
          <w:rFonts w:asciiTheme="minorHAnsi" w:eastAsiaTheme="minorEastAsia" w:hAnsiTheme="minorHAnsi" w:cstheme="minorBidi"/>
          <w:b w:val="0"/>
          <w:bCs w:val="0"/>
          <w:color w:val="auto"/>
          <w:sz w:val="22"/>
          <w:szCs w:val="22"/>
          <w:lang w:val="en-GB"/>
        </w:rPr>
      </w:pPr>
      <w:r w:rsidRPr="000C576E">
        <w:rPr>
          <w:rStyle w:val="Heading1Char"/>
          <w:rFonts w:ascii="Arial" w:eastAsia="Times New Roman" w:hAnsi="Arial" w:cs="Arial"/>
          <w:color w:val="auto"/>
          <w:kern w:val="32"/>
          <w:szCs w:val="32"/>
          <w:lang w:val="en-GB" w:eastAsia="en-US"/>
        </w:rPr>
        <w:t>A</w:t>
      </w:r>
      <w:r w:rsidR="00965861" w:rsidRPr="000C576E">
        <w:rPr>
          <w:rStyle w:val="Heading1Char"/>
          <w:rFonts w:ascii="Arial" w:eastAsia="Times New Roman" w:hAnsi="Arial" w:cs="Arial"/>
          <w:color w:val="auto"/>
          <w:kern w:val="32"/>
          <w:szCs w:val="32"/>
          <w:lang w:val="en-GB" w:eastAsia="en-US"/>
        </w:rPr>
        <w:t>BSTRACT</w:t>
      </w:r>
      <w:bookmarkEnd w:id="1"/>
    </w:p>
    <w:p w:rsidR="00965861" w:rsidRPr="00965861" w:rsidRDefault="00965861" w:rsidP="00965861">
      <w:pPr>
        <w:rPr>
          <w:lang w:val="en-GB"/>
        </w:rPr>
      </w:pPr>
    </w:p>
    <w:p w:rsidR="00A15565" w:rsidRPr="00A15565" w:rsidRDefault="003A7A3C" w:rsidP="00A15565">
      <w:pPr>
        <w:autoSpaceDE w:val="0"/>
        <w:autoSpaceDN w:val="0"/>
        <w:adjustRightInd w:val="0"/>
        <w:spacing w:after="0" w:line="240" w:lineRule="auto"/>
        <w:jc w:val="both"/>
        <w:rPr>
          <w:rFonts w:ascii="cmr10" w:hAnsi="cmr10" w:cs="cmr10"/>
          <w:sz w:val="20"/>
          <w:szCs w:val="20"/>
          <w:lang w:val="en-GB"/>
        </w:rPr>
      </w:pPr>
      <w:r>
        <w:rPr>
          <w:rFonts w:ascii="cmr10" w:hAnsi="cmr10" w:cs="cmr10"/>
          <w:sz w:val="20"/>
          <w:szCs w:val="20"/>
          <w:lang w:val="en-GB"/>
        </w:rPr>
        <w:t>This thesis investigates the risk appetite of pension funds in different countries and how this can be explained by cultural differences among them. We use a sample of 49 countries and after dividing our sample into Developed and Developing countries, we construct several OLS regressions. In order to quantitate cultural differences, we use the four cultural dimensions from Hofstede’s res</w:t>
      </w:r>
      <w:r w:rsidR="00A15565">
        <w:rPr>
          <w:rFonts w:ascii="cmr10" w:hAnsi="cmr10" w:cs="cmr10"/>
          <w:sz w:val="20"/>
          <w:szCs w:val="20"/>
          <w:lang w:val="en-GB"/>
        </w:rPr>
        <w:t>earch.</w:t>
      </w:r>
      <w:r w:rsidR="00A15565" w:rsidRPr="00A15565">
        <w:rPr>
          <w:rFonts w:ascii="cmr10" w:hAnsi="cmr10" w:cs="cmr10"/>
          <w:sz w:val="20"/>
          <w:szCs w:val="20"/>
          <w:lang w:val="en-GB"/>
        </w:rPr>
        <w:t xml:space="preserve"> Despite the fact that we could not establish a strong relationship between culture and risk appetite of pension funds, we believe that we set the grounds for future research, giving a direction that could be of great use for governments and pension funds. </w:t>
      </w:r>
    </w:p>
    <w:p w:rsidR="00965861" w:rsidRPr="00A15565" w:rsidRDefault="00965861" w:rsidP="00965861">
      <w:pPr>
        <w:rPr>
          <w:lang w:val="en-US"/>
        </w:rPr>
      </w:pPr>
    </w:p>
    <w:p w:rsidR="00965861" w:rsidRPr="00A15565" w:rsidRDefault="00965861" w:rsidP="00965861">
      <w:pPr>
        <w:rPr>
          <w:lang w:val="en-US"/>
        </w:rPr>
      </w:pPr>
    </w:p>
    <w:p w:rsidR="00965861" w:rsidRPr="00965861" w:rsidRDefault="00965861" w:rsidP="00965861">
      <w:pPr>
        <w:pStyle w:val="Heading1"/>
        <w:rPr>
          <w:lang w:val="en-GB"/>
        </w:rPr>
      </w:pPr>
    </w:p>
    <w:p w:rsidR="00965861" w:rsidRDefault="00965861" w:rsidP="00965861">
      <w:pPr>
        <w:pStyle w:val="Heading1"/>
        <w:rPr>
          <w:lang w:val="en-GB"/>
        </w:rPr>
      </w:pPr>
    </w:p>
    <w:p w:rsidR="00BB1EF7" w:rsidRDefault="00BB1EF7" w:rsidP="00BB1EF7">
      <w:pPr>
        <w:rPr>
          <w:lang w:val="en-GB"/>
        </w:rPr>
      </w:pPr>
    </w:p>
    <w:p w:rsidR="00BB1EF7" w:rsidRPr="00BB1EF7" w:rsidRDefault="00BB1EF7" w:rsidP="00BB1EF7">
      <w:pPr>
        <w:rPr>
          <w:lang w:val="en-GB"/>
        </w:rPr>
      </w:pPr>
    </w:p>
    <w:p w:rsidR="00965861" w:rsidRPr="00965861" w:rsidRDefault="00965861" w:rsidP="00965861">
      <w:pPr>
        <w:rPr>
          <w:lang w:val="en-GB"/>
        </w:rPr>
      </w:pPr>
    </w:p>
    <w:p w:rsidR="00965861" w:rsidRPr="00965861" w:rsidRDefault="00965861" w:rsidP="00965861">
      <w:pPr>
        <w:rPr>
          <w:lang w:val="en-GB"/>
        </w:rPr>
      </w:pPr>
    </w:p>
    <w:p w:rsidR="00965861" w:rsidRPr="004A4FC9" w:rsidRDefault="00965861" w:rsidP="00965861">
      <w:pPr>
        <w:rPr>
          <w:lang w:val="en-GB"/>
        </w:rPr>
      </w:pPr>
      <w:r w:rsidRPr="00965861">
        <w:rPr>
          <w:b/>
          <w:lang w:val="en-GB"/>
        </w:rPr>
        <w:t xml:space="preserve">Keywords: </w:t>
      </w:r>
      <w:r w:rsidR="004A4FC9">
        <w:rPr>
          <w:lang w:val="en-GB"/>
        </w:rPr>
        <w:t xml:space="preserve">pension funds, risk appetite, cultural dimensions, cultural differences, equity allocation. </w:t>
      </w:r>
    </w:p>
    <w:p w:rsidR="00965861" w:rsidRPr="00965861" w:rsidRDefault="00965861" w:rsidP="00965861">
      <w:pPr>
        <w:pStyle w:val="Heading1"/>
        <w:rPr>
          <w:lang w:val="en-GB"/>
        </w:rPr>
      </w:pPr>
    </w:p>
    <w:p w:rsidR="00965861" w:rsidRPr="00965861" w:rsidRDefault="00965861" w:rsidP="00965861">
      <w:pPr>
        <w:pStyle w:val="Heading1"/>
        <w:rPr>
          <w:lang w:val="en-GB"/>
        </w:rPr>
      </w:pPr>
    </w:p>
    <w:p w:rsidR="00965861" w:rsidRPr="00965861" w:rsidRDefault="00965861" w:rsidP="00965861">
      <w:pPr>
        <w:pStyle w:val="Heading1"/>
        <w:rPr>
          <w:lang w:val="en-GB"/>
        </w:rPr>
      </w:pPr>
    </w:p>
    <w:p w:rsidR="00965861" w:rsidRPr="00965861" w:rsidRDefault="00965861" w:rsidP="00965861">
      <w:pPr>
        <w:pStyle w:val="Heading1"/>
        <w:rPr>
          <w:lang w:val="en-GB"/>
        </w:rPr>
      </w:pPr>
    </w:p>
    <w:p w:rsidR="00965861" w:rsidRPr="00965861" w:rsidRDefault="00965861" w:rsidP="00965861">
      <w:pPr>
        <w:pStyle w:val="Heading1"/>
        <w:rPr>
          <w:lang w:val="en-GB"/>
        </w:rPr>
      </w:pPr>
    </w:p>
    <w:p w:rsidR="00965861" w:rsidRPr="00965861" w:rsidRDefault="00965861" w:rsidP="00965861">
      <w:pPr>
        <w:pStyle w:val="Heading1"/>
        <w:rPr>
          <w:lang w:val="en-GB"/>
        </w:rPr>
      </w:pPr>
    </w:p>
    <w:p w:rsidR="00965861" w:rsidRPr="00965861" w:rsidRDefault="00965861" w:rsidP="00965861">
      <w:pPr>
        <w:pStyle w:val="Heading1"/>
        <w:rPr>
          <w:lang w:val="en-GB"/>
        </w:rPr>
      </w:pPr>
    </w:p>
    <w:p w:rsidR="00965861" w:rsidRPr="000C576E" w:rsidRDefault="00965861" w:rsidP="000C576E">
      <w:pPr>
        <w:pStyle w:val="Heading1"/>
        <w:keepLines w:val="0"/>
        <w:spacing w:before="240" w:after="60" w:line="240" w:lineRule="auto"/>
        <w:rPr>
          <w:rFonts w:ascii="Arial" w:eastAsia="Times New Roman" w:hAnsi="Arial" w:cs="Arial"/>
          <w:color w:val="auto"/>
          <w:kern w:val="32"/>
          <w:szCs w:val="32"/>
          <w:lang w:val="en-GB" w:eastAsia="en-US"/>
        </w:rPr>
      </w:pPr>
      <w:r w:rsidRPr="00965861">
        <w:rPr>
          <w:lang w:val="en-GB"/>
        </w:rPr>
        <w:br w:type="page"/>
      </w:r>
      <w:bookmarkStart w:id="2" w:name="_Toc367968000"/>
      <w:r w:rsidRPr="000C576E">
        <w:rPr>
          <w:rFonts w:ascii="Arial" w:eastAsia="Times New Roman" w:hAnsi="Arial" w:cs="Arial"/>
          <w:color w:val="auto"/>
          <w:kern w:val="32"/>
          <w:szCs w:val="32"/>
          <w:lang w:val="en-GB" w:eastAsia="en-US"/>
        </w:rPr>
        <w:lastRenderedPageBreak/>
        <w:t>TABLE OF CONTENTS</w:t>
      </w:r>
      <w:bookmarkEnd w:id="2"/>
    </w:p>
    <w:p w:rsidR="00965861" w:rsidRPr="000C576E" w:rsidRDefault="00965861" w:rsidP="000C576E">
      <w:pPr>
        <w:pStyle w:val="Heading1"/>
        <w:keepLines w:val="0"/>
        <w:spacing w:before="240" w:after="60" w:line="240" w:lineRule="auto"/>
        <w:rPr>
          <w:rFonts w:ascii="Arial" w:eastAsia="Times New Roman" w:hAnsi="Arial" w:cs="Arial"/>
          <w:color w:val="auto"/>
          <w:kern w:val="32"/>
          <w:szCs w:val="32"/>
          <w:lang w:val="en-GB" w:eastAsia="en-US"/>
        </w:rPr>
      </w:pPr>
    </w:p>
    <w:p w:rsidR="00965861" w:rsidRPr="000C576E" w:rsidRDefault="00965861" w:rsidP="000C576E">
      <w:pPr>
        <w:pStyle w:val="Heading1"/>
        <w:keepLines w:val="0"/>
        <w:spacing w:before="240" w:after="60" w:line="240" w:lineRule="auto"/>
        <w:rPr>
          <w:rFonts w:ascii="Arial" w:eastAsia="Times New Roman" w:hAnsi="Arial" w:cs="Arial"/>
          <w:color w:val="auto"/>
          <w:kern w:val="32"/>
          <w:szCs w:val="32"/>
          <w:lang w:val="en-GB" w:eastAsia="en-US"/>
        </w:rPr>
      </w:pPr>
    </w:p>
    <w:p w:rsidR="00682284" w:rsidRDefault="006D19F1">
      <w:pPr>
        <w:pStyle w:val="TOC1"/>
        <w:rPr>
          <w:rFonts w:asciiTheme="minorHAnsi" w:eastAsiaTheme="minorEastAsia" w:hAnsiTheme="minorHAnsi" w:cstheme="minorBidi"/>
          <w:noProof/>
          <w:szCs w:val="22"/>
          <w:lang w:val="nl-NL" w:eastAsia="nl-NL"/>
        </w:rPr>
      </w:pPr>
      <w:r w:rsidRPr="000C576E">
        <w:rPr>
          <w:rStyle w:val="Hyperlink"/>
          <w:noProof/>
        </w:rPr>
        <w:fldChar w:fldCharType="begin"/>
      </w:r>
      <w:r w:rsidR="00965861" w:rsidRPr="000C576E">
        <w:rPr>
          <w:rStyle w:val="Hyperlink"/>
          <w:noProof/>
        </w:rPr>
        <w:instrText xml:space="preserve"> TOC \o "1-3" \h \z \u </w:instrText>
      </w:r>
      <w:r w:rsidRPr="000C576E">
        <w:rPr>
          <w:rStyle w:val="Hyperlink"/>
          <w:noProof/>
        </w:rPr>
        <w:fldChar w:fldCharType="separate"/>
      </w:r>
      <w:hyperlink w:anchor="_Toc367967998" w:history="1">
        <w:r w:rsidR="00682284" w:rsidRPr="00023302">
          <w:rPr>
            <w:rStyle w:val="Hyperlink"/>
            <w:rFonts w:ascii="Arial" w:hAnsi="Arial" w:cs="Arial"/>
            <w:noProof/>
            <w:kern w:val="32"/>
          </w:rPr>
          <w:t>PREFACE</w:t>
        </w:r>
        <w:r w:rsidR="00682284" w:rsidRPr="00023302">
          <w:rPr>
            <w:rStyle w:val="Hyperlink"/>
            <w:noProof/>
          </w:rPr>
          <w:t xml:space="preserve"> </w:t>
        </w:r>
        <w:r w:rsidR="00682284" w:rsidRPr="00023302">
          <w:rPr>
            <w:rStyle w:val="Hyperlink"/>
            <w:rFonts w:ascii="Arial" w:hAnsi="Arial" w:cs="Arial"/>
            <w:noProof/>
            <w:kern w:val="32"/>
          </w:rPr>
          <w:t>AND ACKNOWLEDGEMENTS</w:t>
        </w:r>
        <w:r w:rsidR="00682284">
          <w:rPr>
            <w:noProof/>
            <w:webHidden/>
          </w:rPr>
          <w:tab/>
        </w:r>
        <w:r w:rsidR="006F70AE">
          <w:rPr>
            <w:noProof/>
            <w:webHidden/>
          </w:rPr>
          <w:t>2</w:t>
        </w:r>
      </w:hyperlink>
    </w:p>
    <w:p w:rsidR="00682284" w:rsidRDefault="006D19F1">
      <w:pPr>
        <w:pStyle w:val="TOC1"/>
        <w:rPr>
          <w:rFonts w:asciiTheme="minorHAnsi" w:eastAsiaTheme="minorEastAsia" w:hAnsiTheme="minorHAnsi" w:cstheme="minorBidi"/>
          <w:noProof/>
          <w:szCs w:val="22"/>
          <w:lang w:val="nl-NL" w:eastAsia="nl-NL"/>
        </w:rPr>
      </w:pPr>
      <w:hyperlink w:anchor="_Toc367967999" w:history="1">
        <w:r w:rsidR="00682284" w:rsidRPr="00023302">
          <w:rPr>
            <w:rStyle w:val="Hyperlink"/>
            <w:rFonts w:ascii="Arial" w:hAnsi="Arial" w:cs="Arial"/>
            <w:noProof/>
            <w:kern w:val="32"/>
          </w:rPr>
          <w:t>ABSTRACT</w:t>
        </w:r>
        <w:r w:rsidR="00682284">
          <w:rPr>
            <w:noProof/>
            <w:webHidden/>
          </w:rPr>
          <w:tab/>
        </w:r>
        <w:r w:rsidR="006F70AE">
          <w:rPr>
            <w:noProof/>
            <w:webHidden/>
          </w:rPr>
          <w:t>3</w:t>
        </w:r>
      </w:hyperlink>
    </w:p>
    <w:p w:rsidR="00682284" w:rsidRDefault="006D19F1">
      <w:pPr>
        <w:pStyle w:val="TOC1"/>
        <w:rPr>
          <w:noProof/>
        </w:rPr>
      </w:pPr>
      <w:hyperlink w:anchor="_Toc367968000" w:history="1">
        <w:r w:rsidR="00682284" w:rsidRPr="00023302">
          <w:rPr>
            <w:rStyle w:val="Hyperlink"/>
            <w:rFonts w:ascii="Arial" w:hAnsi="Arial" w:cs="Arial"/>
            <w:noProof/>
            <w:kern w:val="32"/>
          </w:rPr>
          <w:t>TABLE OF CONTENTS</w:t>
        </w:r>
        <w:r w:rsidR="00682284">
          <w:rPr>
            <w:noProof/>
            <w:webHidden/>
          </w:rPr>
          <w:tab/>
        </w:r>
        <w:r w:rsidR="006F70AE">
          <w:rPr>
            <w:noProof/>
            <w:webHidden/>
          </w:rPr>
          <w:t>4</w:t>
        </w:r>
      </w:hyperlink>
    </w:p>
    <w:p w:rsidR="006F70AE" w:rsidRPr="006F70AE" w:rsidRDefault="000C7C69" w:rsidP="006F70AE">
      <w:pPr>
        <w:pStyle w:val="TOC1"/>
        <w:rPr>
          <w:rFonts w:asciiTheme="minorHAnsi" w:eastAsiaTheme="minorEastAsia" w:hAnsiTheme="minorHAnsi" w:cstheme="minorBidi"/>
          <w:noProof/>
          <w:szCs w:val="22"/>
          <w:lang w:val="nl-NL" w:eastAsia="nl-NL"/>
        </w:rPr>
      </w:pPr>
      <w:r w:rsidRPr="000C7C69">
        <w:rPr>
          <w:noProof/>
        </w:rPr>
        <w:t>LIST OF TABLES</w:t>
      </w:r>
      <w:r w:rsidRPr="000C7C69">
        <w:rPr>
          <w:rFonts w:ascii="Arial" w:hAnsi="Arial" w:cs="Arial"/>
          <w:noProof/>
        </w:rPr>
        <w:t>.</w:t>
      </w:r>
      <w:r>
        <w:rPr>
          <w:noProof/>
        </w:rPr>
        <w:t>.................................................................................................................................5</w:t>
      </w:r>
    </w:p>
    <w:p w:rsidR="00682284" w:rsidRDefault="006D19F1">
      <w:pPr>
        <w:pStyle w:val="TOC1"/>
        <w:rPr>
          <w:noProof/>
        </w:rPr>
      </w:pPr>
      <w:hyperlink w:anchor="_Toc367968001" w:history="1">
        <w:r w:rsidR="00682284" w:rsidRPr="00023302">
          <w:rPr>
            <w:rStyle w:val="Hyperlink"/>
            <w:rFonts w:ascii="Arial" w:hAnsi="Arial" w:cs="Arial"/>
            <w:noProof/>
            <w:kern w:val="32"/>
          </w:rPr>
          <w:t>LIST OF FIGURES</w:t>
        </w:r>
        <w:r w:rsidR="00682284">
          <w:rPr>
            <w:noProof/>
            <w:webHidden/>
          </w:rPr>
          <w:tab/>
        </w:r>
      </w:hyperlink>
      <w:r w:rsidR="001141E0">
        <w:rPr>
          <w:noProof/>
        </w:rPr>
        <w:t>6</w:t>
      </w:r>
    </w:p>
    <w:p w:rsidR="001E3DAE" w:rsidRPr="001E3DAE" w:rsidRDefault="001E3DAE" w:rsidP="001E3DAE">
      <w:pPr>
        <w:pStyle w:val="TOC1"/>
        <w:rPr>
          <w:rFonts w:ascii="Arial" w:hAnsi="Arial" w:cs="Arial"/>
          <w:noProof/>
        </w:rPr>
      </w:pPr>
      <w:r w:rsidRPr="001E3DAE">
        <w:rPr>
          <w:rFonts w:ascii="Arial" w:hAnsi="Arial" w:cs="Arial"/>
          <w:noProof/>
        </w:rPr>
        <w:t>CHAPTER 1 : Introduction</w:t>
      </w:r>
      <w:r w:rsidRPr="001E3DAE">
        <w:rPr>
          <w:rFonts w:ascii="Arial" w:hAnsi="Arial" w:cs="Arial"/>
          <w:noProof/>
        </w:rPr>
        <w:tab/>
      </w:r>
      <w:r w:rsidR="001141E0">
        <w:rPr>
          <w:rFonts w:ascii="Arial" w:hAnsi="Arial" w:cs="Arial"/>
          <w:noProof/>
        </w:rPr>
        <w:t>7</w:t>
      </w:r>
    </w:p>
    <w:p w:rsidR="001E3DAE" w:rsidRDefault="001E3DAE" w:rsidP="001E3DAE">
      <w:pPr>
        <w:pStyle w:val="TOC1"/>
        <w:rPr>
          <w:rFonts w:ascii="Arial" w:hAnsi="Arial" w:cs="Arial"/>
          <w:noProof/>
        </w:rPr>
      </w:pPr>
      <w:r w:rsidRPr="001E3DAE">
        <w:rPr>
          <w:rFonts w:ascii="Arial" w:hAnsi="Arial" w:cs="Arial"/>
          <w:noProof/>
        </w:rPr>
        <w:t>CHAPTER 2 : Literature review</w:t>
      </w:r>
      <w:r w:rsidRPr="001E3DAE">
        <w:rPr>
          <w:rFonts w:ascii="Arial" w:hAnsi="Arial" w:cs="Arial"/>
          <w:noProof/>
        </w:rPr>
        <w:tab/>
      </w:r>
      <w:r w:rsidR="00B2431A">
        <w:rPr>
          <w:rFonts w:ascii="Arial" w:hAnsi="Arial" w:cs="Arial"/>
          <w:noProof/>
        </w:rPr>
        <w:t>9</w:t>
      </w:r>
    </w:p>
    <w:p w:rsidR="00201AC1" w:rsidRPr="00201AC1" w:rsidRDefault="00201AC1" w:rsidP="00201AC1">
      <w:pPr>
        <w:pStyle w:val="TOC1"/>
        <w:rPr>
          <w:noProof/>
        </w:rPr>
      </w:pPr>
      <w:r w:rsidRPr="00201AC1">
        <w:rPr>
          <w:rFonts w:ascii="Arial" w:hAnsi="Arial" w:cs="Arial"/>
          <w:noProof/>
        </w:rPr>
        <w:t>C</w:t>
      </w:r>
      <w:r>
        <w:rPr>
          <w:rFonts w:ascii="Arial" w:hAnsi="Arial" w:cs="Arial"/>
          <w:noProof/>
        </w:rPr>
        <w:t>HAPTER</w:t>
      </w:r>
      <w:r>
        <w:rPr>
          <w:noProof/>
        </w:rPr>
        <w:t xml:space="preserve"> 3 : Data.............................................................................................................................</w:t>
      </w:r>
      <w:r w:rsidRPr="00201AC1">
        <w:rPr>
          <w:rFonts w:ascii="Arial" w:hAnsi="Arial" w:cs="Arial"/>
          <w:noProof/>
        </w:rPr>
        <w:t>.</w:t>
      </w:r>
      <w:r w:rsidR="00B2431A">
        <w:rPr>
          <w:rFonts w:ascii="Arial" w:hAnsi="Arial" w:cs="Arial"/>
          <w:noProof/>
        </w:rPr>
        <w:t>20</w:t>
      </w:r>
    </w:p>
    <w:p w:rsidR="001E3DAE" w:rsidRPr="001E3DAE" w:rsidRDefault="00201AC1" w:rsidP="001E3DAE">
      <w:pPr>
        <w:pStyle w:val="TOC1"/>
        <w:rPr>
          <w:rFonts w:ascii="Arial" w:hAnsi="Arial" w:cs="Arial"/>
          <w:noProof/>
        </w:rPr>
      </w:pPr>
      <w:r>
        <w:rPr>
          <w:rFonts w:ascii="Arial" w:hAnsi="Arial" w:cs="Arial"/>
          <w:noProof/>
        </w:rPr>
        <w:t>CHAPTER 4 : Methodology</w:t>
      </w:r>
      <w:r>
        <w:rPr>
          <w:rFonts w:ascii="Arial" w:hAnsi="Arial" w:cs="Arial"/>
          <w:noProof/>
        </w:rPr>
        <w:tab/>
      </w:r>
      <w:r w:rsidR="00B2431A">
        <w:rPr>
          <w:rFonts w:ascii="Arial" w:hAnsi="Arial" w:cs="Arial"/>
          <w:noProof/>
        </w:rPr>
        <w:t>30</w:t>
      </w:r>
    </w:p>
    <w:p w:rsidR="001E3DAE" w:rsidRPr="001E3DAE" w:rsidRDefault="001E3DAE" w:rsidP="001E3DAE">
      <w:pPr>
        <w:pStyle w:val="TOC1"/>
        <w:rPr>
          <w:rFonts w:ascii="Arial" w:hAnsi="Arial" w:cs="Arial"/>
          <w:noProof/>
        </w:rPr>
      </w:pPr>
      <w:r w:rsidRPr="001E3DAE">
        <w:rPr>
          <w:rFonts w:ascii="Arial" w:hAnsi="Arial" w:cs="Arial"/>
          <w:noProof/>
        </w:rPr>
        <w:t>CHAPTE</w:t>
      </w:r>
      <w:r w:rsidR="001141E0">
        <w:rPr>
          <w:rFonts w:ascii="Arial" w:hAnsi="Arial" w:cs="Arial"/>
          <w:noProof/>
        </w:rPr>
        <w:t>R 5 : Results and conclusions</w:t>
      </w:r>
      <w:r w:rsidR="001141E0">
        <w:rPr>
          <w:rFonts w:ascii="Arial" w:hAnsi="Arial" w:cs="Arial"/>
          <w:noProof/>
        </w:rPr>
        <w:tab/>
        <w:t>4</w:t>
      </w:r>
      <w:r w:rsidR="00B2431A">
        <w:rPr>
          <w:rFonts w:ascii="Arial" w:hAnsi="Arial" w:cs="Arial"/>
          <w:noProof/>
        </w:rPr>
        <w:t>8</w:t>
      </w:r>
    </w:p>
    <w:p w:rsidR="001E3DAE" w:rsidRPr="001E3DAE" w:rsidRDefault="001E3DAE" w:rsidP="001E3DAE">
      <w:pPr>
        <w:pStyle w:val="TOC1"/>
        <w:rPr>
          <w:rFonts w:ascii="Arial" w:hAnsi="Arial" w:cs="Arial"/>
          <w:noProof/>
        </w:rPr>
      </w:pPr>
      <w:r w:rsidRPr="001E3DAE">
        <w:rPr>
          <w:rFonts w:ascii="Arial" w:hAnsi="Arial" w:cs="Arial"/>
          <w:noProof/>
        </w:rPr>
        <w:t>CHAPTER 6 : Limitations and recomme</w:t>
      </w:r>
      <w:r w:rsidR="001141E0">
        <w:rPr>
          <w:rFonts w:ascii="Arial" w:hAnsi="Arial" w:cs="Arial"/>
          <w:noProof/>
        </w:rPr>
        <w:t xml:space="preserve">ndations for future research </w:t>
      </w:r>
      <w:r w:rsidR="001141E0">
        <w:rPr>
          <w:rFonts w:ascii="Arial" w:hAnsi="Arial" w:cs="Arial"/>
          <w:noProof/>
        </w:rPr>
        <w:tab/>
      </w:r>
      <w:r w:rsidR="00B2431A">
        <w:rPr>
          <w:rFonts w:ascii="Arial" w:hAnsi="Arial" w:cs="Arial"/>
          <w:noProof/>
        </w:rPr>
        <w:t>50</w:t>
      </w:r>
    </w:p>
    <w:p w:rsidR="001E3DAE" w:rsidRPr="001E3DAE" w:rsidRDefault="001141E0" w:rsidP="001E3DAE">
      <w:pPr>
        <w:pStyle w:val="TOC1"/>
        <w:rPr>
          <w:rFonts w:ascii="Arial" w:hAnsi="Arial" w:cs="Arial"/>
          <w:noProof/>
        </w:rPr>
      </w:pPr>
      <w:r>
        <w:rPr>
          <w:rFonts w:ascii="Arial" w:hAnsi="Arial" w:cs="Arial"/>
          <w:noProof/>
        </w:rPr>
        <w:t>REFERENCES</w:t>
      </w:r>
      <w:r>
        <w:rPr>
          <w:rFonts w:ascii="Arial" w:hAnsi="Arial" w:cs="Arial"/>
          <w:noProof/>
        </w:rPr>
        <w:tab/>
        <w:t>5</w:t>
      </w:r>
      <w:r w:rsidR="00B2431A">
        <w:rPr>
          <w:rFonts w:ascii="Arial" w:hAnsi="Arial" w:cs="Arial"/>
          <w:noProof/>
        </w:rPr>
        <w:t>1</w:t>
      </w:r>
    </w:p>
    <w:p w:rsidR="00682284" w:rsidRPr="000F3C62" w:rsidRDefault="006D19F1">
      <w:pPr>
        <w:pStyle w:val="TOC1"/>
        <w:rPr>
          <w:rFonts w:asciiTheme="minorHAnsi" w:eastAsiaTheme="minorEastAsia" w:hAnsiTheme="minorHAnsi" w:cstheme="minorBidi"/>
          <w:noProof/>
          <w:szCs w:val="22"/>
          <w:lang w:eastAsia="nl-NL"/>
        </w:rPr>
      </w:pPr>
      <w:hyperlink w:anchor="_Toc367968002" w:history="1">
        <w:r w:rsidR="00682284" w:rsidRPr="001E3DAE">
          <w:rPr>
            <w:rStyle w:val="Hyperlink"/>
            <w:rFonts w:ascii="Arial" w:hAnsi="Arial" w:cs="Arial"/>
            <w:noProof/>
            <w:kern w:val="32"/>
          </w:rPr>
          <w:t xml:space="preserve">APPENDIX A  </w:t>
        </w:r>
        <w:r w:rsidR="00682284" w:rsidRPr="001E3DAE">
          <w:rPr>
            <w:rFonts w:ascii="Arial" w:hAnsi="Arial" w:cs="Arial"/>
            <w:noProof/>
            <w:webHidden/>
          </w:rPr>
          <w:tab/>
        </w:r>
        <w:r w:rsidRPr="001E3DAE">
          <w:rPr>
            <w:rFonts w:ascii="Arial" w:hAnsi="Arial" w:cs="Arial"/>
            <w:noProof/>
            <w:webHidden/>
          </w:rPr>
          <w:fldChar w:fldCharType="begin"/>
        </w:r>
        <w:r w:rsidR="00682284" w:rsidRPr="001E3DAE">
          <w:rPr>
            <w:rFonts w:ascii="Arial" w:hAnsi="Arial" w:cs="Arial"/>
            <w:noProof/>
            <w:webHidden/>
          </w:rPr>
          <w:instrText xml:space="preserve"> PAGEREF _Toc367968002 \h </w:instrText>
        </w:r>
        <w:r w:rsidRPr="001E3DAE">
          <w:rPr>
            <w:rFonts w:ascii="Arial" w:hAnsi="Arial" w:cs="Arial"/>
            <w:noProof/>
            <w:webHidden/>
          </w:rPr>
        </w:r>
        <w:r w:rsidRPr="001E3DAE">
          <w:rPr>
            <w:rFonts w:ascii="Arial" w:hAnsi="Arial" w:cs="Arial"/>
            <w:noProof/>
            <w:webHidden/>
          </w:rPr>
          <w:fldChar w:fldCharType="separate"/>
        </w:r>
        <w:r w:rsidR="00B2431A">
          <w:rPr>
            <w:rFonts w:ascii="Arial" w:hAnsi="Arial" w:cs="Arial"/>
            <w:noProof/>
            <w:webHidden/>
          </w:rPr>
          <w:t>54</w:t>
        </w:r>
        <w:r w:rsidRPr="001E3DAE">
          <w:rPr>
            <w:rFonts w:ascii="Arial" w:hAnsi="Arial" w:cs="Arial"/>
            <w:noProof/>
            <w:webHidden/>
          </w:rPr>
          <w:fldChar w:fldCharType="end"/>
        </w:r>
      </w:hyperlink>
    </w:p>
    <w:p w:rsidR="00965861" w:rsidRPr="000C576E" w:rsidRDefault="006D19F1" w:rsidP="000C576E">
      <w:pPr>
        <w:pStyle w:val="TOC1"/>
        <w:rPr>
          <w:rStyle w:val="Hyperlink"/>
          <w:noProof/>
        </w:rPr>
      </w:pPr>
      <w:r w:rsidRPr="000C576E">
        <w:rPr>
          <w:rStyle w:val="Hyperlink"/>
          <w:noProof/>
        </w:rPr>
        <w:fldChar w:fldCharType="end"/>
      </w:r>
    </w:p>
    <w:p w:rsidR="00965861" w:rsidRPr="000F3C62" w:rsidRDefault="00965861" w:rsidP="00965861">
      <w:pPr>
        <w:rPr>
          <w:lang w:val="en-GB"/>
        </w:rPr>
      </w:pPr>
    </w:p>
    <w:p w:rsidR="00965861" w:rsidRPr="000F3C62" w:rsidRDefault="00965861" w:rsidP="00965861">
      <w:pPr>
        <w:rPr>
          <w:lang w:val="en-GB"/>
        </w:rPr>
      </w:pPr>
      <w:r w:rsidRPr="000F3C62">
        <w:rPr>
          <w:lang w:val="en-GB"/>
        </w:rPr>
        <w:br/>
      </w:r>
    </w:p>
    <w:p w:rsidR="00965861" w:rsidRPr="000C576E" w:rsidRDefault="00965861" w:rsidP="000C576E">
      <w:pPr>
        <w:rPr>
          <w:lang w:val="en-GB"/>
        </w:rPr>
      </w:pPr>
      <w:r w:rsidRPr="00965861">
        <w:rPr>
          <w:lang w:val="en-GB"/>
        </w:rPr>
        <w:br w:type="page"/>
      </w:r>
      <w:r w:rsidR="000C576E" w:rsidRPr="000C576E">
        <w:rPr>
          <w:rFonts w:ascii="Arial" w:eastAsia="Times New Roman" w:hAnsi="Arial" w:cs="Arial"/>
          <w:b/>
          <w:bCs/>
          <w:kern w:val="32"/>
          <w:sz w:val="28"/>
          <w:szCs w:val="32"/>
          <w:lang w:val="en-GB" w:eastAsia="en-US"/>
        </w:rPr>
        <w:lastRenderedPageBreak/>
        <w:t xml:space="preserve"> </w:t>
      </w:r>
      <w:r w:rsidRPr="000C576E">
        <w:rPr>
          <w:rFonts w:ascii="Arial" w:eastAsia="Times New Roman" w:hAnsi="Arial" w:cs="Arial"/>
          <w:b/>
          <w:bCs/>
          <w:kern w:val="32"/>
          <w:sz w:val="28"/>
          <w:szCs w:val="32"/>
          <w:lang w:val="en-GB" w:eastAsia="en-US"/>
        </w:rPr>
        <w:t>LIST OF TABLES</w:t>
      </w:r>
    </w:p>
    <w:p w:rsidR="00D044BD" w:rsidRPr="00D044BD" w:rsidRDefault="00D044BD" w:rsidP="00965861">
      <w:pPr>
        <w:spacing w:line="360" w:lineRule="auto"/>
        <w:rPr>
          <w:lang w:val="en-GB"/>
        </w:rPr>
      </w:pPr>
    </w:p>
    <w:p w:rsidR="00FC5CCB" w:rsidRPr="00FC5CCB" w:rsidRDefault="00FC5CCB" w:rsidP="00FC5CCB">
      <w:pPr>
        <w:spacing w:line="360" w:lineRule="auto"/>
        <w:rPr>
          <w:lang w:val="en-GB"/>
        </w:rPr>
      </w:pPr>
      <w:r w:rsidRPr="00FC5CCB">
        <w:rPr>
          <w:lang w:val="en-GB"/>
        </w:rPr>
        <w:t>Table 3.</w:t>
      </w:r>
      <w:r>
        <w:rPr>
          <w:lang w:val="en-GB"/>
        </w:rPr>
        <w:t>1</w:t>
      </w:r>
      <w:r>
        <w:rPr>
          <w:lang w:val="en-GB"/>
        </w:rPr>
        <w:tab/>
      </w:r>
      <w:r w:rsidRPr="00FC5CCB">
        <w:rPr>
          <w:lang w:val="en-GB"/>
        </w:rPr>
        <w:t>Cultural Dimension Scores, Hofstede 2011</w:t>
      </w:r>
      <w:r>
        <w:rPr>
          <w:lang w:val="en-GB"/>
        </w:rPr>
        <w:t>.</w:t>
      </w:r>
      <w:r w:rsidRPr="00FC5CCB">
        <w:rPr>
          <w:lang w:val="en-GB"/>
        </w:rPr>
        <w:tab/>
      </w:r>
      <w:r w:rsidR="00B722C5">
        <w:rPr>
          <w:lang w:val="en-GB"/>
        </w:rPr>
        <w:tab/>
      </w:r>
      <w:r w:rsidR="00B722C5">
        <w:rPr>
          <w:lang w:val="en-GB"/>
        </w:rPr>
        <w:tab/>
      </w:r>
      <w:r w:rsidR="00B722C5">
        <w:rPr>
          <w:lang w:val="en-GB"/>
        </w:rPr>
        <w:tab/>
      </w:r>
      <w:r w:rsidR="00B722C5">
        <w:rPr>
          <w:lang w:val="en-GB"/>
        </w:rPr>
        <w:tab/>
      </w:r>
      <w:r w:rsidR="00EF1F61">
        <w:rPr>
          <w:lang w:val="en-GB"/>
        </w:rPr>
        <w:t>20</w:t>
      </w:r>
    </w:p>
    <w:p w:rsidR="00FC5CCB" w:rsidRPr="00FC5CCB" w:rsidRDefault="00FC5CCB" w:rsidP="00FC5CCB">
      <w:pPr>
        <w:spacing w:line="360" w:lineRule="auto"/>
        <w:rPr>
          <w:lang w:val="en-GB"/>
        </w:rPr>
      </w:pPr>
      <w:r w:rsidRPr="00FC5CCB">
        <w:rPr>
          <w:lang w:val="en-GB"/>
        </w:rPr>
        <w:t xml:space="preserve">Table 3.2 </w:t>
      </w:r>
      <w:r>
        <w:rPr>
          <w:lang w:val="en-GB"/>
        </w:rPr>
        <w:tab/>
      </w:r>
      <w:r w:rsidRPr="00FC5CCB">
        <w:rPr>
          <w:lang w:val="en-GB"/>
        </w:rPr>
        <w:t>Summary statistics for cultural dimension scores</w:t>
      </w:r>
      <w:r>
        <w:rPr>
          <w:lang w:val="en-GB"/>
        </w:rPr>
        <w:t>.</w:t>
      </w:r>
      <w:r w:rsidRPr="00FC5CCB">
        <w:rPr>
          <w:lang w:val="en-GB"/>
        </w:rPr>
        <w:tab/>
      </w:r>
      <w:r>
        <w:rPr>
          <w:lang w:val="en-GB"/>
        </w:rPr>
        <w:tab/>
      </w:r>
      <w:r>
        <w:rPr>
          <w:lang w:val="en-GB"/>
        </w:rPr>
        <w:tab/>
      </w:r>
      <w:r>
        <w:rPr>
          <w:lang w:val="en-GB"/>
        </w:rPr>
        <w:tab/>
      </w:r>
      <w:r w:rsidRPr="00FC5CCB">
        <w:rPr>
          <w:lang w:val="en-GB"/>
        </w:rPr>
        <w:t>2</w:t>
      </w:r>
      <w:r w:rsidR="00EF1F61">
        <w:rPr>
          <w:lang w:val="en-GB"/>
        </w:rPr>
        <w:t>2</w:t>
      </w:r>
    </w:p>
    <w:p w:rsidR="00FC5CCB" w:rsidRPr="00FC5CCB" w:rsidRDefault="00FC5CCB" w:rsidP="00FC5CCB">
      <w:pPr>
        <w:spacing w:line="360" w:lineRule="auto"/>
        <w:rPr>
          <w:lang w:val="en-GB"/>
        </w:rPr>
      </w:pPr>
      <w:r w:rsidRPr="00FC5CCB">
        <w:rPr>
          <w:lang w:val="en-GB"/>
        </w:rPr>
        <w:t>Table 3.3</w:t>
      </w:r>
      <w:r>
        <w:rPr>
          <w:lang w:val="en-GB"/>
        </w:rPr>
        <w:tab/>
      </w:r>
      <w:r w:rsidRPr="00FC5CCB">
        <w:rPr>
          <w:lang w:val="en-GB"/>
        </w:rPr>
        <w:t xml:space="preserve"> Equity investments in relation to total assets per country</w:t>
      </w:r>
      <w:r>
        <w:rPr>
          <w:lang w:val="en-GB"/>
        </w:rPr>
        <w:t>.</w:t>
      </w:r>
      <w:r>
        <w:rPr>
          <w:lang w:val="en-GB"/>
        </w:rPr>
        <w:tab/>
      </w:r>
      <w:r w:rsidRPr="00FC5CCB">
        <w:rPr>
          <w:lang w:val="en-GB"/>
        </w:rPr>
        <w:tab/>
      </w:r>
      <w:r>
        <w:rPr>
          <w:lang w:val="en-GB"/>
        </w:rPr>
        <w:tab/>
      </w:r>
      <w:r w:rsidR="00EF1F61">
        <w:rPr>
          <w:lang w:val="en-GB"/>
        </w:rPr>
        <w:t>23</w:t>
      </w:r>
    </w:p>
    <w:p w:rsidR="00FC5CCB" w:rsidRPr="00FC5CCB" w:rsidRDefault="00FC5CCB" w:rsidP="00FC5CCB">
      <w:pPr>
        <w:spacing w:line="360" w:lineRule="auto"/>
        <w:rPr>
          <w:lang w:val="en-GB"/>
        </w:rPr>
      </w:pPr>
      <w:r w:rsidRPr="00FC5CCB">
        <w:rPr>
          <w:lang w:val="en-GB"/>
        </w:rPr>
        <w:t>Table 3.4.</w:t>
      </w:r>
      <w:r>
        <w:rPr>
          <w:lang w:val="en-GB"/>
        </w:rPr>
        <w:tab/>
      </w:r>
      <w:r w:rsidR="001141E0" w:rsidRPr="00FC5CCB">
        <w:rPr>
          <w:lang w:val="en-GB"/>
        </w:rPr>
        <w:t>Descriptive statistics  for the control variables</w:t>
      </w:r>
      <w:r w:rsidR="001141E0">
        <w:rPr>
          <w:lang w:val="en-GB"/>
        </w:rPr>
        <w:t>.</w:t>
      </w:r>
      <w:r w:rsidR="001141E0">
        <w:rPr>
          <w:lang w:val="en-GB"/>
        </w:rPr>
        <w:tab/>
      </w:r>
      <w:r w:rsidR="001141E0">
        <w:rPr>
          <w:lang w:val="en-GB"/>
        </w:rPr>
        <w:tab/>
      </w:r>
      <w:r w:rsidR="001141E0">
        <w:rPr>
          <w:lang w:val="en-GB"/>
        </w:rPr>
        <w:tab/>
      </w:r>
      <w:r w:rsidR="001141E0">
        <w:rPr>
          <w:lang w:val="en-GB"/>
        </w:rPr>
        <w:tab/>
      </w:r>
      <w:r w:rsidR="00EF1F61">
        <w:rPr>
          <w:lang w:val="en-GB"/>
        </w:rPr>
        <w:tab/>
        <w:t>29</w:t>
      </w:r>
    </w:p>
    <w:p w:rsidR="00FC5CCB" w:rsidRPr="00FC5CCB" w:rsidRDefault="00FC5CCB" w:rsidP="00FC5CCB">
      <w:pPr>
        <w:spacing w:line="360" w:lineRule="auto"/>
        <w:rPr>
          <w:lang w:val="en-GB"/>
        </w:rPr>
      </w:pPr>
      <w:r w:rsidRPr="00FC5CCB">
        <w:rPr>
          <w:lang w:val="en-GB"/>
        </w:rPr>
        <w:t xml:space="preserve">Table 4.1 </w:t>
      </w:r>
      <w:r>
        <w:rPr>
          <w:lang w:val="en-GB"/>
        </w:rPr>
        <w:tab/>
      </w:r>
      <w:r w:rsidRPr="00FC5CCB">
        <w:rPr>
          <w:lang w:val="en-GB"/>
        </w:rPr>
        <w:t>Correlation matrix for all variables in use</w:t>
      </w:r>
      <w:r>
        <w:rPr>
          <w:lang w:val="en-GB"/>
        </w:rPr>
        <w:t>.</w:t>
      </w:r>
      <w:r>
        <w:rPr>
          <w:lang w:val="en-GB"/>
        </w:rPr>
        <w:tab/>
      </w:r>
      <w:r>
        <w:rPr>
          <w:lang w:val="en-GB"/>
        </w:rPr>
        <w:tab/>
      </w:r>
      <w:r>
        <w:rPr>
          <w:lang w:val="en-GB"/>
        </w:rPr>
        <w:tab/>
      </w:r>
      <w:r>
        <w:rPr>
          <w:lang w:val="en-GB"/>
        </w:rPr>
        <w:tab/>
      </w:r>
      <w:r>
        <w:rPr>
          <w:lang w:val="en-GB"/>
        </w:rPr>
        <w:tab/>
      </w:r>
      <w:r w:rsidR="00EF1F61">
        <w:rPr>
          <w:lang w:val="en-GB"/>
        </w:rPr>
        <w:t>33</w:t>
      </w:r>
    </w:p>
    <w:p w:rsidR="00FC5CCB" w:rsidRPr="00FC5CCB" w:rsidRDefault="00FC5CCB" w:rsidP="00FC5CCB">
      <w:pPr>
        <w:spacing w:line="360" w:lineRule="auto"/>
        <w:rPr>
          <w:lang w:val="en-GB"/>
        </w:rPr>
      </w:pPr>
      <w:r w:rsidRPr="00FC5CCB">
        <w:rPr>
          <w:lang w:val="en-GB"/>
        </w:rPr>
        <w:t>Table 4.2.</w:t>
      </w:r>
      <w:r>
        <w:rPr>
          <w:lang w:val="en-GB"/>
        </w:rPr>
        <w:tab/>
      </w:r>
      <w:r w:rsidRPr="00FC5CCB">
        <w:rPr>
          <w:lang w:val="en-GB"/>
        </w:rPr>
        <w:t xml:space="preserve">Regression results from multiple </w:t>
      </w:r>
      <w:r w:rsidR="001141E0">
        <w:rPr>
          <w:lang w:val="en-GB"/>
        </w:rPr>
        <w:t xml:space="preserve">and single </w:t>
      </w:r>
      <w:r w:rsidRPr="00FC5CCB">
        <w:rPr>
          <w:lang w:val="en-GB"/>
        </w:rPr>
        <w:t>model</w:t>
      </w:r>
      <w:r w:rsidR="001141E0">
        <w:rPr>
          <w:lang w:val="en-GB"/>
        </w:rPr>
        <w:t>s</w:t>
      </w:r>
      <w:r w:rsidRPr="00FC5CCB">
        <w:rPr>
          <w:lang w:val="en-GB"/>
        </w:rPr>
        <w:t>.</w:t>
      </w:r>
      <w:r>
        <w:rPr>
          <w:lang w:val="en-GB"/>
        </w:rPr>
        <w:tab/>
      </w:r>
      <w:r>
        <w:rPr>
          <w:lang w:val="en-GB"/>
        </w:rPr>
        <w:tab/>
      </w:r>
      <w:r>
        <w:rPr>
          <w:lang w:val="en-GB"/>
        </w:rPr>
        <w:tab/>
      </w:r>
      <w:r>
        <w:rPr>
          <w:lang w:val="en-GB"/>
        </w:rPr>
        <w:tab/>
      </w:r>
      <w:r w:rsidR="00EF1F61">
        <w:rPr>
          <w:lang w:val="en-GB"/>
        </w:rPr>
        <w:t>34</w:t>
      </w:r>
    </w:p>
    <w:p w:rsidR="00FC5CCB" w:rsidRPr="00FC5CCB" w:rsidRDefault="001141E0" w:rsidP="00FC5CCB">
      <w:pPr>
        <w:spacing w:line="360" w:lineRule="auto"/>
        <w:rPr>
          <w:lang w:val="en-GB"/>
        </w:rPr>
      </w:pPr>
      <w:r>
        <w:rPr>
          <w:lang w:val="en-GB"/>
        </w:rPr>
        <w:t>T</w:t>
      </w:r>
      <w:r w:rsidR="00FC5CCB" w:rsidRPr="00FC5CCB">
        <w:rPr>
          <w:lang w:val="en-GB"/>
        </w:rPr>
        <w:t>able 4.3.</w:t>
      </w:r>
      <w:r w:rsidR="00FC5CCB">
        <w:rPr>
          <w:lang w:val="en-GB"/>
        </w:rPr>
        <w:tab/>
      </w:r>
      <w:r w:rsidRPr="001141E0">
        <w:rPr>
          <w:lang w:val="en-GB"/>
        </w:rPr>
        <w:t>List of Developed and Developing countries</w:t>
      </w:r>
      <w:r w:rsidR="00FC5CCB">
        <w:rPr>
          <w:lang w:val="en-GB"/>
        </w:rPr>
        <w:tab/>
      </w:r>
      <w:r w:rsidR="00FC5CCB">
        <w:rPr>
          <w:lang w:val="en-GB"/>
        </w:rPr>
        <w:tab/>
      </w:r>
      <w:r w:rsidR="00FC5CCB">
        <w:rPr>
          <w:lang w:val="en-GB"/>
        </w:rPr>
        <w:tab/>
      </w:r>
      <w:r>
        <w:rPr>
          <w:lang w:val="en-GB"/>
        </w:rPr>
        <w:tab/>
      </w:r>
      <w:r w:rsidR="00E80914">
        <w:rPr>
          <w:lang w:val="en-GB"/>
        </w:rPr>
        <w:tab/>
      </w:r>
      <w:r w:rsidR="00EF1F61">
        <w:rPr>
          <w:lang w:val="en-GB"/>
        </w:rPr>
        <w:t>36</w:t>
      </w:r>
    </w:p>
    <w:p w:rsidR="00FC5CCB" w:rsidRPr="00FC5CCB" w:rsidRDefault="00FC5CCB" w:rsidP="00FC5CCB">
      <w:pPr>
        <w:spacing w:line="360" w:lineRule="auto"/>
        <w:rPr>
          <w:lang w:val="en-GB"/>
        </w:rPr>
      </w:pPr>
      <w:r w:rsidRPr="00FC5CCB">
        <w:rPr>
          <w:lang w:val="en-GB"/>
        </w:rPr>
        <w:t>Table 4.4</w:t>
      </w:r>
      <w:r>
        <w:rPr>
          <w:lang w:val="en-GB"/>
        </w:rPr>
        <w:tab/>
      </w:r>
      <w:r w:rsidR="001141E0" w:rsidRPr="001141E0">
        <w:rPr>
          <w:lang w:val="en-GB"/>
        </w:rPr>
        <w:t>Descriptive statistics for Developed countries</w:t>
      </w:r>
      <w:r w:rsidRPr="00FC5CCB">
        <w:rPr>
          <w:lang w:val="en-GB"/>
        </w:rPr>
        <w:t>.</w:t>
      </w:r>
      <w:r w:rsidR="001141E0">
        <w:rPr>
          <w:lang w:val="en-GB"/>
        </w:rPr>
        <w:tab/>
      </w:r>
      <w:r w:rsidR="001141E0">
        <w:rPr>
          <w:lang w:val="en-GB"/>
        </w:rPr>
        <w:tab/>
      </w:r>
      <w:r w:rsidR="001141E0">
        <w:rPr>
          <w:lang w:val="en-GB"/>
        </w:rPr>
        <w:tab/>
      </w:r>
      <w:r w:rsidR="001141E0">
        <w:rPr>
          <w:lang w:val="en-GB"/>
        </w:rPr>
        <w:tab/>
      </w:r>
      <w:r w:rsidRPr="00FC5CCB">
        <w:rPr>
          <w:lang w:val="en-GB"/>
        </w:rPr>
        <w:t xml:space="preserve"> </w:t>
      </w:r>
      <w:r w:rsidR="00EF1F61">
        <w:rPr>
          <w:lang w:val="en-GB"/>
        </w:rPr>
        <w:tab/>
        <w:t>37</w:t>
      </w:r>
    </w:p>
    <w:p w:rsidR="001141E0" w:rsidRDefault="00FC5CCB" w:rsidP="001141E0">
      <w:pPr>
        <w:spacing w:line="360" w:lineRule="auto"/>
        <w:rPr>
          <w:lang w:val="en-GB"/>
        </w:rPr>
      </w:pPr>
      <w:r w:rsidRPr="00FC5CCB">
        <w:rPr>
          <w:lang w:val="en-GB"/>
        </w:rPr>
        <w:t xml:space="preserve">Table 4.5 </w:t>
      </w:r>
      <w:r>
        <w:rPr>
          <w:lang w:val="en-GB"/>
        </w:rPr>
        <w:tab/>
      </w:r>
      <w:r w:rsidR="001141E0" w:rsidRPr="001141E0">
        <w:rPr>
          <w:lang w:val="en-GB"/>
        </w:rPr>
        <w:t xml:space="preserve"> Regression results for the multiple and single regression models:</w:t>
      </w:r>
    </w:p>
    <w:p w:rsidR="001141E0" w:rsidRPr="001141E0" w:rsidRDefault="001141E0" w:rsidP="001141E0">
      <w:pPr>
        <w:spacing w:line="360" w:lineRule="auto"/>
        <w:rPr>
          <w:lang w:val="en-GB"/>
        </w:rPr>
      </w:pPr>
      <w:r>
        <w:rPr>
          <w:lang w:val="en-GB"/>
        </w:rPr>
        <w:tab/>
      </w:r>
      <w:r>
        <w:rPr>
          <w:lang w:val="en-GB"/>
        </w:rPr>
        <w:tab/>
      </w:r>
      <w:r w:rsidRPr="001141E0">
        <w:rPr>
          <w:lang w:val="en-GB"/>
        </w:rPr>
        <w:t xml:space="preserve"> Developed countries. </w:t>
      </w:r>
      <w:r w:rsidR="00EF1F61">
        <w:rPr>
          <w:lang w:val="en-GB"/>
        </w:rPr>
        <w:tab/>
      </w:r>
      <w:r w:rsidR="00EF1F61">
        <w:rPr>
          <w:lang w:val="en-GB"/>
        </w:rPr>
        <w:tab/>
      </w:r>
      <w:r w:rsidR="00EF1F61">
        <w:rPr>
          <w:lang w:val="en-GB"/>
        </w:rPr>
        <w:tab/>
      </w:r>
      <w:r w:rsidR="00EF1F61">
        <w:rPr>
          <w:lang w:val="en-GB"/>
        </w:rPr>
        <w:tab/>
      </w:r>
      <w:r w:rsidR="00EF1F61">
        <w:rPr>
          <w:lang w:val="en-GB"/>
        </w:rPr>
        <w:tab/>
      </w:r>
      <w:r w:rsidR="00EF1F61">
        <w:rPr>
          <w:lang w:val="en-GB"/>
        </w:rPr>
        <w:tab/>
      </w:r>
      <w:r w:rsidR="00EF1F61">
        <w:rPr>
          <w:lang w:val="en-GB"/>
        </w:rPr>
        <w:tab/>
      </w:r>
      <w:r w:rsidR="00EF1F61">
        <w:rPr>
          <w:lang w:val="en-GB"/>
        </w:rPr>
        <w:tab/>
        <w:t>38</w:t>
      </w:r>
    </w:p>
    <w:p w:rsidR="001141E0" w:rsidRDefault="001141E0" w:rsidP="001141E0">
      <w:pPr>
        <w:spacing w:line="360" w:lineRule="auto"/>
        <w:rPr>
          <w:lang w:val="en-GB"/>
        </w:rPr>
      </w:pPr>
      <w:r w:rsidRPr="001141E0">
        <w:rPr>
          <w:lang w:val="en-GB"/>
        </w:rPr>
        <w:t>Table 4.6</w:t>
      </w:r>
      <w:r>
        <w:rPr>
          <w:lang w:val="en-GB"/>
        </w:rPr>
        <w:tab/>
      </w:r>
      <w:r w:rsidRPr="001141E0">
        <w:rPr>
          <w:lang w:val="en-GB"/>
        </w:rPr>
        <w:t xml:space="preserve"> Summary of regression results for the five control variables:</w:t>
      </w:r>
    </w:p>
    <w:p w:rsidR="001141E0" w:rsidRPr="001141E0" w:rsidRDefault="001141E0" w:rsidP="001141E0">
      <w:pPr>
        <w:spacing w:line="360" w:lineRule="auto"/>
        <w:rPr>
          <w:lang w:val="en-GB"/>
        </w:rPr>
      </w:pPr>
      <w:r>
        <w:rPr>
          <w:lang w:val="en-GB"/>
        </w:rPr>
        <w:tab/>
      </w:r>
      <w:r>
        <w:rPr>
          <w:lang w:val="en-GB"/>
        </w:rPr>
        <w:tab/>
      </w:r>
      <w:r w:rsidRPr="001141E0">
        <w:rPr>
          <w:lang w:val="en-GB"/>
        </w:rPr>
        <w:t xml:space="preserve"> Developed countries.</w:t>
      </w:r>
      <w:r w:rsidR="00EF1F61">
        <w:rPr>
          <w:lang w:val="en-GB"/>
        </w:rPr>
        <w:tab/>
      </w:r>
      <w:r w:rsidR="00EF1F61">
        <w:rPr>
          <w:lang w:val="en-GB"/>
        </w:rPr>
        <w:tab/>
      </w:r>
      <w:r w:rsidR="00EF1F61">
        <w:rPr>
          <w:lang w:val="en-GB"/>
        </w:rPr>
        <w:tab/>
      </w:r>
      <w:r w:rsidR="00EF1F61">
        <w:rPr>
          <w:lang w:val="en-GB"/>
        </w:rPr>
        <w:tab/>
      </w:r>
      <w:r w:rsidR="00EF1F61">
        <w:rPr>
          <w:lang w:val="en-GB"/>
        </w:rPr>
        <w:tab/>
      </w:r>
      <w:r w:rsidR="00EF1F61">
        <w:rPr>
          <w:lang w:val="en-GB"/>
        </w:rPr>
        <w:tab/>
      </w:r>
      <w:r w:rsidR="00EF1F61">
        <w:rPr>
          <w:lang w:val="en-GB"/>
        </w:rPr>
        <w:tab/>
      </w:r>
      <w:r w:rsidR="00EF1F61">
        <w:rPr>
          <w:lang w:val="en-GB"/>
        </w:rPr>
        <w:tab/>
        <w:t>40</w:t>
      </w:r>
    </w:p>
    <w:p w:rsidR="001141E0" w:rsidRPr="001141E0" w:rsidRDefault="001141E0" w:rsidP="001141E0">
      <w:pPr>
        <w:spacing w:line="360" w:lineRule="auto"/>
        <w:rPr>
          <w:lang w:val="en-GB"/>
        </w:rPr>
      </w:pPr>
      <w:r w:rsidRPr="001141E0">
        <w:rPr>
          <w:lang w:val="en-GB"/>
        </w:rPr>
        <w:t>Table 4.7</w:t>
      </w:r>
      <w:r>
        <w:rPr>
          <w:lang w:val="en-GB"/>
        </w:rPr>
        <w:tab/>
      </w:r>
      <w:r w:rsidRPr="001141E0">
        <w:rPr>
          <w:lang w:val="en-GB"/>
        </w:rPr>
        <w:t>Descriptive statistics for the Developing countries.</w:t>
      </w:r>
      <w:r w:rsidR="00EF1F61">
        <w:rPr>
          <w:lang w:val="en-GB"/>
        </w:rPr>
        <w:tab/>
      </w:r>
      <w:r w:rsidR="00EF1F61">
        <w:rPr>
          <w:lang w:val="en-GB"/>
        </w:rPr>
        <w:tab/>
      </w:r>
      <w:r w:rsidR="00EF1F61">
        <w:rPr>
          <w:lang w:val="en-GB"/>
        </w:rPr>
        <w:tab/>
      </w:r>
      <w:r w:rsidR="00EF1F61">
        <w:rPr>
          <w:lang w:val="en-GB"/>
        </w:rPr>
        <w:tab/>
        <w:t>43</w:t>
      </w:r>
    </w:p>
    <w:p w:rsidR="001141E0" w:rsidRDefault="001141E0" w:rsidP="001141E0">
      <w:pPr>
        <w:spacing w:line="360" w:lineRule="auto"/>
        <w:rPr>
          <w:lang w:val="en-GB"/>
        </w:rPr>
      </w:pPr>
      <w:r w:rsidRPr="001141E0">
        <w:rPr>
          <w:lang w:val="en-GB"/>
        </w:rPr>
        <w:t>Table 4.8</w:t>
      </w:r>
      <w:r>
        <w:rPr>
          <w:lang w:val="en-GB"/>
        </w:rPr>
        <w:tab/>
      </w:r>
      <w:r w:rsidRPr="001141E0">
        <w:rPr>
          <w:lang w:val="en-GB"/>
        </w:rPr>
        <w:t>Regression results for the multiple and single regression models</w:t>
      </w:r>
      <w:r>
        <w:rPr>
          <w:lang w:val="en-GB"/>
        </w:rPr>
        <w:t>:</w:t>
      </w:r>
    </w:p>
    <w:p w:rsidR="00FC5CCB" w:rsidRPr="00FC5CCB" w:rsidRDefault="001141E0" w:rsidP="001141E0">
      <w:pPr>
        <w:spacing w:line="360" w:lineRule="auto"/>
        <w:rPr>
          <w:lang w:val="en-GB"/>
        </w:rPr>
      </w:pPr>
      <w:r>
        <w:rPr>
          <w:lang w:val="en-GB"/>
        </w:rPr>
        <w:tab/>
      </w:r>
      <w:r>
        <w:rPr>
          <w:lang w:val="en-GB"/>
        </w:rPr>
        <w:tab/>
      </w:r>
      <w:r w:rsidRPr="001141E0">
        <w:rPr>
          <w:lang w:val="en-GB"/>
        </w:rPr>
        <w:t xml:space="preserve"> Developing countries.</w:t>
      </w:r>
      <w:r w:rsidR="00FC5CCB">
        <w:rPr>
          <w:lang w:val="en-GB"/>
        </w:rPr>
        <w:tab/>
      </w:r>
      <w:r w:rsidR="00FC5CCB">
        <w:rPr>
          <w:lang w:val="en-GB"/>
        </w:rPr>
        <w:tab/>
      </w:r>
      <w:r w:rsidR="00FC5CCB">
        <w:rPr>
          <w:lang w:val="en-GB"/>
        </w:rPr>
        <w:tab/>
      </w:r>
      <w:r w:rsidR="00FC5CCB">
        <w:rPr>
          <w:lang w:val="en-GB"/>
        </w:rPr>
        <w:tab/>
      </w:r>
      <w:r>
        <w:rPr>
          <w:lang w:val="en-GB"/>
        </w:rPr>
        <w:tab/>
      </w:r>
      <w:r>
        <w:rPr>
          <w:lang w:val="en-GB"/>
        </w:rPr>
        <w:tab/>
      </w:r>
      <w:r>
        <w:rPr>
          <w:lang w:val="en-GB"/>
        </w:rPr>
        <w:tab/>
      </w:r>
      <w:r w:rsidR="00EF1F61">
        <w:rPr>
          <w:lang w:val="en-GB"/>
        </w:rPr>
        <w:tab/>
        <w:t>44</w:t>
      </w:r>
    </w:p>
    <w:p w:rsidR="001141E0" w:rsidRDefault="00FC5CCB" w:rsidP="00FC5CCB">
      <w:pPr>
        <w:spacing w:line="360" w:lineRule="auto"/>
        <w:rPr>
          <w:lang w:val="en-GB"/>
        </w:rPr>
      </w:pPr>
      <w:r>
        <w:rPr>
          <w:lang w:val="en-GB"/>
        </w:rPr>
        <w:t>Table 4.9</w:t>
      </w:r>
      <w:r>
        <w:rPr>
          <w:lang w:val="en-GB"/>
        </w:rPr>
        <w:tab/>
      </w:r>
      <w:r w:rsidR="001141E0" w:rsidRPr="001141E0">
        <w:rPr>
          <w:lang w:val="en-GB"/>
        </w:rPr>
        <w:t>Summary of regression results</w:t>
      </w:r>
      <w:r w:rsidR="001141E0">
        <w:rPr>
          <w:lang w:val="en-GB"/>
        </w:rPr>
        <w:t xml:space="preserve"> for the four control variables:</w:t>
      </w:r>
    </w:p>
    <w:p w:rsidR="00FC5CCB" w:rsidRPr="00FC5CCB" w:rsidRDefault="001141E0" w:rsidP="00FC5CCB">
      <w:pPr>
        <w:spacing w:line="360" w:lineRule="auto"/>
        <w:rPr>
          <w:lang w:val="en-GB"/>
        </w:rPr>
      </w:pPr>
      <w:r>
        <w:rPr>
          <w:lang w:val="en-GB"/>
        </w:rPr>
        <w:tab/>
      </w:r>
      <w:r>
        <w:rPr>
          <w:lang w:val="en-GB"/>
        </w:rPr>
        <w:tab/>
      </w:r>
      <w:r w:rsidRPr="001141E0">
        <w:rPr>
          <w:lang w:val="en-GB"/>
        </w:rPr>
        <w:t>Developing countries.</w:t>
      </w:r>
      <w:r w:rsidR="00FC5CCB">
        <w:rPr>
          <w:lang w:val="en-GB"/>
        </w:rPr>
        <w:tab/>
      </w:r>
      <w:r w:rsidR="00FC5CCB">
        <w:rPr>
          <w:lang w:val="en-GB"/>
        </w:rPr>
        <w:tab/>
      </w:r>
      <w:r w:rsidR="00FC5CCB">
        <w:rPr>
          <w:lang w:val="en-GB"/>
        </w:rPr>
        <w:tab/>
      </w:r>
      <w:r w:rsidR="00FC5CCB">
        <w:rPr>
          <w:lang w:val="en-GB"/>
        </w:rPr>
        <w:tab/>
      </w:r>
      <w:r w:rsidR="00FC5CCB">
        <w:rPr>
          <w:lang w:val="en-GB"/>
        </w:rPr>
        <w:tab/>
      </w:r>
      <w:r>
        <w:rPr>
          <w:lang w:val="en-GB"/>
        </w:rPr>
        <w:tab/>
      </w:r>
      <w:r>
        <w:rPr>
          <w:lang w:val="en-GB"/>
        </w:rPr>
        <w:tab/>
      </w:r>
      <w:r>
        <w:rPr>
          <w:lang w:val="en-GB"/>
        </w:rPr>
        <w:tab/>
      </w:r>
      <w:r w:rsidR="00EF1F61">
        <w:rPr>
          <w:lang w:val="en-GB"/>
        </w:rPr>
        <w:t>45</w:t>
      </w:r>
    </w:p>
    <w:p w:rsidR="001141E0" w:rsidRDefault="001141E0">
      <w:pPr>
        <w:rPr>
          <w:rFonts w:ascii="Arial" w:eastAsia="Times New Roman" w:hAnsi="Arial" w:cs="Arial"/>
          <w:b/>
          <w:bCs/>
          <w:kern w:val="32"/>
          <w:sz w:val="28"/>
          <w:szCs w:val="32"/>
          <w:lang w:val="en-GB" w:eastAsia="en-US"/>
        </w:rPr>
      </w:pPr>
      <w:bookmarkStart w:id="3" w:name="_Toc367968001"/>
      <w:r>
        <w:rPr>
          <w:rFonts w:ascii="Arial" w:eastAsia="Times New Roman" w:hAnsi="Arial" w:cs="Arial"/>
          <w:kern w:val="32"/>
          <w:szCs w:val="32"/>
          <w:lang w:val="en-GB" w:eastAsia="en-US"/>
        </w:rPr>
        <w:br w:type="page"/>
      </w:r>
    </w:p>
    <w:p w:rsidR="00965861" w:rsidRPr="000C576E" w:rsidRDefault="00965861" w:rsidP="000C576E">
      <w:pPr>
        <w:pStyle w:val="Heading1"/>
        <w:keepLines w:val="0"/>
        <w:spacing w:before="240" w:after="60" w:line="360" w:lineRule="auto"/>
        <w:rPr>
          <w:rFonts w:ascii="Arial" w:eastAsia="Times New Roman" w:hAnsi="Arial" w:cs="Arial"/>
          <w:color w:val="auto"/>
          <w:kern w:val="32"/>
          <w:szCs w:val="32"/>
          <w:lang w:val="en-GB" w:eastAsia="en-US"/>
        </w:rPr>
      </w:pPr>
      <w:r w:rsidRPr="000C576E">
        <w:rPr>
          <w:rFonts w:ascii="Arial" w:eastAsia="Times New Roman" w:hAnsi="Arial" w:cs="Arial"/>
          <w:color w:val="auto"/>
          <w:kern w:val="32"/>
          <w:szCs w:val="32"/>
          <w:lang w:val="en-GB" w:eastAsia="en-US"/>
        </w:rPr>
        <w:lastRenderedPageBreak/>
        <w:t>LIST OF FIGURES</w:t>
      </w:r>
      <w:bookmarkEnd w:id="3"/>
    </w:p>
    <w:p w:rsidR="00965861" w:rsidRPr="00D044BD" w:rsidRDefault="00D044BD" w:rsidP="00D044BD">
      <w:pPr>
        <w:spacing w:line="360" w:lineRule="auto"/>
        <w:rPr>
          <w:lang w:val="en-GB"/>
        </w:rPr>
      </w:pPr>
      <w:r>
        <w:rPr>
          <w:lang w:val="en-GB"/>
        </w:rPr>
        <w:t>Figure 2</w:t>
      </w:r>
      <w:r w:rsidR="00965861" w:rsidRPr="00965861">
        <w:rPr>
          <w:lang w:val="en-GB"/>
        </w:rPr>
        <w:t>.1</w:t>
      </w:r>
      <w:r w:rsidR="00965861" w:rsidRPr="00965861">
        <w:rPr>
          <w:lang w:val="en-GB"/>
        </w:rPr>
        <w:tab/>
      </w:r>
      <w:r w:rsidRPr="00D044BD">
        <w:rPr>
          <w:lang w:val="en-GB"/>
        </w:rPr>
        <w:t xml:space="preserve">Asset allocation of pension funds in 2011 </w:t>
      </w:r>
      <w:r w:rsidRPr="00D044BD">
        <w:rPr>
          <w:lang w:val="en-GB"/>
        </w:rPr>
        <w:tab/>
      </w:r>
      <w:r w:rsidRPr="00D044BD">
        <w:rPr>
          <w:lang w:val="en-GB"/>
        </w:rPr>
        <w:tab/>
      </w:r>
      <w:r w:rsidRPr="00D044BD">
        <w:rPr>
          <w:lang w:val="en-GB"/>
        </w:rPr>
        <w:tab/>
      </w:r>
      <w:r>
        <w:rPr>
          <w:lang w:val="en-GB"/>
        </w:rPr>
        <w:tab/>
      </w:r>
      <w:r w:rsidR="00EF1F61">
        <w:rPr>
          <w:lang w:val="en-GB"/>
        </w:rPr>
        <w:t>15</w:t>
      </w:r>
    </w:p>
    <w:p w:rsidR="00D044BD" w:rsidRDefault="00D044BD" w:rsidP="00965861">
      <w:pPr>
        <w:spacing w:line="360" w:lineRule="auto"/>
        <w:rPr>
          <w:lang w:val="en-GB"/>
        </w:rPr>
      </w:pPr>
      <w:r>
        <w:rPr>
          <w:lang w:val="en-GB"/>
        </w:rPr>
        <w:t>Figure 3.1</w:t>
      </w:r>
      <w:r>
        <w:rPr>
          <w:lang w:val="en-GB"/>
        </w:rPr>
        <w:tab/>
      </w:r>
      <w:r w:rsidRPr="00D044BD">
        <w:rPr>
          <w:lang w:val="en-GB"/>
        </w:rPr>
        <w:t>Equity allocation as a percentage of the total investments</w:t>
      </w:r>
      <w:r>
        <w:rPr>
          <w:lang w:val="en-GB"/>
        </w:rPr>
        <w:tab/>
      </w:r>
      <w:r w:rsidR="00965861" w:rsidRPr="00965861">
        <w:rPr>
          <w:lang w:val="en-GB"/>
        </w:rPr>
        <w:tab/>
      </w:r>
      <w:r w:rsidR="00EF1F61">
        <w:rPr>
          <w:lang w:val="en-GB"/>
        </w:rPr>
        <w:t>25</w:t>
      </w:r>
      <w:r>
        <w:rPr>
          <w:lang w:val="en-GB"/>
        </w:rPr>
        <w:tab/>
      </w:r>
    </w:p>
    <w:p w:rsidR="00D044BD" w:rsidRDefault="00965861" w:rsidP="00965861">
      <w:pPr>
        <w:spacing w:line="360" w:lineRule="auto"/>
        <w:rPr>
          <w:lang w:val="en-GB"/>
        </w:rPr>
      </w:pPr>
      <w:r w:rsidRPr="00965861">
        <w:rPr>
          <w:lang w:val="en-GB"/>
        </w:rPr>
        <w:t xml:space="preserve">Figure </w:t>
      </w:r>
      <w:r w:rsidR="00D044BD" w:rsidRPr="00D044BD">
        <w:rPr>
          <w:lang w:val="en-GB"/>
        </w:rPr>
        <w:t>3.</w:t>
      </w:r>
      <w:r w:rsidR="00D044BD">
        <w:rPr>
          <w:lang w:val="en-GB"/>
        </w:rPr>
        <w:t>2</w:t>
      </w:r>
      <w:r w:rsidR="00D044BD">
        <w:rPr>
          <w:lang w:val="en-GB"/>
        </w:rPr>
        <w:tab/>
      </w:r>
      <w:r w:rsidR="00D044BD" w:rsidRPr="00D044BD">
        <w:rPr>
          <w:lang w:val="en-GB"/>
        </w:rPr>
        <w:t>Equity limits in investments as a percentage of total investments</w:t>
      </w:r>
      <w:r w:rsidR="00EF1F61">
        <w:rPr>
          <w:lang w:val="en-GB"/>
        </w:rPr>
        <w:t>.</w:t>
      </w:r>
      <w:r w:rsidR="00EF1F61">
        <w:rPr>
          <w:lang w:val="en-GB"/>
        </w:rPr>
        <w:tab/>
        <w:t>26</w:t>
      </w:r>
    </w:p>
    <w:p w:rsidR="00965861" w:rsidRPr="00965861" w:rsidRDefault="00965861" w:rsidP="00965861">
      <w:pPr>
        <w:spacing w:line="360" w:lineRule="auto"/>
        <w:rPr>
          <w:lang w:val="en-GB"/>
        </w:rPr>
      </w:pPr>
      <w:r w:rsidRPr="00965861">
        <w:rPr>
          <w:lang w:val="en-GB"/>
        </w:rPr>
        <w:t xml:space="preserve">Figure </w:t>
      </w:r>
      <w:r w:rsidR="00D044BD">
        <w:rPr>
          <w:lang w:val="en-GB"/>
        </w:rPr>
        <w:t>3.3</w:t>
      </w:r>
      <w:r w:rsidRPr="00965861">
        <w:rPr>
          <w:lang w:val="en-GB"/>
        </w:rPr>
        <w:tab/>
      </w:r>
      <w:r w:rsidR="00D044BD" w:rsidRPr="00D044BD">
        <w:rPr>
          <w:lang w:val="en-GB"/>
        </w:rPr>
        <w:t>Age dependency ratio</w:t>
      </w:r>
      <w:r w:rsidR="00D044BD" w:rsidRPr="00D044BD">
        <w:rPr>
          <w:lang w:val="en-GB"/>
        </w:rPr>
        <w:tab/>
      </w:r>
      <w:r w:rsidR="00D044BD" w:rsidRPr="00D044BD">
        <w:rPr>
          <w:lang w:val="en-GB"/>
        </w:rPr>
        <w:tab/>
      </w:r>
      <w:r w:rsidR="00D044BD" w:rsidRPr="00D044BD">
        <w:rPr>
          <w:lang w:val="en-GB"/>
        </w:rPr>
        <w:tab/>
      </w:r>
      <w:r w:rsidR="00D044BD" w:rsidRPr="00D044BD">
        <w:rPr>
          <w:lang w:val="en-GB"/>
        </w:rPr>
        <w:tab/>
      </w:r>
      <w:r w:rsidR="00D044BD">
        <w:rPr>
          <w:lang w:val="en-GB"/>
        </w:rPr>
        <w:tab/>
      </w:r>
      <w:r w:rsidR="00EF1F61">
        <w:rPr>
          <w:lang w:val="en-GB"/>
        </w:rPr>
        <w:tab/>
      </w:r>
      <w:r w:rsidR="00EF1F61">
        <w:rPr>
          <w:lang w:val="en-GB"/>
        </w:rPr>
        <w:tab/>
        <w:t>28</w:t>
      </w:r>
    </w:p>
    <w:p w:rsidR="00965861" w:rsidRPr="00965861" w:rsidRDefault="00965861" w:rsidP="00965861">
      <w:pPr>
        <w:spacing w:line="360" w:lineRule="auto"/>
        <w:rPr>
          <w:lang w:val="en-GB"/>
        </w:rPr>
      </w:pPr>
    </w:p>
    <w:p w:rsidR="00965861" w:rsidRPr="00965861" w:rsidRDefault="00965861" w:rsidP="00965861">
      <w:pPr>
        <w:spacing w:line="360" w:lineRule="auto"/>
        <w:rPr>
          <w:lang w:val="en-GB"/>
        </w:rPr>
      </w:pPr>
    </w:p>
    <w:p w:rsidR="00965861" w:rsidRPr="00965861" w:rsidRDefault="00965861" w:rsidP="00965861">
      <w:pPr>
        <w:spacing w:line="360" w:lineRule="auto"/>
        <w:rPr>
          <w:lang w:val="en-GB"/>
        </w:rPr>
      </w:pPr>
    </w:p>
    <w:p w:rsidR="00965861" w:rsidRPr="00965861" w:rsidRDefault="00965861" w:rsidP="00965861">
      <w:pPr>
        <w:spacing w:line="360" w:lineRule="auto"/>
        <w:rPr>
          <w:lang w:val="en-GB"/>
        </w:rPr>
        <w:sectPr w:rsidR="00965861" w:rsidRPr="00965861" w:rsidSect="008007D7">
          <w:footerReference w:type="even" r:id="rId8"/>
          <w:footerReference w:type="default" r:id="rId9"/>
          <w:footerReference w:type="first" r:id="rId10"/>
          <w:type w:val="continuous"/>
          <w:pgSz w:w="11906" w:h="16838"/>
          <w:pgMar w:top="1418" w:right="1134" w:bottom="1418" w:left="1418" w:header="709" w:footer="709" w:gutter="0"/>
          <w:pgNumType w:start="1"/>
          <w:cols w:space="708"/>
          <w:titlePg/>
          <w:docGrid w:linePitch="360"/>
        </w:sectPr>
      </w:pPr>
    </w:p>
    <w:p w:rsidR="008007D7" w:rsidRDefault="008007D7">
      <w:pPr>
        <w:rPr>
          <w:rFonts w:ascii="Arial" w:hAnsi="Arial" w:cs="Arial"/>
          <w:b/>
          <w:sz w:val="28"/>
          <w:szCs w:val="24"/>
          <w:lang w:val="en-US"/>
        </w:rPr>
      </w:pPr>
      <w:r>
        <w:rPr>
          <w:rFonts w:ascii="Arial" w:hAnsi="Arial" w:cs="Arial"/>
          <w:b/>
          <w:sz w:val="28"/>
          <w:szCs w:val="24"/>
          <w:lang w:val="en-US"/>
        </w:rPr>
        <w:lastRenderedPageBreak/>
        <w:br w:type="page"/>
      </w:r>
    </w:p>
    <w:p w:rsidR="00D47B51" w:rsidRPr="000C576E" w:rsidRDefault="00412614" w:rsidP="0032348D">
      <w:pPr>
        <w:rPr>
          <w:rFonts w:ascii="Arial" w:hAnsi="Arial" w:cs="Arial"/>
          <w:b/>
          <w:sz w:val="28"/>
          <w:szCs w:val="24"/>
          <w:lang w:val="en-US"/>
        </w:rPr>
      </w:pPr>
      <w:r w:rsidRPr="000C576E">
        <w:rPr>
          <w:rFonts w:ascii="Arial" w:hAnsi="Arial" w:cs="Arial"/>
          <w:b/>
          <w:sz w:val="28"/>
          <w:szCs w:val="24"/>
          <w:lang w:val="en-US"/>
        </w:rPr>
        <w:lastRenderedPageBreak/>
        <w:t>1.Introduction</w:t>
      </w:r>
    </w:p>
    <w:p w:rsidR="00696DB1" w:rsidRPr="002C595D" w:rsidRDefault="00412614">
      <w:pPr>
        <w:spacing w:line="360" w:lineRule="auto"/>
        <w:jc w:val="both"/>
        <w:rPr>
          <w:rFonts w:ascii="Times New Roman" w:hAnsi="Times New Roman" w:cs="Times New Roman"/>
          <w:szCs w:val="24"/>
          <w:lang w:val="en-US"/>
        </w:rPr>
      </w:pPr>
      <w:r w:rsidRPr="002C595D">
        <w:rPr>
          <w:rFonts w:ascii="Times New Roman" w:hAnsi="Times New Roman" w:cs="Times New Roman"/>
          <w:szCs w:val="24"/>
          <w:lang w:val="en-US"/>
        </w:rPr>
        <w:t>P</w:t>
      </w:r>
      <w:r w:rsidR="00C922C0" w:rsidRPr="002C595D">
        <w:rPr>
          <w:rFonts w:ascii="Times New Roman" w:hAnsi="Times New Roman" w:cs="Times New Roman"/>
          <w:szCs w:val="24"/>
          <w:lang w:val="en-US"/>
        </w:rPr>
        <w:t>ension funds can invest in many different types of financial assets depending on their investment policy statement. T</w:t>
      </w:r>
      <w:r w:rsidR="00EB717B" w:rsidRPr="002C595D">
        <w:rPr>
          <w:rFonts w:ascii="Times New Roman" w:hAnsi="Times New Roman" w:cs="Times New Roman"/>
          <w:szCs w:val="24"/>
          <w:lang w:val="en-US"/>
        </w:rPr>
        <w:t>raditionally, t</w:t>
      </w:r>
      <w:r w:rsidR="00C922C0" w:rsidRPr="002C595D">
        <w:rPr>
          <w:rFonts w:ascii="Times New Roman" w:hAnsi="Times New Roman" w:cs="Times New Roman"/>
          <w:szCs w:val="24"/>
          <w:lang w:val="en-US"/>
        </w:rPr>
        <w:t>he type of investments a pension fund may choose mainly depends on its objectives but also on the legislation constraints</w:t>
      </w:r>
      <w:r w:rsidR="00EB717B" w:rsidRPr="002C595D">
        <w:rPr>
          <w:rFonts w:ascii="Times New Roman" w:hAnsi="Times New Roman" w:cs="Times New Roman"/>
          <w:szCs w:val="24"/>
          <w:lang w:val="en-US"/>
        </w:rPr>
        <w:t xml:space="preserve">. </w:t>
      </w:r>
      <w:r w:rsidR="00207952" w:rsidRPr="002C595D">
        <w:rPr>
          <w:rFonts w:ascii="Times New Roman" w:hAnsi="Times New Roman" w:cs="Times New Roman"/>
          <w:szCs w:val="24"/>
          <w:lang w:val="en-US"/>
        </w:rPr>
        <w:t xml:space="preserve">In the same time, the funds function </w:t>
      </w:r>
      <w:r w:rsidR="000E0E58" w:rsidRPr="002C595D">
        <w:rPr>
          <w:rFonts w:ascii="Times New Roman" w:hAnsi="Times New Roman" w:cs="Times New Roman"/>
          <w:szCs w:val="24"/>
          <w:lang w:val="en-US"/>
        </w:rPr>
        <w:t>within a society with certain cultural characteristics. Extensive literature has proved a relationship between culture and finance in general. The</w:t>
      </w:r>
      <w:r w:rsidR="00C922C0" w:rsidRPr="002C595D">
        <w:rPr>
          <w:rFonts w:ascii="Times New Roman" w:hAnsi="Times New Roman" w:cs="Times New Roman"/>
          <w:szCs w:val="24"/>
          <w:lang w:val="en-US"/>
        </w:rPr>
        <w:t xml:space="preserve"> purpose of the current study is to investigate whether, and how, cross-country cultural differences have an impact on the risk appetite </w:t>
      </w:r>
      <w:r w:rsidR="00F227CF" w:rsidRPr="002C595D">
        <w:rPr>
          <w:rFonts w:ascii="Times New Roman" w:hAnsi="Times New Roman" w:cs="Times New Roman"/>
          <w:szCs w:val="24"/>
          <w:lang w:val="en-US"/>
        </w:rPr>
        <w:t>shown</w:t>
      </w:r>
      <w:r w:rsidR="00C922C0" w:rsidRPr="002C595D">
        <w:rPr>
          <w:rFonts w:ascii="Times New Roman" w:hAnsi="Times New Roman" w:cs="Times New Roman"/>
          <w:szCs w:val="24"/>
          <w:lang w:val="en-US"/>
        </w:rPr>
        <w:t xml:space="preserve"> by pension funds in a country.</w:t>
      </w:r>
    </w:p>
    <w:p w:rsidR="00696DB1" w:rsidRDefault="006D19F1">
      <w:pPr>
        <w:spacing w:line="360" w:lineRule="auto"/>
        <w:jc w:val="both"/>
        <w:rPr>
          <w:rFonts w:ascii="Times New Roman" w:hAnsi="Times New Roman" w:cs="Times New Roman"/>
          <w:szCs w:val="24"/>
          <w:lang w:val="en-US"/>
        </w:rPr>
      </w:pPr>
      <w:r>
        <w:rPr>
          <w:rFonts w:ascii="Times New Roman" w:hAnsi="Times New Roman" w:cs="Times New Roman"/>
          <w:szCs w:val="24"/>
          <w:lang w:val="en-US"/>
        </w:rPr>
        <w:fldChar w:fldCharType="begin"/>
      </w:r>
      <w:r w:rsidR="009B7488">
        <w:rPr>
          <w:rFonts w:ascii="Times New Roman" w:hAnsi="Times New Roman" w:cs="Times New Roman"/>
          <w:szCs w:val="24"/>
          <w:lang w:val="en-US"/>
        </w:rPr>
        <w:instrText xml:space="preserve"> BIBLIOGRAPHY  \l 1033 </w:instrText>
      </w:r>
      <w:r>
        <w:rPr>
          <w:rFonts w:ascii="Times New Roman" w:hAnsi="Times New Roman" w:cs="Times New Roman"/>
          <w:szCs w:val="24"/>
          <w:lang w:val="en-US"/>
        </w:rPr>
        <w:fldChar w:fldCharType="separate"/>
      </w:r>
      <w:r w:rsidR="009B7488">
        <w:rPr>
          <w:rFonts w:ascii="Times New Roman" w:hAnsi="Times New Roman" w:cs="Times New Roman"/>
          <w:b/>
          <w:bCs/>
          <w:noProof/>
          <w:szCs w:val="24"/>
          <w:lang w:val="en-US"/>
        </w:rPr>
        <w:t>There are no sources in the current document.</w:t>
      </w:r>
      <w:r>
        <w:rPr>
          <w:rFonts w:ascii="Times New Roman" w:hAnsi="Times New Roman" w:cs="Times New Roman"/>
          <w:szCs w:val="24"/>
          <w:lang w:val="en-US"/>
        </w:rPr>
        <w:fldChar w:fldCharType="end"/>
      </w:r>
      <w:r w:rsidR="00C922C0" w:rsidRPr="002C595D">
        <w:rPr>
          <w:rFonts w:ascii="Times New Roman" w:hAnsi="Times New Roman" w:cs="Times New Roman"/>
          <w:szCs w:val="24"/>
          <w:lang w:val="en-US"/>
        </w:rPr>
        <w:t>Up through the 1980s, there were emerging concerns about the augmenting demographic burden all over Europe. Life time expectancy of the population in most countries continues to increase, while Governments are still unable to fund the pensions of such an on-growing number of pensioners. Investments of pension funds should be such that make sure there are enough funds to fulfill the liabilities when they arise. It is surprising though, how little understanding there is of the asset allocation and investment strategy of pension funds. This is why the topic of this study is important.</w:t>
      </w:r>
      <w:r w:rsidR="000E0E58" w:rsidRPr="002C595D">
        <w:rPr>
          <w:rFonts w:ascii="Times New Roman" w:hAnsi="Times New Roman" w:cs="Times New Roman"/>
          <w:szCs w:val="24"/>
          <w:lang w:val="en-US"/>
        </w:rPr>
        <w:t xml:space="preserve"> We</w:t>
      </w:r>
      <w:r w:rsidR="00EB717B" w:rsidRPr="002C595D">
        <w:rPr>
          <w:rFonts w:ascii="Times New Roman" w:hAnsi="Times New Roman" w:cs="Times New Roman"/>
          <w:szCs w:val="24"/>
          <w:lang w:val="en-US"/>
        </w:rPr>
        <w:t xml:space="preserve"> will try to give a different explanation </w:t>
      </w:r>
      <w:r w:rsidR="00C922C0" w:rsidRPr="002C595D">
        <w:rPr>
          <w:rFonts w:ascii="Times New Roman" w:hAnsi="Times New Roman" w:cs="Times New Roman"/>
          <w:szCs w:val="24"/>
          <w:lang w:val="en-US"/>
        </w:rPr>
        <w:t>of how, why, where pension funds across countries invest, and how this can be explained by cultural di</w:t>
      </w:r>
      <w:r w:rsidR="00493F6E" w:rsidRPr="002C595D">
        <w:rPr>
          <w:rFonts w:ascii="Times New Roman" w:hAnsi="Times New Roman" w:cs="Times New Roman"/>
          <w:szCs w:val="24"/>
          <w:lang w:val="en-US"/>
        </w:rPr>
        <w:t xml:space="preserve">fferences among these countries, as they are presented by Hofstede’s cultural dimensions theory. </w:t>
      </w:r>
    </w:p>
    <w:p w:rsidR="00B2431A" w:rsidRDefault="00A26075">
      <w:pPr>
        <w:spacing w:line="360" w:lineRule="auto"/>
        <w:jc w:val="both"/>
        <w:rPr>
          <w:rFonts w:ascii="Times New Roman" w:hAnsi="Times New Roman" w:cs="Times New Roman"/>
          <w:szCs w:val="24"/>
          <w:lang w:val="en-US"/>
        </w:rPr>
      </w:pPr>
      <w:r>
        <w:rPr>
          <w:rFonts w:ascii="Times New Roman" w:hAnsi="Times New Roman" w:cs="Times New Roman"/>
          <w:szCs w:val="24"/>
          <w:lang w:val="en-US"/>
        </w:rPr>
        <w:t xml:space="preserve">In this paper, we investigate how cultural differences affect the equity holdings of pension funds in two country categories: Developed and Developing countries. The cultural dimensions that we control for are: </w:t>
      </w:r>
      <w:r w:rsidR="00B2431A">
        <w:rPr>
          <w:rFonts w:ascii="Times New Roman" w:hAnsi="Times New Roman" w:cs="Times New Roman"/>
          <w:szCs w:val="24"/>
          <w:lang w:val="en-US"/>
        </w:rPr>
        <w:t>Uncertainty avoidance, Power</w:t>
      </w:r>
      <w:r>
        <w:rPr>
          <w:rFonts w:ascii="Times New Roman" w:hAnsi="Times New Roman" w:cs="Times New Roman"/>
          <w:szCs w:val="24"/>
          <w:lang w:val="en-US"/>
        </w:rPr>
        <w:t xml:space="preserve"> </w:t>
      </w:r>
      <w:r w:rsidR="00B2431A">
        <w:rPr>
          <w:rFonts w:ascii="Times New Roman" w:hAnsi="Times New Roman" w:cs="Times New Roman"/>
          <w:szCs w:val="24"/>
          <w:lang w:val="en-US"/>
        </w:rPr>
        <w:t xml:space="preserve">Distance, Masculinity and Individualism. We are expecting a negative relationship between risk appetite and Uncertainty avoidance, and a positive one for the other three dimensions. </w:t>
      </w:r>
    </w:p>
    <w:p w:rsidR="00A26075" w:rsidRPr="002C595D" w:rsidRDefault="00A26075">
      <w:pPr>
        <w:spacing w:line="360" w:lineRule="auto"/>
        <w:jc w:val="both"/>
        <w:rPr>
          <w:rFonts w:ascii="Times New Roman" w:hAnsi="Times New Roman" w:cs="Times New Roman"/>
          <w:szCs w:val="24"/>
          <w:lang w:val="en-US"/>
        </w:rPr>
      </w:pPr>
      <w:r>
        <w:rPr>
          <w:rFonts w:ascii="Times New Roman" w:hAnsi="Times New Roman" w:cs="Times New Roman"/>
          <w:szCs w:val="24"/>
          <w:lang w:val="en-US"/>
        </w:rPr>
        <w:t xml:space="preserve">Although we could not establish any statistically significant relationship for none of the sub-samples, we got some answers regarding which external factors can influence risk appetite. </w:t>
      </w:r>
      <w:r w:rsidR="00B2431A">
        <w:rPr>
          <w:rFonts w:ascii="Times New Roman" w:hAnsi="Times New Roman" w:cs="Times New Roman"/>
          <w:szCs w:val="24"/>
          <w:lang w:val="en-US"/>
        </w:rPr>
        <w:t>From the five contros variables that we used, namely Limits in equity investments, national wealth (GDP), relative shares of Defined benefit plans, Age dependency ratio and Market capitalization, a</w:t>
      </w:r>
      <w:r>
        <w:rPr>
          <w:rFonts w:ascii="Times New Roman" w:hAnsi="Times New Roman" w:cs="Times New Roman"/>
          <w:szCs w:val="24"/>
          <w:lang w:val="en-US"/>
        </w:rPr>
        <w:t xml:space="preserve">pparently in Developing countries, </w:t>
      </w:r>
      <w:r w:rsidR="00B2431A">
        <w:rPr>
          <w:rFonts w:ascii="Times New Roman" w:hAnsi="Times New Roman" w:cs="Times New Roman"/>
          <w:szCs w:val="24"/>
          <w:lang w:val="en-US"/>
        </w:rPr>
        <w:t xml:space="preserve">only </w:t>
      </w:r>
      <w:r>
        <w:rPr>
          <w:rFonts w:ascii="Times New Roman" w:hAnsi="Times New Roman" w:cs="Times New Roman"/>
          <w:szCs w:val="24"/>
          <w:lang w:val="en-US"/>
        </w:rPr>
        <w:t xml:space="preserve">the national wealth measured in terms of GDP, and the relative shares of Defined Benefit plans, play a role in the asset allocation of funds in these countries. The lower the GDP levels and the </w:t>
      </w:r>
      <w:r w:rsidR="00B2431A">
        <w:rPr>
          <w:rFonts w:ascii="Times New Roman" w:hAnsi="Times New Roman" w:cs="Times New Roman"/>
          <w:szCs w:val="24"/>
          <w:lang w:val="en-US"/>
        </w:rPr>
        <w:t>presence</w:t>
      </w:r>
      <w:r>
        <w:rPr>
          <w:rFonts w:ascii="Times New Roman" w:hAnsi="Times New Roman" w:cs="Times New Roman"/>
          <w:szCs w:val="24"/>
          <w:lang w:val="en-US"/>
        </w:rPr>
        <w:t xml:space="preserve"> of Defined benefit plans, the more risk seeking the pension funds are. </w:t>
      </w:r>
      <w:r w:rsidR="00B2431A">
        <w:rPr>
          <w:rFonts w:ascii="Times New Roman" w:hAnsi="Times New Roman" w:cs="Times New Roman"/>
          <w:szCs w:val="24"/>
          <w:lang w:val="en-US"/>
        </w:rPr>
        <w:t xml:space="preserve">Regarding the Developed countries, none of these variables had a sustainable, significant effect. </w:t>
      </w:r>
    </w:p>
    <w:p w:rsidR="002E491B" w:rsidRDefault="002E491B">
      <w:pPr>
        <w:spacing w:line="360" w:lineRule="auto"/>
        <w:jc w:val="both"/>
        <w:rPr>
          <w:rFonts w:ascii="Times New Roman" w:hAnsi="Times New Roman" w:cs="Times New Roman"/>
          <w:sz w:val="24"/>
          <w:szCs w:val="24"/>
          <w:lang w:val="en-US"/>
        </w:rPr>
      </w:pPr>
      <w:r w:rsidRPr="002C595D">
        <w:rPr>
          <w:rFonts w:ascii="Times New Roman" w:hAnsi="Times New Roman" w:cs="Times New Roman"/>
          <w:szCs w:val="24"/>
          <w:lang w:val="en-US"/>
        </w:rPr>
        <w:t xml:space="preserve">This research topic could be of great interest for pension funds and governments, since it would give a better understanding of how risk appetite could  be influenced from the culture of the society they function in. </w:t>
      </w:r>
      <w:r w:rsidR="00A26075">
        <w:rPr>
          <w:rFonts w:ascii="Times New Roman" w:hAnsi="Times New Roman" w:cs="Times New Roman"/>
          <w:szCs w:val="24"/>
          <w:lang w:val="en-US"/>
        </w:rPr>
        <w:t xml:space="preserve">The different results between developing and developed countries give also an incentive for future research for a more in depth investigation in the forces behind these differences. </w:t>
      </w:r>
      <w:r w:rsidR="00A26075" w:rsidRPr="002C595D">
        <w:rPr>
          <w:rFonts w:ascii="Times New Roman" w:hAnsi="Times New Roman" w:cs="Times New Roman"/>
          <w:szCs w:val="24"/>
          <w:lang w:val="en-US"/>
        </w:rPr>
        <w:t xml:space="preserve">Depending on </w:t>
      </w:r>
      <w:r w:rsidR="00A26075" w:rsidRPr="002C595D">
        <w:rPr>
          <w:rFonts w:ascii="Times New Roman" w:hAnsi="Times New Roman" w:cs="Times New Roman"/>
          <w:szCs w:val="24"/>
          <w:lang w:val="en-US"/>
        </w:rPr>
        <w:lastRenderedPageBreak/>
        <w:t xml:space="preserve">that, they could differentiate their policy, rules, limitations and pension products </w:t>
      </w:r>
      <w:r w:rsidR="00A26075">
        <w:rPr>
          <w:rFonts w:ascii="Times New Roman" w:hAnsi="Times New Roman" w:cs="Times New Roman"/>
          <w:szCs w:val="24"/>
          <w:lang w:val="en-US"/>
        </w:rPr>
        <w:t xml:space="preserve">that </w:t>
      </w:r>
      <w:r w:rsidR="00A26075" w:rsidRPr="002C595D">
        <w:rPr>
          <w:rFonts w:ascii="Times New Roman" w:hAnsi="Times New Roman" w:cs="Times New Roman"/>
          <w:szCs w:val="24"/>
          <w:lang w:val="en-US"/>
        </w:rPr>
        <w:t xml:space="preserve">they offer, according to the way each cultural dimension affects risk appetite in their country.  </w:t>
      </w:r>
    </w:p>
    <w:p w:rsidR="00696DB1" w:rsidRDefault="00696DB1">
      <w:pPr>
        <w:spacing w:line="360" w:lineRule="auto"/>
        <w:jc w:val="both"/>
        <w:rPr>
          <w:rFonts w:ascii="Times New Roman" w:hAnsi="Times New Roman" w:cs="Times New Roman"/>
          <w:sz w:val="24"/>
          <w:szCs w:val="24"/>
          <w:lang w:val="en-US"/>
        </w:rPr>
      </w:pPr>
    </w:p>
    <w:p w:rsidR="00DB6749" w:rsidRDefault="00EB717B" w:rsidP="00F80863">
      <w:pPr>
        <w:rPr>
          <w:rFonts w:ascii="Times New Roman" w:hAnsi="Times New Roman" w:cs="Times New Roman"/>
          <w:b/>
          <w:sz w:val="28"/>
          <w:szCs w:val="24"/>
          <w:lang w:val="en-US"/>
        </w:rPr>
      </w:pPr>
      <w:r>
        <w:rPr>
          <w:rFonts w:ascii="Times New Roman" w:hAnsi="Times New Roman" w:cs="Times New Roman"/>
          <w:b/>
          <w:sz w:val="28"/>
          <w:szCs w:val="24"/>
          <w:lang w:val="en-US"/>
        </w:rPr>
        <w:br w:type="page"/>
      </w:r>
    </w:p>
    <w:p w:rsidR="00366DDF" w:rsidRPr="000C576E" w:rsidRDefault="00412614" w:rsidP="00E32AAC">
      <w:pPr>
        <w:spacing w:line="360" w:lineRule="auto"/>
        <w:jc w:val="both"/>
        <w:rPr>
          <w:rFonts w:ascii="Arial" w:hAnsi="Arial" w:cs="Arial"/>
          <w:b/>
          <w:sz w:val="28"/>
          <w:szCs w:val="24"/>
          <w:lang w:val="en-US"/>
        </w:rPr>
      </w:pPr>
      <w:r w:rsidRPr="000C576E">
        <w:rPr>
          <w:rFonts w:ascii="Arial" w:hAnsi="Arial" w:cs="Arial"/>
          <w:b/>
          <w:sz w:val="28"/>
          <w:szCs w:val="24"/>
          <w:lang w:val="en-US"/>
        </w:rPr>
        <w:lastRenderedPageBreak/>
        <w:t>2.</w:t>
      </w:r>
      <w:r w:rsidR="00FB5F7F" w:rsidRPr="000C576E">
        <w:rPr>
          <w:rFonts w:ascii="Arial" w:hAnsi="Arial" w:cs="Arial"/>
          <w:b/>
          <w:sz w:val="28"/>
          <w:szCs w:val="24"/>
          <w:lang w:val="en-US"/>
        </w:rPr>
        <w:t xml:space="preserve"> </w:t>
      </w:r>
      <w:r w:rsidRPr="000C576E">
        <w:rPr>
          <w:rFonts w:ascii="Arial" w:hAnsi="Arial" w:cs="Arial"/>
          <w:b/>
          <w:sz w:val="28"/>
          <w:szCs w:val="24"/>
          <w:lang w:val="en-US"/>
        </w:rPr>
        <w:t>Literature review</w:t>
      </w:r>
    </w:p>
    <w:p w:rsidR="00696DB1" w:rsidRPr="000C576E" w:rsidRDefault="00412614">
      <w:pPr>
        <w:pStyle w:val="ListParagraph"/>
        <w:ind w:left="0"/>
        <w:jc w:val="both"/>
        <w:rPr>
          <w:rFonts w:ascii="Arial" w:hAnsi="Arial" w:cs="Arial"/>
          <w:b/>
          <w:i/>
          <w:szCs w:val="24"/>
          <w:lang w:val="en-US"/>
        </w:rPr>
      </w:pPr>
      <w:r w:rsidRPr="000C576E">
        <w:rPr>
          <w:rFonts w:ascii="Arial" w:hAnsi="Arial" w:cs="Arial"/>
          <w:b/>
          <w:i/>
          <w:szCs w:val="24"/>
          <w:lang w:val="en-US"/>
        </w:rPr>
        <w:t>2.1. Culture and cultural dimensions</w:t>
      </w:r>
    </w:p>
    <w:p w:rsidR="00696DB1" w:rsidRPr="002C595D" w:rsidRDefault="00EB717B">
      <w:pPr>
        <w:spacing w:line="360" w:lineRule="auto"/>
        <w:jc w:val="both"/>
        <w:rPr>
          <w:rFonts w:ascii="Times New Roman" w:hAnsi="Times New Roman" w:cs="Times New Roman"/>
          <w:szCs w:val="24"/>
          <w:lang w:val="en-US"/>
        </w:rPr>
      </w:pPr>
      <w:r w:rsidRPr="002C595D">
        <w:rPr>
          <w:rFonts w:ascii="Times New Roman" w:hAnsi="Times New Roman" w:cs="Times New Roman"/>
          <w:szCs w:val="24"/>
          <w:lang w:val="en-US"/>
        </w:rPr>
        <w:t xml:space="preserve">To begin with, it is important to determine culture. </w:t>
      </w:r>
      <w:r w:rsidR="00FF690D" w:rsidRPr="002C595D">
        <w:rPr>
          <w:rFonts w:ascii="Times New Roman" w:hAnsi="Times New Roman" w:cs="Times New Roman"/>
          <w:szCs w:val="24"/>
          <w:lang w:val="en-US"/>
        </w:rPr>
        <w:t>I this study, t</w:t>
      </w:r>
      <w:r w:rsidR="00C922C0" w:rsidRPr="002C595D">
        <w:rPr>
          <w:rFonts w:ascii="Times New Roman" w:hAnsi="Times New Roman" w:cs="Times New Roman"/>
          <w:szCs w:val="24"/>
          <w:lang w:val="en-US"/>
        </w:rPr>
        <w:t xml:space="preserve">he cultural factor is </w:t>
      </w:r>
      <w:r w:rsidR="00FF690D" w:rsidRPr="002C595D">
        <w:rPr>
          <w:rFonts w:ascii="Times New Roman" w:hAnsi="Times New Roman" w:cs="Times New Roman"/>
          <w:szCs w:val="24"/>
          <w:lang w:val="en-US"/>
        </w:rPr>
        <w:t xml:space="preserve">going to be </w:t>
      </w:r>
      <w:r w:rsidR="00C922C0" w:rsidRPr="002C595D">
        <w:rPr>
          <w:rFonts w:ascii="Times New Roman" w:hAnsi="Times New Roman" w:cs="Times New Roman"/>
          <w:szCs w:val="24"/>
          <w:lang w:val="en-US"/>
        </w:rPr>
        <w:t xml:space="preserve">measured using the cultural dimensions developed by Geert Hofstede. </w:t>
      </w:r>
      <w:r w:rsidR="00F227CF" w:rsidRPr="002C595D">
        <w:rPr>
          <w:rFonts w:ascii="Times New Roman" w:hAnsi="Times New Roman" w:cs="Times New Roman"/>
          <w:szCs w:val="24"/>
          <w:lang w:val="en-US"/>
        </w:rPr>
        <w:t>His book "Culture</w:t>
      </w:r>
      <w:r w:rsidR="00DB2108" w:rsidRPr="002C595D">
        <w:rPr>
          <w:rFonts w:ascii="Times New Roman" w:hAnsi="Times New Roman" w:cs="Times New Roman"/>
          <w:szCs w:val="24"/>
          <w:lang w:val="en-US"/>
        </w:rPr>
        <w:t>s and organizations: software of the mind</w:t>
      </w:r>
      <w:r w:rsidR="00F227CF" w:rsidRPr="002C595D">
        <w:rPr>
          <w:rFonts w:ascii="Times New Roman" w:hAnsi="Times New Roman" w:cs="Times New Roman"/>
          <w:szCs w:val="24"/>
          <w:lang w:val="en-US"/>
        </w:rPr>
        <w:t>" is one of the most im</w:t>
      </w:r>
      <w:r w:rsidR="005649FA" w:rsidRPr="002C595D">
        <w:rPr>
          <w:rFonts w:ascii="Times New Roman" w:hAnsi="Times New Roman" w:cs="Times New Roman"/>
          <w:szCs w:val="24"/>
          <w:lang w:val="en-US"/>
        </w:rPr>
        <w:t xml:space="preserve">portant studies of culture, influencing many others in cross-cultural </w:t>
      </w:r>
      <w:r w:rsidR="00FF690D" w:rsidRPr="002C595D">
        <w:rPr>
          <w:rFonts w:ascii="Times New Roman" w:hAnsi="Times New Roman" w:cs="Times New Roman"/>
          <w:szCs w:val="24"/>
          <w:lang w:val="en-US"/>
        </w:rPr>
        <w:t>research</w:t>
      </w:r>
      <w:r w:rsidR="005649FA" w:rsidRPr="002C595D">
        <w:rPr>
          <w:rFonts w:ascii="Times New Roman" w:hAnsi="Times New Roman" w:cs="Times New Roman"/>
          <w:szCs w:val="24"/>
          <w:lang w:val="en-US"/>
        </w:rPr>
        <w:t xml:space="preserve">, and being cited in more than 180 </w:t>
      </w:r>
      <w:r w:rsidR="00FF690D" w:rsidRPr="002C595D">
        <w:rPr>
          <w:rFonts w:ascii="Times New Roman" w:hAnsi="Times New Roman" w:cs="Times New Roman"/>
          <w:szCs w:val="24"/>
          <w:lang w:val="en-US"/>
        </w:rPr>
        <w:t xml:space="preserve">works of </w:t>
      </w:r>
      <w:r w:rsidR="005649FA" w:rsidRPr="002C595D">
        <w:rPr>
          <w:rFonts w:ascii="Times New Roman" w:hAnsi="Times New Roman" w:cs="Times New Roman"/>
          <w:szCs w:val="24"/>
          <w:lang w:val="en-US"/>
        </w:rPr>
        <w:t>stud</w:t>
      </w:r>
      <w:r w:rsidR="00FF690D" w:rsidRPr="002C595D">
        <w:rPr>
          <w:rFonts w:ascii="Times New Roman" w:hAnsi="Times New Roman" w:cs="Times New Roman"/>
          <w:szCs w:val="24"/>
          <w:lang w:val="en-US"/>
        </w:rPr>
        <w:t>y</w:t>
      </w:r>
      <w:r w:rsidR="005649FA" w:rsidRPr="002C595D">
        <w:rPr>
          <w:rFonts w:ascii="Times New Roman" w:hAnsi="Times New Roman" w:cs="Times New Roman"/>
          <w:szCs w:val="24"/>
          <w:lang w:val="en-US"/>
        </w:rPr>
        <w:t>.</w:t>
      </w:r>
      <w:r w:rsidR="009B152B" w:rsidRPr="002C595D">
        <w:rPr>
          <w:rFonts w:ascii="Times New Roman" w:hAnsi="Times New Roman" w:cs="Times New Roman"/>
          <w:szCs w:val="24"/>
          <w:lang w:val="en-US"/>
        </w:rPr>
        <w:t xml:space="preserve"> Across the broad literature on culture, many definitions have been given for national culture</w:t>
      </w:r>
      <w:r w:rsidR="00FF690D" w:rsidRPr="002C595D">
        <w:rPr>
          <w:rFonts w:ascii="Times New Roman" w:hAnsi="Times New Roman" w:cs="Times New Roman"/>
          <w:szCs w:val="24"/>
          <w:lang w:val="en-US"/>
        </w:rPr>
        <w:t>, but a</w:t>
      </w:r>
      <w:r w:rsidR="009B152B" w:rsidRPr="002C595D">
        <w:rPr>
          <w:rFonts w:ascii="Times New Roman" w:hAnsi="Times New Roman" w:cs="Times New Roman"/>
          <w:szCs w:val="24"/>
          <w:lang w:val="en-US"/>
        </w:rPr>
        <w:t xml:space="preserve">ccording to Hofstede, "Culture is the collective programming of the mind that distinguishes the members of one group or category of people from others". </w:t>
      </w:r>
    </w:p>
    <w:p w:rsidR="00696DB1" w:rsidRPr="002C595D" w:rsidRDefault="005649FA">
      <w:pPr>
        <w:spacing w:line="360" w:lineRule="auto"/>
        <w:jc w:val="both"/>
        <w:rPr>
          <w:rFonts w:ascii="Times New Roman" w:hAnsi="Times New Roman" w:cs="Times New Roman"/>
          <w:szCs w:val="24"/>
          <w:lang w:val="en-US"/>
        </w:rPr>
      </w:pPr>
      <w:r w:rsidRPr="002C595D">
        <w:rPr>
          <w:rFonts w:ascii="Times New Roman" w:hAnsi="Times New Roman" w:cs="Times New Roman"/>
          <w:szCs w:val="24"/>
          <w:lang w:val="en-US"/>
        </w:rPr>
        <w:t>In his research,</w:t>
      </w:r>
      <w:r w:rsidR="00FF690D" w:rsidRPr="002C595D">
        <w:rPr>
          <w:rFonts w:ascii="Times New Roman" w:hAnsi="Times New Roman" w:cs="Times New Roman"/>
          <w:szCs w:val="24"/>
          <w:lang w:val="en-US"/>
        </w:rPr>
        <w:t xml:space="preserve"> Hofstede, tried to establish a commonly</w:t>
      </w:r>
      <w:r w:rsidRPr="002C595D">
        <w:rPr>
          <w:rFonts w:ascii="Times New Roman" w:hAnsi="Times New Roman" w:cs="Times New Roman"/>
          <w:szCs w:val="24"/>
          <w:lang w:val="en-US"/>
        </w:rPr>
        <w:t xml:space="preserve"> acceptable terminology for cultures using information from more than </w:t>
      </w:r>
      <w:r w:rsidR="00A77817" w:rsidRPr="002C595D">
        <w:rPr>
          <w:rFonts w:ascii="Times New Roman" w:hAnsi="Times New Roman" w:cs="Times New Roman"/>
          <w:szCs w:val="24"/>
          <w:lang w:val="en-US"/>
        </w:rPr>
        <w:t>76</w:t>
      </w:r>
      <w:r w:rsidRPr="002C595D">
        <w:rPr>
          <w:rFonts w:ascii="Times New Roman" w:hAnsi="Times New Roman" w:cs="Times New Roman"/>
          <w:szCs w:val="24"/>
          <w:lang w:val="en-US"/>
        </w:rPr>
        <w:t xml:space="preserve"> countries. He used </w:t>
      </w:r>
      <w:r w:rsidR="00DB2108" w:rsidRPr="002C595D">
        <w:rPr>
          <w:rFonts w:ascii="Times New Roman" w:hAnsi="Times New Roman" w:cs="Times New Roman"/>
          <w:szCs w:val="24"/>
          <w:lang w:val="en-US"/>
        </w:rPr>
        <w:t>questionnaire data on a big international company's employees, namely IBM.</w:t>
      </w:r>
      <w:r w:rsidRPr="002C595D">
        <w:rPr>
          <w:rFonts w:ascii="Times New Roman" w:hAnsi="Times New Roman" w:cs="Times New Roman"/>
          <w:szCs w:val="24"/>
          <w:lang w:val="en-US"/>
        </w:rPr>
        <w:t xml:space="preserve"> </w:t>
      </w:r>
      <w:r w:rsidR="00DB2108" w:rsidRPr="002C595D">
        <w:rPr>
          <w:rFonts w:ascii="Times New Roman" w:hAnsi="Times New Roman" w:cs="Times New Roman"/>
          <w:szCs w:val="24"/>
          <w:lang w:val="en-US"/>
        </w:rPr>
        <w:t xml:space="preserve"> The analysis of the data </w:t>
      </w:r>
      <w:r w:rsidR="003F3C71" w:rsidRPr="002C595D">
        <w:rPr>
          <w:rFonts w:ascii="Times New Roman" w:hAnsi="Times New Roman" w:cs="Times New Roman"/>
          <w:szCs w:val="24"/>
          <w:lang w:val="en-US"/>
        </w:rPr>
        <w:t xml:space="preserve">lead him to the conclusion that </w:t>
      </w:r>
      <w:r w:rsidR="00FF690D" w:rsidRPr="002C595D">
        <w:rPr>
          <w:rFonts w:ascii="Times New Roman" w:hAnsi="Times New Roman" w:cs="Times New Roman"/>
          <w:szCs w:val="24"/>
          <w:lang w:val="en-US"/>
        </w:rPr>
        <w:t>"</w:t>
      </w:r>
      <w:r w:rsidR="00C922C0" w:rsidRPr="002C595D">
        <w:rPr>
          <w:rFonts w:ascii="Times New Roman" w:hAnsi="Times New Roman" w:cs="Times New Roman"/>
          <w:szCs w:val="24"/>
          <w:lang w:val="en-US"/>
        </w:rPr>
        <w:t>societies differ from each other in the way they deal with four main anthropological problem areas</w:t>
      </w:r>
      <w:r w:rsidR="003F3C71" w:rsidRPr="002C595D">
        <w:rPr>
          <w:rFonts w:ascii="Times New Roman" w:hAnsi="Times New Roman" w:cs="Times New Roman"/>
          <w:szCs w:val="24"/>
          <w:lang w:val="en-US"/>
        </w:rPr>
        <w:t xml:space="preserve">: ways of coping with inequality, ways of </w:t>
      </w:r>
      <w:r w:rsidR="00412614" w:rsidRPr="002C595D">
        <w:rPr>
          <w:rFonts w:ascii="Times New Roman" w:hAnsi="Times New Roman" w:cs="Times New Roman"/>
          <w:szCs w:val="24"/>
          <w:lang w:val="en-US"/>
        </w:rPr>
        <w:t>dealing</w:t>
      </w:r>
      <w:r w:rsidR="003F3C71" w:rsidRPr="002C595D">
        <w:rPr>
          <w:rFonts w:ascii="Times New Roman" w:hAnsi="Times New Roman" w:cs="Times New Roman"/>
          <w:szCs w:val="24"/>
          <w:lang w:val="en-US"/>
        </w:rPr>
        <w:t xml:space="preserve"> with uncertainty, </w:t>
      </w:r>
      <w:r w:rsidR="00412614" w:rsidRPr="002C595D">
        <w:rPr>
          <w:rFonts w:ascii="Times New Roman" w:hAnsi="Times New Roman" w:cs="Times New Roman"/>
          <w:szCs w:val="24"/>
          <w:lang w:val="en-US"/>
        </w:rPr>
        <w:t>how the</w:t>
      </w:r>
      <w:r w:rsidR="003F3C71" w:rsidRPr="002C595D">
        <w:rPr>
          <w:rFonts w:ascii="Times New Roman" w:hAnsi="Times New Roman" w:cs="Times New Roman"/>
          <w:szCs w:val="24"/>
          <w:lang w:val="en-US"/>
        </w:rPr>
        <w:t xml:space="preserve"> individual </w:t>
      </w:r>
      <w:r w:rsidR="00412614" w:rsidRPr="002C595D">
        <w:rPr>
          <w:rFonts w:ascii="Times New Roman" w:hAnsi="Times New Roman" w:cs="Times New Roman"/>
          <w:szCs w:val="24"/>
          <w:lang w:val="en-US"/>
        </w:rPr>
        <w:t xml:space="preserve">relates </w:t>
      </w:r>
      <w:r w:rsidR="003F3C71" w:rsidRPr="002C595D">
        <w:rPr>
          <w:rFonts w:ascii="Times New Roman" w:hAnsi="Times New Roman" w:cs="Times New Roman"/>
          <w:szCs w:val="24"/>
          <w:lang w:val="en-US"/>
        </w:rPr>
        <w:t xml:space="preserve">with his primary group, and the emotional implications of having </w:t>
      </w:r>
      <w:r w:rsidR="00412614" w:rsidRPr="002C595D">
        <w:rPr>
          <w:rFonts w:ascii="Times New Roman" w:hAnsi="Times New Roman" w:cs="Times New Roman"/>
          <w:szCs w:val="24"/>
          <w:lang w:val="en-US"/>
        </w:rPr>
        <w:t xml:space="preserve">been born as a girl or as a boy </w:t>
      </w:r>
      <w:r w:rsidR="00FF690D" w:rsidRPr="002C595D">
        <w:rPr>
          <w:rFonts w:ascii="Times New Roman" w:hAnsi="Times New Roman" w:cs="Times New Roman"/>
          <w:szCs w:val="24"/>
          <w:lang w:val="en-US"/>
        </w:rPr>
        <w:t>"</w:t>
      </w:r>
      <w:r w:rsidR="00412614" w:rsidRPr="002C595D">
        <w:rPr>
          <w:rFonts w:ascii="Times New Roman" w:hAnsi="Times New Roman" w:cs="Times New Roman"/>
          <w:szCs w:val="24"/>
          <w:lang w:val="en-US"/>
        </w:rPr>
        <w:t>(Hofstede,2010).</w:t>
      </w:r>
      <w:r w:rsidR="00A77817" w:rsidRPr="002C595D">
        <w:rPr>
          <w:rFonts w:ascii="Times New Roman" w:hAnsi="Times New Roman" w:cs="Times New Roman"/>
          <w:szCs w:val="24"/>
          <w:lang w:val="en-US"/>
        </w:rPr>
        <w:t xml:space="preserve"> </w:t>
      </w:r>
      <w:r w:rsidR="00C922C0" w:rsidRPr="002C595D">
        <w:rPr>
          <w:rFonts w:ascii="Times New Roman" w:hAnsi="Times New Roman" w:cs="Times New Roman"/>
          <w:szCs w:val="24"/>
          <w:lang w:val="en-US"/>
        </w:rPr>
        <w:t>These lead to Hofstede</w:t>
      </w:r>
      <w:r w:rsidR="00412614" w:rsidRPr="002C595D">
        <w:rPr>
          <w:rFonts w:ascii="Times New Roman" w:hAnsi="Times New Roman" w:cs="Times New Roman"/>
          <w:szCs w:val="24"/>
          <w:lang w:val="en-US"/>
        </w:rPr>
        <w:t>'s</w:t>
      </w:r>
      <w:r w:rsidR="00C922C0" w:rsidRPr="002C595D">
        <w:rPr>
          <w:rFonts w:ascii="Times New Roman" w:hAnsi="Times New Roman" w:cs="Times New Roman"/>
          <w:szCs w:val="24"/>
          <w:lang w:val="en-US"/>
        </w:rPr>
        <w:t xml:space="preserve"> famous four dimensions:</w:t>
      </w:r>
    </w:p>
    <w:p w:rsidR="00696DB1" w:rsidRPr="002C595D" w:rsidRDefault="00A77817">
      <w:pPr>
        <w:pStyle w:val="ListParagraph"/>
        <w:numPr>
          <w:ilvl w:val="0"/>
          <w:numId w:val="5"/>
        </w:numPr>
        <w:spacing w:line="360" w:lineRule="auto"/>
        <w:jc w:val="both"/>
        <w:rPr>
          <w:rFonts w:ascii="Times New Roman" w:hAnsi="Times New Roman" w:cs="Times New Roman"/>
          <w:szCs w:val="24"/>
          <w:lang w:val="en-US"/>
        </w:rPr>
      </w:pPr>
      <w:r w:rsidRPr="002C595D">
        <w:rPr>
          <w:rFonts w:ascii="Times New Roman" w:hAnsi="Times New Roman" w:cs="Times New Roman"/>
          <w:szCs w:val="24"/>
          <w:lang w:val="en-US"/>
        </w:rPr>
        <w:t>Power distance</w:t>
      </w:r>
    </w:p>
    <w:p w:rsidR="00696DB1" w:rsidRPr="002C595D" w:rsidRDefault="0048269D">
      <w:pPr>
        <w:pStyle w:val="ListParagraph"/>
        <w:numPr>
          <w:ilvl w:val="0"/>
          <w:numId w:val="5"/>
        </w:numPr>
        <w:spacing w:line="360" w:lineRule="auto"/>
        <w:jc w:val="both"/>
        <w:rPr>
          <w:rFonts w:ascii="Times New Roman" w:hAnsi="Times New Roman" w:cs="Times New Roman"/>
          <w:szCs w:val="24"/>
          <w:lang w:val="en-US"/>
        </w:rPr>
      </w:pPr>
      <w:r w:rsidRPr="002C595D">
        <w:rPr>
          <w:rFonts w:ascii="Times New Roman" w:hAnsi="Times New Roman" w:cs="Times New Roman"/>
          <w:szCs w:val="24"/>
          <w:lang w:val="en-US"/>
        </w:rPr>
        <w:t>Uncertainty avoidance</w:t>
      </w:r>
    </w:p>
    <w:p w:rsidR="00696DB1" w:rsidRPr="002C595D" w:rsidRDefault="0048269D">
      <w:pPr>
        <w:pStyle w:val="ListParagraph"/>
        <w:numPr>
          <w:ilvl w:val="0"/>
          <w:numId w:val="5"/>
        </w:numPr>
        <w:spacing w:line="360" w:lineRule="auto"/>
        <w:jc w:val="both"/>
        <w:rPr>
          <w:rFonts w:ascii="Times New Roman" w:hAnsi="Times New Roman" w:cs="Times New Roman"/>
          <w:szCs w:val="24"/>
          <w:lang w:val="en-US"/>
        </w:rPr>
      </w:pPr>
      <w:r w:rsidRPr="002C595D">
        <w:rPr>
          <w:rFonts w:ascii="Times New Roman" w:hAnsi="Times New Roman" w:cs="Times New Roman"/>
          <w:szCs w:val="24"/>
          <w:lang w:val="en-US"/>
        </w:rPr>
        <w:t>Individualism vs collectivism</w:t>
      </w:r>
    </w:p>
    <w:p w:rsidR="00696DB1" w:rsidRPr="002C595D" w:rsidRDefault="00A77817">
      <w:pPr>
        <w:pStyle w:val="ListParagraph"/>
        <w:numPr>
          <w:ilvl w:val="0"/>
          <w:numId w:val="5"/>
        </w:numPr>
        <w:spacing w:line="360" w:lineRule="auto"/>
        <w:jc w:val="both"/>
        <w:rPr>
          <w:rFonts w:ascii="Times New Roman" w:hAnsi="Times New Roman" w:cs="Times New Roman"/>
          <w:szCs w:val="24"/>
          <w:lang w:val="en-US"/>
        </w:rPr>
      </w:pPr>
      <w:r w:rsidRPr="002C595D">
        <w:rPr>
          <w:rFonts w:ascii="Times New Roman" w:hAnsi="Times New Roman" w:cs="Times New Roman"/>
          <w:szCs w:val="24"/>
          <w:lang w:val="en-US"/>
        </w:rPr>
        <w:t>M</w:t>
      </w:r>
      <w:r w:rsidR="00F227CF" w:rsidRPr="002C595D">
        <w:rPr>
          <w:rFonts w:ascii="Times New Roman" w:hAnsi="Times New Roman" w:cs="Times New Roman"/>
          <w:szCs w:val="24"/>
          <w:lang w:val="en-US"/>
        </w:rPr>
        <w:t>asculinity and femini</w:t>
      </w:r>
      <w:r w:rsidR="00572255" w:rsidRPr="002C595D">
        <w:rPr>
          <w:rFonts w:ascii="Times New Roman" w:hAnsi="Times New Roman" w:cs="Times New Roman"/>
          <w:szCs w:val="24"/>
          <w:lang w:val="en-US"/>
        </w:rPr>
        <w:t>ni</w:t>
      </w:r>
      <w:r w:rsidR="00F227CF" w:rsidRPr="002C595D">
        <w:rPr>
          <w:rFonts w:ascii="Times New Roman" w:hAnsi="Times New Roman" w:cs="Times New Roman"/>
          <w:szCs w:val="24"/>
          <w:lang w:val="en-US"/>
        </w:rPr>
        <w:t>ty.</w:t>
      </w:r>
    </w:p>
    <w:p w:rsidR="00696DB1" w:rsidRPr="002C595D" w:rsidRDefault="007B3AEF">
      <w:pPr>
        <w:spacing w:line="360" w:lineRule="auto"/>
        <w:jc w:val="both"/>
        <w:rPr>
          <w:rFonts w:ascii="Times New Roman" w:hAnsi="Times New Roman" w:cs="Times New Roman"/>
          <w:szCs w:val="24"/>
          <w:lang w:val="en-US"/>
        </w:rPr>
      </w:pPr>
      <w:r w:rsidRPr="002C595D">
        <w:rPr>
          <w:rFonts w:ascii="Times New Roman" w:hAnsi="Times New Roman" w:cs="Times New Roman"/>
          <w:szCs w:val="24"/>
          <w:lang w:val="en-US"/>
        </w:rPr>
        <w:t xml:space="preserve">The above dimensions provide a general framework which can be applied comparatively easily and show how countries differ with each other when it comes to values, social behavior and way of thinking.  </w:t>
      </w:r>
    </w:p>
    <w:p w:rsidR="00696DB1" w:rsidRPr="002C595D" w:rsidRDefault="00F227CF">
      <w:pPr>
        <w:spacing w:line="360" w:lineRule="auto"/>
        <w:jc w:val="both"/>
        <w:rPr>
          <w:rFonts w:ascii="Times New Roman" w:hAnsi="Times New Roman" w:cs="Times New Roman"/>
          <w:szCs w:val="24"/>
          <w:lang w:val="en-US"/>
        </w:rPr>
      </w:pPr>
      <w:r w:rsidRPr="002C595D">
        <w:rPr>
          <w:rFonts w:ascii="Times New Roman" w:hAnsi="Times New Roman" w:cs="Times New Roman"/>
          <w:szCs w:val="24"/>
          <w:lang w:val="en-US"/>
        </w:rPr>
        <w:t xml:space="preserve">The first dimension, </w:t>
      </w:r>
      <w:r w:rsidRPr="002C595D">
        <w:rPr>
          <w:rFonts w:ascii="Times New Roman" w:hAnsi="Times New Roman" w:cs="Times New Roman"/>
          <w:b/>
          <w:szCs w:val="24"/>
          <w:lang w:val="en-US"/>
        </w:rPr>
        <w:t>Power Distance (PDI)</w:t>
      </w:r>
      <w:r w:rsidR="007B3AEF" w:rsidRPr="002C595D">
        <w:rPr>
          <w:rFonts w:ascii="Times New Roman" w:hAnsi="Times New Roman" w:cs="Times New Roman"/>
          <w:szCs w:val="24"/>
          <w:lang w:val="en-US"/>
        </w:rPr>
        <w:t>,</w:t>
      </w:r>
      <w:r w:rsidRPr="002C595D">
        <w:rPr>
          <w:rFonts w:ascii="Times New Roman" w:hAnsi="Times New Roman" w:cs="Times New Roman"/>
          <w:szCs w:val="24"/>
          <w:lang w:val="en-US"/>
        </w:rPr>
        <w:t xml:space="preserve"> </w:t>
      </w:r>
      <w:r w:rsidR="00514307" w:rsidRPr="002C595D">
        <w:rPr>
          <w:rFonts w:ascii="Times New Roman" w:hAnsi="Times New Roman" w:cs="Times New Roman"/>
          <w:szCs w:val="24"/>
          <w:lang w:val="en-US"/>
        </w:rPr>
        <w:t xml:space="preserve">expresses </w:t>
      </w:r>
      <w:r w:rsidR="007B3AEF" w:rsidRPr="002C595D">
        <w:rPr>
          <w:rFonts w:ascii="Times New Roman" w:hAnsi="Times New Roman" w:cs="Times New Roman"/>
          <w:szCs w:val="24"/>
          <w:lang w:val="en-US"/>
        </w:rPr>
        <w:t xml:space="preserve">the </w:t>
      </w:r>
      <w:r w:rsidRPr="002C595D">
        <w:rPr>
          <w:rFonts w:ascii="Times New Roman" w:hAnsi="Times New Roman" w:cs="Times New Roman"/>
          <w:szCs w:val="24"/>
          <w:lang w:val="en-US"/>
        </w:rPr>
        <w:t>extent to which the less powerful members of organizations and institutions (like the family) accept and expect that power is distributed unequally</w:t>
      </w:r>
      <w:r w:rsidR="007B3AEF" w:rsidRPr="002C595D">
        <w:rPr>
          <w:rFonts w:ascii="Times New Roman" w:hAnsi="Times New Roman" w:cs="Times New Roman"/>
          <w:szCs w:val="24"/>
          <w:lang w:val="en-US"/>
        </w:rPr>
        <w:t xml:space="preserve"> (</w:t>
      </w:r>
      <w:r w:rsidR="007B3AEF" w:rsidRPr="002C595D">
        <w:rPr>
          <w:rFonts w:ascii="Times New Roman" w:hAnsi="Times New Roman" w:cs="Times New Roman"/>
          <w:i/>
          <w:szCs w:val="24"/>
          <w:lang w:val="en-US"/>
        </w:rPr>
        <w:t>Hofstede, 2010</w:t>
      </w:r>
      <w:r w:rsidR="007B3AEF" w:rsidRPr="002C595D">
        <w:rPr>
          <w:rFonts w:ascii="Times New Roman" w:hAnsi="Times New Roman" w:cs="Times New Roman"/>
          <w:szCs w:val="24"/>
          <w:lang w:val="en-US"/>
        </w:rPr>
        <w:t xml:space="preserve">). </w:t>
      </w:r>
      <w:r w:rsidR="00514307" w:rsidRPr="002C595D">
        <w:rPr>
          <w:rFonts w:ascii="Times New Roman" w:hAnsi="Times New Roman" w:cs="Times New Roman"/>
          <w:szCs w:val="24"/>
          <w:lang w:val="en-US"/>
        </w:rPr>
        <w:t xml:space="preserve">It </w:t>
      </w:r>
      <w:r w:rsidRPr="002C595D">
        <w:rPr>
          <w:rFonts w:ascii="Times New Roman" w:hAnsi="Times New Roman" w:cs="Times New Roman"/>
          <w:szCs w:val="24"/>
          <w:lang w:val="en-US"/>
        </w:rPr>
        <w:t xml:space="preserve"> </w:t>
      </w:r>
      <w:r w:rsidR="00514307" w:rsidRPr="002C595D">
        <w:rPr>
          <w:rFonts w:ascii="Times New Roman" w:hAnsi="Times New Roman" w:cs="Times New Roman"/>
          <w:szCs w:val="24"/>
          <w:lang w:val="en-US"/>
        </w:rPr>
        <w:t>refers to both followers and lea</w:t>
      </w:r>
      <w:r w:rsidR="00FF690D" w:rsidRPr="002C595D">
        <w:rPr>
          <w:rFonts w:ascii="Times New Roman" w:hAnsi="Times New Roman" w:cs="Times New Roman"/>
          <w:szCs w:val="24"/>
          <w:lang w:val="en-US"/>
        </w:rPr>
        <w:t>d</w:t>
      </w:r>
      <w:r w:rsidR="00514307" w:rsidRPr="002C595D">
        <w:rPr>
          <w:rFonts w:ascii="Times New Roman" w:hAnsi="Times New Roman" w:cs="Times New Roman"/>
          <w:szCs w:val="24"/>
          <w:lang w:val="en-US"/>
        </w:rPr>
        <w:t>ers, and how those two cope with the existing within the country inequality, r</w:t>
      </w:r>
      <w:r w:rsidRPr="002C595D">
        <w:rPr>
          <w:rFonts w:ascii="Times New Roman" w:hAnsi="Times New Roman" w:cs="Times New Roman"/>
          <w:szCs w:val="24"/>
          <w:lang w:val="en-US"/>
        </w:rPr>
        <w:t>egarding  power, wealth and prestige</w:t>
      </w:r>
      <w:r w:rsidR="00514307" w:rsidRPr="002C595D">
        <w:rPr>
          <w:rFonts w:ascii="Times New Roman" w:hAnsi="Times New Roman" w:cs="Times New Roman"/>
          <w:szCs w:val="24"/>
          <w:lang w:val="en-US"/>
        </w:rPr>
        <w:t xml:space="preserve"> (</w:t>
      </w:r>
      <w:r w:rsidR="00FF690D" w:rsidRPr="002C595D">
        <w:rPr>
          <w:rFonts w:ascii="Times New Roman" w:hAnsi="Times New Roman" w:cs="Times New Roman"/>
          <w:szCs w:val="24"/>
          <w:lang w:val="en-US"/>
        </w:rPr>
        <w:t>Deschepper, Grigoryan, Lundborg, Hofstede, Cohen1, Van Der Kelen1, Deliens &amp; Haaijer-Ruskamp, 2008</w:t>
      </w:r>
      <w:r w:rsidR="00514307" w:rsidRPr="002C595D">
        <w:rPr>
          <w:rFonts w:ascii="Times New Roman" w:hAnsi="Times New Roman" w:cs="Times New Roman"/>
          <w:szCs w:val="24"/>
          <w:lang w:val="en-US"/>
        </w:rPr>
        <w:t>). It is a very important dimension, since it gives an insight of how power and wealth  affects a society.</w:t>
      </w:r>
      <w:r w:rsidRPr="002C595D">
        <w:rPr>
          <w:rFonts w:ascii="Times New Roman" w:hAnsi="Times New Roman" w:cs="Times New Roman"/>
          <w:szCs w:val="24"/>
          <w:lang w:val="en-US"/>
        </w:rPr>
        <w:t xml:space="preserve"> In</w:t>
      </w:r>
      <w:r w:rsidR="00E35A87" w:rsidRPr="002C595D">
        <w:rPr>
          <w:rFonts w:ascii="Times New Roman" w:hAnsi="Times New Roman" w:cs="Times New Roman"/>
          <w:szCs w:val="24"/>
          <w:lang w:val="en-US"/>
        </w:rPr>
        <w:t xml:space="preserve"> countries with</w:t>
      </w:r>
      <w:r w:rsidR="00FF690D" w:rsidRPr="002C595D">
        <w:rPr>
          <w:rFonts w:ascii="Times New Roman" w:hAnsi="Times New Roman" w:cs="Times New Roman"/>
          <w:szCs w:val="24"/>
          <w:lang w:val="en-US"/>
        </w:rPr>
        <w:t xml:space="preserve"> H</w:t>
      </w:r>
      <w:r w:rsidRPr="002C595D">
        <w:rPr>
          <w:rFonts w:ascii="Times New Roman" w:hAnsi="Times New Roman" w:cs="Times New Roman"/>
          <w:szCs w:val="24"/>
          <w:lang w:val="en-US"/>
        </w:rPr>
        <w:t>i</w:t>
      </w:r>
      <w:r w:rsidR="00E35A87" w:rsidRPr="002C595D">
        <w:rPr>
          <w:rFonts w:ascii="Times New Roman" w:hAnsi="Times New Roman" w:cs="Times New Roman"/>
          <w:szCs w:val="24"/>
          <w:lang w:val="en-US"/>
        </w:rPr>
        <w:t>gh PDI scores</w:t>
      </w:r>
      <w:r w:rsidRPr="002C595D">
        <w:rPr>
          <w:rFonts w:ascii="Times New Roman" w:hAnsi="Times New Roman" w:cs="Times New Roman"/>
          <w:szCs w:val="24"/>
          <w:lang w:val="en-US"/>
        </w:rPr>
        <w:t xml:space="preserve">, </w:t>
      </w:r>
      <w:r w:rsidR="00E35A87" w:rsidRPr="002C595D">
        <w:rPr>
          <w:rFonts w:ascii="Times New Roman" w:hAnsi="Times New Roman" w:cs="Times New Roman"/>
          <w:szCs w:val="24"/>
          <w:lang w:val="en-US"/>
        </w:rPr>
        <w:t>the inequality is commonly accepted and wanted, and the less powerful are depending on their superiors, while on the other hand, L</w:t>
      </w:r>
      <w:r w:rsidRPr="002C595D">
        <w:rPr>
          <w:rFonts w:ascii="Times New Roman" w:hAnsi="Times New Roman" w:cs="Times New Roman"/>
          <w:szCs w:val="24"/>
          <w:lang w:val="en-US"/>
        </w:rPr>
        <w:t xml:space="preserve">ow </w:t>
      </w:r>
      <w:r w:rsidR="00E35A87" w:rsidRPr="002C595D">
        <w:rPr>
          <w:rFonts w:ascii="Times New Roman" w:hAnsi="Times New Roman" w:cs="Times New Roman"/>
          <w:szCs w:val="24"/>
          <w:lang w:val="en-US"/>
        </w:rPr>
        <w:t>PDI</w:t>
      </w:r>
      <w:r w:rsidRPr="002C595D">
        <w:rPr>
          <w:rFonts w:ascii="Times New Roman" w:hAnsi="Times New Roman" w:cs="Times New Roman"/>
          <w:szCs w:val="24"/>
          <w:lang w:val="en-US"/>
        </w:rPr>
        <w:t xml:space="preserve"> societies tend to try to minimize </w:t>
      </w:r>
      <w:r w:rsidR="00E35A87" w:rsidRPr="002C595D">
        <w:rPr>
          <w:rFonts w:ascii="Times New Roman" w:hAnsi="Times New Roman" w:cs="Times New Roman"/>
          <w:szCs w:val="24"/>
          <w:lang w:val="en-US"/>
        </w:rPr>
        <w:t>the inequality gap and take good care of social relationships (</w:t>
      </w:r>
      <w:r w:rsidR="00E35A87" w:rsidRPr="002C595D">
        <w:rPr>
          <w:rFonts w:ascii="Times New Roman" w:hAnsi="Times New Roman" w:cs="Times New Roman"/>
          <w:i/>
          <w:szCs w:val="24"/>
          <w:lang w:val="en-US"/>
        </w:rPr>
        <w:t>Hofstede, 2010</w:t>
      </w:r>
      <w:r w:rsidR="00E35A87" w:rsidRPr="002C595D">
        <w:rPr>
          <w:rFonts w:ascii="Times New Roman" w:hAnsi="Times New Roman" w:cs="Times New Roman"/>
          <w:szCs w:val="24"/>
          <w:lang w:val="en-US"/>
        </w:rPr>
        <w:t>).</w:t>
      </w:r>
    </w:p>
    <w:p w:rsidR="00696DB1" w:rsidRPr="002C595D" w:rsidRDefault="00F227CF">
      <w:pPr>
        <w:spacing w:line="360" w:lineRule="auto"/>
        <w:jc w:val="both"/>
        <w:rPr>
          <w:rFonts w:ascii="Times New Roman" w:hAnsi="Times New Roman" w:cs="Times New Roman"/>
          <w:szCs w:val="24"/>
          <w:lang w:val="en-US"/>
        </w:rPr>
      </w:pPr>
      <w:r w:rsidRPr="002C595D">
        <w:rPr>
          <w:rFonts w:ascii="Times New Roman" w:hAnsi="Times New Roman" w:cs="Times New Roman"/>
          <w:b/>
          <w:szCs w:val="24"/>
          <w:lang w:val="en-US"/>
        </w:rPr>
        <w:t>Uncertainty Avoidance (UAI)</w:t>
      </w:r>
      <w:r w:rsidRPr="002C595D">
        <w:rPr>
          <w:rFonts w:ascii="Times New Roman" w:hAnsi="Times New Roman" w:cs="Times New Roman"/>
          <w:szCs w:val="24"/>
          <w:lang w:val="en-US"/>
        </w:rPr>
        <w:t xml:space="preserve"> </w:t>
      </w:r>
      <w:r w:rsidR="0008640D" w:rsidRPr="002C595D">
        <w:rPr>
          <w:rFonts w:ascii="Times New Roman" w:hAnsi="Times New Roman" w:cs="Times New Roman"/>
          <w:szCs w:val="24"/>
          <w:lang w:val="en-US"/>
        </w:rPr>
        <w:t>describes how members of a society or institution deal with unstructured and unknown</w:t>
      </w:r>
      <w:r w:rsidR="00FE367C" w:rsidRPr="002C595D">
        <w:rPr>
          <w:rFonts w:ascii="Times New Roman" w:hAnsi="Times New Roman" w:cs="Times New Roman"/>
          <w:szCs w:val="24"/>
          <w:lang w:val="en-US"/>
        </w:rPr>
        <w:t xml:space="preserve"> situations, and in particular the wa</w:t>
      </w:r>
      <w:r w:rsidR="0008640D" w:rsidRPr="002C595D">
        <w:rPr>
          <w:rFonts w:ascii="Times New Roman" w:hAnsi="Times New Roman" w:cs="Times New Roman"/>
          <w:szCs w:val="24"/>
          <w:lang w:val="en-US"/>
        </w:rPr>
        <w:t>y</w:t>
      </w:r>
      <w:r w:rsidR="00FE367C" w:rsidRPr="002C595D">
        <w:rPr>
          <w:rFonts w:ascii="Times New Roman" w:hAnsi="Times New Roman" w:cs="Times New Roman"/>
          <w:szCs w:val="24"/>
          <w:lang w:val="en-US"/>
        </w:rPr>
        <w:t xml:space="preserve"> each culture teaches its members </w:t>
      </w:r>
      <w:r w:rsidR="0008640D" w:rsidRPr="002C595D">
        <w:rPr>
          <w:rFonts w:ascii="Times New Roman" w:hAnsi="Times New Roman" w:cs="Times New Roman"/>
          <w:szCs w:val="24"/>
          <w:lang w:val="en-US"/>
        </w:rPr>
        <w:t xml:space="preserve"> to cope with </w:t>
      </w:r>
      <w:r w:rsidR="00FE367C" w:rsidRPr="002C595D">
        <w:rPr>
          <w:rFonts w:ascii="Times New Roman" w:hAnsi="Times New Roman" w:cs="Times New Roman"/>
          <w:szCs w:val="24"/>
          <w:lang w:val="en-US"/>
        </w:rPr>
        <w:t xml:space="preserve">these </w:t>
      </w:r>
      <w:r w:rsidR="0008640D" w:rsidRPr="002C595D">
        <w:rPr>
          <w:rFonts w:ascii="Times New Roman" w:hAnsi="Times New Roman" w:cs="Times New Roman"/>
          <w:szCs w:val="24"/>
          <w:lang w:val="en-US"/>
        </w:rPr>
        <w:lastRenderedPageBreak/>
        <w:t xml:space="preserve">novel </w:t>
      </w:r>
      <w:r w:rsidR="00FE367C" w:rsidRPr="002C595D">
        <w:rPr>
          <w:rFonts w:ascii="Times New Roman" w:hAnsi="Times New Roman" w:cs="Times New Roman"/>
          <w:szCs w:val="24"/>
          <w:lang w:val="en-US"/>
        </w:rPr>
        <w:t>and ambiguous</w:t>
      </w:r>
      <w:r w:rsidR="0008640D" w:rsidRPr="002C595D">
        <w:rPr>
          <w:rFonts w:ascii="Times New Roman" w:hAnsi="Times New Roman" w:cs="Times New Roman"/>
          <w:szCs w:val="24"/>
          <w:lang w:val="en-US"/>
        </w:rPr>
        <w:t xml:space="preserve"> situations</w:t>
      </w:r>
      <w:r w:rsidR="00FE367C" w:rsidRPr="002C595D">
        <w:rPr>
          <w:rFonts w:ascii="Times New Roman" w:hAnsi="Times New Roman" w:cs="Times New Roman"/>
          <w:szCs w:val="24"/>
          <w:lang w:val="en-US"/>
        </w:rPr>
        <w:t xml:space="preserve">. We should keep in mind that uncertainty avoidance is not equivalent to risk avoidance. The difference is that societies </w:t>
      </w:r>
      <w:r w:rsidR="00B45BCA" w:rsidRPr="002C595D">
        <w:rPr>
          <w:rFonts w:ascii="Times New Roman" w:hAnsi="Times New Roman" w:cs="Times New Roman"/>
          <w:szCs w:val="24"/>
          <w:lang w:val="en-US"/>
        </w:rPr>
        <w:t xml:space="preserve">with high UA scores can bear a higher risk, given that there </w:t>
      </w:r>
      <w:r w:rsidR="00FF690D" w:rsidRPr="002C595D">
        <w:rPr>
          <w:rFonts w:ascii="Times New Roman" w:hAnsi="Times New Roman" w:cs="Times New Roman"/>
          <w:szCs w:val="24"/>
          <w:lang w:val="en-US"/>
        </w:rPr>
        <w:t xml:space="preserve">are </w:t>
      </w:r>
      <w:r w:rsidR="00B45BCA" w:rsidRPr="002C595D">
        <w:rPr>
          <w:rFonts w:ascii="Times New Roman" w:hAnsi="Times New Roman" w:cs="Times New Roman"/>
          <w:szCs w:val="24"/>
          <w:lang w:val="en-US"/>
        </w:rPr>
        <w:t xml:space="preserve">clear laws and rules structuring those risks. For these societies, uncertainty </w:t>
      </w:r>
      <w:r w:rsidR="009E78E6" w:rsidRPr="002C595D">
        <w:rPr>
          <w:rFonts w:ascii="Times New Roman" w:hAnsi="Times New Roman" w:cs="Times New Roman"/>
          <w:szCs w:val="24"/>
          <w:lang w:val="en-US"/>
        </w:rPr>
        <w:t xml:space="preserve">causes stress and anxiety, and unknown situations are seen as dangerous and have to be avoided by </w:t>
      </w:r>
      <w:r w:rsidR="00FF690D" w:rsidRPr="002C595D">
        <w:rPr>
          <w:rFonts w:ascii="Times New Roman" w:hAnsi="Times New Roman" w:cs="Times New Roman"/>
          <w:szCs w:val="24"/>
          <w:lang w:val="en-US"/>
        </w:rPr>
        <w:t xml:space="preserve">careful planning and regulation, while </w:t>
      </w:r>
      <w:r w:rsidR="009E78E6" w:rsidRPr="002C595D">
        <w:rPr>
          <w:rFonts w:ascii="Times New Roman" w:hAnsi="Times New Roman" w:cs="Times New Roman"/>
          <w:szCs w:val="24"/>
          <w:lang w:val="en-US"/>
        </w:rPr>
        <w:t xml:space="preserve">novel opinions are not easily accepted. On the other side, </w:t>
      </w:r>
      <w:r w:rsidR="00FF690D" w:rsidRPr="002C595D">
        <w:rPr>
          <w:rFonts w:ascii="Times New Roman" w:hAnsi="Times New Roman" w:cs="Times New Roman"/>
          <w:szCs w:val="24"/>
          <w:lang w:val="en-US"/>
        </w:rPr>
        <w:t xml:space="preserve">in </w:t>
      </w:r>
      <w:r w:rsidR="009E78E6" w:rsidRPr="002C595D">
        <w:rPr>
          <w:rFonts w:ascii="Times New Roman" w:hAnsi="Times New Roman" w:cs="Times New Roman"/>
          <w:szCs w:val="24"/>
          <w:lang w:val="en-US"/>
        </w:rPr>
        <w:t>Uncertainty-a</w:t>
      </w:r>
      <w:r w:rsidR="00FF690D" w:rsidRPr="002C595D">
        <w:rPr>
          <w:rFonts w:ascii="Times New Roman" w:hAnsi="Times New Roman" w:cs="Times New Roman"/>
          <w:szCs w:val="24"/>
          <w:lang w:val="en-US"/>
        </w:rPr>
        <w:t>ccepting cultures, uncertainty i</w:t>
      </w:r>
      <w:r w:rsidR="009E78E6" w:rsidRPr="002C595D">
        <w:rPr>
          <w:rFonts w:ascii="Times New Roman" w:hAnsi="Times New Roman" w:cs="Times New Roman"/>
          <w:szCs w:val="24"/>
          <w:lang w:val="en-US"/>
        </w:rPr>
        <w:t>s seen as something</w:t>
      </w:r>
      <w:r w:rsidR="00145CEC" w:rsidRPr="002C595D">
        <w:rPr>
          <w:rFonts w:ascii="Times New Roman" w:hAnsi="Times New Roman" w:cs="Times New Roman"/>
          <w:szCs w:val="24"/>
          <w:lang w:val="en-US"/>
        </w:rPr>
        <w:t xml:space="preserve"> normal, not causing stress or a need for high regulation and strict rules. </w:t>
      </w:r>
    </w:p>
    <w:p w:rsidR="00696DB1" w:rsidRPr="002C595D" w:rsidRDefault="00145CEC">
      <w:pPr>
        <w:spacing w:line="360" w:lineRule="auto"/>
        <w:jc w:val="both"/>
        <w:rPr>
          <w:sz w:val="20"/>
          <w:lang w:val="en-US"/>
        </w:rPr>
      </w:pPr>
      <w:r w:rsidRPr="002C595D">
        <w:rPr>
          <w:rFonts w:ascii="Times New Roman" w:hAnsi="Times New Roman" w:cs="Times New Roman"/>
          <w:szCs w:val="24"/>
          <w:lang w:val="en-US"/>
        </w:rPr>
        <w:t xml:space="preserve">The third dimension </w:t>
      </w:r>
      <w:r w:rsidR="00F227CF" w:rsidRPr="002C595D">
        <w:rPr>
          <w:rFonts w:ascii="Times New Roman" w:hAnsi="Times New Roman" w:cs="Times New Roman"/>
          <w:b/>
          <w:szCs w:val="24"/>
          <w:lang w:val="en-US"/>
        </w:rPr>
        <w:t>Individualism (IDV)</w:t>
      </w:r>
      <w:r w:rsidR="00F227CF" w:rsidRPr="002C595D">
        <w:rPr>
          <w:rFonts w:ascii="Times New Roman" w:hAnsi="Times New Roman" w:cs="Times New Roman"/>
          <w:szCs w:val="24"/>
          <w:lang w:val="en-US"/>
        </w:rPr>
        <w:t xml:space="preserve"> </w:t>
      </w:r>
      <w:r w:rsidRPr="002C595D">
        <w:rPr>
          <w:rFonts w:ascii="Times New Roman" w:hAnsi="Times New Roman" w:cs="Times New Roman"/>
          <w:szCs w:val="24"/>
          <w:lang w:val="en-US"/>
        </w:rPr>
        <w:t>with</w:t>
      </w:r>
      <w:r w:rsidR="00F227CF" w:rsidRPr="002C595D">
        <w:rPr>
          <w:rFonts w:ascii="Times New Roman" w:hAnsi="Times New Roman" w:cs="Times New Roman"/>
          <w:szCs w:val="24"/>
          <w:lang w:val="en-US"/>
        </w:rPr>
        <w:t xml:space="preserve"> its opposite, </w:t>
      </w:r>
      <w:r w:rsidR="00F227CF" w:rsidRPr="002C595D">
        <w:rPr>
          <w:rFonts w:ascii="Times New Roman" w:hAnsi="Times New Roman" w:cs="Times New Roman"/>
          <w:b/>
          <w:szCs w:val="24"/>
          <w:lang w:val="en-US"/>
        </w:rPr>
        <w:t>Collectivism</w:t>
      </w:r>
      <w:r w:rsidR="00F227CF" w:rsidRPr="002C595D">
        <w:rPr>
          <w:rFonts w:ascii="Times New Roman" w:hAnsi="Times New Roman" w:cs="Times New Roman"/>
          <w:szCs w:val="24"/>
          <w:lang w:val="en-US"/>
        </w:rPr>
        <w:t xml:space="preserve">, </w:t>
      </w:r>
      <w:r w:rsidRPr="002C595D">
        <w:rPr>
          <w:rFonts w:ascii="Times New Roman" w:hAnsi="Times New Roman" w:cs="Times New Roman"/>
          <w:szCs w:val="24"/>
          <w:lang w:val="en-US"/>
        </w:rPr>
        <w:t xml:space="preserve">refers to the  extent that members of a culture </w:t>
      </w:r>
      <w:r w:rsidR="00F227CF" w:rsidRPr="002C595D">
        <w:rPr>
          <w:rFonts w:ascii="Times New Roman" w:hAnsi="Times New Roman" w:cs="Times New Roman"/>
          <w:szCs w:val="24"/>
          <w:lang w:val="en-US"/>
        </w:rPr>
        <w:t>are integrated into groups.</w:t>
      </w:r>
      <w:r w:rsidRPr="002C595D">
        <w:rPr>
          <w:rFonts w:ascii="Times New Roman" w:hAnsi="Times New Roman" w:cs="Times New Roman"/>
          <w:szCs w:val="24"/>
          <w:lang w:val="en-US"/>
        </w:rPr>
        <w:t xml:space="preserve"> I</w:t>
      </w:r>
      <w:r w:rsidR="00F227CF" w:rsidRPr="002C595D">
        <w:rPr>
          <w:rFonts w:ascii="Times New Roman" w:hAnsi="Times New Roman" w:cs="Times New Roman"/>
          <w:szCs w:val="24"/>
          <w:lang w:val="en-US"/>
        </w:rPr>
        <w:t xml:space="preserve">ndividualist </w:t>
      </w:r>
      <w:r w:rsidRPr="002C595D">
        <w:rPr>
          <w:rFonts w:ascii="Times New Roman" w:hAnsi="Times New Roman" w:cs="Times New Roman"/>
          <w:szCs w:val="24"/>
          <w:lang w:val="en-US"/>
        </w:rPr>
        <w:t>societies  present loose ties among their members, where everyone cares for his own interest and close family</w:t>
      </w:r>
      <w:r w:rsidR="00F227CF" w:rsidRPr="002C595D">
        <w:rPr>
          <w:rFonts w:ascii="Times New Roman" w:hAnsi="Times New Roman" w:cs="Times New Roman"/>
          <w:szCs w:val="24"/>
          <w:lang w:val="en-US"/>
        </w:rPr>
        <w:t>.</w:t>
      </w:r>
      <w:r w:rsidR="004814BD" w:rsidRPr="002C595D">
        <w:rPr>
          <w:rFonts w:ascii="Times New Roman" w:hAnsi="Times New Roman" w:cs="Times New Roman"/>
          <w:szCs w:val="24"/>
          <w:lang w:val="en-US"/>
        </w:rPr>
        <w:t xml:space="preserve"> There s a higher degree of self-importance and interest in individual rights. On the contrary, Collectivist societies have a great sense of team spirit, while people are part of large groups and families, and are willing to give up personal gains for the sake of their relatives.</w:t>
      </w:r>
    </w:p>
    <w:p w:rsidR="00696DB1" w:rsidRPr="002C595D" w:rsidRDefault="001209E7">
      <w:pPr>
        <w:spacing w:line="360" w:lineRule="auto"/>
        <w:jc w:val="both"/>
        <w:rPr>
          <w:rFonts w:ascii="Times New Roman" w:hAnsi="Times New Roman" w:cs="Times New Roman"/>
          <w:szCs w:val="24"/>
          <w:lang w:val="en-US"/>
        </w:rPr>
      </w:pPr>
      <w:r w:rsidRPr="002C595D">
        <w:rPr>
          <w:rFonts w:ascii="Times New Roman" w:hAnsi="Times New Roman" w:cs="Times New Roman"/>
          <w:szCs w:val="24"/>
          <w:lang w:val="en-US"/>
        </w:rPr>
        <w:t xml:space="preserve">The last dimension is </w:t>
      </w:r>
      <w:r w:rsidR="00F227CF" w:rsidRPr="002C595D">
        <w:rPr>
          <w:rFonts w:ascii="Times New Roman" w:hAnsi="Times New Roman" w:cs="Times New Roman"/>
          <w:b/>
          <w:szCs w:val="24"/>
          <w:lang w:val="en-US"/>
        </w:rPr>
        <w:t>Masculinity</w:t>
      </w:r>
      <w:r w:rsidR="00F227CF" w:rsidRPr="002C595D">
        <w:rPr>
          <w:rFonts w:ascii="Times New Roman" w:hAnsi="Times New Roman" w:cs="Times New Roman"/>
          <w:szCs w:val="24"/>
          <w:lang w:val="en-US"/>
        </w:rPr>
        <w:t xml:space="preserve"> versus its opposite, </w:t>
      </w:r>
      <w:r w:rsidR="00F227CF" w:rsidRPr="002C595D">
        <w:rPr>
          <w:rFonts w:ascii="Times New Roman" w:hAnsi="Times New Roman" w:cs="Times New Roman"/>
          <w:b/>
          <w:szCs w:val="24"/>
          <w:lang w:val="en-US"/>
        </w:rPr>
        <w:t>Femininity</w:t>
      </w:r>
      <w:r w:rsidR="009C2178" w:rsidRPr="002C595D">
        <w:rPr>
          <w:rFonts w:ascii="Times New Roman" w:hAnsi="Times New Roman" w:cs="Times New Roman"/>
          <w:szCs w:val="24"/>
          <w:lang w:val="en-US"/>
        </w:rPr>
        <w:t>. A society is described as Masculine when the distribution of values  and gender roles are obviously discrete. Men are expected to be assertive and competitive, driven by urge for success and wealth, while women are expected to be more caring and modest, looking for a better quality of life. In Feminine societies  the distribution of values and gender roles are not separate</w:t>
      </w:r>
      <w:r w:rsidR="00A81239" w:rsidRPr="002C595D">
        <w:rPr>
          <w:rFonts w:ascii="Times New Roman" w:hAnsi="Times New Roman" w:cs="Times New Roman"/>
          <w:szCs w:val="24"/>
          <w:lang w:val="en-US"/>
        </w:rPr>
        <w:t>. Both genders are modest and concerned about the quality of life.</w:t>
      </w:r>
    </w:p>
    <w:p w:rsidR="00696DB1" w:rsidRPr="002C595D" w:rsidRDefault="00A81239">
      <w:pPr>
        <w:spacing w:line="360" w:lineRule="auto"/>
        <w:jc w:val="both"/>
        <w:rPr>
          <w:rFonts w:ascii="Times New Roman" w:hAnsi="Times New Roman" w:cs="Times New Roman"/>
          <w:szCs w:val="24"/>
          <w:lang w:val="en-US"/>
        </w:rPr>
      </w:pPr>
      <w:r w:rsidRPr="002C595D">
        <w:rPr>
          <w:rFonts w:ascii="Times New Roman" w:hAnsi="Times New Roman" w:cs="Times New Roman"/>
          <w:szCs w:val="24"/>
          <w:lang w:val="en-US"/>
        </w:rPr>
        <w:t xml:space="preserve">Although the above dimensions may look like an oversimplified way to analyze cultural differences </w:t>
      </w:r>
      <w:r w:rsidR="00196FD9" w:rsidRPr="002C595D">
        <w:rPr>
          <w:rFonts w:ascii="Times New Roman" w:hAnsi="Times New Roman" w:cs="Times New Roman"/>
          <w:szCs w:val="24"/>
          <w:lang w:val="en-US"/>
        </w:rPr>
        <w:t xml:space="preserve">among countries, it is proved through a great number of studies that they are verified </w:t>
      </w:r>
      <w:r w:rsidR="00366DDF" w:rsidRPr="002C595D">
        <w:rPr>
          <w:rFonts w:ascii="Times New Roman" w:hAnsi="Times New Roman" w:cs="Times New Roman"/>
          <w:szCs w:val="24"/>
          <w:lang w:val="en-US"/>
        </w:rPr>
        <w:t>across</w:t>
      </w:r>
      <w:r w:rsidR="00196FD9" w:rsidRPr="002C595D">
        <w:rPr>
          <w:rFonts w:ascii="Times New Roman" w:hAnsi="Times New Roman" w:cs="Times New Roman"/>
          <w:szCs w:val="24"/>
          <w:lang w:val="en-US"/>
        </w:rPr>
        <w:t xml:space="preserve"> many different </w:t>
      </w:r>
      <w:r w:rsidR="00FF690D" w:rsidRPr="002C595D">
        <w:rPr>
          <w:rFonts w:ascii="Times New Roman" w:hAnsi="Times New Roman" w:cs="Times New Roman"/>
          <w:szCs w:val="24"/>
          <w:lang w:val="en-US"/>
        </w:rPr>
        <w:t>areas</w:t>
      </w:r>
      <w:r w:rsidR="00196FD9" w:rsidRPr="002C595D">
        <w:rPr>
          <w:rFonts w:ascii="Times New Roman" w:hAnsi="Times New Roman" w:cs="Times New Roman"/>
          <w:szCs w:val="24"/>
          <w:lang w:val="en-US"/>
        </w:rPr>
        <w:t xml:space="preserve"> of research. As mentioned above, Hofstede's Cultural Dimension provide a general framework, which is its great</w:t>
      </w:r>
      <w:r w:rsidR="00FF690D" w:rsidRPr="002C595D">
        <w:rPr>
          <w:rFonts w:ascii="Times New Roman" w:hAnsi="Times New Roman" w:cs="Times New Roman"/>
          <w:szCs w:val="24"/>
          <w:lang w:val="en-US"/>
        </w:rPr>
        <w:t>est</w:t>
      </w:r>
      <w:r w:rsidR="00196FD9" w:rsidRPr="002C595D">
        <w:rPr>
          <w:rFonts w:ascii="Times New Roman" w:hAnsi="Times New Roman" w:cs="Times New Roman"/>
          <w:szCs w:val="24"/>
          <w:lang w:val="en-US"/>
        </w:rPr>
        <w:t xml:space="preserve"> advantage, since they can be applied to</w:t>
      </w:r>
      <w:r w:rsidR="00366DDF" w:rsidRPr="002C595D">
        <w:rPr>
          <w:rFonts w:ascii="Times New Roman" w:hAnsi="Times New Roman" w:cs="Times New Roman"/>
          <w:szCs w:val="24"/>
          <w:lang w:val="en-US"/>
        </w:rPr>
        <w:t xml:space="preserve"> the</w:t>
      </w:r>
      <w:r w:rsidR="00196FD9" w:rsidRPr="002C595D">
        <w:rPr>
          <w:rFonts w:ascii="Times New Roman" w:hAnsi="Times New Roman" w:cs="Times New Roman"/>
          <w:szCs w:val="24"/>
          <w:lang w:val="en-US"/>
        </w:rPr>
        <w:t xml:space="preserve"> study</w:t>
      </w:r>
      <w:r w:rsidR="00366DDF" w:rsidRPr="002C595D">
        <w:rPr>
          <w:rFonts w:ascii="Times New Roman" w:hAnsi="Times New Roman" w:cs="Times New Roman"/>
          <w:szCs w:val="24"/>
          <w:lang w:val="en-US"/>
        </w:rPr>
        <w:t xml:space="preserve"> of </w:t>
      </w:r>
      <w:r w:rsidR="00196FD9" w:rsidRPr="002C595D">
        <w:rPr>
          <w:rFonts w:ascii="Times New Roman" w:hAnsi="Times New Roman" w:cs="Times New Roman"/>
          <w:szCs w:val="24"/>
          <w:lang w:val="en-US"/>
        </w:rPr>
        <w:t xml:space="preserve"> ma</w:t>
      </w:r>
      <w:r w:rsidR="00FF690D" w:rsidRPr="002C595D">
        <w:rPr>
          <w:rFonts w:ascii="Times New Roman" w:hAnsi="Times New Roman" w:cs="Times New Roman"/>
          <w:szCs w:val="24"/>
          <w:lang w:val="en-US"/>
        </w:rPr>
        <w:t>ny cultures, but also its biggest</w:t>
      </w:r>
      <w:r w:rsidR="00196FD9" w:rsidRPr="002C595D">
        <w:rPr>
          <w:rFonts w:ascii="Times New Roman" w:hAnsi="Times New Roman" w:cs="Times New Roman"/>
          <w:szCs w:val="24"/>
          <w:lang w:val="en-US"/>
        </w:rPr>
        <w:t xml:space="preserve"> limitation. According to </w:t>
      </w:r>
      <w:r w:rsidR="00FF690D" w:rsidRPr="002C595D">
        <w:rPr>
          <w:rFonts w:ascii="Times New Roman" w:hAnsi="Times New Roman" w:cs="Times New Roman"/>
          <w:szCs w:val="24"/>
          <w:lang w:val="en-US"/>
        </w:rPr>
        <w:t>Hempel</w:t>
      </w:r>
      <w:r w:rsidR="00196FD9" w:rsidRPr="002C595D">
        <w:rPr>
          <w:rFonts w:ascii="Times New Roman" w:hAnsi="Times New Roman" w:cs="Times New Roman"/>
          <w:szCs w:val="24"/>
          <w:lang w:val="en-US"/>
        </w:rPr>
        <w:t>(</w:t>
      </w:r>
      <w:r w:rsidR="00FF690D" w:rsidRPr="002C595D">
        <w:rPr>
          <w:rFonts w:ascii="Times New Roman" w:hAnsi="Times New Roman" w:cs="Times New Roman"/>
          <w:szCs w:val="24"/>
          <w:lang w:val="en-US"/>
        </w:rPr>
        <w:t>1998</w:t>
      </w:r>
      <w:r w:rsidR="00196FD9" w:rsidRPr="002C595D">
        <w:rPr>
          <w:rFonts w:ascii="Times New Roman" w:hAnsi="Times New Roman" w:cs="Times New Roman"/>
          <w:szCs w:val="24"/>
          <w:lang w:val="en-US"/>
        </w:rPr>
        <w:t>)</w:t>
      </w:r>
      <w:r w:rsidR="00FF690D" w:rsidRPr="002C595D">
        <w:rPr>
          <w:rFonts w:ascii="Times New Roman" w:hAnsi="Times New Roman" w:cs="Times New Roman"/>
          <w:szCs w:val="24"/>
          <w:lang w:val="en-US"/>
        </w:rPr>
        <w:t>,</w:t>
      </w:r>
      <w:r w:rsidR="00196FD9" w:rsidRPr="002C595D">
        <w:rPr>
          <w:rFonts w:ascii="Times New Roman" w:hAnsi="Times New Roman" w:cs="Times New Roman"/>
          <w:szCs w:val="24"/>
          <w:lang w:val="en-US"/>
        </w:rPr>
        <w:t xml:space="preserve"> there are many specific aspects of individual cultures that are not taken into consideration. But still, even with this limitation, Hofstede's model is a powerful toolkit for those who want to examine cross cultural differences.</w:t>
      </w:r>
    </w:p>
    <w:p w:rsidR="00696DB1" w:rsidRPr="000C576E" w:rsidRDefault="00E674D1">
      <w:pPr>
        <w:spacing w:line="360" w:lineRule="auto"/>
        <w:jc w:val="both"/>
        <w:rPr>
          <w:rFonts w:ascii="Arial" w:hAnsi="Arial" w:cs="Arial"/>
          <w:i/>
          <w:szCs w:val="24"/>
          <w:lang w:val="en-US"/>
        </w:rPr>
      </w:pPr>
      <w:r w:rsidRPr="000C576E">
        <w:rPr>
          <w:rFonts w:ascii="Arial" w:hAnsi="Arial" w:cs="Arial"/>
          <w:b/>
          <w:i/>
          <w:lang w:val="en-US"/>
        </w:rPr>
        <w:t xml:space="preserve">2.2. </w:t>
      </w:r>
      <w:r w:rsidR="00430E40" w:rsidRPr="000C576E">
        <w:rPr>
          <w:rFonts w:ascii="Arial" w:hAnsi="Arial" w:cs="Arial"/>
          <w:b/>
          <w:i/>
          <w:lang w:val="en-US"/>
        </w:rPr>
        <w:t xml:space="preserve">Previous Literature </w:t>
      </w:r>
      <w:r w:rsidRPr="000C576E">
        <w:rPr>
          <w:rFonts w:ascii="Arial" w:hAnsi="Arial" w:cs="Arial"/>
          <w:b/>
          <w:i/>
          <w:lang w:val="en-US"/>
        </w:rPr>
        <w:t>on culture and economics</w:t>
      </w:r>
    </w:p>
    <w:p w:rsidR="00696DB1" w:rsidRPr="002C595D" w:rsidRDefault="00430E40">
      <w:pPr>
        <w:spacing w:line="360" w:lineRule="auto"/>
        <w:jc w:val="both"/>
        <w:rPr>
          <w:rFonts w:ascii="Times New Roman" w:hAnsi="Times New Roman" w:cs="Times New Roman"/>
          <w:lang w:val="en-US"/>
        </w:rPr>
      </w:pPr>
      <w:r w:rsidRPr="002C595D">
        <w:rPr>
          <w:rFonts w:ascii="Times New Roman" w:hAnsi="Times New Roman" w:cs="Times New Roman"/>
          <w:lang w:val="en-US"/>
        </w:rPr>
        <w:t>There is a great body of literature that uses Hofstede's cultural dimensions in studies related to marketing, business administration, fin</w:t>
      </w:r>
      <w:r w:rsidR="00E674D1" w:rsidRPr="002C595D">
        <w:rPr>
          <w:rFonts w:ascii="Times New Roman" w:hAnsi="Times New Roman" w:cs="Times New Roman"/>
          <w:lang w:val="en-US"/>
        </w:rPr>
        <w:t xml:space="preserve">ancial markets and many more. </w:t>
      </w:r>
      <w:r w:rsidRPr="002C595D">
        <w:rPr>
          <w:rFonts w:ascii="Times New Roman" w:hAnsi="Times New Roman" w:cs="Times New Roman"/>
          <w:lang w:val="en-US"/>
        </w:rPr>
        <w:t xml:space="preserve">Some of them can give an insight of how pension funds' risk appetite can be influenced by national culture. In the section that follows, </w:t>
      </w:r>
      <w:r w:rsidR="00894A99" w:rsidRPr="002C595D">
        <w:rPr>
          <w:rFonts w:ascii="Times New Roman" w:hAnsi="Times New Roman" w:cs="Times New Roman"/>
          <w:lang w:val="en-US"/>
        </w:rPr>
        <w:t xml:space="preserve">some of these studies are presented. </w:t>
      </w:r>
    </w:p>
    <w:p w:rsidR="00696DB1" w:rsidRPr="002C595D" w:rsidRDefault="002911E8">
      <w:pPr>
        <w:spacing w:line="360" w:lineRule="auto"/>
        <w:jc w:val="both"/>
        <w:rPr>
          <w:rFonts w:ascii="Times New Roman" w:hAnsi="Times New Roman" w:cs="Times New Roman"/>
          <w:lang w:val="en-US"/>
        </w:rPr>
      </w:pPr>
      <w:r w:rsidRPr="002C595D">
        <w:rPr>
          <w:rFonts w:ascii="Times New Roman" w:hAnsi="Times New Roman" w:cs="Times New Roman"/>
          <w:lang w:val="en-US"/>
        </w:rPr>
        <w:t>In a study on Iran</w:t>
      </w:r>
      <w:r w:rsidR="00782C4F" w:rsidRPr="002C595D">
        <w:rPr>
          <w:rFonts w:ascii="Times New Roman" w:hAnsi="Times New Roman" w:cs="Times New Roman"/>
          <w:lang w:val="en-US"/>
        </w:rPr>
        <w:t>ian</w:t>
      </w:r>
      <w:r w:rsidRPr="002C595D">
        <w:rPr>
          <w:rFonts w:ascii="Times New Roman" w:hAnsi="Times New Roman" w:cs="Times New Roman"/>
          <w:lang w:val="en-US"/>
        </w:rPr>
        <w:t xml:space="preserve"> Stock exchange investment decisions, Amirhosseini, Branch and Okere found that </w:t>
      </w:r>
      <w:r w:rsidR="00782C4F" w:rsidRPr="002C595D">
        <w:rPr>
          <w:rFonts w:ascii="Times New Roman" w:hAnsi="Times New Roman" w:cs="Times New Roman"/>
          <w:lang w:val="en-US"/>
        </w:rPr>
        <w:t xml:space="preserve">Iranian investors are not following market trends because of the high level of Collectivism </w:t>
      </w:r>
      <w:r w:rsidR="00FF690D" w:rsidRPr="002C595D">
        <w:rPr>
          <w:rFonts w:ascii="Times New Roman" w:hAnsi="Times New Roman" w:cs="Times New Roman"/>
          <w:lang w:val="en-US"/>
        </w:rPr>
        <w:t>met</w:t>
      </w:r>
      <w:r w:rsidR="00782C4F" w:rsidRPr="002C595D">
        <w:rPr>
          <w:rFonts w:ascii="Times New Roman" w:hAnsi="Times New Roman" w:cs="Times New Roman"/>
          <w:lang w:val="en-US"/>
        </w:rPr>
        <w:t xml:space="preserve"> in their society.  Iran is a country with a high PDI score, and it is found that the high level of inequality of power and status induced by this score,  </w:t>
      </w:r>
      <w:r w:rsidR="00791397" w:rsidRPr="002C595D">
        <w:rPr>
          <w:rFonts w:ascii="Times New Roman" w:hAnsi="Times New Roman" w:cs="Times New Roman"/>
          <w:lang w:val="en-US"/>
        </w:rPr>
        <w:t xml:space="preserve">influences the investment behavior, resulting in a low risk portfolio </w:t>
      </w:r>
      <w:r w:rsidR="00791397" w:rsidRPr="002C595D">
        <w:rPr>
          <w:rFonts w:ascii="Times New Roman" w:hAnsi="Times New Roman" w:cs="Times New Roman"/>
          <w:lang w:val="en-US"/>
        </w:rPr>
        <w:lastRenderedPageBreak/>
        <w:t xml:space="preserve">allocation. </w:t>
      </w:r>
      <w:r w:rsidR="001B6BB2" w:rsidRPr="002C595D">
        <w:rPr>
          <w:rFonts w:ascii="Times New Roman" w:hAnsi="Times New Roman" w:cs="Times New Roman"/>
          <w:lang w:val="en-US"/>
        </w:rPr>
        <w:t>According to their results , t</w:t>
      </w:r>
      <w:r w:rsidR="00791397" w:rsidRPr="002C595D">
        <w:rPr>
          <w:rFonts w:ascii="Times New Roman" w:hAnsi="Times New Roman" w:cs="Times New Roman"/>
          <w:lang w:val="en-US"/>
        </w:rPr>
        <w:t xml:space="preserve">he strong Masculinity element in Iran is linked with low risk aversion </w:t>
      </w:r>
      <w:r w:rsidR="001B6BB2" w:rsidRPr="002C595D">
        <w:rPr>
          <w:rFonts w:ascii="Times New Roman" w:hAnsi="Times New Roman" w:cs="Times New Roman"/>
          <w:lang w:val="en-US"/>
        </w:rPr>
        <w:t>and thus</w:t>
      </w:r>
      <w:r w:rsidR="00FF690D" w:rsidRPr="002C595D">
        <w:rPr>
          <w:rFonts w:ascii="Times New Roman" w:hAnsi="Times New Roman" w:cs="Times New Roman"/>
          <w:lang w:val="en-US"/>
        </w:rPr>
        <w:t xml:space="preserve"> leading to</w:t>
      </w:r>
      <w:r w:rsidR="00791397" w:rsidRPr="002C595D">
        <w:rPr>
          <w:rFonts w:ascii="Times New Roman" w:hAnsi="Times New Roman" w:cs="Times New Roman"/>
          <w:lang w:val="en-US"/>
        </w:rPr>
        <w:t xml:space="preserve"> a more aggressive investment profile</w:t>
      </w:r>
      <w:r w:rsidR="001B6BB2" w:rsidRPr="002C595D">
        <w:rPr>
          <w:rFonts w:ascii="Times New Roman" w:hAnsi="Times New Roman" w:cs="Times New Roman"/>
          <w:lang w:val="en-US"/>
        </w:rPr>
        <w:t xml:space="preserve"> with higher returns. Finally, they found that the most important cultural dimension affecting stock exchange investments is Uncertainty Avoidance. Iran, as a high UA society,</w:t>
      </w:r>
      <w:r w:rsidR="00FF690D" w:rsidRPr="002C595D">
        <w:rPr>
          <w:rFonts w:ascii="Times New Roman" w:hAnsi="Times New Roman" w:cs="Times New Roman"/>
          <w:lang w:val="en-US"/>
        </w:rPr>
        <w:t xml:space="preserve"> which</w:t>
      </w:r>
      <w:r w:rsidR="001B6BB2" w:rsidRPr="002C595D">
        <w:rPr>
          <w:rFonts w:ascii="Times New Roman" w:hAnsi="Times New Roman" w:cs="Times New Roman"/>
          <w:lang w:val="en-US"/>
        </w:rPr>
        <w:t xml:space="preserve"> will resist to anything new and ambiguous, making them amore risk averse. It is obvious that differences in cultural dimensions lead to differences in investment decisions. </w:t>
      </w:r>
    </w:p>
    <w:p w:rsidR="00696DB1" w:rsidRPr="002C595D" w:rsidRDefault="00430E40">
      <w:pPr>
        <w:spacing w:line="360" w:lineRule="auto"/>
        <w:jc w:val="both"/>
        <w:rPr>
          <w:rFonts w:ascii="Times New Roman" w:hAnsi="Times New Roman" w:cs="Times New Roman"/>
          <w:lang w:val="en-US"/>
        </w:rPr>
      </w:pPr>
      <w:r w:rsidRPr="002C595D">
        <w:rPr>
          <w:rFonts w:ascii="Times New Roman" w:hAnsi="Times New Roman" w:cs="Times New Roman"/>
          <w:lang w:val="en-US"/>
        </w:rPr>
        <w:t xml:space="preserve">Schuler &amp; Rogovsky </w:t>
      </w:r>
      <w:r w:rsidR="00E674D1" w:rsidRPr="002C595D">
        <w:rPr>
          <w:rFonts w:ascii="Times New Roman" w:hAnsi="Times New Roman" w:cs="Times New Roman"/>
          <w:lang w:val="en-US"/>
        </w:rPr>
        <w:t>concluded</w:t>
      </w:r>
      <w:r w:rsidRPr="002C595D">
        <w:rPr>
          <w:rFonts w:ascii="Times New Roman" w:hAnsi="Times New Roman" w:cs="Times New Roman"/>
          <w:lang w:val="en-US"/>
        </w:rPr>
        <w:t xml:space="preserve"> that </w:t>
      </w:r>
      <w:r w:rsidR="00211547" w:rsidRPr="002C595D">
        <w:rPr>
          <w:rFonts w:ascii="Times New Roman" w:hAnsi="Times New Roman" w:cs="Times New Roman"/>
          <w:lang w:val="en-US"/>
        </w:rPr>
        <w:t>low PD score in a society is an indica</w:t>
      </w:r>
      <w:r w:rsidR="00E674D1" w:rsidRPr="002C595D">
        <w:rPr>
          <w:rFonts w:ascii="Times New Roman" w:hAnsi="Times New Roman" w:cs="Times New Roman"/>
          <w:lang w:val="en-US"/>
        </w:rPr>
        <w:t xml:space="preserve">tor for higher social pensions </w:t>
      </w:r>
      <w:r w:rsidR="00211547" w:rsidRPr="002C595D">
        <w:rPr>
          <w:rFonts w:ascii="Times New Roman" w:hAnsi="Times New Roman" w:cs="Times New Roman"/>
          <w:lang w:val="en-US"/>
        </w:rPr>
        <w:t xml:space="preserve">and that in these countries income </w:t>
      </w:r>
      <w:r w:rsidR="00DD0A3B" w:rsidRPr="002C595D">
        <w:rPr>
          <w:rFonts w:ascii="Times New Roman" w:hAnsi="Times New Roman" w:cs="Times New Roman"/>
          <w:lang w:val="en-US"/>
        </w:rPr>
        <w:t>is reallocated to people with lower income.</w:t>
      </w:r>
    </w:p>
    <w:p w:rsidR="00696DB1" w:rsidRPr="002C595D" w:rsidRDefault="00CB68F4">
      <w:pPr>
        <w:spacing w:line="360" w:lineRule="auto"/>
        <w:jc w:val="both"/>
        <w:rPr>
          <w:rFonts w:ascii="Times New Roman" w:hAnsi="Times New Roman" w:cs="Times New Roman"/>
          <w:lang w:val="en-US"/>
        </w:rPr>
      </w:pPr>
      <w:r w:rsidRPr="002C595D">
        <w:rPr>
          <w:rFonts w:ascii="Times New Roman" w:hAnsi="Times New Roman" w:cs="Times New Roman"/>
          <w:lang w:val="en-US"/>
        </w:rPr>
        <w:t xml:space="preserve">Leung, Bhagat, Buchan, Erez, and Gibson (2005), </w:t>
      </w:r>
      <w:r w:rsidR="00162CD0" w:rsidRPr="002C595D">
        <w:rPr>
          <w:rFonts w:ascii="Times New Roman" w:hAnsi="Times New Roman" w:cs="Times New Roman"/>
          <w:lang w:val="en-US"/>
        </w:rPr>
        <w:t xml:space="preserve">made a review of all the previous studies associated with </w:t>
      </w:r>
      <w:r w:rsidRPr="002C595D">
        <w:rPr>
          <w:rFonts w:ascii="Times New Roman" w:hAnsi="Times New Roman" w:cs="Times New Roman"/>
          <w:lang w:val="en-US"/>
        </w:rPr>
        <w:t>culture and international business,</w:t>
      </w:r>
      <w:r w:rsidR="00162CD0" w:rsidRPr="002C595D">
        <w:rPr>
          <w:rFonts w:ascii="Times New Roman" w:hAnsi="Times New Roman" w:cs="Times New Roman"/>
          <w:lang w:val="en-US"/>
        </w:rPr>
        <w:t xml:space="preserve"> and came to the conclusion that cultural differences seriously affect individual behavior when exposed to uncertain conditions.</w:t>
      </w:r>
    </w:p>
    <w:p w:rsidR="00696DB1" w:rsidRPr="002C595D" w:rsidRDefault="000D5A98">
      <w:pPr>
        <w:spacing w:line="360" w:lineRule="auto"/>
        <w:jc w:val="both"/>
        <w:rPr>
          <w:rFonts w:ascii="Times New Roman" w:hAnsi="Times New Roman" w:cs="Times New Roman"/>
          <w:lang w:val="en-US"/>
        </w:rPr>
      </w:pPr>
      <w:r w:rsidRPr="002C595D">
        <w:rPr>
          <w:rFonts w:ascii="Times New Roman" w:hAnsi="Times New Roman" w:cs="Times New Roman"/>
          <w:lang w:val="en-US"/>
        </w:rPr>
        <w:t>Kwok and Tadesse (2006) made an important link between risk avoidance and Uncertainty Avoidance. Hofstede clearly states that those two concepts are not the same. However, they proved that cultures with high UA levels have adopted a bank-based financial system,</w:t>
      </w:r>
      <w:r w:rsidR="00772F2A" w:rsidRPr="002C595D">
        <w:rPr>
          <w:rFonts w:ascii="Times New Roman" w:hAnsi="Times New Roman" w:cs="Times New Roman"/>
          <w:lang w:val="en-US"/>
        </w:rPr>
        <w:t xml:space="preserve"> because of the fixed returns that bank deposits can secure. On the contrary, cultures with low</w:t>
      </w:r>
      <w:r w:rsidR="00732895" w:rsidRPr="002C595D">
        <w:rPr>
          <w:rFonts w:ascii="Times New Roman" w:hAnsi="Times New Roman" w:cs="Times New Roman"/>
          <w:lang w:val="en-US"/>
        </w:rPr>
        <w:t xml:space="preserve"> UA</w:t>
      </w:r>
      <w:r w:rsidR="00772F2A" w:rsidRPr="002C595D">
        <w:rPr>
          <w:rFonts w:ascii="Times New Roman" w:hAnsi="Times New Roman" w:cs="Times New Roman"/>
          <w:lang w:val="en-US"/>
        </w:rPr>
        <w:t xml:space="preserve"> scores show a preference for </w:t>
      </w:r>
      <w:r w:rsidR="008E6E95" w:rsidRPr="002C595D">
        <w:rPr>
          <w:rFonts w:ascii="Times New Roman" w:hAnsi="Times New Roman" w:cs="Times New Roman"/>
          <w:lang w:val="en-US"/>
        </w:rPr>
        <w:t>stock market</w:t>
      </w:r>
      <w:r w:rsidR="00772F2A" w:rsidRPr="002C595D">
        <w:rPr>
          <w:rFonts w:ascii="Times New Roman" w:hAnsi="Times New Roman" w:cs="Times New Roman"/>
          <w:lang w:val="en-US"/>
        </w:rPr>
        <w:t xml:space="preserve"> investments, which</w:t>
      </w:r>
      <w:r w:rsidR="00732895" w:rsidRPr="002C595D">
        <w:rPr>
          <w:rFonts w:ascii="Times New Roman" w:hAnsi="Times New Roman" w:cs="Times New Roman"/>
          <w:lang w:val="en-US"/>
        </w:rPr>
        <w:t xml:space="preserve"> are linked with higher volatility </w:t>
      </w:r>
      <w:r w:rsidR="00FF690D" w:rsidRPr="002C595D">
        <w:rPr>
          <w:rFonts w:ascii="Times New Roman" w:hAnsi="Times New Roman" w:cs="Times New Roman"/>
          <w:lang w:val="en-US"/>
        </w:rPr>
        <w:t>and</w:t>
      </w:r>
      <w:r w:rsidR="00732895" w:rsidRPr="002C595D">
        <w:rPr>
          <w:rFonts w:ascii="Times New Roman" w:hAnsi="Times New Roman" w:cs="Times New Roman"/>
          <w:lang w:val="en-US"/>
        </w:rPr>
        <w:t xml:space="preserve"> superior returns.</w:t>
      </w:r>
      <w:r w:rsidRPr="002C595D">
        <w:rPr>
          <w:rFonts w:ascii="Times New Roman" w:hAnsi="Times New Roman" w:cs="Times New Roman"/>
          <w:lang w:val="en-US"/>
        </w:rPr>
        <w:t xml:space="preserve"> </w:t>
      </w:r>
      <w:r w:rsidR="005465E4" w:rsidRPr="002C595D">
        <w:rPr>
          <w:rFonts w:ascii="Times New Roman" w:hAnsi="Times New Roman" w:cs="Times New Roman"/>
          <w:lang w:val="en-US"/>
        </w:rPr>
        <w:t>Aggarwal and Goodell (2009) come to support these findings  in their study</w:t>
      </w:r>
      <w:r w:rsidR="007B3359" w:rsidRPr="002C595D">
        <w:rPr>
          <w:rFonts w:ascii="Times New Roman" w:hAnsi="Times New Roman" w:cs="Times New Roman"/>
          <w:lang w:val="en-US"/>
        </w:rPr>
        <w:t xml:space="preserve"> Markets and institutions in financial intermediation: National characteristics as determinants</w:t>
      </w:r>
      <w:r w:rsidR="00DE3D5D" w:rsidRPr="002C595D">
        <w:rPr>
          <w:rFonts w:ascii="Times New Roman" w:hAnsi="Times New Roman" w:cs="Times New Roman"/>
          <w:lang w:val="en-US"/>
        </w:rPr>
        <w:t>. Additionally, they show that a market based system is also met in countries with higher Power Distance scores.</w:t>
      </w:r>
    </w:p>
    <w:p w:rsidR="00696DB1" w:rsidRPr="002C595D" w:rsidRDefault="000D5A98">
      <w:pPr>
        <w:spacing w:line="360" w:lineRule="auto"/>
        <w:jc w:val="both"/>
        <w:rPr>
          <w:rFonts w:ascii="Times New Roman" w:hAnsi="Times New Roman" w:cs="Times New Roman"/>
          <w:lang w:val="en-US"/>
        </w:rPr>
      </w:pPr>
      <w:r w:rsidRPr="002C595D">
        <w:rPr>
          <w:rFonts w:ascii="Times New Roman" w:hAnsi="Times New Roman" w:cs="Times New Roman"/>
          <w:lang w:val="en-US"/>
        </w:rPr>
        <w:t>Another example would be the findings of Chui and Kwok (2008) who</w:t>
      </w:r>
      <w:r w:rsidR="00FF690D" w:rsidRPr="002C595D">
        <w:rPr>
          <w:rFonts w:ascii="Times New Roman" w:hAnsi="Times New Roman" w:cs="Times New Roman"/>
          <w:lang w:val="en-US"/>
        </w:rPr>
        <w:t>, by</w:t>
      </w:r>
      <w:r w:rsidRPr="002C595D">
        <w:rPr>
          <w:rFonts w:ascii="Times New Roman" w:hAnsi="Times New Roman" w:cs="Times New Roman"/>
          <w:lang w:val="en-US"/>
        </w:rPr>
        <w:t xml:space="preserve"> </w:t>
      </w:r>
      <w:r w:rsidR="00CB68F4" w:rsidRPr="002C595D">
        <w:rPr>
          <w:rFonts w:ascii="Times New Roman" w:hAnsi="Times New Roman" w:cs="Times New Roman"/>
          <w:lang w:val="en-US"/>
        </w:rPr>
        <w:t xml:space="preserve">using data from 41 countries, </w:t>
      </w:r>
      <w:r w:rsidRPr="002C595D">
        <w:rPr>
          <w:rFonts w:ascii="Times New Roman" w:hAnsi="Times New Roman" w:cs="Times New Roman"/>
          <w:lang w:val="en-US"/>
        </w:rPr>
        <w:t>found that in countries with high UA levels, people are seeking security in the consumption of life insurance.</w:t>
      </w:r>
      <w:r w:rsidR="00772F2A" w:rsidRPr="002C595D">
        <w:rPr>
          <w:rFonts w:ascii="Times New Roman" w:hAnsi="Times New Roman" w:cs="Times New Roman"/>
          <w:lang w:val="en-US"/>
        </w:rPr>
        <w:t xml:space="preserve"> </w:t>
      </w:r>
      <w:r w:rsidR="00CB68F4" w:rsidRPr="002C595D">
        <w:rPr>
          <w:rFonts w:ascii="Times New Roman" w:hAnsi="Times New Roman" w:cs="Times New Roman"/>
          <w:lang w:val="en-US"/>
        </w:rPr>
        <w:t xml:space="preserve">They </w:t>
      </w:r>
      <w:r w:rsidR="00772F2A" w:rsidRPr="002C595D">
        <w:rPr>
          <w:rFonts w:ascii="Times New Roman" w:hAnsi="Times New Roman" w:cs="Times New Roman"/>
          <w:lang w:val="en-US"/>
        </w:rPr>
        <w:t>also found that Individualism is positively associated with life insurance consumption, while Masculinity and Power distance are negatively associated</w:t>
      </w:r>
      <w:r w:rsidR="00732895" w:rsidRPr="002C595D">
        <w:rPr>
          <w:rFonts w:ascii="Times New Roman" w:hAnsi="Times New Roman" w:cs="Times New Roman"/>
          <w:lang w:val="en-US"/>
        </w:rPr>
        <w:t>.</w:t>
      </w:r>
    </w:p>
    <w:p w:rsidR="00EC385A" w:rsidRPr="002C595D" w:rsidRDefault="00EC385A">
      <w:pPr>
        <w:spacing w:line="360" w:lineRule="auto"/>
        <w:jc w:val="both"/>
        <w:rPr>
          <w:rFonts w:ascii="Times New Roman" w:hAnsi="Times New Roman" w:cs="Times New Roman"/>
          <w:lang w:val="en-US"/>
        </w:rPr>
      </w:pPr>
      <w:r w:rsidRPr="002C595D">
        <w:rPr>
          <w:rFonts w:ascii="Times New Roman" w:hAnsi="Times New Roman" w:cs="Times New Roman"/>
          <w:lang w:val="en-US"/>
        </w:rPr>
        <w:t xml:space="preserve">Kanagaretnam et al. (2011) add to the above literature by examining the connection of national culture and risk taking in the banking sector, and how this connection might have affected the banks' position during the recent financial crisis. They are particularly interested in the dimensions of individualism and uncertainty avoidance, and based on Hofstede's theory, they are anticipating a negative relationship between UA and risk taking, and a positive between IDV and risk taking. Using a sample of 45 </w:t>
      </w:r>
      <w:r w:rsidR="00DA05CF" w:rsidRPr="002C595D">
        <w:rPr>
          <w:rFonts w:ascii="Times New Roman" w:hAnsi="Times New Roman" w:cs="Times New Roman"/>
          <w:lang w:val="en-US"/>
        </w:rPr>
        <w:t xml:space="preserve">banks from different countries over the period 2000-2007, they find evidence supporting their above expectations. In particular they state that </w:t>
      </w:r>
      <w:r w:rsidR="00DA05CF" w:rsidRPr="002C595D">
        <w:rPr>
          <w:rFonts w:ascii="Times New Roman" w:hAnsi="Times New Roman" w:cs="Times New Roman"/>
          <w:i/>
          <w:lang w:val="en-US"/>
        </w:rPr>
        <w:t xml:space="preserve">"Given the call-option character of bank equity, bankers face strong incentives to lend aggressively and take on excessive risks, often ignoring prudent risk management." </w:t>
      </w:r>
      <w:r w:rsidR="00DA05CF" w:rsidRPr="002C595D">
        <w:rPr>
          <w:rFonts w:ascii="Times New Roman" w:hAnsi="Times New Roman" w:cs="Times New Roman"/>
          <w:lang w:val="en-US"/>
        </w:rPr>
        <w:t xml:space="preserve">(Kanagaretnam et al. , 2011). Additionally, they also find that banks in societies that promote high risk taking behaviors were affected more from the financial crisis. Low profitability ratios, less liquidity and asset quality are some of the problems found in banks with risk-taking profiles. </w:t>
      </w:r>
    </w:p>
    <w:p w:rsidR="00696DB1" w:rsidRPr="002C595D" w:rsidRDefault="00DD0A3B">
      <w:pPr>
        <w:spacing w:line="360" w:lineRule="auto"/>
        <w:jc w:val="both"/>
        <w:rPr>
          <w:rFonts w:ascii="Times New Roman" w:hAnsi="Times New Roman" w:cs="Times New Roman"/>
          <w:lang w:val="en-US"/>
        </w:rPr>
      </w:pPr>
      <w:r w:rsidRPr="002C595D">
        <w:rPr>
          <w:rFonts w:ascii="Times New Roman" w:hAnsi="Times New Roman" w:cs="Times New Roman"/>
          <w:lang w:val="en-US"/>
        </w:rPr>
        <w:lastRenderedPageBreak/>
        <w:t>Hempel</w:t>
      </w:r>
      <w:r w:rsidR="00FF690D" w:rsidRPr="002C595D">
        <w:rPr>
          <w:rFonts w:ascii="Times New Roman" w:hAnsi="Times New Roman" w:cs="Times New Roman"/>
          <w:lang w:val="en-US"/>
        </w:rPr>
        <w:t xml:space="preserve"> </w:t>
      </w:r>
      <w:r w:rsidRPr="002C595D">
        <w:rPr>
          <w:rFonts w:ascii="Times New Roman" w:hAnsi="Times New Roman" w:cs="Times New Roman"/>
          <w:lang w:val="en-US"/>
        </w:rPr>
        <w:t>argues that multinationals should take into consideration the cultural characteristics of their employees when designing the appropriate pension system. The most important cultural dimension</w:t>
      </w:r>
      <w:r w:rsidR="001810DD" w:rsidRPr="002C595D">
        <w:rPr>
          <w:rFonts w:ascii="Times New Roman" w:hAnsi="Times New Roman" w:cs="Times New Roman"/>
          <w:lang w:val="en-US"/>
        </w:rPr>
        <w:t xml:space="preserve"> is U</w:t>
      </w:r>
      <w:r w:rsidR="00FF690D" w:rsidRPr="002C595D">
        <w:rPr>
          <w:rFonts w:ascii="Times New Roman" w:hAnsi="Times New Roman" w:cs="Times New Roman"/>
          <w:lang w:val="en-US"/>
        </w:rPr>
        <w:t xml:space="preserve">ncertainty </w:t>
      </w:r>
      <w:r w:rsidR="001810DD" w:rsidRPr="002C595D">
        <w:rPr>
          <w:rFonts w:ascii="Times New Roman" w:hAnsi="Times New Roman" w:cs="Times New Roman"/>
          <w:lang w:val="en-US"/>
        </w:rPr>
        <w:t>A</w:t>
      </w:r>
      <w:r w:rsidR="00FF690D" w:rsidRPr="002C595D">
        <w:rPr>
          <w:rFonts w:ascii="Times New Roman" w:hAnsi="Times New Roman" w:cs="Times New Roman"/>
          <w:lang w:val="en-US"/>
        </w:rPr>
        <w:t>voidance</w:t>
      </w:r>
      <w:r w:rsidR="001810DD" w:rsidRPr="002C595D">
        <w:rPr>
          <w:rFonts w:ascii="Times New Roman" w:hAnsi="Times New Roman" w:cs="Times New Roman"/>
          <w:lang w:val="en-US"/>
        </w:rPr>
        <w:t xml:space="preserve">. In high UA countries </w:t>
      </w:r>
      <w:r w:rsidRPr="002C595D">
        <w:rPr>
          <w:rFonts w:ascii="Times New Roman" w:hAnsi="Times New Roman" w:cs="Times New Roman"/>
          <w:lang w:val="en-US"/>
        </w:rPr>
        <w:t xml:space="preserve">the most appropriate pension system would be the Defined </w:t>
      </w:r>
      <w:r w:rsidR="001810DD" w:rsidRPr="002C595D">
        <w:rPr>
          <w:rFonts w:ascii="Times New Roman" w:hAnsi="Times New Roman" w:cs="Times New Roman"/>
          <w:lang w:val="en-US"/>
        </w:rPr>
        <w:t>Benefit</w:t>
      </w:r>
      <w:r w:rsidRPr="002C595D">
        <w:rPr>
          <w:rFonts w:ascii="Times New Roman" w:hAnsi="Times New Roman" w:cs="Times New Roman"/>
          <w:lang w:val="en-US"/>
        </w:rPr>
        <w:t xml:space="preserve"> (D</w:t>
      </w:r>
      <w:r w:rsidR="001810DD" w:rsidRPr="002C595D">
        <w:rPr>
          <w:rFonts w:ascii="Times New Roman" w:hAnsi="Times New Roman" w:cs="Times New Roman"/>
          <w:lang w:val="en-US"/>
        </w:rPr>
        <w:t>B</w:t>
      </w:r>
      <w:r w:rsidRPr="002C595D">
        <w:rPr>
          <w:rFonts w:ascii="Times New Roman" w:hAnsi="Times New Roman" w:cs="Times New Roman"/>
          <w:lang w:val="en-US"/>
        </w:rPr>
        <w:t>) plan. D</w:t>
      </w:r>
      <w:r w:rsidR="001810DD" w:rsidRPr="002C595D">
        <w:rPr>
          <w:rFonts w:ascii="Times New Roman" w:hAnsi="Times New Roman" w:cs="Times New Roman"/>
          <w:lang w:val="en-US"/>
        </w:rPr>
        <w:t>B</w:t>
      </w:r>
      <w:r w:rsidRPr="002C595D">
        <w:rPr>
          <w:rFonts w:ascii="Times New Roman" w:hAnsi="Times New Roman" w:cs="Times New Roman"/>
          <w:lang w:val="en-US"/>
        </w:rPr>
        <w:t xml:space="preserve"> plans offer a standard amount of pension, thus reducing the risk bared by the retiree. </w:t>
      </w:r>
      <w:r w:rsidR="001810DD" w:rsidRPr="002C595D">
        <w:rPr>
          <w:rFonts w:ascii="Times New Roman" w:hAnsi="Times New Roman" w:cs="Times New Roman"/>
          <w:lang w:val="en-US"/>
        </w:rPr>
        <w:t xml:space="preserve">The protection of income and low ambiguity fit to the profile of an Uncertainty avoiding society. On the other hand, Defined Contribution plans or Stock based plans share the risk with the individual, making it the right choice for a Low UA society, since people in these societies are more keen to take more risk in return for  the extra possible payoff. </w:t>
      </w:r>
    </w:p>
    <w:p w:rsidR="00696DB1" w:rsidRPr="002C595D" w:rsidRDefault="00F55A0B">
      <w:pPr>
        <w:spacing w:line="360" w:lineRule="auto"/>
        <w:jc w:val="both"/>
        <w:rPr>
          <w:rFonts w:ascii="Times New Roman" w:hAnsi="Times New Roman" w:cs="Times New Roman"/>
          <w:lang w:val="en-US"/>
        </w:rPr>
      </w:pPr>
      <w:r w:rsidRPr="002C595D">
        <w:rPr>
          <w:rFonts w:ascii="Times New Roman" w:hAnsi="Times New Roman" w:cs="Times New Roman"/>
          <w:lang w:val="en-US"/>
        </w:rPr>
        <w:t xml:space="preserve">Hempel also finds that countries </w:t>
      </w:r>
      <w:r w:rsidR="00F80863" w:rsidRPr="002C595D">
        <w:rPr>
          <w:rFonts w:ascii="Times New Roman" w:hAnsi="Times New Roman" w:cs="Times New Roman"/>
          <w:lang w:val="en-US"/>
        </w:rPr>
        <w:t>with</w:t>
      </w:r>
      <w:r w:rsidRPr="002C595D">
        <w:rPr>
          <w:rFonts w:ascii="Times New Roman" w:hAnsi="Times New Roman" w:cs="Times New Roman"/>
          <w:lang w:val="en-US"/>
        </w:rPr>
        <w:t xml:space="preserve"> low Power Distance scores are trying to </w:t>
      </w:r>
      <w:r w:rsidR="00F80863" w:rsidRPr="002C595D">
        <w:rPr>
          <w:rFonts w:ascii="Times New Roman" w:hAnsi="Times New Roman" w:cs="Times New Roman"/>
          <w:lang w:val="en-US"/>
        </w:rPr>
        <w:t>minimize</w:t>
      </w:r>
      <w:r w:rsidRPr="002C595D">
        <w:rPr>
          <w:rFonts w:ascii="Times New Roman" w:hAnsi="Times New Roman" w:cs="Times New Roman"/>
          <w:lang w:val="en-US"/>
        </w:rPr>
        <w:t xml:space="preserve"> the inequality gap among people by using pension benefits.</w:t>
      </w:r>
      <w:r w:rsidR="00D66FF2" w:rsidRPr="002C595D">
        <w:rPr>
          <w:rFonts w:ascii="Times New Roman" w:hAnsi="Times New Roman" w:cs="Times New Roman"/>
          <w:lang w:val="en-US"/>
        </w:rPr>
        <w:t xml:space="preserve"> </w:t>
      </w:r>
      <w:r w:rsidRPr="002C595D">
        <w:rPr>
          <w:rFonts w:ascii="Times New Roman" w:hAnsi="Times New Roman" w:cs="Times New Roman"/>
          <w:lang w:val="en-US"/>
        </w:rPr>
        <w:t xml:space="preserve">Cravens and </w:t>
      </w:r>
      <w:r w:rsidR="00E241C0" w:rsidRPr="002C595D">
        <w:rPr>
          <w:rFonts w:ascii="Times New Roman" w:hAnsi="Times New Roman" w:cs="Times New Roman"/>
          <w:lang w:val="en-US"/>
        </w:rPr>
        <w:t>Oliver</w:t>
      </w:r>
      <w:r w:rsidR="00D66FF2" w:rsidRPr="002C595D">
        <w:rPr>
          <w:rFonts w:ascii="Times New Roman" w:hAnsi="Times New Roman" w:cs="Times New Roman"/>
          <w:lang w:val="en-US"/>
        </w:rPr>
        <w:t xml:space="preserve"> (2010)</w:t>
      </w:r>
      <w:r w:rsidR="00E241C0" w:rsidRPr="002C595D">
        <w:rPr>
          <w:rFonts w:ascii="Times New Roman" w:hAnsi="Times New Roman" w:cs="Times New Roman"/>
          <w:lang w:val="en-US"/>
        </w:rPr>
        <w:t xml:space="preserve">, based on Hempel's work, find that culture also determines the level and the timing  of the pension contribution made by corporations. </w:t>
      </w:r>
    </w:p>
    <w:p w:rsidR="00696DB1" w:rsidRPr="002C595D" w:rsidRDefault="00096F8D">
      <w:pPr>
        <w:spacing w:line="360" w:lineRule="auto"/>
        <w:jc w:val="both"/>
        <w:rPr>
          <w:rFonts w:ascii="Times New Roman" w:hAnsi="Times New Roman" w:cs="Times New Roman"/>
          <w:lang w:val="en-US"/>
        </w:rPr>
      </w:pPr>
      <w:r w:rsidRPr="002C595D">
        <w:rPr>
          <w:rFonts w:ascii="Times New Roman" w:hAnsi="Times New Roman" w:cs="Times New Roman"/>
          <w:lang w:val="en-US"/>
        </w:rPr>
        <w:t xml:space="preserve">Another study, made by </w:t>
      </w:r>
      <w:r w:rsidR="005465E4" w:rsidRPr="002C595D">
        <w:rPr>
          <w:rFonts w:ascii="Times New Roman" w:hAnsi="Times New Roman" w:cs="Times New Roman"/>
          <w:lang w:val="en-US"/>
        </w:rPr>
        <w:t>Beugelsdijk and Frijns (2010</w:t>
      </w:r>
      <w:r w:rsidRPr="002C595D">
        <w:rPr>
          <w:rFonts w:ascii="Times New Roman" w:hAnsi="Times New Roman" w:cs="Times New Roman"/>
          <w:lang w:val="en-US"/>
        </w:rPr>
        <w:t>), examined the reasons why investors are continuously underweight</w:t>
      </w:r>
      <w:r w:rsidR="00D66FF2" w:rsidRPr="002C595D">
        <w:rPr>
          <w:rFonts w:ascii="Times New Roman" w:hAnsi="Times New Roman" w:cs="Times New Roman"/>
          <w:lang w:val="en-US"/>
        </w:rPr>
        <w:t>ing</w:t>
      </w:r>
      <w:r w:rsidRPr="002C595D">
        <w:rPr>
          <w:rFonts w:ascii="Times New Roman" w:hAnsi="Times New Roman" w:cs="Times New Roman"/>
          <w:lang w:val="en-US"/>
        </w:rPr>
        <w:t xml:space="preserve"> foreign securities in their asset allocation. </w:t>
      </w:r>
      <w:r w:rsidR="00480465" w:rsidRPr="002C595D">
        <w:rPr>
          <w:rFonts w:ascii="Times New Roman" w:hAnsi="Times New Roman" w:cs="Times New Roman"/>
          <w:lang w:val="en-US"/>
        </w:rPr>
        <w:t xml:space="preserve">They </w:t>
      </w:r>
      <w:r w:rsidR="00D66FF2" w:rsidRPr="002C595D">
        <w:rPr>
          <w:rFonts w:ascii="Times New Roman" w:hAnsi="Times New Roman" w:cs="Times New Roman"/>
          <w:lang w:val="en-US"/>
        </w:rPr>
        <w:t>found that cultural dimensions indeed</w:t>
      </w:r>
      <w:r w:rsidR="00480465" w:rsidRPr="002C595D">
        <w:rPr>
          <w:rFonts w:ascii="Times New Roman" w:hAnsi="Times New Roman" w:cs="Times New Roman"/>
          <w:lang w:val="en-US"/>
        </w:rPr>
        <w:t xml:space="preserve"> have an impact on investment decisions. More precisely, high scores in UA, are linked with higher  preference for  home stocks, because of their risk aversion, and the uncertainty  </w:t>
      </w:r>
      <w:r w:rsidR="00D66FF2" w:rsidRPr="002C595D">
        <w:rPr>
          <w:rFonts w:ascii="Times New Roman" w:hAnsi="Times New Roman" w:cs="Times New Roman"/>
          <w:lang w:val="en-US"/>
        </w:rPr>
        <w:t>underlying foreign investments.</w:t>
      </w:r>
    </w:p>
    <w:p w:rsidR="00696DB1" w:rsidRPr="002C595D" w:rsidRDefault="000D5A98">
      <w:pPr>
        <w:spacing w:line="360" w:lineRule="auto"/>
        <w:jc w:val="both"/>
        <w:rPr>
          <w:rFonts w:ascii="Times New Roman" w:hAnsi="Times New Roman" w:cs="Times New Roman"/>
          <w:lang w:val="en-US"/>
        </w:rPr>
      </w:pPr>
      <w:r w:rsidRPr="002C595D">
        <w:rPr>
          <w:rFonts w:ascii="Times New Roman" w:hAnsi="Times New Roman" w:cs="Times New Roman"/>
          <w:lang w:val="en-US"/>
        </w:rPr>
        <w:t>Uncertainty avoidance is not the only cultural dimension affecting international investment decisions.</w:t>
      </w:r>
      <w:r w:rsidR="00D66FF2" w:rsidRPr="002C595D">
        <w:rPr>
          <w:rFonts w:ascii="Times New Roman" w:hAnsi="Times New Roman" w:cs="Times New Roman"/>
          <w:lang w:val="en-US"/>
        </w:rPr>
        <w:t xml:space="preserve"> </w:t>
      </w:r>
      <w:r w:rsidRPr="002C595D">
        <w:rPr>
          <w:rFonts w:ascii="Times New Roman" w:hAnsi="Times New Roman" w:cs="Times New Roman"/>
          <w:lang w:val="en-US"/>
        </w:rPr>
        <w:t>Apparently, the level of  Individualism also makes a difference.</w:t>
      </w:r>
      <w:r w:rsidR="005465E4" w:rsidRPr="002C595D">
        <w:rPr>
          <w:rFonts w:ascii="Times New Roman" w:hAnsi="Times New Roman" w:cs="Times New Roman"/>
          <w:lang w:val="en-US"/>
        </w:rPr>
        <w:t xml:space="preserve"> </w:t>
      </w:r>
      <w:r w:rsidR="00860356" w:rsidRPr="002C595D">
        <w:rPr>
          <w:rFonts w:ascii="Times New Roman" w:hAnsi="Times New Roman" w:cs="Times New Roman"/>
          <w:lang w:val="en-US"/>
        </w:rPr>
        <w:t>According to</w:t>
      </w:r>
      <w:r w:rsidRPr="002C595D">
        <w:rPr>
          <w:rFonts w:ascii="Times New Roman" w:hAnsi="Times New Roman" w:cs="Times New Roman"/>
          <w:lang w:val="en-US"/>
        </w:rPr>
        <w:t xml:space="preserve"> previous literature, </w:t>
      </w:r>
      <w:r w:rsidR="00860356" w:rsidRPr="002C595D">
        <w:rPr>
          <w:rFonts w:ascii="Times New Roman" w:hAnsi="Times New Roman" w:cs="Times New Roman"/>
          <w:lang w:val="en-US"/>
        </w:rPr>
        <w:t xml:space="preserve">collective and individual decision making are connected with a different risk seeking profile </w:t>
      </w:r>
      <w:r w:rsidR="00860356" w:rsidRPr="002C595D">
        <w:rPr>
          <w:rFonts w:ascii="Times New Roman" w:hAnsi="Times New Roman" w:cs="Times New Roman"/>
          <w:i/>
          <w:lang w:val="en-US"/>
        </w:rPr>
        <w:t>(</w:t>
      </w:r>
      <w:r w:rsidR="00430E40" w:rsidRPr="002C595D">
        <w:rPr>
          <w:rFonts w:ascii="Times New Roman" w:hAnsi="Times New Roman" w:cs="Times New Roman"/>
          <w:i/>
          <w:lang w:val="en-US"/>
        </w:rPr>
        <w:t>Kerr et al., 1996).</w:t>
      </w:r>
      <w:r w:rsidR="00860356" w:rsidRPr="002C595D">
        <w:rPr>
          <w:rFonts w:ascii="Times New Roman" w:hAnsi="Times New Roman" w:cs="Times New Roman"/>
          <w:i/>
          <w:lang w:val="en-US"/>
        </w:rPr>
        <w:t xml:space="preserve"> </w:t>
      </w:r>
      <w:r w:rsidR="00860356" w:rsidRPr="002C595D">
        <w:rPr>
          <w:rFonts w:ascii="Times New Roman" w:hAnsi="Times New Roman" w:cs="Times New Roman"/>
          <w:lang w:val="en-US"/>
        </w:rPr>
        <w:t xml:space="preserve">In fact, when deciding into groups </w:t>
      </w:r>
      <w:r w:rsidR="00D66FF2" w:rsidRPr="002C595D">
        <w:rPr>
          <w:rFonts w:ascii="Times New Roman" w:hAnsi="Times New Roman" w:cs="Times New Roman"/>
          <w:lang w:val="en-US"/>
        </w:rPr>
        <w:t>during</w:t>
      </w:r>
      <w:r w:rsidR="00860356" w:rsidRPr="002C595D">
        <w:rPr>
          <w:rFonts w:ascii="Times New Roman" w:hAnsi="Times New Roman" w:cs="Times New Roman"/>
          <w:lang w:val="en-US"/>
        </w:rPr>
        <w:t xml:space="preserve"> risky situations, risk aversion is more prominent  </w:t>
      </w:r>
      <w:r w:rsidR="00F80863" w:rsidRPr="002C595D">
        <w:rPr>
          <w:rFonts w:ascii="Times New Roman" w:hAnsi="Times New Roman" w:cs="Times New Roman"/>
          <w:i/>
          <w:lang w:val="en-US"/>
        </w:rPr>
        <w:t>(H</w:t>
      </w:r>
      <w:r w:rsidR="00860356" w:rsidRPr="002C595D">
        <w:rPr>
          <w:rFonts w:ascii="Times New Roman" w:hAnsi="Times New Roman" w:cs="Times New Roman"/>
          <w:i/>
          <w:lang w:val="en-US"/>
        </w:rPr>
        <w:t xml:space="preserve">upp and Williams (2008)). </w:t>
      </w:r>
      <w:r w:rsidR="00430E40" w:rsidRPr="002C595D">
        <w:rPr>
          <w:rFonts w:ascii="Times New Roman" w:hAnsi="Times New Roman" w:cs="Times New Roman"/>
          <w:i/>
          <w:lang w:val="en-US"/>
        </w:rPr>
        <w:t xml:space="preserve">Chui et al. (2010) </w:t>
      </w:r>
      <w:r w:rsidR="00860356" w:rsidRPr="002C595D">
        <w:rPr>
          <w:rFonts w:ascii="Times New Roman" w:hAnsi="Times New Roman" w:cs="Times New Roman"/>
          <w:lang w:val="en-US"/>
        </w:rPr>
        <w:t xml:space="preserve">show that Individualism is related to overconfidence and </w:t>
      </w:r>
      <w:r w:rsidR="00430E40" w:rsidRPr="002C595D">
        <w:rPr>
          <w:rFonts w:ascii="Times New Roman" w:hAnsi="Times New Roman" w:cs="Times New Roman"/>
          <w:lang w:val="en-US"/>
        </w:rPr>
        <w:t xml:space="preserve"> </w:t>
      </w:r>
      <w:r w:rsidR="00430E40" w:rsidRPr="002C595D">
        <w:rPr>
          <w:rFonts w:ascii="Times New Roman" w:hAnsi="Times New Roman" w:cs="Times New Roman"/>
          <w:i/>
          <w:lang w:val="en-US"/>
        </w:rPr>
        <w:t>Van den Steen (2004)</w:t>
      </w:r>
      <w:r w:rsidR="00860356" w:rsidRPr="002C595D">
        <w:rPr>
          <w:rFonts w:ascii="Times New Roman" w:hAnsi="Times New Roman" w:cs="Times New Roman"/>
          <w:i/>
          <w:lang w:val="en-US"/>
        </w:rPr>
        <w:t xml:space="preserve"> </w:t>
      </w:r>
      <w:r w:rsidR="00D63C15" w:rsidRPr="002C595D">
        <w:rPr>
          <w:rFonts w:ascii="Times New Roman" w:hAnsi="Times New Roman" w:cs="Times New Roman"/>
          <w:lang w:val="en-US"/>
        </w:rPr>
        <w:t>finds that overconfidence of self capabilities leads to an overestimation of possessed information</w:t>
      </w:r>
      <w:r w:rsidR="005465E4" w:rsidRPr="002C595D">
        <w:rPr>
          <w:rFonts w:ascii="Times New Roman" w:hAnsi="Times New Roman" w:cs="Times New Roman"/>
          <w:lang w:val="en-US"/>
        </w:rPr>
        <w:t>. Based on the above,</w:t>
      </w:r>
      <w:r w:rsidR="005465E4" w:rsidRPr="002C595D">
        <w:rPr>
          <w:rFonts w:ascii="Times New Roman" w:hAnsi="Times New Roman" w:cs="Times New Roman"/>
          <w:color w:val="000000" w:themeColor="text1"/>
          <w:lang w:val="en-US"/>
        </w:rPr>
        <w:t xml:space="preserve"> Beugelsdijk and Frijns (2010</w:t>
      </w:r>
      <w:r w:rsidR="00D63C15" w:rsidRPr="002C595D">
        <w:rPr>
          <w:rFonts w:ascii="Times New Roman" w:hAnsi="Times New Roman" w:cs="Times New Roman"/>
          <w:lang w:val="en-US"/>
        </w:rPr>
        <w:t>) argue that an Individualistic society, would underestimate the risk of foreign investment, showing a higher preference for it, because of the overconfidence stemming from the individual decision making</w:t>
      </w:r>
      <w:r w:rsidR="005465E4" w:rsidRPr="002C595D">
        <w:rPr>
          <w:rFonts w:ascii="Times New Roman" w:hAnsi="Times New Roman" w:cs="Times New Roman"/>
          <w:color w:val="000000" w:themeColor="text1"/>
          <w:lang w:val="en-US"/>
        </w:rPr>
        <w:t>.</w:t>
      </w:r>
    </w:p>
    <w:p w:rsidR="00696DB1" w:rsidRPr="002C595D" w:rsidRDefault="00162CD0">
      <w:pPr>
        <w:spacing w:line="360" w:lineRule="auto"/>
        <w:jc w:val="both"/>
        <w:rPr>
          <w:rFonts w:ascii="Times New Roman" w:hAnsi="Times New Roman" w:cs="Times New Roman"/>
          <w:lang w:val="en-US"/>
        </w:rPr>
      </w:pPr>
      <w:r w:rsidRPr="002C595D">
        <w:rPr>
          <w:rFonts w:ascii="Times New Roman" w:hAnsi="Times New Roman" w:cs="Times New Roman"/>
          <w:lang w:val="en-US"/>
        </w:rPr>
        <w:t>Anderson at al, also provide evidence supporting</w:t>
      </w:r>
      <w:r w:rsidR="007B3359" w:rsidRPr="002C595D">
        <w:rPr>
          <w:rFonts w:ascii="Times New Roman" w:hAnsi="Times New Roman" w:cs="Times New Roman"/>
          <w:lang w:val="en-US"/>
        </w:rPr>
        <w:t xml:space="preserve"> Beugelsdijk and Frijns </w:t>
      </w:r>
      <w:r w:rsidRPr="002C595D">
        <w:rPr>
          <w:rFonts w:ascii="Times New Roman" w:hAnsi="Times New Roman" w:cs="Times New Roman"/>
          <w:lang w:val="en-US"/>
        </w:rPr>
        <w:t xml:space="preserve"> results. They also add that Masculinity is negatively related with home investments, and that more Masculine countries diversify their portfolio with foreign investments.</w:t>
      </w:r>
      <w:r w:rsidR="007B3359" w:rsidRPr="002C595D">
        <w:rPr>
          <w:rFonts w:ascii="Times New Roman" w:hAnsi="Times New Roman" w:cs="Times New Roman"/>
          <w:lang w:val="en-US"/>
        </w:rPr>
        <w:t xml:space="preserve"> According to</w:t>
      </w:r>
      <w:r w:rsidRPr="002C595D">
        <w:rPr>
          <w:rFonts w:ascii="Times New Roman" w:hAnsi="Times New Roman" w:cs="Times New Roman"/>
          <w:lang w:val="en-US"/>
        </w:rPr>
        <w:t xml:space="preserve"> </w:t>
      </w:r>
      <w:r w:rsidR="00430E40" w:rsidRPr="002C595D">
        <w:rPr>
          <w:rFonts w:ascii="Times New Roman" w:hAnsi="Times New Roman" w:cs="Times New Roman"/>
          <w:lang w:val="en-US"/>
        </w:rPr>
        <w:t>Karlsson and Norden (2007)</w:t>
      </w:r>
      <w:r w:rsidR="007B3359" w:rsidRPr="002C595D">
        <w:rPr>
          <w:rFonts w:ascii="Times New Roman" w:hAnsi="Times New Roman" w:cs="Times New Roman"/>
          <w:lang w:val="en-US"/>
        </w:rPr>
        <w:t xml:space="preserve"> gender can to some extent</w:t>
      </w:r>
      <w:r w:rsidR="00430E40" w:rsidRPr="002C595D">
        <w:rPr>
          <w:rFonts w:ascii="Times New Roman" w:hAnsi="Times New Roman" w:cs="Times New Roman"/>
          <w:lang w:val="en-US"/>
        </w:rPr>
        <w:t xml:space="preserve"> explains home bias</w:t>
      </w:r>
      <w:r w:rsidR="007B3359" w:rsidRPr="002C595D">
        <w:rPr>
          <w:rFonts w:ascii="Times New Roman" w:hAnsi="Times New Roman" w:cs="Times New Roman"/>
          <w:lang w:val="en-US"/>
        </w:rPr>
        <w:t>. While</w:t>
      </w:r>
      <w:r w:rsidR="00430E40" w:rsidRPr="002C595D">
        <w:rPr>
          <w:rFonts w:ascii="Times New Roman" w:hAnsi="Times New Roman" w:cs="Times New Roman"/>
          <w:lang w:val="en-US"/>
        </w:rPr>
        <w:t xml:space="preserve"> Graham et al. (2009) </w:t>
      </w:r>
      <w:r w:rsidR="007B3359" w:rsidRPr="002C595D">
        <w:rPr>
          <w:rFonts w:ascii="Times New Roman" w:hAnsi="Times New Roman" w:cs="Times New Roman"/>
          <w:lang w:val="en-US"/>
        </w:rPr>
        <w:t xml:space="preserve">state that competent investors, a characteristic of Masculinity, actually diversify their portfolio with foreign investments as Anderson at al showed. </w:t>
      </w:r>
    </w:p>
    <w:p w:rsidR="00696DB1" w:rsidRPr="002C595D" w:rsidRDefault="00D3519E">
      <w:pPr>
        <w:spacing w:line="360" w:lineRule="auto"/>
        <w:jc w:val="both"/>
        <w:rPr>
          <w:rFonts w:ascii="Times New Roman" w:hAnsi="Times New Roman" w:cs="Times New Roman"/>
          <w:lang w:val="en-US"/>
        </w:rPr>
      </w:pPr>
      <w:r w:rsidRPr="002C595D">
        <w:rPr>
          <w:rFonts w:ascii="Times New Roman" w:hAnsi="Times New Roman" w:cs="Times New Roman"/>
          <w:lang w:val="en-US"/>
        </w:rPr>
        <w:t xml:space="preserve">Guiso et al. (2004, 2006, 2008, 2009) </w:t>
      </w:r>
      <w:r w:rsidR="00FC555D" w:rsidRPr="002C595D">
        <w:rPr>
          <w:rFonts w:ascii="Times New Roman" w:hAnsi="Times New Roman" w:cs="Times New Roman"/>
          <w:lang w:val="en-US"/>
        </w:rPr>
        <w:t>in their work argue that involvement in stock market and portfolio investments can be partially explained by cultural differences</w:t>
      </w:r>
      <w:r w:rsidRPr="002C595D">
        <w:rPr>
          <w:rFonts w:ascii="Times New Roman" w:hAnsi="Times New Roman" w:cs="Times New Roman"/>
          <w:lang w:val="en-US"/>
        </w:rPr>
        <w:t>.</w:t>
      </w:r>
      <w:r w:rsidR="00FC555D" w:rsidRPr="002C595D">
        <w:rPr>
          <w:rFonts w:ascii="Times New Roman" w:hAnsi="Times New Roman" w:cs="Times New Roman"/>
          <w:i/>
          <w:lang w:val="en-US"/>
        </w:rPr>
        <w:t xml:space="preserve"> De Mooij</w:t>
      </w:r>
      <w:r w:rsidR="00FC555D" w:rsidRPr="002C595D">
        <w:rPr>
          <w:rFonts w:ascii="Times New Roman" w:hAnsi="Times New Roman" w:cs="Times New Roman"/>
          <w:lang w:val="en-US"/>
        </w:rPr>
        <w:t xml:space="preserve"> proves that high UA scores are also associated with a preference for precious metals and an avoidance of stock investments.</w:t>
      </w:r>
    </w:p>
    <w:p w:rsidR="00117E84" w:rsidRPr="002C595D" w:rsidRDefault="00931325">
      <w:pPr>
        <w:spacing w:line="360" w:lineRule="auto"/>
        <w:jc w:val="both"/>
        <w:rPr>
          <w:rFonts w:ascii="Times New Roman" w:hAnsi="Times New Roman" w:cs="Times New Roman"/>
          <w:lang w:val="en-US"/>
        </w:rPr>
      </w:pPr>
      <w:r w:rsidRPr="002C595D">
        <w:rPr>
          <w:rFonts w:ascii="Times New Roman" w:hAnsi="Times New Roman" w:cs="Times New Roman"/>
          <w:lang w:val="en-US"/>
        </w:rPr>
        <w:lastRenderedPageBreak/>
        <w:t xml:space="preserve">In </w:t>
      </w:r>
      <w:r w:rsidR="00117E84" w:rsidRPr="002C595D">
        <w:rPr>
          <w:rFonts w:ascii="Times New Roman" w:hAnsi="Times New Roman" w:cs="Times New Roman"/>
          <w:lang w:val="en-US"/>
        </w:rPr>
        <w:t>a more recent study</w:t>
      </w:r>
      <w:r w:rsidRPr="002C595D">
        <w:rPr>
          <w:rFonts w:ascii="Times New Roman" w:hAnsi="Times New Roman" w:cs="Times New Roman"/>
          <w:lang w:val="en-US"/>
        </w:rPr>
        <w:t>, Liang Shao et al. (2013) find that individualism can explain investors' behavior when it comes to risk taking</w:t>
      </w:r>
      <w:r w:rsidR="00117E84" w:rsidRPr="002C595D">
        <w:rPr>
          <w:rFonts w:ascii="Times New Roman" w:hAnsi="Times New Roman" w:cs="Times New Roman"/>
          <w:lang w:val="en-US"/>
        </w:rPr>
        <w:t xml:space="preserve"> in a corporate level</w:t>
      </w:r>
      <w:r w:rsidRPr="002C595D">
        <w:rPr>
          <w:rFonts w:ascii="Times New Roman" w:hAnsi="Times New Roman" w:cs="Times New Roman"/>
          <w:lang w:val="en-US"/>
        </w:rPr>
        <w:t xml:space="preserve">. In particular, they discovered that countries which score high in IDV show a preference for R&amp;D investments instead of investments in capital expenditure and cash, </w:t>
      </w:r>
      <w:r w:rsidR="00117E84" w:rsidRPr="002C595D">
        <w:rPr>
          <w:rFonts w:ascii="Times New Roman" w:hAnsi="Times New Roman" w:cs="Times New Roman"/>
          <w:lang w:val="en-US"/>
        </w:rPr>
        <w:t xml:space="preserve">implying that individualism is a cultural characteristic that is connected to risk taking. They also argue that people in leading positions in individualistic societies, tend to be more self-confident and as a result, dare to be more risky in their expectations and investment decisions. </w:t>
      </w:r>
    </w:p>
    <w:p w:rsidR="00E80914" w:rsidRPr="002C595D" w:rsidRDefault="00E80914">
      <w:pPr>
        <w:spacing w:line="360" w:lineRule="auto"/>
        <w:jc w:val="both"/>
        <w:rPr>
          <w:rFonts w:ascii="Arial" w:hAnsi="Arial" w:cs="Arial"/>
          <w:b/>
          <w:i/>
          <w:lang w:val="en-US"/>
        </w:rPr>
      </w:pPr>
    </w:p>
    <w:p w:rsidR="00696DB1" w:rsidRPr="002C595D" w:rsidRDefault="00E674D1">
      <w:pPr>
        <w:spacing w:line="360" w:lineRule="auto"/>
        <w:jc w:val="both"/>
        <w:rPr>
          <w:rFonts w:ascii="Arial" w:hAnsi="Arial" w:cs="Arial"/>
          <w:b/>
          <w:i/>
          <w:lang w:val="en-US"/>
        </w:rPr>
      </w:pPr>
      <w:r w:rsidRPr="002C595D">
        <w:rPr>
          <w:rFonts w:ascii="Arial" w:hAnsi="Arial" w:cs="Arial"/>
          <w:b/>
          <w:i/>
          <w:lang w:val="en-US"/>
        </w:rPr>
        <w:t xml:space="preserve">2.3. </w:t>
      </w:r>
      <w:r w:rsidR="004340B8" w:rsidRPr="002C595D">
        <w:rPr>
          <w:rFonts w:ascii="Arial" w:hAnsi="Arial" w:cs="Arial"/>
          <w:b/>
          <w:i/>
          <w:lang w:val="en-US"/>
        </w:rPr>
        <w:t>Investments, regulation and culture</w:t>
      </w:r>
    </w:p>
    <w:p w:rsidR="00696DB1" w:rsidRPr="002C595D" w:rsidRDefault="00D66FF2">
      <w:pPr>
        <w:spacing w:line="360" w:lineRule="auto"/>
        <w:jc w:val="both"/>
        <w:rPr>
          <w:rFonts w:ascii="Times New Roman" w:hAnsi="Times New Roman" w:cs="Times New Roman"/>
          <w:lang w:val="en-US"/>
        </w:rPr>
      </w:pPr>
      <w:r w:rsidRPr="002C595D">
        <w:rPr>
          <w:rFonts w:ascii="Times New Roman" w:hAnsi="Times New Roman" w:cs="Times New Roman"/>
          <w:lang w:val="en-US"/>
        </w:rPr>
        <w:t>Next to culture, a</w:t>
      </w:r>
      <w:r w:rsidR="00E72D49" w:rsidRPr="002C595D">
        <w:rPr>
          <w:rFonts w:ascii="Times New Roman" w:hAnsi="Times New Roman" w:cs="Times New Roman"/>
          <w:lang w:val="en-US"/>
        </w:rPr>
        <w:t xml:space="preserve">nother important aspect that should be taken into consideration when </w:t>
      </w:r>
      <w:r w:rsidRPr="002C595D">
        <w:rPr>
          <w:rFonts w:ascii="Times New Roman" w:hAnsi="Times New Roman" w:cs="Times New Roman"/>
          <w:lang w:val="en-US"/>
        </w:rPr>
        <w:t>looking into</w:t>
      </w:r>
      <w:r w:rsidR="00E72D49" w:rsidRPr="002C595D">
        <w:rPr>
          <w:rFonts w:ascii="Times New Roman" w:hAnsi="Times New Roman" w:cs="Times New Roman"/>
          <w:lang w:val="en-US"/>
        </w:rPr>
        <w:t xml:space="preserve"> risk appetite, is legislation. Investments </w:t>
      </w:r>
      <w:r w:rsidR="00C46BC9" w:rsidRPr="002C595D">
        <w:rPr>
          <w:rFonts w:ascii="Times New Roman" w:hAnsi="Times New Roman" w:cs="Times New Roman"/>
          <w:lang w:val="en-US"/>
        </w:rPr>
        <w:t xml:space="preserve">should follow some general guidelines and there </w:t>
      </w:r>
      <w:r w:rsidRPr="002C595D">
        <w:rPr>
          <w:rFonts w:ascii="Times New Roman" w:hAnsi="Times New Roman" w:cs="Times New Roman"/>
          <w:lang w:val="en-US"/>
        </w:rPr>
        <w:t xml:space="preserve">are even some </w:t>
      </w:r>
      <w:r w:rsidR="00C46BC9" w:rsidRPr="002C595D">
        <w:rPr>
          <w:rFonts w:ascii="Times New Roman" w:hAnsi="Times New Roman" w:cs="Times New Roman"/>
          <w:lang w:val="en-US"/>
        </w:rPr>
        <w:t>quantitative limits</w:t>
      </w:r>
      <w:r w:rsidR="003E0CBC" w:rsidRPr="002C595D">
        <w:rPr>
          <w:rFonts w:ascii="Times New Roman" w:hAnsi="Times New Roman" w:cs="Times New Roman"/>
          <w:lang w:val="en-US"/>
        </w:rPr>
        <w:t xml:space="preserve"> in investments</w:t>
      </w:r>
      <w:r w:rsidR="00C46BC9" w:rsidRPr="002C595D">
        <w:rPr>
          <w:rFonts w:ascii="Times New Roman" w:hAnsi="Times New Roman" w:cs="Times New Roman"/>
          <w:lang w:val="en-US"/>
        </w:rPr>
        <w:t xml:space="preserve"> imposed by legislation</w:t>
      </w:r>
      <w:r w:rsidR="008A47D2" w:rsidRPr="002C595D">
        <w:rPr>
          <w:rFonts w:ascii="Times New Roman" w:hAnsi="Times New Roman" w:cs="Times New Roman"/>
          <w:lang w:val="en-US"/>
        </w:rPr>
        <w:t xml:space="preserve">. </w:t>
      </w:r>
      <w:r w:rsidRPr="002C595D">
        <w:rPr>
          <w:rFonts w:ascii="Times New Roman" w:hAnsi="Times New Roman" w:cs="Times New Roman"/>
          <w:lang w:val="en-US"/>
        </w:rPr>
        <w:t>For example, a</w:t>
      </w:r>
      <w:r w:rsidR="00A62183" w:rsidRPr="002C595D">
        <w:rPr>
          <w:rFonts w:ascii="Times New Roman" w:hAnsi="Times New Roman" w:cs="Times New Roman"/>
          <w:lang w:val="en-US"/>
        </w:rPr>
        <w:t xml:space="preserve">t least 30% of the assets have to be invested in low risk assets such as government bonds. Also, there are legislation limits regarding the investments in equities. In 2000 the ceiling was defined at 70% of total assets, with most of the new schemes keeping a 50% ceiling. Last, there should not be an investment in one single company that exceeds 30% of the total (Pension Funds Online 2010). </w:t>
      </w:r>
    </w:p>
    <w:p w:rsidR="00696DB1" w:rsidRDefault="00C46BC9">
      <w:pPr>
        <w:spacing w:line="360" w:lineRule="auto"/>
        <w:jc w:val="both"/>
        <w:rPr>
          <w:rFonts w:ascii="Times New Roman" w:hAnsi="Times New Roman" w:cs="Times New Roman"/>
          <w:sz w:val="24"/>
          <w:szCs w:val="24"/>
          <w:lang w:val="en-US"/>
        </w:rPr>
      </w:pPr>
      <w:r w:rsidRPr="008F7BED">
        <w:rPr>
          <w:rFonts w:ascii="Times New Roman" w:hAnsi="Times New Roman" w:cs="Times New Roman"/>
          <w:sz w:val="24"/>
          <w:szCs w:val="24"/>
          <w:lang w:val="en-US"/>
        </w:rPr>
        <w:t xml:space="preserve">When it comes to the effect of national culture on legislation and supervision, </w:t>
      </w:r>
      <w:r w:rsidR="003E0CBC" w:rsidRPr="008F7BED">
        <w:rPr>
          <w:rFonts w:ascii="Times New Roman" w:hAnsi="Times New Roman" w:cs="Times New Roman"/>
          <w:sz w:val="24"/>
          <w:szCs w:val="24"/>
          <w:lang w:val="en-US"/>
        </w:rPr>
        <w:t xml:space="preserve">Van der Lecq, Rivera-Rozo and Steenbeek (2010) have </w:t>
      </w:r>
      <w:r w:rsidR="00761B8E" w:rsidRPr="008F7BED">
        <w:rPr>
          <w:rFonts w:ascii="Times New Roman" w:hAnsi="Times New Roman" w:cs="Times New Roman"/>
          <w:sz w:val="24"/>
          <w:szCs w:val="24"/>
          <w:lang w:val="en-US"/>
        </w:rPr>
        <w:t>show that highly Individualist countries could show signs of moral hazard attitudes, meaning that  for the sake of personal  benefit, riskier strategies could be adopted.</w:t>
      </w:r>
      <w:r w:rsidR="008F7BED">
        <w:rPr>
          <w:rFonts w:ascii="Times New Roman" w:hAnsi="Times New Roman" w:cs="Times New Roman"/>
          <w:sz w:val="24"/>
          <w:szCs w:val="24"/>
          <w:lang w:val="en-US"/>
        </w:rPr>
        <w:t xml:space="preserve"> </w:t>
      </w:r>
      <w:r w:rsidR="00761B8E" w:rsidRPr="008F7BED">
        <w:rPr>
          <w:rFonts w:ascii="Times New Roman" w:hAnsi="Times New Roman" w:cs="Times New Roman"/>
          <w:sz w:val="24"/>
          <w:szCs w:val="24"/>
          <w:lang w:val="en-US"/>
        </w:rPr>
        <w:t xml:space="preserve">They also prove that Uncertainty avoidance is negatively correlated with high equity limits, implying that Equity investments are not considered to be uncertain, but on the contrary,  provide a form of guarantee for future pension benefits.  </w:t>
      </w:r>
      <w:r w:rsidR="00D3519E" w:rsidRPr="008F7BED">
        <w:rPr>
          <w:rFonts w:ascii="Times New Roman" w:hAnsi="Times New Roman" w:cs="Times New Roman"/>
          <w:sz w:val="24"/>
          <w:szCs w:val="24"/>
          <w:lang w:val="en-US"/>
        </w:rPr>
        <w:t xml:space="preserve">Power Distance can have the opposite effect, since a </w:t>
      </w:r>
      <w:r w:rsidR="008F7BED" w:rsidRPr="008F7BED">
        <w:rPr>
          <w:rFonts w:ascii="Times New Roman" w:hAnsi="Times New Roman" w:cs="Times New Roman"/>
          <w:sz w:val="24"/>
          <w:szCs w:val="24"/>
          <w:lang w:val="en-US"/>
        </w:rPr>
        <w:t>low</w:t>
      </w:r>
      <w:r w:rsidR="00D3519E" w:rsidRPr="008F7BED">
        <w:rPr>
          <w:rFonts w:ascii="Times New Roman" w:hAnsi="Times New Roman" w:cs="Times New Roman"/>
          <w:sz w:val="24"/>
          <w:szCs w:val="24"/>
          <w:lang w:val="en-US"/>
        </w:rPr>
        <w:t xml:space="preserve"> Power Distance </w:t>
      </w:r>
      <w:r w:rsidR="00761B8E" w:rsidRPr="008F7BED">
        <w:rPr>
          <w:rFonts w:ascii="Times New Roman" w:hAnsi="Times New Roman" w:cs="Times New Roman"/>
          <w:sz w:val="24"/>
          <w:szCs w:val="24"/>
          <w:lang w:val="en-US"/>
        </w:rPr>
        <w:t xml:space="preserve">score </w:t>
      </w:r>
      <w:r w:rsidR="00D3519E" w:rsidRPr="008F7BED">
        <w:rPr>
          <w:rFonts w:ascii="Times New Roman" w:hAnsi="Times New Roman" w:cs="Times New Roman"/>
          <w:sz w:val="24"/>
          <w:szCs w:val="24"/>
          <w:lang w:val="en-US"/>
        </w:rPr>
        <w:t>is linked with higher maximum limits for equity investments, allowing pension funds  for a higher risk appetite</w:t>
      </w:r>
      <w:r w:rsidR="00761B8E" w:rsidRPr="008F7BED">
        <w:rPr>
          <w:rFonts w:ascii="Times New Roman" w:hAnsi="Times New Roman" w:cs="Times New Roman"/>
          <w:sz w:val="24"/>
          <w:szCs w:val="24"/>
          <w:lang w:val="en-US"/>
        </w:rPr>
        <w:t>.</w:t>
      </w:r>
    </w:p>
    <w:p w:rsidR="000C576E" w:rsidRDefault="00D3519E">
      <w:pPr>
        <w:spacing w:line="360" w:lineRule="auto"/>
        <w:jc w:val="both"/>
        <w:rPr>
          <w:rFonts w:ascii="Times New Roman" w:hAnsi="Times New Roman" w:cs="Times New Roman"/>
          <w:sz w:val="24"/>
          <w:szCs w:val="24"/>
          <w:lang w:val="en-US"/>
        </w:rPr>
      </w:pPr>
      <w:r w:rsidRPr="008F7BED">
        <w:rPr>
          <w:rFonts w:ascii="Times New Roman" w:hAnsi="Times New Roman" w:cs="Times New Roman"/>
          <w:sz w:val="24"/>
          <w:szCs w:val="24"/>
          <w:lang w:val="en-US"/>
        </w:rPr>
        <w:t>However, Dodor, Jean Baptiste K. Rana and Dharam S. (2007) believe that in individualist countries  "individuals in their efforts to pursue their own interests contribute better to the general interest of the nation" and thus, we should expect an opposite association between individualism and risk appetite  than the one introduced above.</w:t>
      </w:r>
    </w:p>
    <w:p w:rsidR="000C576E" w:rsidRDefault="000C576E">
      <w:pPr>
        <w:spacing w:line="360" w:lineRule="auto"/>
        <w:jc w:val="both"/>
        <w:rPr>
          <w:rFonts w:ascii="Times New Roman" w:hAnsi="Times New Roman" w:cs="Times New Roman"/>
          <w:sz w:val="24"/>
          <w:szCs w:val="24"/>
          <w:lang w:val="en-US"/>
        </w:rPr>
      </w:pPr>
    </w:p>
    <w:p w:rsidR="00000000" w:rsidRDefault="004340B8">
      <w:pPr>
        <w:spacing w:line="360" w:lineRule="auto"/>
        <w:jc w:val="both"/>
        <w:rPr>
          <w:rFonts w:ascii="Times New Roman" w:hAnsi="Times New Roman" w:cs="Times New Roman"/>
          <w:b/>
          <w:sz w:val="24"/>
          <w:szCs w:val="24"/>
          <w:lang w:val="en-US"/>
        </w:rPr>
        <w:pPrChange w:id="4" w:author="Dora" w:date="2013-08-25T20:32:00Z">
          <w:pPr>
            <w:autoSpaceDE w:val="0"/>
            <w:autoSpaceDN w:val="0"/>
            <w:adjustRightInd w:val="0"/>
            <w:spacing w:after="0" w:line="240" w:lineRule="auto"/>
          </w:pPr>
        </w:pPrChange>
      </w:pPr>
      <w:r w:rsidRPr="000C576E">
        <w:rPr>
          <w:rFonts w:ascii="Arial" w:hAnsi="Arial" w:cs="Arial"/>
          <w:b/>
          <w:i/>
          <w:lang w:val="en-US"/>
        </w:rPr>
        <w:t xml:space="preserve">2.4. </w:t>
      </w:r>
      <w:r w:rsidR="00A62183" w:rsidRPr="000C576E">
        <w:rPr>
          <w:rFonts w:ascii="Arial" w:hAnsi="Arial" w:cs="Arial"/>
          <w:b/>
          <w:i/>
          <w:lang w:val="en-US"/>
        </w:rPr>
        <w:t>Risk appetite of pension funds</w:t>
      </w:r>
    </w:p>
    <w:p w:rsidR="00A62183" w:rsidRPr="002C595D" w:rsidRDefault="00A62183" w:rsidP="00E32AAC">
      <w:pPr>
        <w:pStyle w:val="Textblock"/>
        <w:jc w:val="both"/>
        <w:rPr>
          <w:color w:val="FFC000"/>
          <w:sz w:val="22"/>
        </w:rPr>
      </w:pPr>
      <w:r w:rsidRPr="002C595D">
        <w:rPr>
          <w:sz w:val="22"/>
        </w:rPr>
        <w:t xml:space="preserve">The second important element of this study, apart from the cultural dimensions, is the risk appetite of pension funds. The time has come that pension funds have to cope with the problem of an ageing </w:t>
      </w:r>
      <w:r w:rsidRPr="002C595D">
        <w:rPr>
          <w:sz w:val="22"/>
        </w:rPr>
        <w:lastRenderedPageBreak/>
        <w:t xml:space="preserve">population. An increasing number of retirement years along with low birth rates pose great challenges for the pension system. There are significant less pension contributions in comparison to the pension commitments, and with the retirement age kept unchanged, governments will find it hard to finance this augmented number of pensions. Over 60% of the total pension assets are allocated for pension commitments within the next 10 years, making pension funds  "ageing giants". (Frijns, Nijssen, and Scholtens,  2010) </w:t>
      </w:r>
    </w:p>
    <w:p w:rsidR="00696DB1" w:rsidRPr="002C595D" w:rsidRDefault="007A6D2C">
      <w:pPr>
        <w:pStyle w:val="Textblock"/>
        <w:jc w:val="both"/>
        <w:rPr>
          <w:bCs/>
          <w:sz w:val="22"/>
        </w:rPr>
      </w:pPr>
      <w:r w:rsidRPr="002C595D">
        <w:rPr>
          <w:sz w:val="22"/>
        </w:rPr>
        <w:t xml:space="preserve">Pension funds have to come up with a good plan in order to meet the interests of the elderly, under the threat of the increasing maturity and the pressure of the shortened investment horizon. This means that aging will definitely have an impact on the asset allocation of pension funds. Despite the increasing importance of asset allocation and risk management, there is still surprisingly little understanding of how to invest such </w:t>
      </w:r>
      <w:r w:rsidR="00874B37" w:rsidRPr="002C595D">
        <w:rPr>
          <w:sz w:val="22"/>
        </w:rPr>
        <w:t xml:space="preserve">  </w:t>
      </w:r>
      <w:r w:rsidRPr="002C595D">
        <w:rPr>
          <w:sz w:val="22"/>
        </w:rPr>
        <w:t>funds.</w:t>
      </w:r>
      <w:r w:rsidRPr="002C595D">
        <w:rPr>
          <w:color w:val="0D0D0D" w:themeColor="text1" w:themeTint="F2"/>
          <w:sz w:val="22"/>
        </w:rPr>
        <w:t xml:space="preserve"> </w:t>
      </w:r>
      <w:r w:rsidRPr="002C595D">
        <w:rPr>
          <w:sz w:val="22"/>
        </w:rPr>
        <w:t>There is no predefined way to determine the most appropriate asset mix, there are however a number of regulation constraints regarding the portfolio c</w:t>
      </w:r>
      <w:r w:rsidR="00874B37" w:rsidRPr="002C595D">
        <w:rPr>
          <w:sz w:val="22"/>
        </w:rPr>
        <w:t xml:space="preserve">hoice for pension funds (Davis, </w:t>
      </w:r>
      <w:r w:rsidRPr="002C595D">
        <w:rPr>
          <w:sz w:val="22"/>
        </w:rPr>
        <w:t>2002). A fundamental rule of investing is that funds have to take into consideration the nature of liabilities when searching for the best asset mix. At any point in time, a fund should be capable of meeting its liabilities. According to Scott (1991), equities have the important advantage of "</w:t>
      </w:r>
      <w:r w:rsidRPr="002C595D">
        <w:rPr>
          <w:color w:val="0D0D0D" w:themeColor="text1" w:themeTint="F2"/>
          <w:sz w:val="22"/>
        </w:rPr>
        <w:t>matching the attributes of long-term inflation linked liabilities, but their short-term returns are very volatile and this is why the portfolio should be diversified in order to make sure that liabilities will be met"</w:t>
      </w:r>
      <w:r w:rsidRPr="002C595D">
        <w:rPr>
          <w:color w:val="4F6228" w:themeColor="accent3" w:themeShade="80"/>
          <w:sz w:val="22"/>
        </w:rPr>
        <w:t>.</w:t>
      </w:r>
      <w:r w:rsidRPr="002C595D">
        <w:rPr>
          <w:sz w:val="22"/>
        </w:rPr>
        <w:t xml:space="preserve"> However it may be worth taking a higher risk considering that 1% extra return equals </w:t>
      </w:r>
      <w:r w:rsidR="00874B37" w:rsidRPr="002C595D">
        <w:rPr>
          <w:sz w:val="22"/>
        </w:rPr>
        <w:t xml:space="preserve">to </w:t>
      </w:r>
      <w:r w:rsidRPr="002C595D">
        <w:rPr>
          <w:sz w:val="22"/>
        </w:rPr>
        <w:t xml:space="preserve">30% </w:t>
      </w:r>
      <w:r w:rsidR="00874B37" w:rsidRPr="002C595D">
        <w:rPr>
          <w:sz w:val="22"/>
        </w:rPr>
        <w:t xml:space="preserve"> </w:t>
      </w:r>
      <w:r w:rsidRPr="002C595D">
        <w:rPr>
          <w:sz w:val="22"/>
        </w:rPr>
        <w:t>higher pensions (</w:t>
      </w:r>
      <w:r w:rsidRPr="002C595D">
        <w:rPr>
          <w:bCs/>
          <w:sz w:val="22"/>
        </w:rPr>
        <w:t>EDHEC)</w:t>
      </w:r>
      <w:r w:rsidR="00A62183" w:rsidRPr="002C595D">
        <w:rPr>
          <w:bCs/>
          <w:sz w:val="22"/>
        </w:rPr>
        <w:t>.</w:t>
      </w:r>
    </w:p>
    <w:p w:rsidR="00696DB1" w:rsidRPr="002C595D" w:rsidRDefault="007A6D2C">
      <w:pPr>
        <w:pStyle w:val="Textblock"/>
        <w:jc w:val="both"/>
        <w:rPr>
          <w:color w:val="0D0D0D" w:themeColor="text1" w:themeTint="F2"/>
          <w:sz w:val="22"/>
        </w:rPr>
      </w:pPr>
      <w:r w:rsidRPr="002C595D">
        <w:rPr>
          <w:color w:val="0D0D0D" w:themeColor="text1" w:themeTint="F2"/>
          <w:sz w:val="22"/>
        </w:rPr>
        <w:t>Life -Cycle theory</w:t>
      </w:r>
    </w:p>
    <w:p w:rsidR="00696DB1" w:rsidRPr="002C595D" w:rsidRDefault="007A6D2C">
      <w:pPr>
        <w:pStyle w:val="Textblock"/>
        <w:jc w:val="both"/>
        <w:rPr>
          <w:sz w:val="22"/>
        </w:rPr>
      </w:pPr>
      <w:r w:rsidRPr="002C595D">
        <w:rPr>
          <w:color w:val="0D0D0D" w:themeColor="text1" w:themeTint="F2"/>
          <w:sz w:val="22"/>
        </w:rPr>
        <w:t xml:space="preserve">Pension funds objective is to balance consumption during working and retirement years, </w:t>
      </w:r>
      <w:r w:rsidRPr="002C595D">
        <w:rPr>
          <w:sz w:val="22"/>
        </w:rPr>
        <w:t>therefore investments should be such that ensure a good level of living in both perio</w:t>
      </w:r>
      <w:r w:rsidR="00611A99" w:rsidRPr="002C595D">
        <w:rPr>
          <w:sz w:val="22"/>
        </w:rPr>
        <w:t>ds (Bagliano and Nicodano, 2009</w:t>
      </w:r>
      <w:r w:rsidRPr="002C595D">
        <w:rPr>
          <w:sz w:val="22"/>
        </w:rPr>
        <w:t>)</w:t>
      </w:r>
      <w:r w:rsidR="00611A99" w:rsidRPr="002C595D">
        <w:rPr>
          <w:sz w:val="22"/>
        </w:rPr>
        <w:t>.</w:t>
      </w:r>
      <w:r w:rsidRPr="002C595D">
        <w:rPr>
          <w:sz w:val="22"/>
        </w:rPr>
        <w:t xml:space="preserve"> Life</w:t>
      </w:r>
      <w:r w:rsidRPr="002C595D">
        <w:rPr>
          <w:color w:val="0D0D0D" w:themeColor="text1" w:themeTint="F2"/>
          <w:sz w:val="22"/>
        </w:rPr>
        <w:t xml:space="preserve">-Cycle theory makes a distinction between long-term and short-term investors and their optimal </w:t>
      </w:r>
      <w:r w:rsidRPr="002C595D">
        <w:rPr>
          <w:sz w:val="22"/>
        </w:rPr>
        <w:t>asset allocation. It supports that younger investors can be more risky in their investments since they face a long time horizon which helps them recover from potential financial losses. Therefore, they are urged to invest in an equity-linked portfolio of assets during the first years of the life-cycle and slowly make a shift to a bond weighted portfolio while they reach the retirement age. As they say "the equity risk premium has more time to offset the greater risk attached to equities relative to bonds" (Booth 2004; Viceira 2007; Bodie and Treussard 2007). Investments in equity although riskier, should support growth and result in a higher rate of return. However bonds form the safe way to preserve capital and income and this is why they are preferred when the retirement is getting closer. "Your age in bonds"  is the rule of thumb that has prevailed among financial planners, meaning a 30% of total assets should be invested in bonds at the age of 30, and 70% in equities.</w:t>
      </w:r>
    </w:p>
    <w:p w:rsidR="00696DB1" w:rsidRPr="002C595D" w:rsidRDefault="007A6D2C">
      <w:pPr>
        <w:pStyle w:val="Textblock"/>
        <w:jc w:val="both"/>
        <w:rPr>
          <w:sz w:val="22"/>
        </w:rPr>
      </w:pPr>
      <w:r w:rsidRPr="002C595D">
        <w:rPr>
          <w:sz w:val="22"/>
        </w:rPr>
        <w:t>According to the lifecycle theory, funds should automatically reallocate their portfolio from equities to bonds when approaching the target year.</w:t>
      </w:r>
      <w:r w:rsidRPr="002C595D">
        <w:rPr>
          <w:color w:val="244061" w:themeColor="accent1" w:themeShade="80"/>
          <w:sz w:val="22"/>
        </w:rPr>
        <w:t xml:space="preserve"> </w:t>
      </w:r>
    </w:p>
    <w:p w:rsidR="00696DB1" w:rsidRPr="002C595D" w:rsidRDefault="00D66FF2">
      <w:pPr>
        <w:pStyle w:val="Textblock"/>
        <w:jc w:val="both"/>
        <w:rPr>
          <w:sz w:val="22"/>
        </w:rPr>
      </w:pPr>
      <w:r w:rsidRPr="002C595D">
        <w:rPr>
          <w:sz w:val="22"/>
        </w:rPr>
        <w:lastRenderedPageBreak/>
        <w:t>Wh</w:t>
      </w:r>
      <w:r w:rsidR="007A6D2C" w:rsidRPr="002C595D">
        <w:rPr>
          <w:sz w:val="22"/>
        </w:rPr>
        <w:t>at is observed in prac</w:t>
      </w:r>
      <w:r w:rsidR="00611A99" w:rsidRPr="002C595D">
        <w:rPr>
          <w:sz w:val="22"/>
        </w:rPr>
        <w:t xml:space="preserve">tice is that at the end of 2009 in most OECD countries, is that </w:t>
      </w:r>
      <w:r w:rsidR="007A6D2C" w:rsidRPr="002C595D">
        <w:rPr>
          <w:sz w:val="22"/>
        </w:rPr>
        <w:t>bonds and equities were the most popular kind of investments among asset classes for the pension funds, adding up to a total of 80% of total</w:t>
      </w:r>
      <w:r w:rsidR="00611A99" w:rsidRPr="002C595D">
        <w:rPr>
          <w:sz w:val="22"/>
        </w:rPr>
        <w:t xml:space="preserve"> pensions funds' assets. </w:t>
      </w:r>
      <w:r w:rsidR="007A6D2C" w:rsidRPr="002C595D">
        <w:rPr>
          <w:sz w:val="22"/>
        </w:rPr>
        <w:t xml:space="preserve">Although there is a great heterogeneity in asset allocation among pension funds in different countries, in 2009 there was a general greater preference for bonds over equities. </w:t>
      </w:r>
      <w:r w:rsidR="003019D5" w:rsidRPr="002C595D">
        <w:rPr>
          <w:sz w:val="22"/>
        </w:rPr>
        <w:t>The chart below</w:t>
      </w:r>
      <w:r w:rsidR="007A6D2C" w:rsidRPr="002C595D">
        <w:rPr>
          <w:sz w:val="22"/>
        </w:rPr>
        <w:t xml:space="preserve"> shows the asset allocation </w:t>
      </w:r>
      <w:r w:rsidR="003019D5" w:rsidRPr="002C595D">
        <w:rPr>
          <w:sz w:val="22"/>
        </w:rPr>
        <w:t xml:space="preserve">of </w:t>
      </w:r>
      <w:r w:rsidR="007A6D2C" w:rsidRPr="002C595D">
        <w:rPr>
          <w:sz w:val="22"/>
        </w:rPr>
        <w:t xml:space="preserve">pension funds </w:t>
      </w:r>
      <w:r w:rsidR="003019D5" w:rsidRPr="002C595D">
        <w:rPr>
          <w:sz w:val="22"/>
        </w:rPr>
        <w:t xml:space="preserve">in 5 European countries </w:t>
      </w:r>
      <w:r w:rsidR="007A6D2C" w:rsidRPr="002C595D">
        <w:rPr>
          <w:sz w:val="22"/>
        </w:rPr>
        <w:t>in 2011. As we can see, the investing landscape shows the same patterns as in the OECD survey in 2009, with the majority of assets being held in bonds in countries across Europe.</w:t>
      </w:r>
    </w:p>
    <w:p w:rsidR="00317759" w:rsidRPr="00317759" w:rsidRDefault="00BB1EF7">
      <w:pPr>
        <w:pStyle w:val="Textblock"/>
        <w:jc w:val="both"/>
        <w:rPr>
          <w:b/>
        </w:rPr>
      </w:pPr>
      <w:r>
        <w:rPr>
          <w:b/>
        </w:rPr>
        <w:t xml:space="preserve">Figure </w:t>
      </w:r>
      <w:r w:rsidR="00317759" w:rsidRPr="00317759">
        <w:rPr>
          <w:b/>
        </w:rPr>
        <w:t xml:space="preserve">2.1 Asset allocation of pension funds in 2011. </w:t>
      </w:r>
    </w:p>
    <w:p w:rsidR="00617731" w:rsidRDefault="003019D5">
      <w:pPr>
        <w:pStyle w:val="Textblock"/>
        <w:jc w:val="center"/>
      </w:pPr>
      <w:r>
        <w:rPr>
          <w:noProof/>
          <w:lang w:eastAsia="en-US"/>
        </w:rPr>
        <w:drawing>
          <wp:inline distT="0" distB="0" distL="0" distR="0">
            <wp:extent cx="5274310" cy="2562225"/>
            <wp:effectExtent l="19050" t="0" r="2159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A6D2C" w:rsidRPr="002C595D" w:rsidRDefault="007A1B5F" w:rsidP="00E32AAC">
      <w:pPr>
        <w:pStyle w:val="Textblock"/>
        <w:jc w:val="both"/>
        <w:rPr>
          <w:sz w:val="20"/>
        </w:rPr>
      </w:pPr>
      <w:r w:rsidRPr="002C595D">
        <w:rPr>
          <w:sz w:val="20"/>
        </w:rPr>
        <w:t>The chart is a visual presentation of the asset allocation of pension funds in 5 OECD countries in the year 2011. As we can see the equity holdings vary from 22% to 40%, and it is only an indication for the whole sample. S</w:t>
      </w:r>
      <w:r w:rsidR="007A6D2C" w:rsidRPr="002C595D">
        <w:rPr>
          <w:sz w:val="20"/>
        </w:rPr>
        <w:t>ource: Mercer 2011, Asset allocation survey</w:t>
      </w:r>
    </w:p>
    <w:p w:rsidR="007A1B5F" w:rsidRDefault="007A1B5F">
      <w:pPr>
        <w:pStyle w:val="Textblock"/>
        <w:jc w:val="both"/>
        <w:rPr>
          <w:iCs/>
        </w:rPr>
      </w:pPr>
    </w:p>
    <w:p w:rsidR="00696DB1" w:rsidRPr="002C595D" w:rsidRDefault="007A6D2C">
      <w:pPr>
        <w:pStyle w:val="Textblock"/>
        <w:jc w:val="both"/>
        <w:rPr>
          <w:i/>
          <w:iCs/>
          <w:sz w:val="22"/>
        </w:rPr>
      </w:pPr>
      <w:r w:rsidRPr="002C595D">
        <w:rPr>
          <w:iCs/>
          <w:sz w:val="22"/>
        </w:rPr>
        <w:t xml:space="preserve">We should also mention that real estate is an asset that is broadly chosen by  </w:t>
      </w:r>
      <w:r w:rsidRPr="002C595D">
        <w:rPr>
          <w:sz w:val="22"/>
        </w:rPr>
        <w:t>pension funds with an older age structure and with a larger number of contributors with  disability, since it provides a stable and less unpredictable</w:t>
      </w:r>
      <w:r w:rsidRPr="002C595D">
        <w:rPr>
          <w:color w:val="00B050"/>
          <w:sz w:val="22"/>
        </w:rPr>
        <w:t xml:space="preserve"> </w:t>
      </w:r>
      <w:r w:rsidRPr="002C595D">
        <w:rPr>
          <w:sz w:val="22"/>
        </w:rPr>
        <w:t>return to cover benefits obligations. Moreover, the more the short-term payments obligations the more risk-averse a pension fund will be because of the need for liquidity.</w:t>
      </w:r>
    </w:p>
    <w:p w:rsidR="00F80863" w:rsidRPr="002C595D" w:rsidRDefault="00611A99">
      <w:pPr>
        <w:spacing w:line="360" w:lineRule="auto"/>
        <w:jc w:val="both"/>
        <w:rPr>
          <w:rFonts w:ascii="Times New Roman" w:hAnsi="Times New Roman" w:cs="Times New Roman"/>
          <w:szCs w:val="24"/>
          <w:lang w:val="en-US"/>
        </w:rPr>
      </w:pPr>
      <w:r w:rsidRPr="002C595D">
        <w:rPr>
          <w:rFonts w:ascii="Times New Roman" w:hAnsi="Times New Roman" w:cs="Times New Roman"/>
          <w:szCs w:val="24"/>
          <w:lang w:val="en-US"/>
        </w:rPr>
        <w:t xml:space="preserve">Following the above line of thinking, in this study the risk appetite of pension funds will be expressed as the total amount of equity share taken. </w:t>
      </w:r>
      <w:r w:rsidR="003A1396" w:rsidRPr="002C595D">
        <w:rPr>
          <w:rFonts w:ascii="Times New Roman" w:hAnsi="Times New Roman" w:cs="Times New Roman"/>
          <w:szCs w:val="24"/>
          <w:lang w:val="en-US"/>
        </w:rPr>
        <w:t xml:space="preserve">The more risk seeking, the higher the total amount of equity a pension fund is expected to own.      </w:t>
      </w:r>
    </w:p>
    <w:p w:rsidR="002C595D" w:rsidRDefault="002C595D" w:rsidP="00F80863">
      <w:pPr>
        <w:spacing w:line="360" w:lineRule="auto"/>
        <w:jc w:val="both"/>
        <w:rPr>
          <w:rFonts w:ascii="Arial" w:hAnsi="Arial" w:cs="Arial"/>
          <w:b/>
          <w:i/>
          <w:lang w:val="en-US"/>
        </w:rPr>
      </w:pPr>
    </w:p>
    <w:p w:rsidR="002C595D" w:rsidRDefault="002C595D" w:rsidP="00F80863">
      <w:pPr>
        <w:spacing w:line="360" w:lineRule="auto"/>
        <w:jc w:val="both"/>
        <w:rPr>
          <w:rFonts w:ascii="Arial" w:hAnsi="Arial" w:cs="Arial"/>
          <w:b/>
          <w:i/>
          <w:lang w:val="en-US"/>
        </w:rPr>
      </w:pPr>
    </w:p>
    <w:p w:rsidR="00F80863" w:rsidRPr="000C576E" w:rsidRDefault="00F80863" w:rsidP="00F80863">
      <w:pPr>
        <w:spacing w:line="360" w:lineRule="auto"/>
        <w:jc w:val="both"/>
        <w:rPr>
          <w:rFonts w:ascii="Arial" w:hAnsi="Arial" w:cs="Arial"/>
          <w:b/>
          <w:i/>
          <w:lang w:val="en-US"/>
        </w:rPr>
      </w:pPr>
      <w:r w:rsidRPr="000C576E">
        <w:rPr>
          <w:rFonts w:ascii="Arial" w:hAnsi="Arial" w:cs="Arial"/>
          <w:b/>
          <w:i/>
          <w:lang w:val="en-US"/>
        </w:rPr>
        <w:lastRenderedPageBreak/>
        <w:t>2.5 Controlling for other factors of asset allocation</w:t>
      </w:r>
    </w:p>
    <w:p w:rsidR="00F80863" w:rsidRDefault="00F80863" w:rsidP="00F80863">
      <w:pPr>
        <w:spacing w:line="360" w:lineRule="auto"/>
        <w:jc w:val="both"/>
        <w:rPr>
          <w:rFonts w:ascii="Times New Roman" w:hAnsi="Times New Roman" w:cs="Times New Roman"/>
          <w:sz w:val="24"/>
          <w:szCs w:val="24"/>
          <w:lang w:val="en-US"/>
        </w:rPr>
      </w:pPr>
      <w:r w:rsidRPr="002C595D">
        <w:rPr>
          <w:rFonts w:ascii="Times New Roman" w:hAnsi="Times New Roman" w:cs="Times New Roman"/>
          <w:szCs w:val="24"/>
          <w:lang w:val="en-US"/>
        </w:rPr>
        <w:t>Before formulating our hypotheses, we should also include in our research some other factors that can influence our variables in question. Below, we are presenting which control variables we are going to test and the reason why</w:t>
      </w:r>
      <w:r w:rsidRPr="00F80863">
        <w:rPr>
          <w:rFonts w:ascii="Times New Roman" w:hAnsi="Times New Roman" w:cs="Times New Roman"/>
          <w:sz w:val="24"/>
          <w:szCs w:val="24"/>
          <w:lang w:val="en-US"/>
        </w:rPr>
        <w:t xml:space="preserve">. </w:t>
      </w:r>
    </w:p>
    <w:p w:rsidR="007A1B5F" w:rsidRPr="00F80863" w:rsidRDefault="007A1B5F" w:rsidP="00F80863">
      <w:pPr>
        <w:spacing w:line="360" w:lineRule="auto"/>
        <w:jc w:val="both"/>
        <w:rPr>
          <w:rFonts w:ascii="Times New Roman" w:hAnsi="Times New Roman" w:cs="Times New Roman"/>
          <w:sz w:val="24"/>
          <w:szCs w:val="24"/>
          <w:lang w:val="en-US"/>
        </w:rPr>
      </w:pPr>
    </w:p>
    <w:p w:rsidR="00F80863" w:rsidRPr="000C576E" w:rsidRDefault="00692307" w:rsidP="00F80863">
      <w:pPr>
        <w:spacing w:line="360" w:lineRule="auto"/>
        <w:jc w:val="both"/>
        <w:rPr>
          <w:rFonts w:ascii="Arial" w:hAnsi="Arial" w:cs="Arial"/>
          <w:b/>
          <w:i/>
          <w:lang w:val="en-US"/>
        </w:rPr>
      </w:pPr>
      <w:r w:rsidRPr="000C576E">
        <w:rPr>
          <w:rFonts w:ascii="Arial" w:hAnsi="Arial" w:cs="Arial"/>
          <w:b/>
          <w:i/>
          <w:lang w:val="en-US"/>
        </w:rPr>
        <w:t>2.5</w:t>
      </w:r>
      <w:r w:rsidR="00F80863" w:rsidRPr="000C576E">
        <w:rPr>
          <w:rFonts w:ascii="Arial" w:hAnsi="Arial" w:cs="Arial"/>
          <w:b/>
          <w:i/>
          <w:lang w:val="en-US"/>
        </w:rPr>
        <w:t>.1  National wealth</w:t>
      </w:r>
    </w:p>
    <w:p w:rsidR="00692307" w:rsidRPr="002C595D" w:rsidRDefault="00F80863" w:rsidP="00F80863">
      <w:pPr>
        <w:spacing w:line="360" w:lineRule="auto"/>
        <w:jc w:val="both"/>
        <w:rPr>
          <w:rFonts w:ascii="Times New Roman" w:hAnsi="Times New Roman" w:cs="Times New Roman"/>
          <w:szCs w:val="24"/>
          <w:lang w:val="en-US"/>
        </w:rPr>
      </w:pPr>
      <w:r w:rsidRPr="002C595D">
        <w:rPr>
          <w:rFonts w:ascii="Times New Roman" w:hAnsi="Times New Roman" w:cs="Times New Roman"/>
          <w:szCs w:val="24"/>
          <w:lang w:val="en-US"/>
        </w:rPr>
        <w:t>According to Hofstede, we should always check for the influence of national wealth when studying the cultural dimensions in connection with other data. The reason is that Power Distance and Individualism show high correlations with wealth-related phenomena. This is why we are going to include the GDP per capita variable in our analysis as a measure of national wealth. Moreover, an increasing GDP per capita is associated with developing economies, which are always an attractive target for investors (Berkel, 2007).</w:t>
      </w:r>
    </w:p>
    <w:p w:rsidR="00F80863" w:rsidRPr="00F80863" w:rsidRDefault="00F80863" w:rsidP="00F80863">
      <w:pPr>
        <w:spacing w:line="360" w:lineRule="auto"/>
        <w:jc w:val="both"/>
        <w:rPr>
          <w:rFonts w:ascii="Times New Roman" w:hAnsi="Times New Roman" w:cs="Times New Roman"/>
          <w:sz w:val="24"/>
          <w:szCs w:val="24"/>
          <w:lang w:val="en-US"/>
        </w:rPr>
      </w:pPr>
      <w:r w:rsidRPr="00F80863">
        <w:rPr>
          <w:rFonts w:ascii="Times New Roman" w:hAnsi="Times New Roman" w:cs="Times New Roman"/>
          <w:sz w:val="24"/>
          <w:szCs w:val="24"/>
          <w:lang w:val="en-US"/>
        </w:rPr>
        <w:tab/>
      </w:r>
    </w:p>
    <w:p w:rsidR="00F80863" w:rsidRPr="000C576E" w:rsidRDefault="00692307" w:rsidP="00F80863">
      <w:pPr>
        <w:spacing w:line="360" w:lineRule="auto"/>
        <w:jc w:val="both"/>
        <w:rPr>
          <w:rFonts w:ascii="Arial" w:hAnsi="Arial" w:cs="Arial"/>
          <w:b/>
          <w:i/>
          <w:lang w:val="en-US"/>
        </w:rPr>
      </w:pPr>
      <w:r w:rsidRPr="000C576E">
        <w:rPr>
          <w:rFonts w:ascii="Arial" w:hAnsi="Arial" w:cs="Arial"/>
          <w:b/>
          <w:i/>
          <w:lang w:val="en-US"/>
        </w:rPr>
        <w:t>2.5</w:t>
      </w:r>
      <w:r w:rsidR="00F80863" w:rsidRPr="000C576E">
        <w:rPr>
          <w:rFonts w:ascii="Arial" w:hAnsi="Arial" w:cs="Arial"/>
          <w:b/>
          <w:i/>
          <w:lang w:val="en-US"/>
        </w:rPr>
        <w:t>.2 Stock market development</w:t>
      </w:r>
    </w:p>
    <w:p w:rsidR="00F80863" w:rsidRPr="002C595D" w:rsidRDefault="00F80863" w:rsidP="00F80863">
      <w:pPr>
        <w:spacing w:line="360" w:lineRule="auto"/>
        <w:jc w:val="both"/>
        <w:rPr>
          <w:rFonts w:ascii="Times New Roman" w:hAnsi="Times New Roman" w:cs="Times New Roman"/>
          <w:szCs w:val="24"/>
          <w:lang w:val="en-US"/>
        </w:rPr>
      </w:pPr>
      <w:r w:rsidRPr="002C595D">
        <w:rPr>
          <w:rFonts w:ascii="Times New Roman" w:hAnsi="Times New Roman" w:cs="Times New Roman"/>
          <w:szCs w:val="24"/>
          <w:lang w:val="en-US"/>
        </w:rPr>
        <w:t xml:space="preserve">Given that we are going to examine the risk appetite of pension funds using their total equity share holdings, it makes absolute sense that we should also check the Stock market development of each country. According to theory, a developed stock market is associated with greater liquidity, which is an element that investors are seeking for when allocating their assets. Also, we could argue that  better developed stock market could facilitate higher equity investments and hence higher risk appetite. </w:t>
      </w:r>
    </w:p>
    <w:p w:rsidR="00F80863" w:rsidRPr="000C576E" w:rsidRDefault="00F80863" w:rsidP="00F80863">
      <w:pPr>
        <w:spacing w:line="360" w:lineRule="auto"/>
        <w:jc w:val="both"/>
        <w:rPr>
          <w:rFonts w:ascii="Arial" w:hAnsi="Arial" w:cs="Arial"/>
          <w:b/>
          <w:i/>
          <w:lang w:val="en-US"/>
        </w:rPr>
      </w:pPr>
    </w:p>
    <w:p w:rsidR="00F80863" w:rsidRPr="000C576E" w:rsidRDefault="00692307" w:rsidP="00F80863">
      <w:pPr>
        <w:spacing w:line="360" w:lineRule="auto"/>
        <w:jc w:val="both"/>
        <w:rPr>
          <w:rFonts w:ascii="Arial" w:hAnsi="Arial" w:cs="Arial"/>
          <w:b/>
          <w:i/>
          <w:lang w:val="en-US"/>
        </w:rPr>
      </w:pPr>
      <w:r w:rsidRPr="000C576E">
        <w:rPr>
          <w:rFonts w:ascii="Arial" w:hAnsi="Arial" w:cs="Arial"/>
          <w:b/>
          <w:i/>
          <w:lang w:val="en-US"/>
        </w:rPr>
        <w:t>2</w:t>
      </w:r>
      <w:r w:rsidR="00F80863" w:rsidRPr="000C576E">
        <w:rPr>
          <w:rFonts w:ascii="Arial" w:hAnsi="Arial" w:cs="Arial"/>
          <w:b/>
          <w:i/>
          <w:lang w:val="en-US"/>
        </w:rPr>
        <w:t>.5.3 Average of participants' age</w:t>
      </w:r>
    </w:p>
    <w:p w:rsidR="00F80863" w:rsidRPr="002C595D" w:rsidRDefault="00F80863" w:rsidP="00F80863">
      <w:pPr>
        <w:spacing w:line="360" w:lineRule="auto"/>
        <w:jc w:val="both"/>
        <w:rPr>
          <w:rFonts w:ascii="Times New Roman" w:hAnsi="Times New Roman" w:cs="Times New Roman"/>
          <w:szCs w:val="24"/>
          <w:lang w:val="en-US"/>
        </w:rPr>
      </w:pPr>
      <w:r w:rsidRPr="002C595D">
        <w:rPr>
          <w:rFonts w:ascii="Times New Roman" w:hAnsi="Times New Roman" w:cs="Times New Roman"/>
          <w:szCs w:val="24"/>
          <w:lang w:val="en-US"/>
        </w:rPr>
        <w:t xml:space="preserve">As discussed above, the Life Cycle Theory makes a distinction between younger and older investors and long term\ short term investments. Younger investors, having more time ahead in order to correct for possible losses, tend to be more risky and invest heavier in stocks. On the other hand, older investors tend to favor bond investments. Therefore, we expect that in countries where the number of pension recipients in relation to pension contributors is higher, the risk appetite of pension funds will be lower. </w:t>
      </w:r>
    </w:p>
    <w:p w:rsidR="007A1B5F" w:rsidRDefault="007A1B5F" w:rsidP="00F80863">
      <w:pPr>
        <w:spacing w:line="360" w:lineRule="auto"/>
        <w:jc w:val="both"/>
        <w:rPr>
          <w:rFonts w:ascii="Arial" w:hAnsi="Arial" w:cs="Arial"/>
          <w:b/>
          <w:i/>
          <w:lang w:val="en-US"/>
        </w:rPr>
      </w:pPr>
    </w:p>
    <w:p w:rsidR="00F80863" w:rsidRPr="000C576E" w:rsidRDefault="00F80863" w:rsidP="00F80863">
      <w:pPr>
        <w:spacing w:line="360" w:lineRule="auto"/>
        <w:jc w:val="both"/>
        <w:rPr>
          <w:rFonts w:ascii="Arial" w:hAnsi="Arial" w:cs="Arial"/>
          <w:b/>
          <w:i/>
          <w:lang w:val="en-US"/>
        </w:rPr>
      </w:pPr>
      <w:r w:rsidRPr="000C576E">
        <w:rPr>
          <w:rFonts w:ascii="Arial" w:hAnsi="Arial" w:cs="Arial"/>
          <w:b/>
          <w:i/>
          <w:lang w:val="en-US"/>
        </w:rPr>
        <w:t>2.5.4  Limits in equity investments</w:t>
      </w:r>
    </w:p>
    <w:p w:rsidR="00000000" w:rsidRDefault="00F80863">
      <w:pPr>
        <w:spacing w:line="360" w:lineRule="auto"/>
        <w:jc w:val="both"/>
        <w:rPr>
          <w:rFonts w:ascii="Times New Roman" w:hAnsi="Times New Roman" w:cs="Times New Roman"/>
          <w:szCs w:val="24"/>
          <w:lang w:val="en-US"/>
        </w:rPr>
        <w:pPrChange w:id="5" w:author="Dora" w:date="2013-08-25T20:32:00Z">
          <w:pPr/>
        </w:pPrChange>
      </w:pPr>
      <w:r w:rsidRPr="002C595D">
        <w:rPr>
          <w:rFonts w:ascii="Times New Roman" w:hAnsi="Times New Roman" w:cs="Times New Roman"/>
          <w:szCs w:val="24"/>
          <w:lang w:val="en-US"/>
        </w:rPr>
        <w:t xml:space="preserve">In order to adhere to the rule of the "Prudent person" regarding the safety of  investments, regulators are imposing portfolio limitations to the asset allocation of pension funds. These limits are usually per asset class and form a  maximum upper limits of investments. Those limits differ from country to country, and </w:t>
      </w:r>
      <w:r w:rsidRPr="002C595D">
        <w:rPr>
          <w:rFonts w:ascii="Times New Roman" w:hAnsi="Times New Roman" w:cs="Times New Roman"/>
          <w:szCs w:val="24"/>
          <w:lang w:val="en-US"/>
        </w:rPr>
        <w:lastRenderedPageBreak/>
        <w:t>vary depending on the legislation strictness of each. Therefore, especially in cases of strict limitations in equity, we could argue that those limits could restrict the risk appetite of pension funds and have a serious impact on their asset allocation.</w:t>
      </w:r>
    </w:p>
    <w:p w:rsidR="003D1F7C" w:rsidRDefault="003D1F7C" w:rsidP="003D1F7C">
      <w:pPr>
        <w:spacing w:line="360" w:lineRule="auto"/>
        <w:jc w:val="both"/>
        <w:rPr>
          <w:rFonts w:ascii="Times New Roman" w:hAnsi="Times New Roman" w:cs="Times New Roman"/>
          <w:sz w:val="24"/>
          <w:szCs w:val="24"/>
          <w:lang w:val="en-US"/>
        </w:rPr>
      </w:pPr>
    </w:p>
    <w:p w:rsidR="003D1F7C" w:rsidRDefault="003D1F7C" w:rsidP="003D1F7C">
      <w:pPr>
        <w:spacing w:line="360" w:lineRule="auto"/>
        <w:jc w:val="both"/>
        <w:rPr>
          <w:rFonts w:ascii="Arial" w:hAnsi="Arial" w:cs="Arial"/>
          <w:b/>
          <w:i/>
          <w:lang w:val="en-US"/>
        </w:rPr>
      </w:pPr>
      <w:r>
        <w:rPr>
          <w:rFonts w:ascii="Arial" w:hAnsi="Arial" w:cs="Arial"/>
          <w:b/>
          <w:i/>
          <w:lang w:val="en-US"/>
        </w:rPr>
        <w:t>2.5.5</w:t>
      </w:r>
      <w:r w:rsidRPr="000C576E">
        <w:rPr>
          <w:rFonts w:ascii="Arial" w:hAnsi="Arial" w:cs="Arial"/>
          <w:b/>
          <w:i/>
          <w:lang w:val="en-US"/>
        </w:rPr>
        <w:t xml:space="preserve">  </w:t>
      </w:r>
      <w:r w:rsidR="00DA6CE7">
        <w:rPr>
          <w:rFonts w:ascii="Arial" w:hAnsi="Arial" w:cs="Arial"/>
          <w:b/>
          <w:i/>
          <w:lang w:val="en-US"/>
        </w:rPr>
        <w:t>Relative share</w:t>
      </w:r>
      <w:r>
        <w:rPr>
          <w:rFonts w:ascii="Arial" w:hAnsi="Arial" w:cs="Arial"/>
          <w:b/>
          <w:i/>
          <w:lang w:val="en-US"/>
        </w:rPr>
        <w:t xml:space="preserve"> of total assets held by Defined Benefit plans</w:t>
      </w:r>
    </w:p>
    <w:p w:rsidR="005D4597" w:rsidRPr="002C595D" w:rsidRDefault="00A4441C" w:rsidP="005D4597">
      <w:pPr>
        <w:spacing w:line="360" w:lineRule="auto"/>
        <w:jc w:val="both"/>
        <w:rPr>
          <w:rFonts w:ascii="Times New Roman" w:hAnsi="Times New Roman" w:cs="Times New Roman"/>
          <w:lang w:val="en-US"/>
        </w:rPr>
      </w:pPr>
      <w:r w:rsidRPr="002C595D">
        <w:rPr>
          <w:rFonts w:ascii="Times New Roman" w:hAnsi="Times New Roman" w:cs="Times New Roman"/>
          <w:lang w:val="en-US"/>
        </w:rPr>
        <w:t xml:space="preserve">When it comes to private pensions, there two basic types of pension plans: Defined Benefit (DB) and Defined Contribution (DC) plans. In a DB plan there is a fixed  benefit received at the time of retirement, which is calculated according to a certain formula and depends on the working years and the average salary over the latest working years. The advantages of such a plan are that the retirement benefit is not affected by market performance, but it is usually counting for inflation. </w:t>
      </w:r>
      <w:r w:rsidR="00701E67" w:rsidRPr="002C595D">
        <w:rPr>
          <w:rFonts w:ascii="Times New Roman" w:hAnsi="Times New Roman" w:cs="Times New Roman"/>
          <w:lang w:val="en-US"/>
        </w:rPr>
        <w:t>Although it usually leads to a higher amount for the employee in the end, because of the calculation method, in the same time it is expensive for the employer, who makes the contributions. This is why we notice a switch from DB plans to DC.</w:t>
      </w:r>
    </w:p>
    <w:p w:rsidR="003D1F7C" w:rsidRPr="002C595D" w:rsidRDefault="00701E67" w:rsidP="003D1F7C">
      <w:pPr>
        <w:spacing w:line="360" w:lineRule="auto"/>
        <w:jc w:val="both"/>
        <w:rPr>
          <w:rFonts w:ascii="Times New Roman" w:hAnsi="Times New Roman" w:cs="Times New Roman"/>
          <w:lang w:val="en-US"/>
        </w:rPr>
      </w:pPr>
      <w:r w:rsidRPr="002C595D">
        <w:rPr>
          <w:rFonts w:ascii="Times New Roman" w:hAnsi="Times New Roman" w:cs="Times New Roman"/>
          <w:lang w:val="en-US"/>
        </w:rPr>
        <w:t xml:space="preserve">Defined Contribution plans, </w:t>
      </w:r>
      <w:r w:rsidR="0095704E" w:rsidRPr="002C595D">
        <w:rPr>
          <w:rFonts w:ascii="Times New Roman" w:hAnsi="Times New Roman" w:cs="Times New Roman"/>
          <w:lang w:val="en-US"/>
        </w:rPr>
        <w:t xml:space="preserve">work the other way around. Here the contribution is a fixed amount, calculated as a percentage of salary, and the benefit </w:t>
      </w:r>
      <w:r w:rsidR="009B698B" w:rsidRPr="002C595D">
        <w:rPr>
          <w:rFonts w:ascii="Times New Roman" w:hAnsi="Times New Roman" w:cs="Times New Roman"/>
          <w:lang w:val="en-US"/>
        </w:rPr>
        <w:t xml:space="preserve">is subject to the </w:t>
      </w:r>
      <w:hyperlink r:id="rId12" w:tooltip="Investment" w:history="1">
        <w:r w:rsidR="009B698B" w:rsidRPr="002C595D">
          <w:rPr>
            <w:rFonts w:ascii="Times New Roman" w:hAnsi="Times New Roman" w:cs="Times New Roman"/>
            <w:lang w:val="en-US"/>
          </w:rPr>
          <w:t>investment</w:t>
        </w:r>
      </w:hyperlink>
      <w:r w:rsidR="009B698B" w:rsidRPr="002C595D">
        <w:rPr>
          <w:rFonts w:ascii="Times New Roman" w:hAnsi="Times New Roman" w:cs="Times New Roman"/>
          <w:lang w:val="en-US"/>
        </w:rPr>
        <w:t xml:space="preserve"> returns. Therefore there is no safety regarding the final amount the retiree will receive. On the one hand, the investor can have a better control over his portfolio and investments but on the other hand, </w:t>
      </w:r>
      <w:r w:rsidR="005D4597" w:rsidRPr="002C595D">
        <w:rPr>
          <w:rFonts w:ascii="Times New Roman" w:hAnsi="Times New Roman" w:cs="Times New Roman"/>
          <w:lang w:val="en-US"/>
        </w:rPr>
        <w:t xml:space="preserve">it is a slightly riskier choice because of the lack of safety. </w:t>
      </w:r>
    </w:p>
    <w:p w:rsidR="00AA379B" w:rsidRPr="002C595D" w:rsidRDefault="005D4597" w:rsidP="003D1F7C">
      <w:pPr>
        <w:spacing w:line="360" w:lineRule="auto"/>
        <w:jc w:val="both"/>
        <w:rPr>
          <w:rFonts w:ascii="Times New Roman" w:hAnsi="Times New Roman" w:cs="Times New Roman"/>
          <w:lang w:val="en-US"/>
        </w:rPr>
      </w:pPr>
      <w:r w:rsidRPr="002C595D">
        <w:rPr>
          <w:rFonts w:ascii="Times New Roman" w:hAnsi="Times New Roman" w:cs="Times New Roman"/>
          <w:lang w:val="en-US"/>
        </w:rPr>
        <w:t xml:space="preserve">In our research, taking into account which kind of pension plan is mostly preferred </w:t>
      </w:r>
      <w:r w:rsidR="00E02E48" w:rsidRPr="002C595D">
        <w:rPr>
          <w:rFonts w:ascii="Times New Roman" w:hAnsi="Times New Roman" w:cs="Times New Roman"/>
          <w:lang w:val="en-US"/>
        </w:rPr>
        <w:t>on a country level could be of great interest. If people choose Defined Contribution plans over Define Benefit, that would suggest a higher risk appetite from their side, since</w:t>
      </w:r>
      <w:r w:rsidR="00AA379B" w:rsidRPr="002C595D">
        <w:rPr>
          <w:rFonts w:ascii="Times New Roman" w:hAnsi="Times New Roman" w:cs="Times New Roman"/>
          <w:lang w:val="en-US"/>
        </w:rPr>
        <w:t xml:space="preserve"> it implies that</w:t>
      </w:r>
      <w:r w:rsidR="00E02E48" w:rsidRPr="002C595D">
        <w:rPr>
          <w:rFonts w:ascii="Times New Roman" w:hAnsi="Times New Roman" w:cs="Times New Roman"/>
          <w:lang w:val="en-US"/>
        </w:rPr>
        <w:t xml:space="preserve"> they are interested in having control on their investment portfolio and </w:t>
      </w:r>
      <w:r w:rsidR="00AA379B" w:rsidRPr="002C595D">
        <w:rPr>
          <w:rFonts w:ascii="Times New Roman" w:hAnsi="Times New Roman" w:cs="Times New Roman"/>
          <w:lang w:val="en-US"/>
        </w:rPr>
        <w:t>therefore seek for higher returns through riskier investments.</w:t>
      </w:r>
      <w:r w:rsidR="00DA6CE7" w:rsidRPr="002C595D">
        <w:rPr>
          <w:rFonts w:ascii="Times New Roman" w:hAnsi="Times New Roman" w:cs="Times New Roman"/>
          <w:lang w:val="en-US"/>
        </w:rPr>
        <w:t xml:space="preserve"> </w:t>
      </w:r>
      <w:r w:rsidR="00AA379B" w:rsidRPr="002C595D">
        <w:rPr>
          <w:rFonts w:ascii="Times New Roman" w:hAnsi="Times New Roman" w:cs="Times New Roman"/>
          <w:lang w:val="en-US"/>
        </w:rPr>
        <w:t xml:space="preserve">For the above reason, we are going to use the </w:t>
      </w:r>
      <w:r w:rsidR="00DA6CE7" w:rsidRPr="002C595D">
        <w:rPr>
          <w:rFonts w:ascii="Times New Roman" w:hAnsi="Times New Roman" w:cs="Times New Roman"/>
          <w:lang w:val="en-US"/>
        </w:rPr>
        <w:t xml:space="preserve">relative share </w:t>
      </w:r>
      <w:r w:rsidR="00AA379B" w:rsidRPr="002C595D">
        <w:rPr>
          <w:rFonts w:ascii="Times New Roman" w:hAnsi="Times New Roman" w:cs="Times New Roman"/>
          <w:lang w:val="en-US"/>
        </w:rPr>
        <w:t>of total assets held by Defined Benefit plans</w:t>
      </w:r>
      <w:r w:rsidR="00DA6CE7" w:rsidRPr="002C595D">
        <w:rPr>
          <w:rFonts w:ascii="Times New Roman" w:hAnsi="Times New Roman" w:cs="Times New Roman"/>
          <w:lang w:val="en-US"/>
        </w:rPr>
        <w:t xml:space="preserve"> in each country. The higher the percentage, the lower the risk appetite is supposed to be on a country level. </w:t>
      </w:r>
    </w:p>
    <w:p w:rsidR="00000000" w:rsidRDefault="00EA564A">
      <w:pPr>
        <w:spacing w:line="360" w:lineRule="auto"/>
        <w:jc w:val="both"/>
        <w:rPr>
          <w:rFonts w:ascii="Arial" w:hAnsi="Arial" w:cs="Arial"/>
          <w:b/>
          <w:i/>
          <w:lang w:val="en-US"/>
        </w:rPr>
        <w:pPrChange w:id="6" w:author="Dora" w:date="2013-08-25T20:32:00Z">
          <w:pPr>
            <w:autoSpaceDE w:val="0"/>
            <w:autoSpaceDN w:val="0"/>
            <w:adjustRightInd w:val="0"/>
            <w:spacing w:after="0" w:line="240" w:lineRule="auto"/>
          </w:pPr>
        </w:pPrChange>
      </w:pPr>
    </w:p>
    <w:p w:rsidR="00A536D0" w:rsidRDefault="00692307" w:rsidP="007A1B5F">
      <w:pPr>
        <w:spacing w:line="360" w:lineRule="auto"/>
        <w:jc w:val="both"/>
        <w:rPr>
          <w:rFonts w:ascii="Arial" w:hAnsi="Arial" w:cs="Arial"/>
          <w:b/>
          <w:i/>
          <w:lang w:val="en-US"/>
        </w:rPr>
      </w:pPr>
      <w:r w:rsidRPr="000C576E">
        <w:rPr>
          <w:rFonts w:ascii="Arial" w:hAnsi="Arial" w:cs="Arial"/>
          <w:b/>
          <w:i/>
          <w:lang w:val="en-US"/>
        </w:rPr>
        <w:t>2.6</w:t>
      </w:r>
      <w:r w:rsidR="005D4597" w:rsidRPr="000C576E">
        <w:rPr>
          <w:rFonts w:ascii="Arial" w:hAnsi="Arial" w:cs="Arial"/>
          <w:b/>
          <w:i/>
          <w:lang w:val="en-US"/>
        </w:rPr>
        <w:t>. Formulating</w:t>
      </w:r>
      <w:r w:rsidR="008352ED" w:rsidRPr="000C576E">
        <w:rPr>
          <w:rFonts w:ascii="Arial" w:hAnsi="Arial" w:cs="Arial"/>
          <w:b/>
          <w:i/>
          <w:lang w:val="en-US"/>
        </w:rPr>
        <w:t xml:space="preserve"> the Hypotheses</w:t>
      </w:r>
    </w:p>
    <w:p w:rsidR="00F5630F" w:rsidRPr="002C595D" w:rsidRDefault="00F5630F" w:rsidP="00E32AAC">
      <w:pPr>
        <w:spacing w:line="360" w:lineRule="auto"/>
        <w:jc w:val="both"/>
        <w:rPr>
          <w:rFonts w:ascii="Times New Roman" w:hAnsi="Times New Roman" w:cs="Times New Roman"/>
          <w:szCs w:val="24"/>
          <w:lang w:val="en-US"/>
        </w:rPr>
      </w:pPr>
      <w:r w:rsidRPr="002C595D">
        <w:rPr>
          <w:rFonts w:ascii="Times New Roman" w:hAnsi="Times New Roman" w:cs="Times New Roman"/>
          <w:szCs w:val="24"/>
          <w:lang w:val="en-US"/>
        </w:rPr>
        <w:t xml:space="preserve">According to traditional finance theory, investors can minimize their investment risk by diversifying their portfolio with different asset classes. However, how tolerant investors are towards risk depends on how they perceive risk. We could hypothesize that this perception of risk is influenced by national culture. This is confirmed by many psychological studies, which report that perception </w:t>
      </w:r>
      <w:r w:rsidR="00DD5DFE" w:rsidRPr="002C595D">
        <w:rPr>
          <w:rFonts w:ascii="Times New Roman" w:hAnsi="Times New Roman" w:cs="Times New Roman"/>
          <w:szCs w:val="24"/>
          <w:lang w:val="en-US"/>
        </w:rPr>
        <w:t>of uncertainty</w:t>
      </w:r>
      <w:r w:rsidRPr="002C595D">
        <w:rPr>
          <w:rFonts w:ascii="Times New Roman" w:hAnsi="Times New Roman" w:cs="Times New Roman"/>
          <w:szCs w:val="24"/>
          <w:lang w:val="en-US"/>
        </w:rPr>
        <w:t xml:space="preserve"> </w:t>
      </w:r>
      <w:r w:rsidR="00DD5DFE" w:rsidRPr="002C595D">
        <w:rPr>
          <w:rFonts w:ascii="Times New Roman" w:hAnsi="Times New Roman" w:cs="Times New Roman"/>
          <w:szCs w:val="24"/>
          <w:lang w:val="en-US"/>
        </w:rPr>
        <w:t xml:space="preserve">and the reaction against it are highly dependent on the culture of the country the individual is a member of. </w:t>
      </w:r>
    </w:p>
    <w:p w:rsidR="00696DB1" w:rsidRPr="002C595D" w:rsidRDefault="00D53C43">
      <w:pPr>
        <w:tabs>
          <w:tab w:val="left" w:pos="6915"/>
        </w:tabs>
        <w:spacing w:line="360" w:lineRule="auto"/>
        <w:jc w:val="both"/>
        <w:rPr>
          <w:rFonts w:ascii="Times New Roman" w:hAnsi="Times New Roman" w:cs="Times New Roman"/>
          <w:szCs w:val="24"/>
          <w:lang w:val="en-US"/>
        </w:rPr>
      </w:pPr>
      <w:r w:rsidRPr="002C595D">
        <w:rPr>
          <w:rFonts w:ascii="Times New Roman" w:hAnsi="Times New Roman" w:cs="Times New Roman"/>
          <w:szCs w:val="24"/>
          <w:lang w:val="en-US"/>
        </w:rPr>
        <w:lastRenderedPageBreak/>
        <w:t xml:space="preserve">Despite the extended literature on cultural dimensions and their implications in various sectors of study, there is not </w:t>
      </w:r>
      <w:r w:rsidR="00153106" w:rsidRPr="002C595D">
        <w:rPr>
          <w:rFonts w:ascii="Times New Roman" w:hAnsi="Times New Roman" w:cs="Times New Roman"/>
          <w:szCs w:val="24"/>
          <w:lang w:val="en-US"/>
        </w:rPr>
        <w:t xml:space="preserve">enough previous research regarding </w:t>
      </w:r>
      <w:r w:rsidR="007602EB" w:rsidRPr="002C595D">
        <w:rPr>
          <w:rFonts w:ascii="Times New Roman" w:hAnsi="Times New Roman" w:cs="Times New Roman"/>
          <w:szCs w:val="24"/>
          <w:lang w:val="en-US"/>
        </w:rPr>
        <w:t xml:space="preserve">the effect of national culture on </w:t>
      </w:r>
      <w:r w:rsidR="00153106" w:rsidRPr="002C595D">
        <w:rPr>
          <w:rFonts w:ascii="Times New Roman" w:hAnsi="Times New Roman" w:cs="Times New Roman"/>
          <w:szCs w:val="24"/>
          <w:lang w:val="en-US"/>
        </w:rPr>
        <w:t xml:space="preserve">pension funds and their investment allocations. </w:t>
      </w:r>
      <w:r w:rsidR="00D66FF2" w:rsidRPr="002C595D">
        <w:rPr>
          <w:rFonts w:ascii="Times New Roman" w:hAnsi="Times New Roman" w:cs="Times New Roman"/>
          <w:szCs w:val="24"/>
          <w:lang w:val="en-US"/>
        </w:rPr>
        <w:t xml:space="preserve">And this is why our research is of great interest. </w:t>
      </w:r>
      <w:r w:rsidR="00153106" w:rsidRPr="002C595D">
        <w:rPr>
          <w:rFonts w:ascii="Times New Roman" w:hAnsi="Times New Roman" w:cs="Times New Roman"/>
          <w:szCs w:val="24"/>
          <w:lang w:val="en-US"/>
        </w:rPr>
        <w:t xml:space="preserve">Following the line of thinking </w:t>
      </w:r>
      <w:r w:rsidR="00811582" w:rsidRPr="002C595D">
        <w:rPr>
          <w:rFonts w:ascii="Times New Roman" w:hAnsi="Times New Roman" w:cs="Times New Roman"/>
          <w:szCs w:val="24"/>
          <w:lang w:val="en-US"/>
        </w:rPr>
        <w:t>p</w:t>
      </w:r>
      <w:r w:rsidR="00153106" w:rsidRPr="002C595D">
        <w:rPr>
          <w:rFonts w:ascii="Times New Roman" w:hAnsi="Times New Roman" w:cs="Times New Roman"/>
          <w:szCs w:val="24"/>
          <w:lang w:val="en-US"/>
        </w:rPr>
        <w:t xml:space="preserve">resented </w:t>
      </w:r>
      <w:r w:rsidR="00811582" w:rsidRPr="002C595D">
        <w:rPr>
          <w:rFonts w:ascii="Times New Roman" w:hAnsi="Times New Roman" w:cs="Times New Roman"/>
          <w:szCs w:val="24"/>
          <w:lang w:val="en-US"/>
        </w:rPr>
        <w:t>in the previous section</w:t>
      </w:r>
      <w:r w:rsidR="00153106" w:rsidRPr="002C595D">
        <w:rPr>
          <w:rFonts w:ascii="Times New Roman" w:hAnsi="Times New Roman" w:cs="Times New Roman"/>
          <w:szCs w:val="24"/>
          <w:lang w:val="en-US"/>
        </w:rPr>
        <w:t xml:space="preserve">, about cultural dimensions and their connection with </w:t>
      </w:r>
      <w:r w:rsidR="007602EB" w:rsidRPr="002C595D">
        <w:rPr>
          <w:rFonts w:ascii="Times New Roman" w:hAnsi="Times New Roman" w:cs="Times New Roman"/>
          <w:szCs w:val="24"/>
          <w:lang w:val="en-US"/>
        </w:rPr>
        <w:t xml:space="preserve">finance, </w:t>
      </w:r>
      <w:r w:rsidR="000803B2" w:rsidRPr="002C595D">
        <w:rPr>
          <w:rFonts w:ascii="Times New Roman" w:hAnsi="Times New Roman" w:cs="Times New Roman"/>
          <w:szCs w:val="24"/>
          <w:lang w:val="en-US"/>
        </w:rPr>
        <w:t xml:space="preserve">we </w:t>
      </w:r>
      <w:r w:rsidR="00C37DEC" w:rsidRPr="002C595D">
        <w:rPr>
          <w:rFonts w:ascii="Times New Roman" w:hAnsi="Times New Roman" w:cs="Times New Roman"/>
          <w:szCs w:val="24"/>
          <w:lang w:val="en-US"/>
        </w:rPr>
        <w:t>will try to prove a number of</w:t>
      </w:r>
      <w:r w:rsidR="000803B2" w:rsidRPr="002C595D">
        <w:rPr>
          <w:rFonts w:ascii="Times New Roman" w:hAnsi="Times New Roman" w:cs="Times New Roman"/>
          <w:szCs w:val="24"/>
          <w:lang w:val="en-US"/>
        </w:rPr>
        <w:t xml:space="preserve"> hypothesis</w:t>
      </w:r>
      <w:r w:rsidR="00C37DEC" w:rsidRPr="002C595D">
        <w:rPr>
          <w:rFonts w:ascii="Times New Roman" w:hAnsi="Times New Roman" w:cs="Times New Roman"/>
          <w:szCs w:val="24"/>
          <w:lang w:val="en-US"/>
        </w:rPr>
        <w:t xml:space="preserve"> and our central research question:</w:t>
      </w:r>
    </w:p>
    <w:p w:rsidR="00696DB1" w:rsidRPr="002C595D" w:rsidRDefault="00C37DEC">
      <w:pPr>
        <w:autoSpaceDE w:val="0"/>
        <w:autoSpaceDN w:val="0"/>
        <w:adjustRightInd w:val="0"/>
        <w:spacing w:after="0" w:line="360" w:lineRule="auto"/>
        <w:ind w:left="720"/>
        <w:jc w:val="both"/>
        <w:rPr>
          <w:rFonts w:ascii="Times New Roman" w:hAnsi="Times New Roman" w:cs="Times New Roman"/>
          <w:i/>
          <w:szCs w:val="24"/>
          <w:lang w:val="en-US"/>
        </w:rPr>
      </w:pPr>
      <w:r w:rsidRPr="002C595D">
        <w:rPr>
          <w:rFonts w:ascii="Times New Roman" w:hAnsi="Times New Roman" w:cs="Times New Roman"/>
          <w:i/>
          <w:szCs w:val="24"/>
          <w:lang w:val="en-US"/>
        </w:rPr>
        <w:t>"</w:t>
      </w:r>
      <w:r w:rsidR="00DD5DFE" w:rsidRPr="002C595D">
        <w:rPr>
          <w:rFonts w:ascii="Times New Roman" w:hAnsi="Times New Roman" w:cs="Times New Roman"/>
          <w:i/>
          <w:szCs w:val="24"/>
          <w:lang w:val="en-US"/>
        </w:rPr>
        <w:t xml:space="preserve">There is significant relationship between </w:t>
      </w:r>
      <w:r w:rsidR="00D53C43" w:rsidRPr="002C595D">
        <w:rPr>
          <w:rFonts w:ascii="Times New Roman" w:hAnsi="Times New Roman" w:cs="Times New Roman"/>
          <w:i/>
          <w:szCs w:val="24"/>
          <w:lang w:val="en-US"/>
        </w:rPr>
        <w:t xml:space="preserve">Hofstede's </w:t>
      </w:r>
      <w:r w:rsidR="00DD5DFE" w:rsidRPr="002C595D">
        <w:rPr>
          <w:rFonts w:ascii="Times New Roman" w:hAnsi="Times New Roman" w:cs="Times New Roman"/>
          <w:i/>
          <w:szCs w:val="24"/>
          <w:lang w:val="en-US"/>
        </w:rPr>
        <w:t>cultural dimensions and risk appetite of pension funds.</w:t>
      </w:r>
      <w:r w:rsidRPr="002C595D">
        <w:rPr>
          <w:rFonts w:ascii="Times New Roman" w:hAnsi="Times New Roman" w:cs="Times New Roman"/>
          <w:i/>
          <w:szCs w:val="24"/>
          <w:lang w:val="en-US"/>
        </w:rPr>
        <w:t>"</w:t>
      </w:r>
    </w:p>
    <w:p w:rsidR="00696DB1" w:rsidRDefault="00696DB1">
      <w:pPr>
        <w:autoSpaceDE w:val="0"/>
        <w:autoSpaceDN w:val="0"/>
        <w:adjustRightInd w:val="0"/>
        <w:spacing w:after="0" w:line="360" w:lineRule="auto"/>
        <w:ind w:left="720"/>
        <w:jc w:val="both"/>
        <w:rPr>
          <w:rFonts w:ascii="Times New Roman" w:hAnsi="Times New Roman" w:cs="Times New Roman"/>
          <w:sz w:val="24"/>
          <w:szCs w:val="24"/>
          <w:lang w:val="en-US"/>
        </w:rPr>
      </w:pPr>
    </w:p>
    <w:p w:rsidR="00696DB1" w:rsidRDefault="007602EB">
      <w:pPr>
        <w:spacing w:line="360" w:lineRule="auto"/>
        <w:jc w:val="both"/>
        <w:rPr>
          <w:rFonts w:ascii="Times New Roman" w:hAnsi="Times New Roman" w:cs="Times New Roman"/>
          <w:sz w:val="24"/>
          <w:szCs w:val="24"/>
          <w:lang w:val="en-US"/>
        </w:rPr>
      </w:pPr>
      <w:r w:rsidRPr="002C595D">
        <w:rPr>
          <w:rFonts w:ascii="Times New Roman" w:hAnsi="Times New Roman" w:cs="Times New Roman"/>
          <w:szCs w:val="24"/>
          <w:lang w:val="en-US"/>
        </w:rPr>
        <w:t xml:space="preserve">The above </w:t>
      </w:r>
      <w:r w:rsidR="00C37DEC" w:rsidRPr="002C595D">
        <w:rPr>
          <w:rFonts w:ascii="Times New Roman" w:hAnsi="Times New Roman" w:cs="Times New Roman"/>
          <w:szCs w:val="24"/>
          <w:lang w:val="en-US"/>
        </w:rPr>
        <w:t xml:space="preserve">statement summarizes </w:t>
      </w:r>
      <w:r w:rsidRPr="002C595D">
        <w:rPr>
          <w:rFonts w:ascii="Times New Roman" w:hAnsi="Times New Roman" w:cs="Times New Roman"/>
          <w:szCs w:val="24"/>
          <w:lang w:val="en-US"/>
        </w:rPr>
        <w:t xml:space="preserve">the central question of this study and </w:t>
      </w:r>
      <w:r w:rsidR="00C37DEC" w:rsidRPr="002C595D">
        <w:rPr>
          <w:rFonts w:ascii="Times New Roman" w:hAnsi="Times New Roman" w:cs="Times New Roman"/>
          <w:szCs w:val="24"/>
          <w:lang w:val="en-US"/>
        </w:rPr>
        <w:t xml:space="preserve">checks </w:t>
      </w:r>
      <w:r w:rsidRPr="002C595D">
        <w:rPr>
          <w:rFonts w:ascii="Times New Roman" w:hAnsi="Times New Roman" w:cs="Times New Roman"/>
          <w:szCs w:val="24"/>
          <w:lang w:val="en-US"/>
        </w:rPr>
        <w:t xml:space="preserve">if there is a connection in general between risk appetite and national culture. More interestingly, we will go one step further by testing whether each one of the cultural dimensions </w:t>
      </w:r>
      <w:r w:rsidR="00DD5C2B" w:rsidRPr="002C595D">
        <w:rPr>
          <w:rFonts w:ascii="Times New Roman" w:hAnsi="Times New Roman" w:cs="Times New Roman"/>
          <w:szCs w:val="24"/>
          <w:lang w:val="en-US"/>
        </w:rPr>
        <w:t>effect risk appe</w:t>
      </w:r>
      <w:r w:rsidR="00D66FF2" w:rsidRPr="002C595D">
        <w:rPr>
          <w:rFonts w:ascii="Times New Roman" w:hAnsi="Times New Roman" w:cs="Times New Roman"/>
          <w:szCs w:val="24"/>
          <w:lang w:val="en-US"/>
        </w:rPr>
        <w:t>tite of pension funds and in which</w:t>
      </w:r>
      <w:r w:rsidR="00DD5C2B" w:rsidRPr="002C595D">
        <w:rPr>
          <w:rFonts w:ascii="Times New Roman" w:hAnsi="Times New Roman" w:cs="Times New Roman"/>
          <w:szCs w:val="24"/>
          <w:lang w:val="en-US"/>
        </w:rPr>
        <w:t xml:space="preserve"> way</w:t>
      </w:r>
      <w:r w:rsidR="00DD5C2B">
        <w:rPr>
          <w:rFonts w:ascii="Times New Roman" w:hAnsi="Times New Roman" w:cs="Times New Roman"/>
          <w:sz w:val="24"/>
          <w:szCs w:val="24"/>
          <w:lang w:val="en-US"/>
        </w:rPr>
        <w:t xml:space="preserve">. </w:t>
      </w:r>
    </w:p>
    <w:p w:rsidR="00E80914" w:rsidRDefault="00E80914">
      <w:pPr>
        <w:spacing w:line="360" w:lineRule="auto"/>
        <w:jc w:val="both"/>
        <w:rPr>
          <w:rFonts w:ascii="Times New Roman" w:hAnsi="Times New Roman" w:cs="Times New Roman"/>
          <w:b/>
          <w:sz w:val="24"/>
          <w:szCs w:val="24"/>
          <w:lang w:val="en-US"/>
        </w:rPr>
      </w:pPr>
    </w:p>
    <w:p w:rsidR="00696DB1" w:rsidRDefault="00C37DEC">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Main</w:t>
      </w:r>
      <w:r w:rsidR="00DD5C2B" w:rsidRPr="00D66FF2">
        <w:rPr>
          <w:rFonts w:ascii="Times New Roman" w:hAnsi="Times New Roman" w:cs="Times New Roman"/>
          <w:b/>
          <w:sz w:val="24"/>
          <w:szCs w:val="24"/>
          <w:lang w:val="en-US"/>
        </w:rPr>
        <w:t xml:space="preserve"> hypothesis:</w:t>
      </w:r>
    </w:p>
    <w:p w:rsidR="00696DB1" w:rsidRPr="002C595D" w:rsidRDefault="009E7EED">
      <w:pPr>
        <w:spacing w:line="360" w:lineRule="auto"/>
        <w:jc w:val="both"/>
        <w:rPr>
          <w:rFonts w:ascii="Times New Roman" w:hAnsi="Times New Roman" w:cs="Times New Roman"/>
          <w:szCs w:val="24"/>
          <w:lang w:val="en-US"/>
        </w:rPr>
      </w:pPr>
      <w:r w:rsidRPr="002C595D">
        <w:rPr>
          <w:rFonts w:ascii="Times New Roman" w:hAnsi="Times New Roman" w:cs="Times New Roman"/>
          <w:szCs w:val="24"/>
          <w:lang w:val="en-US"/>
        </w:rPr>
        <w:t xml:space="preserve">According to previous literature, </w:t>
      </w:r>
      <w:r w:rsidR="00DD5C2B" w:rsidRPr="002C595D">
        <w:rPr>
          <w:rFonts w:ascii="Times New Roman" w:hAnsi="Times New Roman" w:cs="Times New Roman"/>
          <w:szCs w:val="24"/>
          <w:lang w:val="en-US"/>
        </w:rPr>
        <w:t xml:space="preserve">Power Distance </w:t>
      </w:r>
      <w:r w:rsidRPr="002C595D">
        <w:rPr>
          <w:rFonts w:ascii="Times New Roman" w:hAnsi="Times New Roman" w:cs="Times New Roman"/>
          <w:szCs w:val="24"/>
          <w:lang w:val="en-US"/>
        </w:rPr>
        <w:t>is</w:t>
      </w:r>
      <w:r w:rsidR="00D66FF2" w:rsidRPr="002C595D">
        <w:rPr>
          <w:rFonts w:ascii="Times New Roman" w:hAnsi="Times New Roman" w:cs="Times New Roman"/>
          <w:szCs w:val="24"/>
          <w:lang w:val="en-US"/>
        </w:rPr>
        <w:t xml:space="preserve"> </w:t>
      </w:r>
      <w:r w:rsidR="005D4597" w:rsidRPr="002C595D">
        <w:rPr>
          <w:rFonts w:ascii="Times New Roman" w:hAnsi="Times New Roman" w:cs="Times New Roman"/>
          <w:szCs w:val="24"/>
          <w:lang w:val="en-US"/>
        </w:rPr>
        <w:t>more linked</w:t>
      </w:r>
      <w:r w:rsidRPr="002C595D">
        <w:rPr>
          <w:rFonts w:ascii="Times New Roman" w:hAnsi="Times New Roman" w:cs="Times New Roman"/>
          <w:szCs w:val="24"/>
          <w:lang w:val="en-US"/>
        </w:rPr>
        <w:t xml:space="preserve"> to market financing rather than</w:t>
      </w:r>
      <w:r w:rsidR="00D66FF2" w:rsidRPr="002C595D">
        <w:rPr>
          <w:rFonts w:ascii="Times New Roman" w:hAnsi="Times New Roman" w:cs="Times New Roman"/>
          <w:szCs w:val="24"/>
          <w:lang w:val="en-US"/>
        </w:rPr>
        <w:t xml:space="preserve"> to</w:t>
      </w:r>
      <w:r w:rsidRPr="002C595D">
        <w:rPr>
          <w:rFonts w:ascii="Times New Roman" w:hAnsi="Times New Roman" w:cs="Times New Roman"/>
          <w:szCs w:val="24"/>
          <w:lang w:val="en-US"/>
        </w:rPr>
        <w:t xml:space="preserve"> bank financing, supports lower life insurance consumption and is also linked with higher maximum limits for equity investments </w:t>
      </w:r>
      <w:r w:rsidR="00BD602E" w:rsidRPr="002C595D">
        <w:rPr>
          <w:rFonts w:ascii="Times New Roman" w:hAnsi="Times New Roman" w:cs="Times New Roman"/>
          <w:szCs w:val="24"/>
          <w:lang w:val="en-US"/>
        </w:rPr>
        <w:t xml:space="preserve">allowing pension </w:t>
      </w:r>
      <w:r w:rsidR="005D4597" w:rsidRPr="002C595D">
        <w:rPr>
          <w:rFonts w:ascii="Times New Roman" w:hAnsi="Times New Roman" w:cs="Times New Roman"/>
          <w:szCs w:val="24"/>
          <w:lang w:val="en-US"/>
        </w:rPr>
        <w:t>funds for</w:t>
      </w:r>
      <w:r w:rsidR="00BD602E" w:rsidRPr="002C595D">
        <w:rPr>
          <w:rFonts w:ascii="Times New Roman" w:hAnsi="Times New Roman" w:cs="Times New Roman"/>
          <w:szCs w:val="24"/>
          <w:lang w:val="en-US"/>
        </w:rPr>
        <w:t xml:space="preserve"> a higher risk appetite </w:t>
      </w:r>
      <w:r w:rsidRPr="002C595D">
        <w:rPr>
          <w:rFonts w:ascii="Times New Roman" w:hAnsi="Times New Roman" w:cs="Times New Roman"/>
          <w:szCs w:val="24"/>
          <w:lang w:val="en-US"/>
        </w:rPr>
        <w:t>(F.van der Lecq, J.Rivera-Rozo, O.Steenbeek, 2013). This shows a pattern of a more risky attitude</w:t>
      </w:r>
      <w:r w:rsidR="00BD602E" w:rsidRPr="002C595D">
        <w:rPr>
          <w:rFonts w:ascii="Times New Roman" w:hAnsi="Times New Roman" w:cs="Times New Roman"/>
          <w:szCs w:val="24"/>
          <w:lang w:val="en-US"/>
        </w:rPr>
        <w:t xml:space="preserve"> and so we make the following hypothesis:</w:t>
      </w:r>
    </w:p>
    <w:p w:rsidR="00696DB1" w:rsidRPr="002C595D" w:rsidRDefault="00DD5C2B" w:rsidP="002C595D">
      <w:pPr>
        <w:spacing w:line="360" w:lineRule="auto"/>
        <w:ind w:left="720"/>
        <w:jc w:val="both"/>
        <w:rPr>
          <w:rFonts w:ascii="Times New Roman" w:hAnsi="Times New Roman" w:cs="Times New Roman"/>
          <w:szCs w:val="24"/>
          <w:lang w:val="en-US"/>
        </w:rPr>
      </w:pPr>
      <w:r w:rsidRPr="002C595D">
        <w:rPr>
          <w:rFonts w:ascii="Times New Roman" w:hAnsi="Times New Roman" w:cs="Times New Roman"/>
          <w:color w:val="FF0000"/>
          <w:szCs w:val="24"/>
          <w:lang w:val="en-US"/>
        </w:rPr>
        <w:t>H1</w:t>
      </w:r>
      <w:r w:rsidRPr="002C595D">
        <w:rPr>
          <w:rFonts w:ascii="Times New Roman" w:hAnsi="Times New Roman" w:cs="Times New Roman"/>
          <w:szCs w:val="24"/>
          <w:lang w:val="en-US"/>
        </w:rPr>
        <w:t xml:space="preserve">: There is significant </w:t>
      </w:r>
      <w:r w:rsidR="00BD602E" w:rsidRPr="002C595D">
        <w:rPr>
          <w:rFonts w:ascii="Times New Roman" w:hAnsi="Times New Roman" w:cs="Times New Roman"/>
          <w:szCs w:val="24"/>
          <w:lang w:val="en-US"/>
        </w:rPr>
        <w:t xml:space="preserve">positive </w:t>
      </w:r>
      <w:r w:rsidRPr="002C595D">
        <w:rPr>
          <w:rFonts w:ascii="Times New Roman" w:hAnsi="Times New Roman" w:cs="Times New Roman"/>
          <w:szCs w:val="24"/>
          <w:lang w:val="en-US"/>
        </w:rPr>
        <w:t>relationship between Power distance and risk appetite of pension funds.</w:t>
      </w:r>
    </w:p>
    <w:p w:rsidR="00696DB1" w:rsidRPr="002C595D" w:rsidRDefault="00BD602E">
      <w:pPr>
        <w:spacing w:line="360" w:lineRule="auto"/>
        <w:jc w:val="both"/>
        <w:rPr>
          <w:rFonts w:ascii="Times New Roman" w:hAnsi="Times New Roman" w:cs="Times New Roman"/>
          <w:szCs w:val="24"/>
          <w:lang w:val="en-US"/>
        </w:rPr>
      </w:pPr>
      <w:r w:rsidRPr="002C595D">
        <w:rPr>
          <w:rFonts w:ascii="Times New Roman" w:hAnsi="Times New Roman" w:cs="Times New Roman"/>
          <w:szCs w:val="24"/>
          <w:lang w:val="en-US"/>
        </w:rPr>
        <w:t xml:space="preserve">In countries which score high in Uncertainty Avoidance, people feel threatened by ambiguous situations </w:t>
      </w:r>
      <w:r w:rsidR="00507320" w:rsidRPr="002C595D">
        <w:rPr>
          <w:rFonts w:ascii="Times New Roman" w:hAnsi="Times New Roman" w:cs="Times New Roman"/>
          <w:szCs w:val="24"/>
          <w:lang w:val="en-US"/>
        </w:rPr>
        <w:t>and try to eliminate unexpected events and possible risks by creating stable and predictable environments. High consumption of life insurance, a bank-based</w:t>
      </w:r>
      <w:r w:rsidR="00D66FF2" w:rsidRPr="002C595D">
        <w:rPr>
          <w:rFonts w:ascii="Times New Roman" w:hAnsi="Times New Roman" w:cs="Times New Roman"/>
          <w:szCs w:val="24"/>
          <w:lang w:val="en-US"/>
        </w:rPr>
        <w:t xml:space="preserve"> financial</w:t>
      </w:r>
      <w:r w:rsidR="00507320" w:rsidRPr="002C595D">
        <w:rPr>
          <w:rFonts w:ascii="Times New Roman" w:hAnsi="Times New Roman" w:cs="Times New Roman"/>
          <w:szCs w:val="24"/>
          <w:lang w:val="en-US"/>
        </w:rPr>
        <w:t xml:space="preserve"> system,</w:t>
      </w:r>
      <w:r w:rsidR="00D66FF2" w:rsidRPr="002C595D">
        <w:rPr>
          <w:rFonts w:ascii="Times New Roman" w:hAnsi="Times New Roman" w:cs="Times New Roman"/>
          <w:szCs w:val="24"/>
          <w:lang w:val="en-US"/>
        </w:rPr>
        <w:t xml:space="preserve"> and</w:t>
      </w:r>
      <w:r w:rsidR="00507320" w:rsidRPr="002C595D">
        <w:rPr>
          <w:rFonts w:ascii="Times New Roman" w:hAnsi="Times New Roman" w:cs="Times New Roman"/>
          <w:szCs w:val="24"/>
          <w:lang w:val="en-US"/>
        </w:rPr>
        <w:t xml:space="preserve"> preference for domestic investments are some characteristics of high Uncertainty Avoiding countries</w:t>
      </w:r>
      <w:r w:rsidR="00D66FF2" w:rsidRPr="002C595D">
        <w:rPr>
          <w:rFonts w:ascii="Times New Roman" w:hAnsi="Times New Roman" w:cs="Times New Roman"/>
          <w:szCs w:val="24"/>
          <w:lang w:val="en-US"/>
        </w:rPr>
        <w:t>.</w:t>
      </w:r>
      <w:r w:rsidR="00507320" w:rsidRPr="002C595D">
        <w:rPr>
          <w:rFonts w:ascii="Times New Roman" w:hAnsi="Times New Roman" w:cs="Times New Roman"/>
          <w:szCs w:val="24"/>
          <w:lang w:val="en-US"/>
        </w:rPr>
        <w:t xml:space="preserve"> </w:t>
      </w:r>
      <w:r w:rsidR="00D66FF2" w:rsidRPr="002C595D">
        <w:rPr>
          <w:rFonts w:ascii="Times New Roman" w:hAnsi="Times New Roman" w:cs="Times New Roman"/>
          <w:szCs w:val="24"/>
          <w:lang w:val="en-US"/>
        </w:rPr>
        <w:t>T</w:t>
      </w:r>
      <w:r w:rsidR="00507320" w:rsidRPr="002C595D">
        <w:rPr>
          <w:rFonts w:ascii="Times New Roman" w:hAnsi="Times New Roman" w:cs="Times New Roman"/>
          <w:szCs w:val="24"/>
          <w:lang w:val="en-US"/>
        </w:rPr>
        <w:t>aken together all the above</w:t>
      </w:r>
      <w:r w:rsidR="00D66FF2" w:rsidRPr="002C595D">
        <w:rPr>
          <w:rFonts w:ascii="Times New Roman" w:hAnsi="Times New Roman" w:cs="Times New Roman"/>
          <w:szCs w:val="24"/>
          <w:lang w:val="en-US"/>
        </w:rPr>
        <w:t>, they lead us to</w:t>
      </w:r>
      <w:r w:rsidR="00507320" w:rsidRPr="002C595D">
        <w:rPr>
          <w:rFonts w:ascii="Times New Roman" w:hAnsi="Times New Roman" w:cs="Times New Roman"/>
          <w:szCs w:val="24"/>
          <w:lang w:val="en-US"/>
        </w:rPr>
        <w:t xml:space="preserve"> our next hypothesis. </w:t>
      </w:r>
      <w:r w:rsidR="00DD5C2B" w:rsidRPr="002C595D">
        <w:rPr>
          <w:rFonts w:ascii="Times New Roman" w:hAnsi="Times New Roman" w:cs="Times New Roman"/>
          <w:szCs w:val="24"/>
          <w:lang w:val="en-US"/>
        </w:rPr>
        <w:t>Societies with high levels of Uncertainty Avoidance are expected to be more risk averse and consequently, expected to have lower risk appetite.</w:t>
      </w:r>
      <w:r w:rsidRPr="002C595D">
        <w:rPr>
          <w:rFonts w:ascii="Times New Roman" w:hAnsi="Times New Roman" w:cs="Times New Roman"/>
          <w:szCs w:val="24"/>
          <w:lang w:val="en-US"/>
        </w:rPr>
        <w:t xml:space="preserve"> </w:t>
      </w:r>
    </w:p>
    <w:p w:rsidR="00696DB1" w:rsidRPr="002C595D" w:rsidRDefault="00DD5C2B">
      <w:pPr>
        <w:spacing w:line="360" w:lineRule="auto"/>
        <w:ind w:left="720"/>
        <w:jc w:val="both"/>
        <w:rPr>
          <w:rFonts w:ascii="Times New Roman" w:hAnsi="Times New Roman" w:cs="Times New Roman"/>
          <w:szCs w:val="24"/>
          <w:lang w:val="en-US"/>
        </w:rPr>
      </w:pPr>
      <w:r w:rsidRPr="002C595D">
        <w:rPr>
          <w:rFonts w:ascii="Times New Roman" w:hAnsi="Times New Roman" w:cs="Times New Roman"/>
          <w:color w:val="FF0000"/>
          <w:szCs w:val="24"/>
          <w:lang w:val="en-US"/>
        </w:rPr>
        <w:t>H2</w:t>
      </w:r>
      <w:r w:rsidRPr="002C595D">
        <w:rPr>
          <w:rFonts w:ascii="Times New Roman" w:hAnsi="Times New Roman" w:cs="Times New Roman"/>
          <w:szCs w:val="24"/>
          <w:lang w:val="en-US"/>
        </w:rPr>
        <w:t>: There is significant</w:t>
      </w:r>
      <w:r w:rsidR="00D66FF2" w:rsidRPr="002C595D">
        <w:rPr>
          <w:rFonts w:ascii="Times New Roman" w:hAnsi="Times New Roman" w:cs="Times New Roman"/>
          <w:szCs w:val="24"/>
          <w:lang w:val="en-US"/>
        </w:rPr>
        <w:t xml:space="preserve"> negative</w:t>
      </w:r>
      <w:r w:rsidRPr="002C595D">
        <w:rPr>
          <w:rFonts w:ascii="Times New Roman" w:hAnsi="Times New Roman" w:cs="Times New Roman"/>
          <w:szCs w:val="24"/>
          <w:lang w:val="en-US"/>
        </w:rPr>
        <w:t xml:space="preserve"> relationship between Uncertainty Avoidance and risk appetite of pension funds.</w:t>
      </w:r>
    </w:p>
    <w:p w:rsidR="00696DB1" w:rsidRPr="002C595D" w:rsidRDefault="00DD5C2B">
      <w:pPr>
        <w:spacing w:line="360" w:lineRule="auto"/>
        <w:jc w:val="both"/>
        <w:rPr>
          <w:rFonts w:ascii="Times New Roman" w:hAnsi="Times New Roman" w:cs="Times New Roman"/>
          <w:szCs w:val="24"/>
          <w:lang w:val="en-US"/>
        </w:rPr>
      </w:pPr>
      <w:r w:rsidRPr="002C595D">
        <w:rPr>
          <w:rFonts w:ascii="Times New Roman" w:hAnsi="Times New Roman" w:cs="Times New Roman"/>
          <w:szCs w:val="24"/>
          <w:lang w:val="en-US"/>
        </w:rPr>
        <w:t xml:space="preserve">Highly individualist countries could show signs of moral hazard attitudes, meaning </w:t>
      </w:r>
      <w:r w:rsidR="005D4597" w:rsidRPr="002C595D">
        <w:rPr>
          <w:rFonts w:ascii="Times New Roman" w:hAnsi="Times New Roman" w:cs="Times New Roman"/>
          <w:szCs w:val="24"/>
          <w:lang w:val="en-US"/>
        </w:rPr>
        <w:t>that for</w:t>
      </w:r>
      <w:r w:rsidRPr="002C595D">
        <w:rPr>
          <w:rFonts w:ascii="Times New Roman" w:hAnsi="Times New Roman" w:cs="Times New Roman"/>
          <w:szCs w:val="24"/>
          <w:lang w:val="en-US"/>
        </w:rPr>
        <w:t xml:space="preserve"> the sake of </w:t>
      </w:r>
      <w:r w:rsidR="005D4597" w:rsidRPr="002C595D">
        <w:rPr>
          <w:rFonts w:ascii="Times New Roman" w:hAnsi="Times New Roman" w:cs="Times New Roman"/>
          <w:szCs w:val="24"/>
          <w:lang w:val="en-US"/>
        </w:rPr>
        <w:t>personal benefit</w:t>
      </w:r>
      <w:r w:rsidRPr="002C595D">
        <w:rPr>
          <w:rFonts w:ascii="Times New Roman" w:hAnsi="Times New Roman" w:cs="Times New Roman"/>
          <w:szCs w:val="24"/>
          <w:lang w:val="en-US"/>
        </w:rPr>
        <w:t xml:space="preserve">, riskier strategies could be adopted (F.van der Lecq at al (2013)). However, Dodor, Jean Baptiste K. Rana and Dharam S. (2007) believe that in individualist </w:t>
      </w:r>
      <w:r w:rsidR="005D4597" w:rsidRPr="002C595D">
        <w:rPr>
          <w:rFonts w:ascii="Times New Roman" w:hAnsi="Times New Roman" w:cs="Times New Roman"/>
          <w:szCs w:val="24"/>
          <w:lang w:val="en-US"/>
        </w:rPr>
        <w:t>countries "</w:t>
      </w:r>
      <w:r w:rsidRPr="002C595D">
        <w:rPr>
          <w:rFonts w:ascii="Times New Roman" w:hAnsi="Times New Roman" w:cs="Times New Roman"/>
          <w:szCs w:val="24"/>
          <w:lang w:val="en-US"/>
        </w:rPr>
        <w:t xml:space="preserve">individuals in their efforts </w:t>
      </w:r>
      <w:r w:rsidRPr="002C595D">
        <w:rPr>
          <w:rFonts w:ascii="Times New Roman" w:hAnsi="Times New Roman" w:cs="Times New Roman"/>
          <w:szCs w:val="24"/>
          <w:lang w:val="en-US"/>
        </w:rPr>
        <w:lastRenderedPageBreak/>
        <w:t xml:space="preserve">to pursue their own interests contribute better to the general interest of the nation" and thus, we should expect an opposite association between individualism and risk </w:t>
      </w:r>
      <w:r w:rsidR="005D4597" w:rsidRPr="002C595D">
        <w:rPr>
          <w:rFonts w:ascii="Times New Roman" w:hAnsi="Times New Roman" w:cs="Times New Roman"/>
          <w:szCs w:val="24"/>
          <w:lang w:val="en-US"/>
        </w:rPr>
        <w:t>appetite than</w:t>
      </w:r>
      <w:r w:rsidRPr="002C595D">
        <w:rPr>
          <w:rFonts w:ascii="Times New Roman" w:hAnsi="Times New Roman" w:cs="Times New Roman"/>
          <w:szCs w:val="24"/>
          <w:lang w:val="en-US"/>
        </w:rPr>
        <w:t xml:space="preserve"> the one introduced above.</w:t>
      </w:r>
      <w:r w:rsidR="00E8777B" w:rsidRPr="002C595D">
        <w:rPr>
          <w:rFonts w:ascii="Times New Roman" w:hAnsi="Times New Roman" w:cs="Times New Roman"/>
          <w:szCs w:val="24"/>
          <w:lang w:val="en-US"/>
        </w:rPr>
        <w:t xml:space="preserve"> However, Hupp and Williams (2008) showed that group-decision making is more cautious towards high risks in comparison to individual decision</w:t>
      </w:r>
      <w:r w:rsidR="00BD32BF" w:rsidRPr="002C595D">
        <w:rPr>
          <w:rFonts w:ascii="Times New Roman" w:hAnsi="Times New Roman" w:cs="Times New Roman"/>
          <w:szCs w:val="24"/>
          <w:lang w:val="en-US"/>
        </w:rPr>
        <w:t xml:space="preserve"> making. Chui et al (2010) linked</w:t>
      </w:r>
      <w:r w:rsidR="00E8777B" w:rsidRPr="002C595D">
        <w:rPr>
          <w:rFonts w:ascii="Times New Roman" w:hAnsi="Times New Roman" w:cs="Times New Roman"/>
          <w:szCs w:val="24"/>
          <w:lang w:val="en-US"/>
        </w:rPr>
        <w:t xml:space="preserve"> individualism to overconfidence, which in turns is linked to overestimation of </w:t>
      </w:r>
      <w:r w:rsidR="00BD32BF" w:rsidRPr="002C595D">
        <w:rPr>
          <w:rFonts w:ascii="Times New Roman" w:hAnsi="Times New Roman" w:cs="Times New Roman"/>
          <w:szCs w:val="24"/>
          <w:lang w:val="en-US"/>
        </w:rPr>
        <w:t xml:space="preserve">available information and possibly to greater risk taking. Following this line of thinking, we conjecture that the more Individualistic a country is, the greater the risk appetite pension funds in this country will exhibit. </w:t>
      </w:r>
    </w:p>
    <w:p w:rsidR="00696DB1" w:rsidRPr="002C595D" w:rsidRDefault="00DD5DFE">
      <w:pPr>
        <w:spacing w:line="360" w:lineRule="auto"/>
        <w:ind w:left="720"/>
        <w:jc w:val="both"/>
        <w:rPr>
          <w:rFonts w:ascii="Times New Roman" w:hAnsi="Times New Roman" w:cs="Times New Roman"/>
          <w:szCs w:val="24"/>
          <w:lang w:val="en-US"/>
        </w:rPr>
      </w:pPr>
      <w:r w:rsidRPr="002C595D">
        <w:rPr>
          <w:rFonts w:ascii="Times New Roman" w:hAnsi="Times New Roman" w:cs="Times New Roman"/>
          <w:color w:val="FF0000"/>
          <w:szCs w:val="24"/>
          <w:lang w:val="en-US"/>
        </w:rPr>
        <w:t>H3</w:t>
      </w:r>
      <w:r w:rsidRPr="002C595D">
        <w:rPr>
          <w:rFonts w:ascii="Times New Roman" w:hAnsi="Times New Roman" w:cs="Times New Roman"/>
          <w:szCs w:val="24"/>
          <w:lang w:val="en-US"/>
        </w:rPr>
        <w:t xml:space="preserve">: There is significant </w:t>
      </w:r>
      <w:r w:rsidR="00BD32BF" w:rsidRPr="002C595D">
        <w:rPr>
          <w:rFonts w:ascii="Times New Roman" w:hAnsi="Times New Roman" w:cs="Times New Roman"/>
          <w:szCs w:val="24"/>
          <w:lang w:val="en-US"/>
        </w:rPr>
        <w:t xml:space="preserve">positive </w:t>
      </w:r>
      <w:r w:rsidRPr="002C595D">
        <w:rPr>
          <w:rFonts w:ascii="Times New Roman" w:hAnsi="Times New Roman" w:cs="Times New Roman"/>
          <w:szCs w:val="24"/>
          <w:lang w:val="en-US"/>
        </w:rPr>
        <w:t>relationship between Individualism and risk appetite of pension funds.</w:t>
      </w:r>
    </w:p>
    <w:p w:rsidR="00696DB1" w:rsidRPr="002C595D" w:rsidRDefault="008D687D">
      <w:pPr>
        <w:spacing w:line="360" w:lineRule="auto"/>
        <w:jc w:val="both"/>
        <w:rPr>
          <w:rFonts w:ascii="Times New Roman" w:hAnsi="Times New Roman" w:cs="Times New Roman"/>
          <w:szCs w:val="24"/>
          <w:lang w:val="en-US"/>
        </w:rPr>
      </w:pPr>
      <w:r w:rsidRPr="002C595D">
        <w:rPr>
          <w:rFonts w:ascii="Times New Roman" w:hAnsi="Times New Roman" w:cs="Times New Roman"/>
          <w:szCs w:val="24"/>
          <w:lang w:val="en-US"/>
        </w:rPr>
        <w:t xml:space="preserve">The fourth cultural dimension, Masculinity, is expected to be associated with higher risk appetite. As in the study </w:t>
      </w:r>
      <w:r w:rsidR="00847B8C" w:rsidRPr="002C595D">
        <w:rPr>
          <w:rFonts w:ascii="Times New Roman" w:hAnsi="Times New Roman" w:cs="Times New Roman"/>
          <w:szCs w:val="24"/>
          <w:lang w:val="en-US"/>
        </w:rPr>
        <w:t xml:space="preserve">on Stock exchange of Iran, where </w:t>
      </w:r>
      <w:r w:rsidRPr="002C595D">
        <w:rPr>
          <w:rFonts w:ascii="Times New Roman" w:hAnsi="Times New Roman" w:cs="Times New Roman"/>
          <w:szCs w:val="24"/>
          <w:lang w:val="en-US"/>
        </w:rPr>
        <w:t xml:space="preserve"> </w:t>
      </w:r>
      <w:r w:rsidR="00847B8C" w:rsidRPr="002C595D">
        <w:rPr>
          <w:rFonts w:ascii="Times New Roman" w:hAnsi="Times New Roman" w:cs="Times New Roman"/>
          <w:szCs w:val="24"/>
          <w:lang w:val="en-US"/>
        </w:rPr>
        <w:t>the strong Masculinity element is linked with low risk aversion and thus a more aggressive investment profile, and</w:t>
      </w:r>
      <w:r w:rsidR="00E823E1" w:rsidRPr="002C595D">
        <w:rPr>
          <w:rFonts w:ascii="Times New Roman" w:hAnsi="Times New Roman" w:cs="Times New Roman"/>
          <w:szCs w:val="24"/>
          <w:lang w:val="en-US"/>
        </w:rPr>
        <w:t xml:space="preserve"> relying on Graham et al. (2009) results,</w:t>
      </w:r>
      <w:r w:rsidR="00D66FF2" w:rsidRPr="002C595D">
        <w:rPr>
          <w:rFonts w:ascii="Times New Roman" w:hAnsi="Times New Roman" w:cs="Times New Roman"/>
          <w:szCs w:val="24"/>
          <w:lang w:val="en-US"/>
        </w:rPr>
        <w:t xml:space="preserve"> that competent investors (a characteristic of Masculinity)</w:t>
      </w:r>
      <w:r w:rsidR="00E823E1" w:rsidRPr="002C595D">
        <w:rPr>
          <w:rFonts w:ascii="Times New Roman" w:hAnsi="Times New Roman" w:cs="Times New Roman"/>
          <w:szCs w:val="24"/>
          <w:lang w:val="en-US"/>
        </w:rPr>
        <w:t xml:space="preserve"> actually diversify their portfolio with foreign investments, we conjecture the following:</w:t>
      </w:r>
    </w:p>
    <w:p w:rsidR="00696DB1" w:rsidRPr="002C595D" w:rsidRDefault="00DD5DFE">
      <w:pPr>
        <w:spacing w:line="360" w:lineRule="auto"/>
        <w:ind w:left="720"/>
        <w:jc w:val="both"/>
        <w:rPr>
          <w:rFonts w:ascii="Times New Roman" w:hAnsi="Times New Roman" w:cs="Times New Roman"/>
          <w:szCs w:val="24"/>
          <w:lang w:val="en-US"/>
        </w:rPr>
      </w:pPr>
      <w:r w:rsidRPr="002C595D">
        <w:rPr>
          <w:rFonts w:ascii="Times New Roman" w:hAnsi="Times New Roman" w:cs="Times New Roman"/>
          <w:color w:val="FF0000"/>
          <w:szCs w:val="24"/>
          <w:lang w:val="en-US"/>
        </w:rPr>
        <w:t>H4</w:t>
      </w:r>
      <w:r w:rsidRPr="002C595D">
        <w:rPr>
          <w:rFonts w:ascii="Times New Roman" w:hAnsi="Times New Roman" w:cs="Times New Roman"/>
          <w:szCs w:val="24"/>
          <w:lang w:val="en-US"/>
        </w:rPr>
        <w:t xml:space="preserve">: There is significant </w:t>
      </w:r>
      <w:r w:rsidR="00E823E1" w:rsidRPr="002C595D">
        <w:rPr>
          <w:rFonts w:ascii="Times New Roman" w:hAnsi="Times New Roman" w:cs="Times New Roman"/>
          <w:szCs w:val="24"/>
          <w:lang w:val="en-US"/>
        </w:rPr>
        <w:t xml:space="preserve">positive </w:t>
      </w:r>
      <w:r w:rsidRPr="002C595D">
        <w:rPr>
          <w:rFonts w:ascii="Times New Roman" w:hAnsi="Times New Roman" w:cs="Times New Roman"/>
          <w:szCs w:val="24"/>
          <w:lang w:val="en-US"/>
        </w:rPr>
        <w:t>relationship between Masculinity and risk appetite of pension funds.</w:t>
      </w:r>
    </w:p>
    <w:p w:rsidR="00692307" w:rsidRPr="002C595D" w:rsidRDefault="00692307">
      <w:pPr>
        <w:rPr>
          <w:rFonts w:ascii="Times New Roman" w:hAnsi="Times New Roman" w:cs="Times New Roman"/>
          <w:b/>
          <w:sz w:val="24"/>
          <w:szCs w:val="24"/>
          <w:lang w:val="en-US"/>
        </w:rPr>
      </w:pPr>
      <w:r w:rsidRPr="002C595D">
        <w:rPr>
          <w:rFonts w:ascii="Times New Roman" w:hAnsi="Times New Roman" w:cs="Times New Roman"/>
          <w:b/>
          <w:sz w:val="24"/>
          <w:szCs w:val="24"/>
          <w:lang w:val="en-US"/>
        </w:rPr>
        <w:br w:type="page"/>
      </w:r>
    </w:p>
    <w:p w:rsidR="005717B5" w:rsidRPr="000C576E" w:rsidRDefault="00692307" w:rsidP="00870523">
      <w:pPr>
        <w:jc w:val="both"/>
        <w:rPr>
          <w:rFonts w:ascii="Arial" w:hAnsi="Arial" w:cs="Arial"/>
          <w:b/>
          <w:sz w:val="28"/>
          <w:szCs w:val="24"/>
          <w:lang w:val="en-US"/>
        </w:rPr>
      </w:pPr>
      <w:r w:rsidRPr="000C576E">
        <w:rPr>
          <w:rFonts w:ascii="Arial" w:hAnsi="Arial" w:cs="Arial"/>
          <w:b/>
          <w:sz w:val="28"/>
          <w:szCs w:val="24"/>
          <w:lang w:val="en-US"/>
        </w:rPr>
        <w:lastRenderedPageBreak/>
        <w:t xml:space="preserve">3. </w:t>
      </w:r>
      <w:r w:rsidR="005717B5" w:rsidRPr="000C576E">
        <w:rPr>
          <w:rFonts w:ascii="Arial" w:hAnsi="Arial" w:cs="Arial"/>
          <w:b/>
          <w:sz w:val="28"/>
          <w:szCs w:val="24"/>
          <w:lang w:val="en-US"/>
        </w:rPr>
        <w:t>Data</w:t>
      </w:r>
    </w:p>
    <w:p w:rsidR="005717B5" w:rsidRPr="002C595D" w:rsidRDefault="005717B5" w:rsidP="005717B5">
      <w:pPr>
        <w:spacing w:line="360" w:lineRule="auto"/>
        <w:jc w:val="both"/>
        <w:rPr>
          <w:rFonts w:ascii="Times New Roman" w:hAnsi="Times New Roman" w:cs="Times New Roman"/>
          <w:szCs w:val="24"/>
          <w:lang w:val="en-US"/>
        </w:rPr>
      </w:pPr>
      <w:r w:rsidRPr="002C595D">
        <w:rPr>
          <w:rFonts w:ascii="Times New Roman" w:hAnsi="Times New Roman" w:cs="Times New Roman"/>
          <w:szCs w:val="24"/>
          <w:lang w:val="en-US"/>
        </w:rPr>
        <w:t xml:space="preserve">In this section we are going to present all the data that are used in this research in order to test our hypothesis. </w:t>
      </w:r>
    </w:p>
    <w:p w:rsidR="005717B5" w:rsidRPr="002C595D" w:rsidRDefault="00550826" w:rsidP="005717B5">
      <w:pPr>
        <w:spacing w:line="360" w:lineRule="auto"/>
        <w:jc w:val="both"/>
        <w:rPr>
          <w:rFonts w:ascii="Arial" w:hAnsi="Arial" w:cs="Arial"/>
          <w:b/>
          <w:i/>
          <w:sz w:val="20"/>
          <w:lang w:val="en-US"/>
        </w:rPr>
      </w:pPr>
      <w:r w:rsidRPr="002C595D">
        <w:rPr>
          <w:rFonts w:ascii="Arial" w:hAnsi="Arial" w:cs="Arial"/>
          <w:b/>
          <w:i/>
          <w:sz w:val="20"/>
          <w:lang w:val="en-US"/>
        </w:rPr>
        <w:t xml:space="preserve">3.1 </w:t>
      </w:r>
      <w:r w:rsidR="005717B5" w:rsidRPr="002C595D">
        <w:rPr>
          <w:rFonts w:ascii="Arial" w:hAnsi="Arial" w:cs="Arial"/>
          <w:b/>
          <w:i/>
          <w:sz w:val="20"/>
          <w:lang w:val="en-US"/>
        </w:rPr>
        <w:t>Data on Cultural Dimension Scores</w:t>
      </w:r>
    </w:p>
    <w:p w:rsidR="005717B5" w:rsidRPr="002C595D" w:rsidRDefault="005717B5" w:rsidP="005717B5">
      <w:pPr>
        <w:spacing w:line="360" w:lineRule="auto"/>
        <w:jc w:val="both"/>
        <w:rPr>
          <w:rFonts w:ascii="Times New Roman" w:hAnsi="Times New Roman" w:cs="Times New Roman"/>
          <w:szCs w:val="24"/>
          <w:lang w:val="en-US"/>
        </w:rPr>
      </w:pPr>
      <w:r w:rsidRPr="002C595D">
        <w:rPr>
          <w:rFonts w:ascii="Times New Roman" w:hAnsi="Times New Roman" w:cs="Times New Roman"/>
          <w:szCs w:val="24"/>
          <w:lang w:val="en-US"/>
        </w:rPr>
        <w:t xml:space="preserve">Our main </w:t>
      </w:r>
      <w:r w:rsidR="00870523" w:rsidRPr="002C595D">
        <w:rPr>
          <w:rFonts w:ascii="Times New Roman" w:hAnsi="Times New Roman" w:cs="Times New Roman"/>
          <w:szCs w:val="24"/>
          <w:lang w:val="en-US"/>
        </w:rPr>
        <w:t>in</w:t>
      </w:r>
      <w:r w:rsidRPr="002C595D">
        <w:rPr>
          <w:rFonts w:ascii="Times New Roman" w:hAnsi="Times New Roman" w:cs="Times New Roman"/>
          <w:szCs w:val="24"/>
          <w:lang w:val="en-US"/>
        </w:rPr>
        <w:t xml:space="preserve">dependent variables are the cultural dimension scores from Hofstede's research. Those dimensions, namely Power Distance, Uncertainty avoidance, Masculinity and Individualism, refer to the different way national societies deal with four main anthropological problem areas (Hofstede). Out of the 76 available country scores, we used 49 of them due to the lack </w:t>
      </w:r>
      <w:r w:rsidR="005D4597" w:rsidRPr="002C595D">
        <w:rPr>
          <w:rFonts w:ascii="Times New Roman" w:hAnsi="Times New Roman" w:cs="Times New Roman"/>
          <w:szCs w:val="24"/>
          <w:lang w:val="en-US"/>
        </w:rPr>
        <w:t>of data</w:t>
      </w:r>
      <w:r w:rsidRPr="002C595D">
        <w:rPr>
          <w:rFonts w:ascii="Times New Roman" w:hAnsi="Times New Roman" w:cs="Times New Roman"/>
          <w:szCs w:val="24"/>
          <w:lang w:val="en-US"/>
        </w:rPr>
        <w:t xml:space="preserve"> availability on investments allocation for the rest. </w:t>
      </w:r>
    </w:p>
    <w:p w:rsidR="00907769" w:rsidRPr="002C595D" w:rsidRDefault="005717B5" w:rsidP="00317759">
      <w:pPr>
        <w:spacing w:line="360" w:lineRule="auto"/>
        <w:jc w:val="both"/>
        <w:rPr>
          <w:rFonts w:ascii="Times New Roman" w:hAnsi="Times New Roman" w:cs="Times New Roman"/>
          <w:szCs w:val="24"/>
          <w:lang w:val="en-US"/>
        </w:rPr>
      </w:pPr>
      <w:r w:rsidRPr="002C595D">
        <w:rPr>
          <w:rFonts w:ascii="Times New Roman" w:hAnsi="Times New Roman" w:cs="Times New Roman"/>
          <w:szCs w:val="24"/>
          <w:lang w:val="en-US"/>
        </w:rPr>
        <w:t xml:space="preserve">In the table below we can see the scores for the 49 countries in use. </w:t>
      </w:r>
    </w:p>
    <w:p w:rsidR="005717B5" w:rsidRPr="00870523" w:rsidRDefault="005717B5" w:rsidP="00907769">
      <w:pPr>
        <w:rPr>
          <w:rFonts w:ascii="Times New Roman" w:hAnsi="Times New Roman" w:cs="Times New Roman"/>
          <w:sz w:val="24"/>
          <w:szCs w:val="24"/>
          <w:lang w:val="en-US"/>
        </w:rPr>
      </w:pPr>
      <w:r w:rsidRPr="000119AB">
        <w:rPr>
          <w:b/>
          <w:lang w:val="en-US"/>
        </w:rPr>
        <w:t xml:space="preserve">Table </w:t>
      </w:r>
      <w:r w:rsidR="00317759">
        <w:rPr>
          <w:b/>
          <w:lang w:val="en-US"/>
        </w:rPr>
        <w:t>3.</w:t>
      </w:r>
      <w:r w:rsidRPr="000119AB">
        <w:rPr>
          <w:b/>
          <w:lang w:val="en-US"/>
        </w:rPr>
        <w:t>1.Cultural Dimension Scores, Hofstede 2011</w:t>
      </w:r>
    </w:p>
    <w:tbl>
      <w:tblPr>
        <w:tblStyle w:val="LightShading1"/>
        <w:tblW w:w="4914" w:type="pct"/>
        <w:tblLook w:val="0620"/>
      </w:tblPr>
      <w:tblGrid>
        <w:gridCol w:w="1802"/>
        <w:gridCol w:w="2291"/>
        <w:gridCol w:w="1311"/>
        <w:gridCol w:w="1204"/>
        <w:gridCol w:w="1437"/>
        <w:gridCol w:w="1360"/>
      </w:tblGrid>
      <w:tr w:rsidR="00692307" w:rsidRPr="00907769" w:rsidTr="00DA6CE7">
        <w:trPr>
          <w:cnfStyle w:val="100000000000"/>
          <w:trHeight w:val="347"/>
        </w:trPr>
        <w:tc>
          <w:tcPr>
            <w:tcW w:w="958" w:type="pct"/>
          </w:tcPr>
          <w:p w:rsidR="005717B5" w:rsidRPr="00692307" w:rsidRDefault="005717B5" w:rsidP="00F80863">
            <w:pPr>
              <w:spacing w:line="360" w:lineRule="auto"/>
              <w:jc w:val="both"/>
              <w:rPr>
                <w:rFonts w:ascii="Times New Roman" w:hAnsi="Times New Roman" w:cs="Times New Roman"/>
                <w:color w:val="000000"/>
                <w:sz w:val="20"/>
                <w:szCs w:val="24"/>
                <w:lang w:val="en-US"/>
              </w:rPr>
            </w:pPr>
          </w:p>
        </w:tc>
        <w:tc>
          <w:tcPr>
            <w:tcW w:w="1218" w:type="pct"/>
          </w:tcPr>
          <w:p w:rsidR="005717B5" w:rsidRPr="00907769" w:rsidRDefault="005717B5" w:rsidP="00F80863">
            <w:pPr>
              <w:spacing w:line="360" w:lineRule="auto"/>
              <w:jc w:val="both"/>
              <w:rPr>
                <w:rFonts w:ascii="Times New Roman" w:hAnsi="Times New Roman" w:cs="Times New Roman"/>
                <w:color w:val="000000"/>
                <w:sz w:val="20"/>
                <w:szCs w:val="24"/>
                <w:lang w:val="en-GB"/>
              </w:rPr>
            </w:pPr>
            <w:r w:rsidRPr="00907769">
              <w:rPr>
                <w:rFonts w:ascii="Times New Roman" w:hAnsi="Times New Roman" w:cs="Times New Roman"/>
                <w:color w:val="000000"/>
                <w:sz w:val="20"/>
                <w:szCs w:val="24"/>
                <w:lang w:val="en-GB"/>
              </w:rPr>
              <w:t>Country</w:t>
            </w:r>
          </w:p>
        </w:tc>
        <w:tc>
          <w:tcPr>
            <w:tcW w:w="697" w:type="pct"/>
          </w:tcPr>
          <w:p w:rsidR="005717B5" w:rsidRPr="00692307" w:rsidRDefault="00692307" w:rsidP="00F80863">
            <w:pPr>
              <w:spacing w:line="360" w:lineRule="auto"/>
              <w:jc w:val="both"/>
              <w:rPr>
                <w:rFonts w:ascii="Times New Roman" w:hAnsi="Times New Roman" w:cs="Times New Roman"/>
                <w:color w:val="000000"/>
                <w:sz w:val="20"/>
                <w:szCs w:val="24"/>
                <w:lang w:val="en-US"/>
              </w:rPr>
            </w:pPr>
            <w:r w:rsidRPr="00907769">
              <w:rPr>
                <w:rFonts w:ascii="Times New Roman" w:hAnsi="Times New Roman" w:cs="Times New Roman"/>
                <w:color w:val="000000"/>
                <w:sz w:val="20"/>
                <w:szCs w:val="24"/>
                <w:lang w:val="en-GB"/>
              </w:rPr>
              <w:t>PDI</w:t>
            </w:r>
          </w:p>
        </w:tc>
        <w:tc>
          <w:tcPr>
            <w:tcW w:w="640" w:type="pct"/>
          </w:tcPr>
          <w:p w:rsidR="005717B5" w:rsidRPr="00692307" w:rsidRDefault="005717B5" w:rsidP="00692307">
            <w:pPr>
              <w:spacing w:line="360" w:lineRule="auto"/>
              <w:jc w:val="both"/>
              <w:rPr>
                <w:rFonts w:ascii="Times New Roman" w:hAnsi="Times New Roman" w:cs="Times New Roman"/>
                <w:color w:val="000000"/>
                <w:sz w:val="20"/>
                <w:szCs w:val="24"/>
                <w:lang w:val="en-US"/>
              </w:rPr>
            </w:pPr>
            <w:r w:rsidRPr="00907769">
              <w:rPr>
                <w:rFonts w:ascii="Times New Roman" w:hAnsi="Times New Roman" w:cs="Times New Roman"/>
                <w:color w:val="000000"/>
                <w:sz w:val="20"/>
                <w:szCs w:val="24"/>
                <w:lang w:val="en-GB"/>
              </w:rPr>
              <w:t>IDV</w:t>
            </w:r>
          </w:p>
        </w:tc>
        <w:tc>
          <w:tcPr>
            <w:tcW w:w="764" w:type="pct"/>
          </w:tcPr>
          <w:p w:rsidR="005717B5" w:rsidRPr="00692307" w:rsidRDefault="00692307" w:rsidP="00F80863">
            <w:pPr>
              <w:spacing w:line="360" w:lineRule="auto"/>
              <w:jc w:val="both"/>
              <w:rPr>
                <w:rFonts w:ascii="Times New Roman" w:hAnsi="Times New Roman" w:cs="Times New Roman"/>
                <w:color w:val="000000"/>
                <w:sz w:val="20"/>
                <w:szCs w:val="24"/>
                <w:lang w:val="en-US"/>
              </w:rPr>
            </w:pPr>
            <w:r w:rsidRPr="00907769">
              <w:rPr>
                <w:rFonts w:ascii="Times New Roman" w:hAnsi="Times New Roman" w:cs="Times New Roman"/>
                <w:color w:val="000000"/>
                <w:sz w:val="20"/>
                <w:szCs w:val="24"/>
                <w:lang w:val="en-GB"/>
              </w:rPr>
              <w:t>UAI</w:t>
            </w:r>
          </w:p>
        </w:tc>
        <w:tc>
          <w:tcPr>
            <w:tcW w:w="723" w:type="pct"/>
          </w:tcPr>
          <w:p w:rsidR="005717B5" w:rsidRPr="00907769" w:rsidRDefault="005717B5" w:rsidP="00692307">
            <w:pPr>
              <w:spacing w:line="360" w:lineRule="auto"/>
              <w:jc w:val="both"/>
              <w:rPr>
                <w:rFonts w:ascii="Times New Roman" w:hAnsi="Times New Roman" w:cs="Times New Roman"/>
                <w:color w:val="000000"/>
                <w:sz w:val="20"/>
                <w:szCs w:val="24"/>
                <w:lang w:val="en-GB"/>
              </w:rPr>
            </w:pPr>
            <w:r w:rsidRPr="00907769">
              <w:rPr>
                <w:rFonts w:ascii="Times New Roman" w:hAnsi="Times New Roman" w:cs="Times New Roman"/>
                <w:color w:val="000000"/>
                <w:sz w:val="20"/>
                <w:szCs w:val="24"/>
                <w:lang w:val="en-GB"/>
              </w:rPr>
              <w:t>MASC</w:t>
            </w:r>
          </w:p>
        </w:tc>
      </w:tr>
      <w:tr w:rsidR="00692307" w:rsidRPr="00907769" w:rsidTr="00DA6CE7">
        <w:trPr>
          <w:trHeight w:val="347"/>
        </w:trPr>
        <w:tc>
          <w:tcPr>
            <w:tcW w:w="958" w:type="pct"/>
          </w:tcPr>
          <w:p w:rsidR="005717B5" w:rsidRPr="00907769" w:rsidRDefault="005717B5" w:rsidP="00F80863">
            <w:pPr>
              <w:spacing w:line="360" w:lineRule="auto"/>
              <w:jc w:val="both"/>
              <w:rPr>
                <w:rFonts w:ascii="Times New Roman" w:hAnsi="Times New Roman" w:cs="Times New Roman"/>
                <w:color w:val="000000"/>
                <w:sz w:val="20"/>
                <w:szCs w:val="24"/>
                <w:lang w:val="en-GB"/>
              </w:rPr>
            </w:pPr>
            <w:r w:rsidRPr="00907769">
              <w:rPr>
                <w:rFonts w:ascii="Times New Roman" w:hAnsi="Times New Roman" w:cs="Times New Roman"/>
                <w:color w:val="000000"/>
                <w:sz w:val="20"/>
                <w:szCs w:val="24"/>
                <w:lang w:val="en-GB"/>
              </w:rPr>
              <w:t>1</w:t>
            </w:r>
          </w:p>
        </w:tc>
        <w:tc>
          <w:tcPr>
            <w:tcW w:w="1218" w:type="pct"/>
          </w:tcPr>
          <w:p w:rsidR="005717B5" w:rsidRPr="00907769" w:rsidRDefault="005717B5" w:rsidP="00F80863">
            <w:pPr>
              <w:spacing w:line="360" w:lineRule="auto"/>
              <w:jc w:val="both"/>
              <w:rPr>
                <w:rFonts w:ascii="Times New Roman" w:hAnsi="Times New Roman" w:cs="Times New Roman"/>
                <w:color w:val="000000"/>
                <w:sz w:val="20"/>
                <w:szCs w:val="24"/>
                <w:lang w:val="en-GB"/>
              </w:rPr>
            </w:pPr>
            <w:r w:rsidRPr="00907769">
              <w:rPr>
                <w:rFonts w:ascii="Times New Roman" w:hAnsi="Times New Roman" w:cs="Times New Roman"/>
                <w:color w:val="000000"/>
                <w:sz w:val="20"/>
                <w:szCs w:val="24"/>
                <w:lang w:val="en-GB"/>
              </w:rPr>
              <w:t>Africa S(wte)</w:t>
            </w:r>
          </w:p>
        </w:tc>
        <w:tc>
          <w:tcPr>
            <w:tcW w:w="697" w:type="pct"/>
          </w:tcPr>
          <w:p w:rsidR="005717B5" w:rsidRPr="00907769" w:rsidRDefault="005717B5" w:rsidP="00F80863">
            <w:pPr>
              <w:spacing w:line="360" w:lineRule="auto"/>
              <w:jc w:val="both"/>
              <w:rPr>
                <w:rFonts w:ascii="Times New Roman" w:hAnsi="Times New Roman" w:cs="Times New Roman"/>
                <w:color w:val="000000"/>
                <w:sz w:val="20"/>
                <w:szCs w:val="24"/>
                <w:lang w:val="en-GB"/>
              </w:rPr>
            </w:pPr>
            <w:r w:rsidRPr="00907769">
              <w:rPr>
                <w:rFonts w:ascii="Times New Roman" w:hAnsi="Times New Roman" w:cs="Times New Roman"/>
                <w:color w:val="000000"/>
                <w:sz w:val="20"/>
                <w:szCs w:val="24"/>
                <w:lang w:val="en-GB"/>
              </w:rPr>
              <w:t>49</w:t>
            </w:r>
          </w:p>
        </w:tc>
        <w:tc>
          <w:tcPr>
            <w:tcW w:w="640" w:type="pct"/>
          </w:tcPr>
          <w:p w:rsidR="005717B5" w:rsidRPr="00907769" w:rsidRDefault="005717B5" w:rsidP="00F80863">
            <w:pPr>
              <w:spacing w:line="360" w:lineRule="auto"/>
              <w:jc w:val="both"/>
              <w:rPr>
                <w:rFonts w:ascii="Times New Roman" w:hAnsi="Times New Roman" w:cs="Times New Roman"/>
                <w:color w:val="000000"/>
                <w:sz w:val="20"/>
                <w:szCs w:val="24"/>
                <w:lang w:val="en-GB"/>
              </w:rPr>
            </w:pPr>
            <w:r w:rsidRPr="00907769">
              <w:rPr>
                <w:rFonts w:ascii="Times New Roman" w:hAnsi="Times New Roman" w:cs="Times New Roman"/>
                <w:color w:val="000000"/>
                <w:sz w:val="20"/>
                <w:szCs w:val="24"/>
                <w:lang w:val="en-GB"/>
              </w:rPr>
              <w:t>65</w:t>
            </w:r>
          </w:p>
        </w:tc>
        <w:tc>
          <w:tcPr>
            <w:tcW w:w="764" w:type="pct"/>
          </w:tcPr>
          <w:p w:rsidR="005717B5" w:rsidRPr="00907769" w:rsidRDefault="005717B5" w:rsidP="00F80863">
            <w:pPr>
              <w:spacing w:line="360" w:lineRule="auto"/>
              <w:jc w:val="both"/>
              <w:rPr>
                <w:rFonts w:ascii="Times New Roman" w:hAnsi="Times New Roman" w:cs="Times New Roman"/>
                <w:color w:val="000000"/>
                <w:sz w:val="20"/>
                <w:szCs w:val="24"/>
                <w:lang w:val="en-GB"/>
              </w:rPr>
            </w:pPr>
            <w:r w:rsidRPr="00907769">
              <w:rPr>
                <w:rFonts w:ascii="Times New Roman" w:hAnsi="Times New Roman" w:cs="Times New Roman"/>
                <w:color w:val="000000"/>
                <w:sz w:val="20"/>
                <w:szCs w:val="24"/>
                <w:lang w:val="en-GB"/>
              </w:rPr>
              <w:t>49</w:t>
            </w:r>
          </w:p>
        </w:tc>
        <w:tc>
          <w:tcPr>
            <w:tcW w:w="723" w:type="pct"/>
          </w:tcPr>
          <w:p w:rsidR="005717B5" w:rsidRPr="00907769" w:rsidRDefault="005717B5" w:rsidP="00F80863">
            <w:pPr>
              <w:spacing w:line="360" w:lineRule="auto"/>
              <w:jc w:val="both"/>
              <w:rPr>
                <w:rFonts w:ascii="Times New Roman" w:hAnsi="Times New Roman" w:cs="Times New Roman"/>
                <w:color w:val="000000"/>
                <w:sz w:val="20"/>
                <w:szCs w:val="24"/>
                <w:lang w:val="en-GB"/>
              </w:rPr>
            </w:pPr>
            <w:r w:rsidRPr="00907769">
              <w:rPr>
                <w:rFonts w:ascii="Times New Roman" w:hAnsi="Times New Roman" w:cs="Times New Roman"/>
                <w:color w:val="000000"/>
                <w:sz w:val="20"/>
                <w:szCs w:val="24"/>
                <w:lang w:val="en-GB"/>
              </w:rPr>
              <w:t>63</w:t>
            </w:r>
          </w:p>
        </w:tc>
      </w:tr>
      <w:tr w:rsidR="00692307" w:rsidRPr="00907769" w:rsidTr="00DA6CE7">
        <w:trPr>
          <w:trHeight w:val="347"/>
        </w:trPr>
        <w:tc>
          <w:tcPr>
            <w:tcW w:w="958" w:type="pct"/>
          </w:tcPr>
          <w:p w:rsidR="005717B5" w:rsidRPr="00907769" w:rsidRDefault="005717B5" w:rsidP="00F80863">
            <w:pPr>
              <w:spacing w:line="360" w:lineRule="auto"/>
              <w:jc w:val="both"/>
              <w:rPr>
                <w:rFonts w:ascii="Times New Roman" w:hAnsi="Times New Roman" w:cs="Times New Roman"/>
                <w:color w:val="000000"/>
                <w:sz w:val="20"/>
                <w:szCs w:val="24"/>
                <w:lang w:val="en-GB"/>
              </w:rPr>
            </w:pPr>
            <w:r w:rsidRPr="00907769">
              <w:rPr>
                <w:rFonts w:ascii="Times New Roman" w:hAnsi="Times New Roman" w:cs="Times New Roman"/>
                <w:color w:val="000000"/>
                <w:sz w:val="20"/>
                <w:szCs w:val="24"/>
                <w:lang w:val="en-GB"/>
              </w:rPr>
              <w:t>2</w:t>
            </w:r>
          </w:p>
        </w:tc>
        <w:tc>
          <w:tcPr>
            <w:tcW w:w="1218" w:type="pct"/>
          </w:tcPr>
          <w:p w:rsidR="005717B5" w:rsidRPr="00907769" w:rsidRDefault="005717B5" w:rsidP="00F80863">
            <w:pPr>
              <w:spacing w:line="360" w:lineRule="auto"/>
              <w:jc w:val="both"/>
              <w:rPr>
                <w:rFonts w:ascii="Times New Roman" w:hAnsi="Times New Roman" w:cs="Times New Roman"/>
                <w:color w:val="000000"/>
                <w:sz w:val="20"/>
                <w:szCs w:val="24"/>
                <w:lang w:val="en-GB"/>
              </w:rPr>
            </w:pPr>
            <w:r w:rsidRPr="00907769">
              <w:rPr>
                <w:rFonts w:ascii="Times New Roman" w:hAnsi="Times New Roman" w:cs="Times New Roman"/>
                <w:color w:val="000000"/>
                <w:sz w:val="20"/>
                <w:szCs w:val="24"/>
                <w:lang w:val="en-GB"/>
              </w:rPr>
              <w:t>Australia</w:t>
            </w:r>
          </w:p>
        </w:tc>
        <w:tc>
          <w:tcPr>
            <w:tcW w:w="697" w:type="pct"/>
          </w:tcPr>
          <w:p w:rsidR="005717B5" w:rsidRPr="00907769" w:rsidRDefault="005717B5" w:rsidP="00F80863">
            <w:pPr>
              <w:spacing w:line="360" w:lineRule="auto"/>
              <w:jc w:val="both"/>
              <w:rPr>
                <w:rFonts w:ascii="Times New Roman" w:hAnsi="Times New Roman" w:cs="Times New Roman"/>
                <w:color w:val="000000"/>
                <w:sz w:val="20"/>
                <w:szCs w:val="24"/>
                <w:lang w:val="en-GB"/>
              </w:rPr>
            </w:pPr>
            <w:r w:rsidRPr="00907769">
              <w:rPr>
                <w:rFonts w:ascii="Times New Roman" w:hAnsi="Times New Roman" w:cs="Times New Roman"/>
                <w:color w:val="000000"/>
                <w:sz w:val="20"/>
                <w:szCs w:val="24"/>
                <w:lang w:val="en-GB"/>
              </w:rPr>
              <w:t>36</w:t>
            </w:r>
          </w:p>
        </w:tc>
        <w:tc>
          <w:tcPr>
            <w:tcW w:w="640" w:type="pct"/>
          </w:tcPr>
          <w:p w:rsidR="005717B5" w:rsidRPr="00907769" w:rsidRDefault="005717B5" w:rsidP="00F80863">
            <w:pPr>
              <w:spacing w:line="360" w:lineRule="auto"/>
              <w:jc w:val="both"/>
              <w:rPr>
                <w:rFonts w:ascii="Times New Roman" w:hAnsi="Times New Roman" w:cs="Times New Roman"/>
                <w:color w:val="000000"/>
                <w:sz w:val="20"/>
                <w:szCs w:val="24"/>
                <w:lang w:val="en-GB"/>
              </w:rPr>
            </w:pPr>
            <w:r w:rsidRPr="00907769">
              <w:rPr>
                <w:rFonts w:ascii="Times New Roman" w:hAnsi="Times New Roman" w:cs="Times New Roman"/>
                <w:color w:val="000000"/>
                <w:sz w:val="20"/>
                <w:szCs w:val="24"/>
                <w:lang w:val="en-GB"/>
              </w:rPr>
              <w:t>90</w:t>
            </w:r>
          </w:p>
        </w:tc>
        <w:tc>
          <w:tcPr>
            <w:tcW w:w="764" w:type="pct"/>
          </w:tcPr>
          <w:p w:rsidR="005717B5" w:rsidRPr="00907769" w:rsidRDefault="005717B5" w:rsidP="00F80863">
            <w:pPr>
              <w:spacing w:line="360" w:lineRule="auto"/>
              <w:jc w:val="both"/>
              <w:rPr>
                <w:rFonts w:ascii="Times New Roman" w:hAnsi="Times New Roman" w:cs="Times New Roman"/>
                <w:color w:val="000000"/>
                <w:sz w:val="20"/>
                <w:szCs w:val="24"/>
                <w:lang w:val="en-GB"/>
              </w:rPr>
            </w:pPr>
            <w:r w:rsidRPr="00907769">
              <w:rPr>
                <w:rFonts w:ascii="Times New Roman" w:hAnsi="Times New Roman" w:cs="Times New Roman"/>
                <w:color w:val="000000"/>
                <w:sz w:val="20"/>
                <w:szCs w:val="24"/>
                <w:lang w:val="en-GB"/>
              </w:rPr>
              <w:t>51</w:t>
            </w:r>
          </w:p>
        </w:tc>
        <w:tc>
          <w:tcPr>
            <w:tcW w:w="723" w:type="pct"/>
          </w:tcPr>
          <w:p w:rsidR="005717B5" w:rsidRPr="00907769" w:rsidRDefault="005717B5" w:rsidP="00F80863">
            <w:pPr>
              <w:spacing w:line="360" w:lineRule="auto"/>
              <w:jc w:val="both"/>
              <w:rPr>
                <w:rFonts w:ascii="Times New Roman" w:hAnsi="Times New Roman" w:cs="Times New Roman"/>
                <w:color w:val="000000"/>
                <w:sz w:val="20"/>
                <w:szCs w:val="24"/>
                <w:lang w:val="en-GB"/>
              </w:rPr>
            </w:pPr>
            <w:r w:rsidRPr="00907769">
              <w:rPr>
                <w:rFonts w:ascii="Times New Roman" w:hAnsi="Times New Roman" w:cs="Times New Roman"/>
                <w:color w:val="000000"/>
                <w:sz w:val="20"/>
                <w:szCs w:val="24"/>
                <w:lang w:val="en-GB"/>
              </w:rPr>
              <w:t>61</w:t>
            </w:r>
          </w:p>
        </w:tc>
      </w:tr>
      <w:tr w:rsidR="00692307" w:rsidRPr="00907769" w:rsidTr="00DA6CE7">
        <w:trPr>
          <w:trHeight w:val="347"/>
        </w:trPr>
        <w:tc>
          <w:tcPr>
            <w:tcW w:w="958" w:type="pct"/>
          </w:tcPr>
          <w:p w:rsidR="005717B5" w:rsidRPr="00907769" w:rsidRDefault="005717B5" w:rsidP="00F80863">
            <w:pPr>
              <w:spacing w:line="360" w:lineRule="auto"/>
              <w:jc w:val="both"/>
              <w:rPr>
                <w:rFonts w:ascii="Times New Roman" w:hAnsi="Times New Roman" w:cs="Times New Roman"/>
                <w:color w:val="000000"/>
                <w:sz w:val="20"/>
                <w:szCs w:val="24"/>
                <w:lang w:val="en-GB"/>
              </w:rPr>
            </w:pPr>
            <w:r w:rsidRPr="00907769">
              <w:rPr>
                <w:rFonts w:ascii="Times New Roman" w:hAnsi="Times New Roman" w:cs="Times New Roman"/>
                <w:color w:val="000000"/>
                <w:sz w:val="20"/>
                <w:szCs w:val="24"/>
                <w:lang w:val="en-GB"/>
              </w:rPr>
              <w:t>3</w:t>
            </w:r>
          </w:p>
        </w:tc>
        <w:tc>
          <w:tcPr>
            <w:tcW w:w="1218" w:type="pct"/>
          </w:tcPr>
          <w:p w:rsidR="005717B5" w:rsidRPr="00907769" w:rsidRDefault="005717B5" w:rsidP="00F80863">
            <w:pPr>
              <w:spacing w:line="360" w:lineRule="auto"/>
              <w:jc w:val="both"/>
              <w:rPr>
                <w:rFonts w:ascii="Times New Roman" w:hAnsi="Times New Roman" w:cs="Times New Roman"/>
                <w:color w:val="000000"/>
                <w:sz w:val="20"/>
                <w:szCs w:val="24"/>
                <w:lang w:val="en-GB"/>
              </w:rPr>
            </w:pPr>
            <w:r w:rsidRPr="00907769">
              <w:rPr>
                <w:rFonts w:ascii="Times New Roman" w:hAnsi="Times New Roman" w:cs="Times New Roman"/>
                <w:color w:val="000000"/>
                <w:sz w:val="20"/>
                <w:szCs w:val="24"/>
                <w:lang w:val="en-GB"/>
              </w:rPr>
              <w:t>Austria</w:t>
            </w:r>
          </w:p>
        </w:tc>
        <w:tc>
          <w:tcPr>
            <w:tcW w:w="697" w:type="pct"/>
          </w:tcPr>
          <w:p w:rsidR="005717B5" w:rsidRPr="00907769" w:rsidRDefault="005717B5" w:rsidP="00F80863">
            <w:pPr>
              <w:spacing w:line="360" w:lineRule="auto"/>
              <w:jc w:val="both"/>
              <w:rPr>
                <w:rFonts w:ascii="Times New Roman" w:hAnsi="Times New Roman" w:cs="Times New Roman"/>
                <w:color w:val="000000"/>
                <w:sz w:val="20"/>
                <w:szCs w:val="24"/>
                <w:lang w:val="en-GB"/>
              </w:rPr>
            </w:pPr>
            <w:r w:rsidRPr="00907769">
              <w:rPr>
                <w:rFonts w:ascii="Times New Roman" w:hAnsi="Times New Roman" w:cs="Times New Roman"/>
                <w:color w:val="000000"/>
                <w:sz w:val="20"/>
                <w:szCs w:val="24"/>
                <w:lang w:val="en-GB"/>
              </w:rPr>
              <w:t>11</w:t>
            </w:r>
          </w:p>
        </w:tc>
        <w:tc>
          <w:tcPr>
            <w:tcW w:w="640" w:type="pct"/>
          </w:tcPr>
          <w:p w:rsidR="005717B5" w:rsidRPr="00907769" w:rsidRDefault="005717B5" w:rsidP="00F80863">
            <w:pPr>
              <w:spacing w:line="360" w:lineRule="auto"/>
              <w:jc w:val="both"/>
              <w:rPr>
                <w:rFonts w:ascii="Times New Roman" w:hAnsi="Times New Roman" w:cs="Times New Roman"/>
                <w:color w:val="000000"/>
                <w:sz w:val="20"/>
                <w:szCs w:val="24"/>
                <w:lang w:val="en-GB"/>
              </w:rPr>
            </w:pPr>
            <w:r w:rsidRPr="00907769">
              <w:rPr>
                <w:rFonts w:ascii="Times New Roman" w:hAnsi="Times New Roman" w:cs="Times New Roman"/>
                <w:color w:val="000000"/>
                <w:sz w:val="20"/>
                <w:szCs w:val="24"/>
                <w:lang w:val="en-GB"/>
              </w:rPr>
              <w:t>55</w:t>
            </w:r>
          </w:p>
        </w:tc>
        <w:tc>
          <w:tcPr>
            <w:tcW w:w="764" w:type="pct"/>
          </w:tcPr>
          <w:p w:rsidR="005717B5" w:rsidRPr="00907769" w:rsidRDefault="005717B5" w:rsidP="00F80863">
            <w:pPr>
              <w:spacing w:line="360" w:lineRule="auto"/>
              <w:jc w:val="both"/>
              <w:rPr>
                <w:rFonts w:ascii="Times New Roman" w:hAnsi="Times New Roman" w:cs="Times New Roman"/>
                <w:color w:val="000000"/>
                <w:sz w:val="20"/>
                <w:szCs w:val="24"/>
                <w:lang w:val="en-GB"/>
              </w:rPr>
            </w:pPr>
            <w:r w:rsidRPr="00907769">
              <w:rPr>
                <w:rFonts w:ascii="Times New Roman" w:hAnsi="Times New Roman" w:cs="Times New Roman"/>
                <w:color w:val="000000"/>
                <w:sz w:val="20"/>
                <w:szCs w:val="24"/>
                <w:lang w:val="en-GB"/>
              </w:rPr>
              <w:t>70</w:t>
            </w:r>
          </w:p>
        </w:tc>
        <w:tc>
          <w:tcPr>
            <w:tcW w:w="723" w:type="pct"/>
          </w:tcPr>
          <w:p w:rsidR="005717B5" w:rsidRPr="00907769" w:rsidRDefault="005717B5" w:rsidP="00F80863">
            <w:pPr>
              <w:spacing w:line="360" w:lineRule="auto"/>
              <w:jc w:val="both"/>
              <w:rPr>
                <w:rFonts w:ascii="Times New Roman" w:hAnsi="Times New Roman" w:cs="Times New Roman"/>
                <w:color w:val="000000"/>
                <w:sz w:val="20"/>
                <w:szCs w:val="24"/>
                <w:lang w:val="en-GB"/>
              </w:rPr>
            </w:pPr>
            <w:r w:rsidRPr="00907769">
              <w:rPr>
                <w:rFonts w:ascii="Times New Roman" w:hAnsi="Times New Roman" w:cs="Times New Roman"/>
                <w:color w:val="000000"/>
                <w:sz w:val="20"/>
                <w:szCs w:val="24"/>
                <w:lang w:val="en-GB"/>
              </w:rPr>
              <w:t>79</w:t>
            </w:r>
          </w:p>
        </w:tc>
      </w:tr>
      <w:tr w:rsidR="00692307" w:rsidRPr="00907769" w:rsidTr="00DA6CE7">
        <w:trPr>
          <w:trHeight w:val="347"/>
        </w:trPr>
        <w:tc>
          <w:tcPr>
            <w:tcW w:w="958" w:type="pct"/>
          </w:tcPr>
          <w:p w:rsidR="005717B5" w:rsidRPr="00907769" w:rsidRDefault="005717B5" w:rsidP="00F80863">
            <w:pPr>
              <w:spacing w:line="360" w:lineRule="auto"/>
              <w:jc w:val="both"/>
              <w:rPr>
                <w:rFonts w:ascii="Times New Roman" w:hAnsi="Times New Roman" w:cs="Times New Roman"/>
                <w:color w:val="000000"/>
                <w:sz w:val="20"/>
                <w:szCs w:val="24"/>
                <w:lang w:val="en-GB"/>
              </w:rPr>
            </w:pPr>
            <w:r w:rsidRPr="00907769">
              <w:rPr>
                <w:rFonts w:ascii="Times New Roman" w:hAnsi="Times New Roman" w:cs="Times New Roman"/>
                <w:color w:val="000000"/>
                <w:sz w:val="20"/>
                <w:szCs w:val="24"/>
                <w:lang w:val="en-GB"/>
              </w:rPr>
              <w:t>4</w:t>
            </w:r>
          </w:p>
        </w:tc>
        <w:tc>
          <w:tcPr>
            <w:tcW w:w="1218" w:type="pct"/>
          </w:tcPr>
          <w:p w:rsidR="005717B5" w:rsidRPr="00907769" w:rsidRDefault="005717B5" w:rsidP="00F80863">
            <w:pPr>
              <w:spacing w:line="360" w:lineRule="auto"/>
              <w:jc w:val="both"/>
              <w:rPr>
                <w:rFonts w:ascii="Times New Roman" w:hAnsi="Times New Roman" w:cs="Times New Roman"/>
                <w:color w:val="000000"/>
                <w:sz w:val="20"/>
                <w:szCs w:val="24"/>
                <w:lang w:val="en-GB"/>
              </w:rPr>
            </w:pPr>
            <w:r w:rsidRPr="00907769">
              <w:rPr>
                <w:rFonts w:ascii="Times New Roman" w:hAnsi="Times New Roman" w:cs="Times New Roman"/>
                <w:color w:val="000000"/>
                <w:sz w:val="20"/>
                <w:szCs w:val="24"/>
                <w:lang w:val="en-GB"/>
              </w:rPr>
              <w:t>Belgium</w:t>
            </w:r>
          </w:p>
        </w:tc>
        <w:tc>
          <w:tcPr>
            <w:tcW w:w="697" w:type="pct"/>
          </w:tcPr>
          <w:p w:rsidR="005717B5" w:rsidRPr="00907769" w:rsidRDefault="005717B5" w:rsidP="00F80863">
            <w:pPr>
              <w:spacing w:line="360" w:lineRule="auto"/>
              <w:jc w:val="both"/>
              <w:rPr>
                <w:rFonts w:ascii="Times New Roman" w:hAnsi="Times New Roman" w:cs="Times New Roman"/>
                <w:color w:val="000000"/>
                <w:sz w:val="20"/>
                <w:szCs w:val="24"/>
                <w:lang w:val="en-GB"/>
              </w:rPr>
            </w:pPr>
            <w:r w:rsidRPr="00907769">
              <w:rPr>
                <w:rFonts w:ascii="Times New Roman" w:hAnsi="Times New Roman" w:cs="Times New Roman"/>
                <w:color w:val="000000"/>
                <w:sz w:val="20"/>
                <w:szCs w:val="24"/>
                <w:lang w:val="en-GB"/>
              </w:rPr>
              <w:t>65</w:t>
            </w:r>
          </w:p>
        </w:tc>
        <w:tc>
          <w:tcPr>
            <w:tcW w:w="640" w:type="pct"/>
          </w:tcPr>
          <w:p w:rsidR="005717B5" w:rsidRPr="00907769" w:rsidRDefault="005717B5" w:rsidP="00F80863">
            <w:pPr>
              <w:spacing w:line="360" w:lineRule="auto"/>
              <w:jc w:val="both"/>
              <w:rPr>
                <w:rFonts w:ascii="Times New Roman" w:hAnsi="Times New Roman" w:cs="Times New Roman"/>
                <w:color w:val="000000"/>
                <w:sz w:val="20"/>
                <w:szCs w:val="24"/>
                <w:lang w:val="en-GB"/>
              </w:rPr>
            </w:pPr>
            <w:r w:rsidRPr="00907769">
              <w:rPr>
                <w:rFonts w:ascii="Times New Roman" w:hAnsi="Times New Roman" w:cs="Times New Roman"/>
                <w:color w:val="000000"/>
                <w:sz w:val="20"/>
                <w:szCs w:val="24"/>
                <w:lang w:val="en-GB"/>
              </w:rPr>
              <w:t>75</w:t>
            </w:r>
          </w:p>
        </w:tc>
        <w:tc>
          <w:tcPr>
            <w:tcW w:w="764" w:type="pct"/>
          </w:tcPr>
          <w:p w:rsidR="005717B5" w:rsidRPr="00907769" w:rsidRDefault="005717B5" w:rsidP="00F80863">
            <w:pPr>
              <w:spacing w:line="360" w:lineRule="auto"/>
              <w:jc w:val="both"/>
              <w:rPr>
                <w:rFonts w:ascii="Times New Roman" w:hAnsi="Times New Roman" w:cs="Times New Roman"/>
                <w:color w:val="000000"/>
                <w:sz w:val="20"/>
                <w:szCs w:val="24"/>
                <w:lang w:val="en-GB"/>
              </w:rPr>
            </w:pPr>
            <w:r w:rsidRPr="00907769">
              <w:rPr>
                <w:rFonts w:ascii="Times New Roman" w:hAnsi="Times New Roman" w:cs="Times New Roman"/>
                <w:color w:val="000000"/>
                <w:sz w:val="20"/>
                <w:szCs w:val="24"/>
                <w:lang w:val="en-GB"/>
              </w:rPr>
              <w:t>94</w:t>
            </w:r>
          </w:p>
        </w:tc>
        <w:tc>
          <w:tcPr>
            <w:tcW w:w="723" w:type="pct"/>
          </w:tcPr>
          <w:p w:rsidR="005717B5" w:rsidRPr="00907769" w:rsidRDefault="005717B5" w:rsidP="00F80863">
            <w:pPr>
              <w:spacing w:line="360" w:lineRule="auto"/>
              <w:jc w:val="both"/>
              <w:rPr>
                <w:rFonts w:ascii="Times New Roman" w:hAnsi="Times New Roman" w:cs="Times New Roman"/>
                <w:color w:val="000000"/>
                <w:sz w:val="20"/>
                <w:szCs w:val="24"/>
                <w:lang w:val="en-GB"/>
              </w:rPr>
            </w:pPr>
            <w:r w:rsidRPr="00907769">
              <w:rPr>
                <w:rFonts w:ascii="Times New Roman" w:hAnsi="Times New Roman" w:cs="Times New Roman"/>
                <w:color w:val="000000"/>
                <w:sz w:val="20"/>
                <w:szCs w:val="24"/>
                <w:lang w:val="en-GB"/>
              </w:rPr>
              <w:t>54</w:t>
            </w:r>
          </w:p>
        </w:tc>
      </w:tr>
      <w:tr w:rsidR="00692307" w:rsidRPr="00692307" w:rsidTr="00DA6CE7">
        <w:trPr>
          <w:trHeight w:val="347"/>
        </w:trPr>
        <w:tc>
          <w:tcPr>
            <w:tcW w:w="958" w:type="pct"/>
          </w:tcPr>
          <w:p w:rsidR="005717B5" w:rsidRPr="00907769" w:rsidRDefault="005717B5" w:rsidP="00F80863">
            <w:pPr>
              <w:spacing w:line="360" w:lineRule="auto"/>
              <w:jc w:val="both"/>
              <w:rPr>
                <w:rFonts w:ascii="Times New Roman" w:hAnsi="Times New Roman" w:cs="Times New Roman"/>
                <w:color w:val="000000"/>
                <w:sz w:val="20"/>
                <w:szCs w:val="24"/>
                <w:lang w:val="en-GB"/>
              </w:rPr>
            </w:pPr>
            <w:r w:rsidRPr="00907769">
              <w:rPr>
                <w:rFonts w:ascii="Times New Roman" w:hAnsi="Times New Roman" w:cs="Times New Roman"/>
                <w:color w:val="000000"/>
                <w:sz w:val="20"/>
                <w:szCs w:val="24"/>
                <w:lang w:val="en-GB"/>
              </w:rPr>
              <w:t>5</w:t>
            </w:r>
          </w:p>
        </w:tc>
        <w:tc>
          <w:tcPr>
            <w:tcW w:w="121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Brazil</w:t>
            </w:r>
          </w:p>
        </w:tc>
        <w:tc>
          <w:tcPr>
            <w:tcW w:w="697"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69</w:t>
            </w:r>
          </w:p>
        </w:tc>
        <w:tc>
          <w:tcPr>
            <w:tcW w:w="640"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38</w:t>
            </w:r>
          </w:p>
        </w:tc>
        <w:tc>
          <w:tcPr>
            <w:tcW w:w="764"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76</w:t>
            </w:r>
          </w:p>
        </w:tc>
        <w:tc>
          <w:tcPr>
            <w:tcW w:w="723"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49</w:t>
            </w:r>
          </w:p>
        </w:tc>
      </w:tr>
      <w:tr w:rsidR="00692307" w:rsidRPr="00692307" w:rsidTr="00DA6CE7">
        <w:trPr>
          <w:trHeight w:val="347"/>
        </w:trPr>
        <w:tc>
          <w:tcPr>
            <w:tcW w:w="95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6</w:t>
            </w:r>
          </w:p>
        </w:tc>
        <w:tc>
          <w:tcPr>
            <w:tcW w:w="121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Bulgaria</w:t>
            </w:r>
          </w:p>
        </w:tc>
        <w:tc>
          <w:tcPr>
            <w:tcW w:w="697"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70</w:t>
            </w:r>
          </w:p>
        </w:tc>
        <w:tc>
          <w:tcPr>
            <w:tcW w:w="640"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30</w:t>
            </w:r>
          </w:p>
        </w:tc>
        <w:tc>
          <w:tcPr>
            <w:tcW w:w="764"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85</w:t>
            </w:r>
          </w:p>
        </w:tc>
        <w:tc>
          <w:tcPr>
            <w:tcW w:w="723"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40</w:t>
            </w:r>
          </w:p>
        </w:tc>
      </w:tr>
      <w:tr w:rsidR="00692307" w:rsidRPr="00692307" w:rsidTr="00DA6CE7">
        <w:trPr>
          <w:trHeight w:val="347"/>
        </w:trPr>
        <w:tc>
          <w:tcPr>
            <w:tcW w:w="95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7</w:t>
            </w:r>
          </w:p>
        </w:tc>
        <w:tc>
          <w:tcPr>
            <w:tcW w:w="121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Canada</w:t>
            </w:r>
          </w:p>
        </w:tc>
        <w:tc>
          <w:tcPr>
            <w:tcW w:w="697"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39</w:t>
            </w:r>
          </w:p>
        </w:tc>
        <w:tc>
          <w:tcPr>
            <w:tcW w:w="640"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80</w:t>
            </w:r>
          </w:p>
        </w:tc>
        <w:tc>
          <w:tcPr>
            <w:tcW w:w="764"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48</w:t>
            </w:r>
          </w:p>
        </w:tc>
        <w:tc>
          <w:tcPr>
            <w:tcW w:w="723"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52</w:t>
            </w:r>
          </w:p>
        </w:tc>
      </w:tr>
      <w:tr w:rsidR="00692307" w:rsidRPr="00692307" w:rsidTr="00DA6CE7">
        <w:trPr>
          <w:trHeight w:val="347"/>
        </w:trPr>
        <w:tc>
          <w:tcPr>
            <w:tcW w:w="95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8</w:t>
            </w:r>
          </w:p>
        </w:tc>
        <w:tc>
          <w:tcPr>
            <w:tcW w:w="121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Chile</w:t>
            </w:r>
          </w:p>
        </w:tc>
        <w:tc>
          <w:tcPr>
            <w:tcW w:w="697"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63</w:t>
            </w:r>
          </w:p>
        </w:tc>
        <w:tc>
          <w:tcPr>
            <w:tcW w:w="640"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23</w:t>
            </w:r>
          </w:p>
        </w:tc>
        <w:tc>
          <w:tcPr>
            <w:tcW w:w="764"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86</w:t>
            </w:r>
          </w:p>
        </w:tc>
        <w:tc>
          <w:tcPr>
            <w:tcW w:w="723"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28</w:t>
            </w:r>
          </w:p>
        </w:tc>
      </w:tr>
      <w:tr w:rsidR="00692307" w:rsidRPr="00692307" w:rsidTr="00DA6CE7">
        <w:trPr>
          <w:trHeight w:val="347"/>
        </w:trPr>
        <w:tc>
          <w:tcPr>
            <w:tcW w:w="95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9</w:t>
            </w:r>
          </w:p>
        </w:tc>
        <w:tc>
          <w:tcPr>
            <w:tcW w:w="121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Colombia</w:t>
            </w:r>
          </w:p>
        </w:tc>
        <w:tc>
          <w:tcPr>
            <w:tcW w:w="697"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67</w:t>
            </w:r>
          </w:p>
        </w:tc>
        <w:tc>
          <w:tcPr>
            <w:tcW w:w="640"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13</w:t>
            </w:r>
          </w:p>
        </w:tc>
        <w:tc>
          <w:tcPr>
            <w:tcW w:w="764"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80</w:t>
            </w:r>
          </w:p>
        </w:tc>
        <w:tc>
          <w:tcPr>
            <w:tcW w:w="723"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64</w:t>
            </w:r>
          </w:p>
        </w:tc>
      </w:tr>
      <w:tr w:rsidR="00692307" w:rsidRPr="00692307" w:rsidTr="00DA6CE7">
        <w:trPr>
          <w:trHeight w:val="347"/>
        </w:trPr>
        <w:tc>
          <w:tcPr>
            <w:tcW w:w="95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10</w:t>
            </w:r>
          </w:p>
        </w:tc>
        <w:tc>
          <w:tcPr>
            <w:tcW w:w="121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Costa Rica</w:t>
            </w:r>
          </w:p>
        </w:tc>
        <w:tc>
          <w:tcPr>
            <w:tcW w:w="697"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35</w:t>
            </w:r>
          </w:p>
        </w:tc>
        <w:tc>
          <w:tcPr>
            <w:tcW w:w="640"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15</w:t>
            </w:r>
          </w:p>
        </w:tc>
        <w:tc>
          <w:tcPr>
            <w:tcW w:w="764"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86</w:t>
            </w:r>
          </w:p>
        </w:tc>
        <w:tc>
          <w:tcPr>
            <w:tcW w:w="723"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21</w:t>
            </w:r>
          </w:p>
        </w:tc>
      </w:tr>
      <w:tr w:rsidR="00692307" w:rsidRPr="00692307" w:rsidTr="00DA6CE7">
        <w:trPr>
          <w:trHeight w:val="347"/>
        </w:trPr>
        <w:tc>
          <w:tcPr>
            <w:tcW w:w="95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11</w:t>
            </w:r>
          </w:p>
        </w:tc>
        <w:tc>
          <w:tcPr>
            <w:tcW w:w="121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Czech Republic</w:t>
            </w:r>
          </w:p>
        </w:tc>
        <w:tc>
          <w:tcPr>
            <w:tcW w:w="697"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57</w:t>
            </w:r>
          </w:p>
        </w:tc>
        <w:tc>
          <w:tcPr>
            <w:tcW w:w="640"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58</w:t>
            </w:r>
          </w:p>
        </w:tc>
        <w:tc>
          <w:tcPr>
            <w:tcW w:w="764"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74</w:t>
            </w:r>
          </w:p>
        </w:tc>
        <w:tc>
          <w:tcPr>
            <w:tcW w:w="723"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57</w:t>
            </w:r>
          </w:p>
        </w:tc>
      </w:tr>
      <w:tr w:rsidR="00692307" w:rsidRPr="00692307" w:rsidTr="00DA6CE7">
        <w:trPr>
          <w:trHeight w:val="347"/>
        </w:trPr>
        <w:tc>
          <w:tcPr>
            <w:tcW w:w="95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12</w:t>
            </w:r>
          </w:p>
        </w:tc>
        <w:tc>
          <w:tcPr>
            <w:tcW w:w="121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Denmark</w:t>
            </w:r>
          </w:p>
        </w:tc>
        <w:tc>
          <w:tcPr>
            <w:tcW w:w="697"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18</w:t>
            </w:r>
          </w:p>
        </w:tc>
        <w:tc>
          <w:tcPr>
            <w:tcW w:w="640"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74</w:t>
            </w:r>
          </w:p>
        </w:tc>
        <w:tc>
          <w:tcPr>
            <w:tcW w:w="764"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23</w:t>
            </w:r>
          </w:p>
        </w:tc>
        <w:tc>
          <w:tcPr>
            <w:tcW w:w="723"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16</w:t>
            </w:r>
          </w:p>
        </w:tc>
      </w:tr>
      <w:tr w:rsidR="00692307" w:rsidRPr="00692307" w:rsidTr="00DA6CE7">
        <w:trPr>
          <w:trHeight w:val="347"/>
        </w:trPr>
        <w:tc>
          <w:tcPr>
            <w:tcW w:w="95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13</w:t>
            </w:r>
          </w:p>
        </w:tc>
        <w:tc>
          <w:tcPr>
            <w:tcW w:w="121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Estonia</w:t>
            </w:r>
          </w:p>
        </w:tc>
        <w:tc>
          <w:tcPr>
            <w:tcW w:w="697"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40</w:t>
            </w:r>
          </w:p>
        </w:tc>
        <w:tc>
          <w:tcPr>
            <w:tcW w:w="640"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60</w:t>
            </w:r>
          </w:p>
        </w:tc>
        <w:tc>
          <w:tcPr>
            <w:tcW w:w="764"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60</w:t>
            </w:r>
          </w:p>
        </w:tc>
        <w:tc>
          <w:tcPr>
            <w:tcW w:w="723"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30</w:t>
            </w:r>
          </w:p>
        </w:tc>
      </w:tr>
      <w:tr w:rsidR="00692307" w:rsidRPr="00692307" w:rsidTr="00DA6CE7">
        <w:trPr>
          <w:trHeight w:val="347"/>
        </w:trPr>
        <w:tc>
          <w:tcPr>
            <w:tcW w:w="95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14</w:t>
            </w:r>
          </w:p>
        </w:tc>
        <w:tc>
          <w:tcPr>
            <w:tcW w:w="121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Finland</w:t>
            </w:r>
          </w:p>
        </w:tc>
        <w:tc>
          <w:tcPr>
            <w:tcW w:w="697"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33</w:t>
            </w:r>
          </w:p>
        </w:tc>
        <w:tc>
          <w:tcPr>
            <w:tcW w:w="640"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63</w:t>
            </w:r>
          </w:p>
        </w:tc>
        <w:tc>
          <w:tcPr>
            <w:tcW w:w="764"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59</w:t>
            </w:r>
          </w:p>
        </w:tc>
        <w:tc>
          <w:tcPr>
            <w:tcW w:w="723"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26</w:t>
            </w:r>
          </w:p>
        </w:tc>
      </w:tr>
      <w:tr w:rsidR="00692307" w:rsidRPr="00692307" w:rsidTr="00DA6CE7">
        <w:trPr>
          <w:trHeight w:val="347"/>
        </w:trPr>
        <w:tc>
          <w:tcPr>
            <w:tcW w:w="95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15</w:t>
            </w:r>
          </w:p>
        </w:tc>
        <w:tc>
          <w:tcPr>
            <w:tcW w:w="121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Germany</w:t>
            </w:r>
          </w:p>
        </w:tc>
        <w:tc>
          <w:tcPr>
            <w:tcW w:w="697"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35</w:t>
            </w:r>
          </w:p>
        </w:tc>
        <w:tc>
          <w:tcPr>
            <w:tcW w:w="640"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67</w:t>
            </w:r>
          </w:p>
        </w:tc>
        <w:tc>
          <w:tcPr>
            <w:tcW w:w="764"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65</w:t>
            </w:r>
          </w:p>
        </w:tc>
        <w:tc>
          <w:tcPr>
            <w:tcW w:w="723"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66</w:t>
            </w:r>
          </w:p>
        </w:tc>
      </w:tr>
      <w:tr w:rsidR="00692307" w:rsidRPr="00692307" w:rsidTr="00DA6CE7">
        <w:trPr>
          <w:trHeight w:val="347"/>
        </w:trPr>
        <w:tc>
          <w:tcPr>
            <w:tcW w:w="95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16</w:t>
            </w:r>
          </w:p>
        </w:tc>
        <w:tc>
          <w:tcPr>
            <w:tcW w:w="121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Great Britain</w:t>
            </w:r>
          </w:p>
        </w:tc>
        <w:tc>
          <w:tcPr>
            <w:tcW w:w="697"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35</w:t>
            </w:r>
          </w:p>
        </w:tc>
        <w:tc>
          <w:tcPr>
            <w:tcW w:w="640"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89</w:t>
            </w:r>
          </w:p>
        </w:tc>
        <w:tc>
          <w:tcPr>
            <w:tcW w:w="764"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35</w:t>
            </w:r>
          </w:p>
        </w:tc>
        <w:tc>
          <w:tcPr>
            <w:tcW w:w="723"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66</w:t>
            </w:r>
          </w:p>
        </w:tc>
      </w:tr>
      <w:tr w:rsidR="00692307" w:rsidRPr="00692307" w:rsidTr="00DA6CE7">
        <w:trPr>
          <w:trHeight w:val="347"/>
        </w:trPr>
        <w:tc>
          <w:tcPr>
            <w:tcW w:w="95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17</w:t>
            </w:r>
          </w:p>
        </w:tc>
        <w:tc>
          <w:tcPr>
            <w:tcW w:w="121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Greece</w:t>
            </w:r>
          </w:p>
        </w:tc>
        <w:tc>
          <w:tcPr>
            <w:tcW w:w="697"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60</w:t>
            </w:r>
          </w:p>
        </w:tc>
        <w:tc>
          <w:tcPr>
            <w:tcW w:w="640"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35</w:t>
            </w:r>
          </w:p>
        </w:tc>
        <w:tc>
          <w:tcPr>
            <w:tcW w:w="764"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112</w:t>
            </w:r>
          </w:p>
        </w:tc>
        <w:tc>
          <w:tcPr>
            <w:tcW w:w="723"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57</w:t>
            </w:r>
          </w:p>
        </w:tc>
      </w:tr>
      <w:tr w:rsidR="00692307" w:rsidRPr="00692307" w:rsidTr="00DA6CE7">
        <w:trPr>
          <w:trHeight w:val="347"/>
        </w:trPr>
        <w:tc>
          <w:tcPr>
            <w:tcW w:w="95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18</w:t>
            </w:r>
          </w:p>
        </w:tc>
        <w:tc>
          <w:tcPr>
            <w:tcW w:w="1218" w:type="pct"/>
          </w:tcPr>
          <w:p w:rsidR="005717B5" w:rsidRPr="00692307" w:rsidRDefault="005717B5" w:rsidP="008C6A39">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 xml:space="preserve">Hong </w:t>
            </w:r>
            <w:r w:rsidR="008C6A39">
              <w:rPr>
                <w:rFonts w:ascii="Times New Roman" w:hAnsi="Times New Roman" w:cs="Times New Roman"/>
                <w:color w:val="000000"/>
                <w:sz w:val="20"/>
                <w:szCs w:val="24"/>
              </w:rPr>
              <w:t>K</w:t>
            </w:r>
            <w:r w:rsidRPr="00692307">
              <w:rPr>
                <w:rFonts w:ascii="Times New Roman" w:hAnsi="Times New Roman" w:cs="Times New Roman"/>
                <w:color w:val="000000"/>
                <w:sz w:val="20"/>
                <w:szCs w:val="24"/>
              </w:rPr>
              <w:t>ong</w:t>
            </w:r>
          </w:p>
        </w:tc>
        <w:tc>
          <w:tcPr>
            <w:tcW w:w="697"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68</w:t>
            </w:r>
          </w:p>
        </w:tc>
        <w:tc>
          <w:tcPr>
            <w:tcW w:w="640"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25</w:t>
            </w:r>
          </w:p>
        </w:tc>
        <w:tc>
          <w:tcPr>
            <w:tcW w:w="764"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29</w:t>
            </w:r>
          </w:p>
        </w:tc>
        <w:tc>
          <w:tcPr>
            <w:tcW w:w="723"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57</w:t>
            </w:r>
          </w:p>
        </w:tc>
      </w:tr>
      <w:tr w:rsidR="00692307" w:rsidRPr="00692307" w:rsidTr="00DA6CE7">
        <w:trPr>
          <w:trHeight w:val="347"/>
        </w:trPr>
        <w:tc>
          <w:tcPr>
            <w:tcW w:w="95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19</w:t>
            </w:r>
          </w:p>
        </w:tc>
        <w:tc>
          <w:tcPr>
            <w:tcW w:w="121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Hungary</w:t>
            </w:r>
          </w:p>
        </w:tc>
        <w:tc>
          <w:tcPr>
            <w:tcW w:w="697"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46</w:t>
            </w:r>
          </w:p>
        </w:tc>
        <w:tc>
          <w:tcPr>
            <w:tcW w:w="640"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80</w:t>
            </w:r>
          </w:p>
        </w:tc>
        <w:tc>
          <w:tcPr>
            <w:tcW w:w="764"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82</w:t>
            </w:r>
          </w:p>
        </w:tc>
        <w:tc>
          <w:tcPr>
            <w:tcW w:w="723"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88</w:t>
            </w:r>
          </w:p>
        </w:tc>
      </w:tr>
      <w:tr w:rsidR="00692307" w:rsidRPr="00692307" w:rsidTr="00DA6CE7">
        <w:trPr>
          <w:trHeight w:val="347"/>
        </w:trPr>
        <w:tc>
          <w:tcPr>
            <w:tcW w:w="95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20</w:t>
            </w:r>
          </w:p>
        </w:tc>
        <w:tc>
          <w:tcPr>
            <w:tcW w:w="121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India</w:t>
            </w:r>
          </w:p>
        </w:tc>
        <w:tc>
          <w:tcPr>
            <w:tcW w:w="697"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77</w:t>
            </w:r>
          </w:p>
        </w:tc>
        <w:tc>
          <w:tcPr>
            <w:tcW w:w="640"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48</w:t>
            </w:r>
          </w:p>
        </w:tc>
        <w:tc>
          <w:tcPr>
            <w:tcW w:w="764"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40</w:t>
            </w:r>
          </w:p>
        </w:tc>
        <w:tc>
          <w:tcPr>
            <w:tcW w:w="723"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56</w:t>
            </w:r>
          </w:p>
        </w:tc>
      </w:tr>
      <w:tr w:rsidR="00692307" w:rsidRPr="00692307" w:rsidTr="00DA6CE7">
        <w:trPr>
          <w:trHeight w:val="347"/>
        </w:trPr>
        <w:tc>
          <w:tcPr>
            <w:tcW w:w="95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21</w:t>
            </w:r>
          </w:p>
        </w:tc>
        <w:tc>
          <w:tcPr>
            <w:tcW w:w="121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Indonesia</w:t>
            </w:r>
          </w:p>
        </w:tc>
        <w:tc>
          <w:tcPr>
            <w:tcW w:w="697"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78</w:t>
            </w:r>
          </w:p>
        </w:tc>
        <w:tc>
          <w:tcPr>
            <w:tcW w:w="640"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14</w:t>
            </w:r>
          </w:p>
        </w:tc>
        <w:tc>
          <w:tcPr>
            <w:tcW w:w="764"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48</w:t>
            </w:r>
          </w:p>
        </w:tc>
        <w:tc>
          <w:tcPr>
            <w:tcW w:w="723"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46</w:t>
            </w:r>
          </w:p>
        </w:tc>
      </w:tr>
      <w:tr w:rsidR="00692307" w:rsidRPr="00692307" w:rsidTr="00DA6CE7">
        <w:trPr>
          <w:trHeight w:val="347"/>
        </w:trPr>
        <w:tc>
          <w:tcPr>
            <w:tcW w:w="95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22</w:t>
            </w:r>
          </w:p>
        </w:tc>
        <w:tc>
          <w:tcPr>
            <w:tcW w:w="121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Ireland</w:t>
            </w:r>
          </w:p>
        </w:tc>
        <w:tc>
          <w:tcPr>
            <w:tcW w:w="697"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28</w:t>
            </w:r>
          </w:p>
        </w:tc>
        <w:tc>
          <w:tcPr>
            <w:tcW w:w="640"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70</w:t>
            </w:r>
          </w:p>
        </w:tc>
        <w:tc>
          <w:tcPr>
            <w:tcW w:w="764"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35</w:t>
            </w:r>
          </w:p>
        </w:tc>
        <w:tc>
          <w:tcPr>
            <w:tcW w:w="723"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68</w:t>
            </w:r>
          </w:p>
        </w:tc>
      </w:tr>
      <w:tr w:rsidR="00692307" w:rsidRPr="00692307" w:rsidTr="00DA6CE7">
        <w:trPr>
          <w:trHeight w:val="347"/>
        </w:trPr>
        <w:tc>
          <w:tcPr>
            <w:tcW w:w="95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23</w:t>
            </w:r>
          </w:p>
        </w:tc>
        <w:tc>
          <w:tcPr>
            <w:tcW w:w="121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Israel</w:t>
            </w:r>
          </w:p>
        </w:tc>
        <w:tc>
          <w:tcPr>
            <w:tcW w:w="697"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13</w:t>
            </w:r>
          </w:p>
        </w:tc>
        <w:tc>
          <w:tcPr>
            <w:tcW w:w="640"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54</w:t>
            </w:r>
          </w:p>
        </w:tc>
        <w:tc>
          <w:tcPr>
            <w:tcW w:w="764"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81</w:t>
            </w:r>
          </w:p>
        </w:tc>
        <w:tc>
          <w:tcPr>
            <w:tcW w:w="723"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47</w:t>
            </w:r>
          </w:p>
        </w:tc>
      </w:tr>
      <w:tr w:rsidR="00692307" w:rsidRPr="00692307" w:rsidTr="00DA6CE7">
        <w:trPr>
          <w:trHeight w:val="347"/>
        </w:trPr>
        <w:tc>
          <w:tcPr>
            <w:tcW w:w="95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24</w:t>
            </w:r>
          </w:p>
        </w:tc>
        <w:tc>
          <w:tcPr>
            <w:tcW w:w="121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Italy</w:t>
            </w:r>
          </w:p>
        </w:tc>
        <w:tc>
          <w:tcPr>
            <w:tcW w:w="697"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50</w:t>
            </w:r>
          </w:p>
        </w:tc>
        <w:tc>
          <w:tcPr>
            <w:tcW w:w="640"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76</w:t>
            </w:r>
          </w:p>
        </w:tc>
        <w:tc>
          <w:tcPr>
            <w:tcW w:w="764"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75</w:t>
            </w:r>
          </w:p>
        </w:tc>
        <w:tc>
          <w:tcPr>
            <w:tcW w:w="723"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70</w:t>
            </w:r>
          </w:p>
        </w:tc>
      </w:tr>
      <w:tr w:rsidR="00692307" w:rsidRPr="00692307" w:rsidTr="00DA6CE7">
        <w:trPr>
          <w:trHeight w:val="347"/>
        </w:trPr>
        <w:tc>
          <w:tcPr>
            <w:tcW w:w="95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lastRenderedPageBreak/>
              <w:t>25</w:t>
            </w:r>
          </w:p>
        </w:tc>
        <w:tc>
          <w:tcPr>
            <w:tcW w:w="121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Jamaica</w:t>
            </w:r>
          </w:p>
        </w:tc>
        <w:tc>
          <w:tcPr>
            <w:tcW w:w="697"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45</w:t>
            </w:r>
          </w:p>
        </w:tc>
        <w:tc>
          <w:tcPr>
            <w:tcW w:w="640"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39</w:t>
            </w:r>
          </w:p>
        </w:tc>
        <w:tc>
          <w:tcPr>
            <w:tcW w:w="764"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13</w:t>
            </w:r>
          </w:p>
        </w:tc>
        <w:tc>
          <w:tcPr>
            <w:tcW w:w="723"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68</w:t>
            </w:r>
          </w:p>
        </w:tc>
      </w:tr>
      <w:tr w:rsidR="00692307" w:rsidRPr="00692307" w:rsidTr="00DA6CE7">
        <w:trPr>
          <w:trHeight w:val="347"/>
        </w:trPr>
        <w:tc>
          <w:tcPr>
            <w:tcW w:w="95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26</w:t>
            </w:r>
          </w:p>
        </w:tc>
        <w:tc>
          <w:tcPr>
            <w:tcW w:w="121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Japan</w:t>
            </w:r>
          </w:p>
        </w:tc>
        <w:tc>
          <w:tcPr>
            <w:tcW w:w="697"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54</w:t>
            </w:r>
          </w:p>
        </w:tc>
        <w:tc>
          <w:tcPr>
            <w:tcW w:w="640"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46</w:t>
            </w:r>
          </w:p>
        </w:tc>
        <w:tc>
          <w:tcPr>
            <w:tcW w:w="764"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92</w:t>
            </w:r>
          </w:p>
        </w:tc>
        <w:tc>
          <w:tcPr>
            <w:tcW w:w="723"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95</w:t>
            </w:r>
          </w:p>
        </w:tc>
      </w:tr>
      <w:tr w:rsidR="00692307" w:rsidRPr="00692307" w:rsidTr="00DA6CE7">
        <w:trPr>
          <w:trHeight w:val="347"/>
        </w:trPr>
        <w:tc>
          <w:tcPr>
            <w:tcW w:w="95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27</w:t>
            </w:r>
          </w:p>
        </w:tc>
        <w:tc>
          <w:tcPr>
            <w:tcW w:w="121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Latvia</w:t>
            </w:r>
          </w:p>
        </w:tc>
        <w:tc>
          <w:tcPr>
            <w:tcW w:w="697"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44</w:t>
            </w:r>
          </w:p>
        </w:tc>
        <w:tc>
          <w:tcPr>
            <w:tcW w:w="640"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70</w:t>
            </w:r>
          </w:p>
        </w:tc>
        <w:tc>
          <w:tcPr>
            <w:tcW w:w="764"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63</w:t>
            </w:r>
          </w:p>
        </w:tc>
        <w:tc>
          <w:tcPr>
            <w:tcW w:w="723"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9</w:t>
            </w:r>
          </w:p>
        </w:tc>
      </w:tr>
      <w:tr w:rsidR="00692307" w:rsidRPr="00692307" w:rsidTr="00DA6CE7">
        <w:trPr>
          <w:trHeight w:val="347"/>
        </w:trPr>
        <w:tc>
          <w:tcPr>
            <w:tcW w:w="95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28</w:t>
            </w:r>
          </w:p>
        </w:tc>
        <w:tc>
          <w:tcPr>
            <w:tcW w:w="121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Luxembourg</w:t>
            </w:r>
          </w:p>
        </w:tc>
        <w:tc>
          <w:tcPr>
            <w:tcW w:w="697"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40</w:t>
            </w:r>
          </w:p>
        </w:tc>
        <w:tc>
          <w:tcPr>
            <w:tcW w:w="640"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60</w:t>
            </w:r>
          </w:p>
        </w:tc>
        <w:tc>
          <w:tcPr>
            <w:tcW w:w="764"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70</w:t>
            </w:r>
          </w:p>
        </w:tc>
        <w:tc>
          <w:tcPr>
            <w:tcW w:w="723"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50</w:t>
            </w:r>
          </w:p>
        </w:tc>
      </w:tr>
      <w:tr w:rsidR="00692307" w:rsidRPr="00692307" w:rsidTr="00DA6CE7">
        <w:trPr>
          <w:trHeight w:val="347"/>
        </w:trPr>
        <w:tc>
          <w:tcPr>
            <w:tcW w:w="95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29</w:t>
            </w:r>
          </w:p>
        </w:tc>
        <w:tc>
          <w:tcPr>
            <w:tcW w:w="121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Malta</w:t>
            </w:r>
          </w:p>
        </w:tc>
        <w:tc>
          <w:tcPr>
            <w:tcW w:w="697"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56</w:t>
            </w:r>
          </w:p>
        </w:tc>
        <w:tc>
          <w:tcPr>
            <w:tcW w:w="640"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59</w:t>
            </w:r>
          </w:p>
        </w:tc>
        <w:tc>
          <w:tcPr>
            <w:tcW w:w="764"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96</w:t>
            </w:r>
          </w:p>
        </w:tc>
        <w:tc>
          <w:tcPr>
            <w:tcW w:w="723"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47</w:t>
            </w:r>
          </w:p>
        </w:tc>
      </w:tr>
      <w:tr w:rsidR="00692307" w:rsidRPr="00692307" w:rsidTr="00DA6CE7">
        <w:trPr>
          <w:trHeight w:val="347"/>
        </w:trPr>
        <w:tc>
          <w:tcPr>
            <w:tcW w:w="95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30</w:t>
            </w:r>
          </w:p>
        </w:tc>
        <w:tc>
          <w:tcPr>
            <w:tcW w:w="121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Mexico</w:t>
            </w:r>
          </w:p>
        </w:tc>
        <w:tc>
          <w:tcPr>
            <w:tcW w:w="697"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81</w:t>
            </w:r>
          </w:p>
        </w:tc>
        <w:tc>
          <w:tcPr>
            <w:tcW w:w="640"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30</w:t>
            </w:r>
          </w:p>
        </w:tc>
        <w:tc>
          <w:tcPr>
            <w:tcW w:w="764"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82</w:t>
            </w:r>
          </w:p>
        </w:tc>
        <w:tc>
          <w:tcPr>
            <w:tcW w:w="723"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69</w:t>
            </w:r>
          </w:p>
        </w:tc>
      </w:tr>
      <w:tr w:rsidR="00692307" w:rsidRPr="00692307" w:rsidTr="00DA6CE7">
        <w:trPr>
          <w:trHeight w:val="347"/>
        </w:trPr>
        <w:tc>
          <w:tcPr>
            <w:tcW w:w="95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31</w:t>
            </w:r>
          </w:p>
        </w:tc>
        <w:tc>
          <w:tcPr>
            <w:tcW w:w="121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Netherlands</w:t>
            </w:r>
          </w:p>
        </w:tc>
        <w:tc>
          <w:tcPr>
            <w:tcW w:w="697"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38</w:t>
            </w:r>
          </w:p>
        </w:tc>
        <w:tc>
          <w:tcPr>
            <w:tcW w:w="640"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80</w:t>
            </w:r>
          </w:p>
        </w:tc>
        <w:tc>
          <w:tcPr>
            <w:tcW w:w="764"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53</w:t>
            </w:r>
          </w:p>
        </w:tc>
        <w:tc>
          <w:tcPr>
            <w:tcW w:w="723"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14</w:t>
            </w:r>
          </w:p>
        </w:tc>
      </w:tr>
      <w:tr w:rsidR="00692307" w:rsidRPr="00692307" w:rsidTr="00DA6CE7">
        <w:trPr>
          <w:trHeight w:val="347"/>
        </w:trPr>
        <w:tc>
          <w:tcPr>
            <w:tcW w:w="95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32</w:t>
            </w:r>
          </w:p>
        </w:tc>
        <w:tc>
          <w:tcPr>
            <w:tcW w:w="121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Norway</w:t>
            </w:r>
          </w:p>
        </w:tc>
        <w:tc>
          <w:tcPr>
            <w:tcW w:w="697"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31</w:t>
            </w:r>
          </w:p>
        </w:tc>
        <w:tc>
          <w:tcPr>
            <w:tcW w:w="640"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69</w:t>
            </w:r>
          </w:p>
        </w:tc>
        <w:tc>
          <w:tcPr>
            <w:tcW w:w="764"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50</w:t>
            </w:r>
          </w:p>
        </w:tc>
        <w:tc>
          <w:tcPr>
            <w:tcW w:w="723"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8</w:t>
            </w:r>
          </w:p>
        </w:tc>
      </w:tr>
      <w:tr w:rsidR="00692307" w:rsidRPr="00692307" w:rsidTr="00DA6CE7">
        <w:trPr>
          <w:trHeight w:val="347"/>
        </w:trPr>
        <w:tc>
          <w:tcPr>
            <w:tcW w:w="95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33</w:t>
            </w:r>
          </w:p>
        </w:tc>
        <w:tc>
          <w:tcPr>
            <w:tcW w:w="121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Pakistan</w:t>
            </w:r>
          </w:p>
        </w:tc>
        <w:tc>
          <w:tcPr>
            <w:tcW w:w="697"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55</w:t>
            </w:r>
          </w:p>
        </w:tc>
        <w:tc>
          <w:tcPr>
            <w:tcW w:w="640"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14</w:t>
            </w:r>
          </w:p>
        </w:tc>
        <w:tc>
          <w:tcPr>
            <w:tcW w:w="764"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70</w:t>
            </w:r>
          </w:p>
        </w:tc>
        <w:tc>
          <w:tcPr>
            <w:tcW w:w="723"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50</w:t>
            </w:r>
          </w:p>
        </w:tc>
      </w:tr>
      <w:tr w:rsidR="00692307" w:rsidRPr="00692307" w:rsidTr="00DA6CE7">
        <w:trPr>
          <w:trHeight w:val="347"/>
        </w:trPr>
        <w:tc>
          <w:tcPr>
            <w:tcW w:w="95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34</w:t>
            </w:r>
          </w:p>
        </w:tc>
        <w:tc>
          <w:tcPr>
            <w:tcW w:w="121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Peru</w:t>
            </w:r>
          </w:p>
        </w:tc>
        <w:tc>
          <w:tcPr>
            <w:tcW w:w="697"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64</w:t>
            </w:r>
          </w:p>
        </w:tc>
        <w:tc>
          <w:tcPr>
            <w:tcW w:w="640"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16</w:t>
            </w:r>
          </w:p>
        </w:tc>
        <w:tc>
          <w:tcPr>
            <w:tcW w:w="764"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87</w:t>
            </w:r>
          </w:p>
        </w:tc>
        <w:tc>
          <w:tcPr>
            <w:tcW w:w="723"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42</w:t>
            </w:r>
          </w:p>
        </w:tc>
      </w:tr>
      <w:tr w:rsidR="00692307" w:rsidRPr="00692307" w:rsidTr="00DA6CE7">
        <w:trPr>
          <w:trHeight w:val="347"/>
        </w:trPr>
        <w:tc>
          <w:tcPr>
            <w:tcW w:w="95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35</w:t>
            </w:r>
          </w:p>
        </w:tc>
        <w:tc>
          <w:tcPr>
            <w:tcW w:w="121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Poland</w:t>
            </w:r>
          </w:p>
        </w:tc>
        <w:tc>
          <w:tcPr>
            <w:tcW w:w="697"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68</w:t>
            </w:r>
          </w:p>
        </w:tc>
        <w:tc>
          <w:tcPr>
            <w:tcW w:w="640"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60</w:t>
            </w:r>
          </w:p>
        </w:tc>
        <w:tc>
          <w:tcPr>
            <w:tcW w:w="764"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93</w:t>
            </w:r>
          </w:p>
        </w:tc>
        <w:tc>
          <w:tcPr>
            <w:tcW w:w="723"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64</w:t>
            </w:r>
          </w:p>
        </w:tc>
      </w:tr>
      <w:tr w:rsidR="00692307" w:rsidRPr="00692307" w:rsidTr="00DA6CE7">
        <w:trPr>
          <w:trHeight w:val="347"/>
        </w:trPr>
        <w:tc>
          <w:tcPr>
            <w:tcW w:w="95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36</w:t>
            </w:r>
          </w:p>
        </w:tc>
        <w:tc>
          <w:tcPr>
            <w:tcW w:w="121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Portugal</w:t>
            </w:r>
          </w:p>
        </w:tc>
        <w:tc>
          <w:tcPr>
            <w:tcW w:w="697"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63</w:t>
            </w:r>
          </w:p>
        </w:tc>
        <w:tc>
          <w:tcPr>
            <w:tcW w:w="640"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27</w:t>
            </w:r>
          </w:p>
        </w:tc>
        <w:tc>
          <w:tcPr>
            <w:tcW w:w="764"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104</w:t>
            </w:r>
          </w:p>
        </w:tc>
        <w:tc>
          <w:tcPr>
            <w:tcW w:w="723"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31</w:t>
            </w:r>
          </w:p>
        </w:tc>
      </w:tr>
      <w:tr w:rsidR="00692307" w:rsidRPr="00692307" w:rsidTr="00DA6CE7">
        <w:trPr>
          <w:trHeight w:val="347"/>
        </w:trPr>
        <w:tc>
          <w:tcPr>
            <w:tcW w:w="95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37</w:t>
            </w:r>
          </w:p>
        </w:tc>
        <w:tc>
          <w:tcPr>
            <w:tcW w:w="121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Romania</w:t>
            </w:r>
          </w:p>
        </w:tc>
        <w:tc>
          <w:tcPr>
            <w:tcW w:w="697"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90</w:t>
            </w:r>
          </w:p>
        </w:tc>
        <w:tc>
          <w:tcPr>
            <w:tcW w:w="640"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30</w:t>
            </w:r>
          </w:p>
        </w:tc>
        <w:tc>
          <w:tcPr>
            <w:tcW w:w="764"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90</w:t>
            </w:r>
          </w:p>
        </w:tc>
        <w:tc>
          <w:tcPr>
            <w:tcW w:w="723"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42</w:t>
            </w:r>
          </w:p>
        </w:tc>
      </w:tr>
      <w:tr w:rsidR="00692307" w:rsidRPr="00692307" w:rsidTr="00DA6CE7">
        <w:trPr>
          <w:trHeight w:val="347"/>
        </w:trPr>
        <w:tc>
          <w:tcPr>
            <w:tcW w:w="95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38</w:t>
            </w:r>
          </w:p>
        </w:tc>
        <w:tc>
          <w:tcPr>
            <w:tcW w:w="121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Serbia</w:t>
            </w:r>
          </w:p>
        </w:tc>
        <w:tc>
          <w:tcPr>
            <w:tcW w:w="697"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86</w:t>
            </w:r>
          </w:p>
        </w:tc>
        <w:tc>
          <w:tcPr>
            <w:tcW w:w="640"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25</w:t>
            </w:r>
          </w:p>
        </w:tc>
        <w:tc>
          <w:tcPr>
            <w:tcW w:w="764"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92</w:t>
            </w:r>
          </w:p>
        </w:tc>
        <w:tc>
          <w:tcPr>
            <w:tcW w:w="723"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43</w:t>
            </w:r>
          </w:p>
        </w:tc>
      </w:tr>
      <w:tr w:rsidR="00692307" w:rsidRPr="00692307" w:rsidTr="00DA6CE7">
        <w:trPr>
          <w:trHeight w:val="347"/>
        </w:trPr>
        <w:tc>
          <w:tcPr>
            <w:tcW w:w="95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39</w:t>
            </w:r>
          </w:p>
        </w:tc>
        <w:tc>
          <w:tcPr>
            <w:tcW w:w="121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S Korea</w:t>
            </w:r>
          </w:p>
        </w:tc>
        <w:tc>
          <w:tcPr>
            <w:tcW w:w="697"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60</w:t>
            </w:r>
          </w:p>
        </w:tc>
        <w:tc>
          <w:tcPr>
            <w:tcW w:w="640"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18</w:t>
            </w:r>
          </w:p>
        </w:tc>
        <w:tc>
          <w:tcPr>
            <w:tcW w:w="764"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85</w:t>
            </w:r>
          </w:p>
        </w:tc>
        <w:tc>
          <w:tcPr>
            <w:tcW w:w="723"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39</w:t>
            </w:r>
          </w:p>
        </w:tc>
      </w:tr>
      <w:tr w:rsidR="00692307" w:rsidRPr="00692307" w:rsidTr="00DA6CE7">
        <w:trPr>
          <w:trHeight w:val="347"/>
        </w:trPr>
        <w:tc>
          <w:tcPr>
            <w:tcW w:w="95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40</w:t>
            </w:r>
          </w:p>
        </w:tc>
        <w:tc>
          <w:tcPr>
            <w:tcW w:w="121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Slovakia</w:t>
            </w:r>
          </w:p>
        </w:tc>
        <w:tc>
          <w:tcPr>
            <w:tcW w:w="697"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104</w:t>
            </w:r>
          </w:p>
        </w:tc>
        <w:tc>
          <w:tcPr>
            <w:tcW w:w="640"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52</w:t>
            </w:r>
          </w:p>
        </w:tc>
        <w:tc>
          <w:tcPr>
            <w:tcW w:w="764"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51</w:t>
            </w:r>
          </w:p>
        </w:tc>
        <w:tc>
          <w:tcPr>
            <w:tcW w:w="723"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110</w:t>
            </w:r>
          </w:p>
        </w:tc>
      </w:tr>
      <w:tr w:rsidR="00692307" w:rsidRPr="00692307" w:rsidTr="00DA6CE7">
        <w:trPr>
          <w:trHeight w:val="347"/>
        </w:trPr>
        <w:tc>
          <w:tcPr>
            <w:tcW w:w="95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41</w:t>
            </w:r>
          </w:p>
        </w:tc>
        <w:tc>
          <w:tcPr>
            <w:tcW w:w="121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Slovenia</w:t>
            </w:r>
          </w:p>
        </w:tc>
        <w:tc>
          <w:tcPr>
            <w:tcW w:w="697"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71</w:t>
            </w:r>
          </w:p>
        </w:tc>
        <w:tc>
          <w:tcPr>
            <w:tcW w:w="640"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27</w:t>
            </w:r>
          </w:p>
        </w:tc>
        <w:tc>
          <w:tcPr>
            <w:tcW w:w="764"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88</w:t>
            </w:r>
          </w:p>
        </w:tc>
        <w:tc>
          <w:tcPr>
            <w:tcW w:w="723"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19</w:t>
            </w:r>
          </w:p>
        </w:tc>
      </w:tr>
      <w:tr w:rsidR="00692307" w:rsidRPr="00692307" w:rsidTr="00DA6CE7">
        <w:trPr>
          <w:trHeight w:val="347"/>
        </w:trPr>
        <w:tc>
          <w:tcPr>
            <w:tcW w:w="95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42</w:t>
            </w:r>
          </w:p>
        </w:tc>
        <w:tc>
          <w:tcPr>
            <w:tcW w:w="121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Spain</w:t>
            </w:r>
          </w:p>
        </w:tc>
        <w:tc>
          <w:tcPr>
            <w:tcW w:w="697"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57</w:t>
            </w:r>
          </w:p>
        </w:tc>
        <w:tc>
          <w:tcPr>
            <w:tcW w:w="640"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51</w:t>
            </w:r>
          </w:p>
        </w:tc>
        <w:tc>
          <w:tcPr>
            <w:tcW w:w="764"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86</w:t>
            </w:r>
          </w:p>
        </w:tc>
        <w:tc>
          <w:tcPr>
            <w:tcW w:w="723"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42</w:t>
            </w:r>
          </w:p>
        </w:tc>
      </w:tr>
      <w:tr w:rsidR="00692307" w:rsidRPr="00692307" w:rsidTr="00DA6CE7">
        <w:trPr>
          <w:trHeight w:val="347"/>
        </w:trPr>
        <w:tc>
          <w:tcPr>
            <w:tcW w:w="95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43</w:t>
            </w:r>
          </w:p>
        </w:tc>
        <w:tc>
          <w:tcPr>
            <w:tcW w:w="121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Suriname</w:t>
            </w:r>
          </w:p>
        </w:tc>
        <w:tc>
          <w:tcPr>
            <w:tcW w:w="697"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85</w:t>
            </w:r>
          </w:p>
        </w:tc>
        <w:tc>
          <w:tcPr>
            <w:tcW w:w="640"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47</w:t>
            </w:r>
          </w:p>
        </w:tc>
        <w:tc>
          <w:tcPr>
            <w:tcW w:w="764"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92</w:t>
            </w:r>
          </w:p>
        </w:tc>
        <w:tc>
          <w:tcPr>
            <w:tcW w:w="723"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37</w:t>
            </w:r>
          </w:p>
        </w:tc>
      </w:tr>
      <w:tr w:rsidR="00692307" w:rsidRPr="00692307" w:rsidTr="00DA6CE7">
        <w:trPr>
          <w:trHeight w:val="347"/>
        </w:trPr>
        <w:tc>
          <w:tcPr>
            <w:tcW w:w="95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44</w:t>
            </w:r>
          </w:p>
        </w:tc>
        <w:tc>
          <w:tcPr>
            <w:tcW w:w="121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Sweden</w:t>
            </w:r>
          </w:p>
        </w:tc>
        <w:tc>
          <w:tcPr>
            <w:tcW w:w="697"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31</w:t>
            </w:r>
          </w:p>
        </w:tc>
        <w:tc>
          <w:tcPr>
            <w:tcW w:w="640"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71</w:t>
            </w:r>
          </w:p>
        </w:tc>
        <w:tc>
          <w:tcPr>
            <w:tcW w:w="764"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29</w:t>
            </w:r>
          </w:p>
        </w:tc>
        <w:tc>
          <w:tcPr>
            <w:tcW w:w="723"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5</w:t>
            </w:r>
          </w:p>
        </w:tc>
      </w:tr>
      <w:tr w:rsidR="00692307" w:rsidRPr="00692307" w:rsidTr="00DA6CE7">
        <w:trPr>
          <w:trHeight w:val="347"/>
        </w:trPr>
        <w:tc>
          <w:tcPr>
            <w:tcW w:w="95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45</w:t>
            </w:r>
          </w:p>
        </w:tc>
        <w:tc>
          <w:tcPr>
            <w:tcW w:w="121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Switzerland</w:t>
            </w:r>
          </w:p>
        </w:tc>
        <w:tc>
          <w:tcPr>
            <w:tcW w:w="697"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34</w:t>
            </w:r>
          </w:p>
        </w:tc>
        <w:tc>
          <w:tcPr>
            <w:tcW w:w="640"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68</w:t>
            </w:r>
          </w:p>
        </w:tc>
        <w:tc>
          <w:tcPr>
            <w:tcW w:w="764"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58</w:t>
            </w:r>
          </w:p>
        </w:tc>
        <w:tc>
          <w:tcPr>
            <w:tcW w:w="723"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70</w:t>
            </w:r>
          </w:p>
        </w:tc>
      </w:tr>
      <w:tr w:rsidR="00692307" w:rsidRPr="00692307" w:rsidTr="00DA6CE7">
        <w:trPr>
          <w:trHeight w:val="347"/>
        </w:trPr>
        <w:tc>
          <w:tcPr>
            <w:tcW w:w="95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46</w:t>
            </w:r>
          </w:p>
        </w:tc>
        <w:tc>
          <w:tcPr>
            <w:tcW w:w="121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Thailand</w:t>
            </w:r>
          </w:p>
        </w:tc>
        <w:tc>
          <w:tcPr>
            <w:tcW w:w="697"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64</w:t>
            </w:r>
          </w:p>
        </w:tc>
        <w:tc>
          <w:tcPr>
            <w:tcW w:w="640"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20</w:t>
            </w:r>
          </w:p>
        </w:tc>
        <w:tc>
          <w:tcPr>
            <w:tcW w:w="764"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64</w:t>
            </w:r>
          </w:p>
        </w:tc>
        <w:tc>
          <w:tcPr>
            <w:tcW w:w="723"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34</w:t>
            </w:r>
          </w:p>
        </w:tc>
      </w:tr>
      <w:tr w:rsidR="00692307" w:rsidRPr="00692307" w:rsidTr="00DA6CE7">
        <w:trPr>
          <w:trHeight w:val="347"/>
        </w:trPr>
        <w:tc>
          <w:tcPr>
            <w:tcW w:w="95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47</w:t>
            </w:r>
          </w:p>
        </w:tc>
        <w:tc>
          <w:tcPr>
            <w:tcW w:w="121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Trinidad</w:t>
            </w:r>
          </w:p>
        </w:tc>
        <w:tc>
          <w:tcPr>
            <w:tcW w:w="697"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47</w:t>
            </w:r>
          </w:p>
        </w:tc>
        <w:tc>
          <w:tcPr>
            <w:tcW w:w="640"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16</w:t>
            </w:r>
          </w:p>
        </w:tc>
        <w:tc>
          <w:tcPr>
            <w:tcW w:w="764"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55</w:t>
            </w:r>
          </w:p>
        </w:tc>
        <w:tc>
          <w:tcPr>
            <w:tcW w:w="723"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58</w:t>
            </w:r>
          </w:p>
        </w:tc>
      </w:tr>
      <w:tr w:rsidR="00692307" w:rsidRPr="00692307" w:rsidTr="00DA6CE7">
        <w:trPr>
          <w:trHeight w:val="347"/>
        </w:trPr>
        <w:tc>
          <w:tcPr>
            <w:tcW w:w="95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48</w:t>
            </w:r>
          </w:p>
        </w:tc>
        <w:tc>
          <w:tcPr>
            <w:tcW w:w="121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Turkey</w:t>
            </w:r>
          </w:p>
        </w:tc>
        <w:tc>
          <w:tcPr>
            <w:tcW w:w="697"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66</w:t>
            </w:r>
          </w:p>
        </w:tc>
        <w:tc>
          <w:tcPr>
            <w:tcW w:w="640"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37</w:t>
            </w:r>
          </w:p>
        </w:tc>
        <w:tc>
          <w:tcPr>
            <w:tcW w:w="764"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85</w:t>
            </w:r>
          </w:p>
        </w:tc>
        <w:tc>
          <w:tcPr>
            <w:tcW w:w="723"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45</w:t>
            </w:r>
          </w:p>
        </w:tc>
      </w:tr>
      <w:tr w:rsidR="00692307" w:rsidRPr="00692307" w:rsidTr="00DA6CE7">
        <w:trPr>
          <w:trHeight w:val="347"/>
        </w:trPr>
        <w:tc>
          <w:tcPr>
            <w:tcW w:w="95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49</w:t>
            </w:r>
          </w:p>
        </w:tc>
        <w:tc>
          <w:tcPr>
            <w:tcW w:w="1218"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United States</w:t>
            </w:r>
          </w:p>
        </w:tc>
        <w:tc>
          <w:tcPr>
            <w:tcW w:w="697"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40</w:t>
            </w:r>
          </w:p>
        </w:tc>
        <w:tc>
          <w:tcPr>
            <w:tcW w:w="640"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91</w:t>
            </w:r>
          </w:p>
        </w:tc>
        <w:tc>
          <w:tcPr>
            <w:tcW w:w="764"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46</w:t>
            </w:r>
          </w:p>
        </w:tc>
        <w:tc>
          <w:tcPr>
            <w:tcW w:w="723" w:type="pct"/>
          </w:tcPr>
          <w:p w:rsidR="005717B5" w:rsidRPr="00692307" w:rsidRDefault="005717B5" w:rsidP="00F80863">
            <w:pPr>
              <w:spacing w:line="360" w:lineRule="auto"/>
              <w:jc w:val="both"/>
              <w:rPr>
                <w:rFonts w:ascii="Times New Roman" w:hAnsi="Times New Roman" w:cs="Times New Roman"/>
                <w:color w:val="000000"/>
                <w:sz w:val="20"/>
                <w:szCs w:val="24"/>
              </w:rPr>
            </w:pPr>
            <w:r w:rsidRPr="00692307">
              <w:rPr>
                <w:rFonts w:ascii="Times New Roman" w:hAnsi="Times New Roman" w:cs="Times New Roman"/>
                <w:color w:val="000000"/>
                <w:sz w:val="20"/>
                <w:szCs w:val="24"/>
              </w:rPr>
              <w:t>62</w:t>
            </w:r>
          </w:p>
        </w:tc>
      </w:tr>
    </w:tbl>
    <w:p w:rsidR="00AF6B15" w:rsidRPr="002C595D" w:rsidRDefault="00DA6CE7" w:rsidP="00AF6B15">
      <w:pPr>
        <w:spacing w:line="360" w:lineRule="auto"/>
        <w:jc w:val="both"/>
        <w:rPr>
          <w:sz w:val="20"/>
          <w:szCs w:val="20"/>
          <w:lang w:val="en-US"/>
        </w:rPr>
      </w:pPr>
      <w:r w:rsidRPr="002C595D">
        <w:rPr>
          <w:rFonts w:ascii="Times New Roman" w:hAnsi="Times New Roman" w:cs="Times New Roman"/>
          <w:sz w:val="20"/>
          <w:szCs w:val="20"/>
          <w:lang w:val="en-US"/>
        </w:rPr>
        <w:t>This table presents the scores of the four cultural dimensions of Hofstede for the 49 counties in use : Power Distance (PDI),</w:t>
      </w:r>
      <w:r w:rsidR="008E6E95" w:rsidRPr="002C595D">
        <w:rPr>
          <w:rFonts w:ascii="Times New Roman" w:hAnsi="Times New Roman" w:cs="Times New Roman"/>
          <w:sz w:val="20"/>
          <w:szCs w:val="20"/>
          <w:lang w:val="en-US"/>
        </w:rPr>
        <w:t xml:space="preserve">  </w:t>
      </w:r>
      <w:r w:rsidR="00D65381" w:rsidRPr="002C595D">
        <w:rPr>
          <w:rFonts w:ascii="Times New Roman" w:hAnsi="Times New Roman" w:cs="Times New Roman"/>
          <w:sz w:val="20"/>
          <w:szCs w:val="20"/>
          <w:lang w:val="en-US"/>
        </w:rPr>
        <w:t>Individualism</w:t>
      </w:r>
      <w:r w:rsidRPr="002C595D">
        <w:rPr>
          <w:rFonts w:ascii="Times New Roman" w:hAnsi="Times New Roman" w:cs="Times New Roman"/>
          <w:sz w:val="20"/>
          <w:szCs w:val="20"/>
          <w:lang w:val="en-US"/>
        </w:rPr>
        <w:tab/>
        <w:t xml:space="preserve">(IDV), Uncertainty avoidance (UAI) and </w:t>
      </w:r>
      <w:r w:rsidR="00D65381" w:rsidRPr="002C595D">
        <w:rPr>
          <w:rFonts w:ascii="Times New Roman" w:hAnsi="Times New Roman" w:cs="Times New Roman"/>
          <w:sz w:val="20"/>
          <w:szCs w:val="20"/>
          <w:lang w:val="en-US"/>
        </w:rPr>
        <w:t xml:space="preserve">Masculinity </w:t>
      </w:r>
      <w:r w:rsidRPr="002C595D">
        <w:rPr>
          <w:rFonts w:ascii="Times New Roman" w:hAnsi="Times New Roman" w:cs="Times New Roman"/>
          <w:sz w:val="20"/>
          <w:szCs w:val="20"/>
          <w:lang w:val="en-US"/>
        </w:rPr>
        <w:t xml:space="preserve">(MASC).  </w:t>
      </w:r>
      <w:r w:rsidR="00AF6B15" w:rsidRPr="002C595D">
        <w:rPr>
          <w:rFonts w:ascii="Times New Roman" w:hAnsi="Times New Roman" w:cs="Times New Roman"/>
          <w:sz w:val="20"/>
          <w:szCs w:val="20"/>
          <w:lang w:val="en-US"/>
        </w:rPr>
        <w:t xml:space="preserve">Source: Official website of Geert Hofstede, </w:t>
      </w:r>
      <w:hyperlink r:id="rId13" w:history="1">
        <w:r w:rsidR="00AF6B15" w:rsidRPr="002C595D">
          <w:rPr>
            <w:rStyle w:val="Hyperlink"/>
            <w:sz w:val="20"/>
            <w:szCs w:val="20"/>
            <w:lang w:val="en-GB"/>
          </w:rPr>
          <w:t>http://geert-hofstede.com</w:t>
        </w:r>
      </w:hyperlink>
    </w:p>
    <w:p w:rsidR="00AF6B15" w:rsidRPr="00546A14" w:rsidRDefault="00AF6B15" w:rsidP="00AF6B15">
      <w:pPr>
        <w:autoSpaceDE w:val="0"/>
        <w:autoSpaceDN w:val="0"/>
        <w:adjustRightInd w:val="0"/>
        <w:spacing w:after="0" w:line="360" w:lineRule="auto"/>
        <w:jc w:val="both"/>
        <w:rPr>
          <w:rFonts w:ascii="Times New Roman" w:hAnsi="Times New Roman" w:cs="Times New Roman"/>
          <w:b/>
          <w:sz w:val="24"/>
          <w:szCs w:val="24"/>
          <w:lang w:val="en-US"/>
        </w:rPr>
      </w:pPr>
    </w:p>
    <w:p w:rsidR="00AF6B15" w:rsidRPr="002C595D" w:rsidRDefault="00DA6CE7" w:rsidP="00AF6B15">
      <w:pPr>
        <w:autoSpaceDE w:val="0"/>
        <w:autoSpaceDN w:val="0"/>
        <w:adjustRightInd w:val="0"/>
        <w:spacing w:after="0" w:line="360" w:lineRule="auto"/>
        <w:jc w:val="both"/>
        <w:rPr>
          <w:rFonts w:ascii="Times New Roman" w:hAnsi="Times New Roman" w:cs="Times New Roman"/>
          <w:szCs w:val="24"/>
          <w:lang w:val="en-US"/>
        </w:rPr>
      </w:pPr>
      <w:r w:rsidRPr="002C595D">
        <w:rPr>
          <w:rFonts w:ascii="Times New Roman" w:hAnsi="Times New Roman" w:cs="Times New Roman"/>
          <w:szCs w:val="24"/>
          <w:lang w:val="en-US"/>
        </w:rPr>
        <w:t>B</w:t>
      </w:r>
      <w:r w:rsidR="00AF6B15" w:rsidRPr="002C595D">
        <w:rPr>
          <w:rFonts w:ascii="Times New Roman" w:hAnsi="Times New Roman" w:cs="Times New Roman"/>
          <w:szCs w:val="24"/>
          <w:lang w:val="en-US"/>
        </w:rPr>
        <w:t>elow</w:t>
      </w:r>
      <w:r w:rsidRPr="002C595D">
        <w:rPr>
          <w:rFonts w:ascii="Times New Roman" w:hAnsi="Times New Roman" w:cs="Times New Roman"/>
          <w:szCs w:val="24"/>
          <w:lang w:val="en-US"/>
        </w:rPr>
        <w:t>, we can see</w:t>
      </w:r>
      <w:r w:rsidR="00AF6B15" w:rsidRPr="002C595D">
        <w:rPr>
          <w:rFonts w:ascii="Times New Roman" w:hAnsi="Times New Roman" w:cs="Times New Roman"/>
          <w:szCs w:val="24"/>
          <w:lang w:val="en-US"/>
        </w:rPr>
        <w:t xml:space="preserve"> the basic statistic features (descriptive statistics) for each varia</w:t>
      </w:r>
      <w:r w:rsidR="00FA60A8" w:rsidRPr="002C595D">
        <w:rPr>
          <w:rFonts w:ascii="Times New Roman" w:hAnsi="Times New Roman" w:cs="Times New Roman"/>
          <w:szCs w:val="24"/>
          <w:lang w:val="en-US"/>
        </w:rPr>
        <w:t xml:space="preserve">ble of the multiple regression that we are going to perform. </w:t>
      </w:r>
    </w:p>
    <w:p w:rsidR="00AF6B15" w:rsidRPr="00546A14" w:rsidRDefault="00AF6B15" w:rsidP="00AF6B15">
      <w:pPr>
        <w:autoSpaceDE w:val="0"/>
        <w:autoSpaceDN w:val="0"/>
        <w:adjustRightInd w:val="0"/>
        <w:spacing w:after="0" w:line="360" w:lineRule="auto"/>
        <w:jc w:val="both"/>
        <w:rPr>
          <w:rFonts w:ascii="Times New Roman" w:hAnsi="Times New Roman" w:cs="Times New Roman"/>
          <w:sz w:val="24"/>
          <w:szCs w:val="24"/>
          <w:lang w:val="en-US"/>
        </w:rPr>
      </w:pPr>
    </w:p>
    <w:p w:rsidR="00907769" w:rsidRDefault="00907769">
      <w:pPr>
        <w:rPr>
          <w:b/>
          <w:lang w:val="en-US"/>
        </w:rPr>
      </w:pPr>
      <w:r>
        <w:rPr>
          <w:b/>
          <w:lang w:val="en-US"/>
        </w:rPr>
        <w:br w:type="page"/>
      </w:r>
    </w:p>
    <w:p w:rsidR="00AF6B15" w:rsidRPr="00010AE6" w:rsidRDefault="00317759" w:rsidP="00010AE6">
      <w:pPr>
        <w:spacing w:line="360" w:lineRule="auto"/>
        <w:jc w:val="both"/>
        <w:rPr>
          <w:b/>
          <w:lang w:val="en-US"/>
        </w:rPr>
      </w:pPr>
      <w:r w:rsidRPr="00010AE6">
        <w:rPr>
          <w:b/>
          <w:lang w:val="en-US"/>
        </w:rPr>
        <w:lastRenderedPageBreak/>
        <w:t>Table 3.2</w:t>
      </w:r>
      <w:r w:rsidR="00AF6B15" w:rsidRPr="00010AE6">
        <w:rPr>
          <w:b/>
          <w:lang w:val="en-US"/>
        </w:rPr>
        <w:t xml:space="preserve"> </w:t>
      </w:r>
      <w:r w:rsidR="00550826" w:rsidRPr="00010AE6">
        <w:rPr>
          <w:b/>
          <w:lang w:val="en-US"/>
        </w:rPr>
        <w:t>Summary statistics for cultural dimension scores</w:t>
      </w:r>
    </w:p>
    <w:tbl>
      <w:tblPr>
        <w:tblStyle w:val="LightShading1"/>
        <w:tblW w:w="9478" w:type="dxa"/>
        <w:tblLook w:val="06A0"/>
      </w:tblPr>
      <w:tblGrid>
        <w:gridCol w:w="2580"/>
        <w:gridCol w:w="1452"/>
        <w:gridCol w:w="427"/>
        <w:gridCol w:w="1453"/>
        <w:gridCol w:w="1453"/>
        <w:gridCol w:w="1774"/>
        <w:gridCol w:w="339"/>
      </w:tblGrid>
      <w:tr w:rsidR="00FA60A8" w:rsidRPr="00546A14" w:rsidTr="00FA60A8">
        <w:trPr>
          <w:cnfStyle w:val="100000000000"/>
          <w:trHeight w:val="221"/>
        </w:trPr>
        <w:tc>
          <w:tcPr>
            <w:cnfStyle w:val="001000000000"/>
            <w:tcW w:w="0" w:type="auto"/>
          </w:tcPr>
          <w:p w:rsidR="00FA60A8" w:rsidRPr="00546A14" w:rsidRDefault="00FA60A8" w:rsidP="00550826">
            <w:pPr>
              <w:autoSpaceDE w:val="0"/>
              <w:autoSpaceDN w:val="0"/>
              <w:adjustRightInd w:val="0"/>
              <w:spacing w:line="360" w:lineRule="auto"/>
              <w:ind w:left="1440"/>
              <w:jc w:val="both"/>
              <w:rPr>
                <w:rFonts w:ascii="Times New Roman" w:hAnsi="Times New Roman" w:cs="Times New Roman"/>
                <w:color w:val="000000"/>
                <w:sz w:val="24"/>
                <w:szCs w:val="24"/>
                <w:lang w:val="en-US"/>
              </w:rPr>
            </w:pPr>
          </w:p>
        </w:tc>
        <w:tc>
          <w:tcPr>
            <w:tcW w:w="0" w:type="auto"/>
          </w:tcPr>
          <w:p w:rsidR="00FA60A8" w:rsidRPr="00546A14" w:rsidRDefault="00FA60A8" w:rsidP="008E6E95">
            <w:pPr>
              <w:autoSpaceDE w:val="0"/>
              <w:autoSpaceDN w:val="0"/>
              <w:adjustRightInd w:val="0"/>
              <w:spacing w:line="360" w:lineRule="auto"/>
              <w:jc w:val="center"/>
              <w:cnfStyle w:val="100000000000"/>
              <w:rPr>
                <w:rFonts w:ascii="Times New Roman" w:hAnsi="Times New Roman" w:cs="Times New Roman"/>
                <w:color w:val="000000"/>
                <w:sz w:val="24"/>
                <w:szCs w:val="24"/>
              </w:rPr>
            </w:pPr>
            <w:r w:rsidRPr="00546A14">
              <w:rPr>
                <w:rFonts w:ascii="Times New Roman" w:hAnsi="Times New Roman" w:cs="Times New Roman"/>
                <w:color w:val="000000"/>
                <w:sz w:val="24"/>
                <w:szCs w:val="24"/>
              </w:rPr>
              <w:t>PDI</w:t>
            </w:r>
          </w:p>
        </w:tc>
        <w:tc>
          <w:tcPr>
            <w:tcW w:w="0" w:type="auto"/>
          </w:tcPr>
          <w:p w:rsidR="00FA60A8" w:rsidRPr="00546A14" w:rsidRDefault="00FA60A8" w:rsidP="008E6E95">
            <w:pPr>
              <w:autoSpaceDE w:val="0"/>
              <w:autoSpaceDN w:val="0"/>
              <w:adjustRightInd w:val="0"/>
              <w:spacing w:line="360" w:lineRule="auto"/>
              <w:jc w:val="center"/>
              <w:cnfStyle w:val="100000000000"/>
              <w:rPr>
                <w:rFonts w:ascii="Times New Roman" w:hAnsi="Times New Roman" w:cs="Times New Roman"/>
                <w:color w:val="000000"/>
                <w:sz w:val="24"/>
                <w:szCs w:val="24"/>
              </w:rPr>
            </w:pPr>
          </w:p>
        </w:tc>
        <w:tc>
          <w:tcPr>
            <w:tcW w:w="0" w:type="auto"/>
          </w:tcPr>
          <w:p w:rsidR="00FA60A8" w:rsidRPr="00546A14" w:rsidRDefault="00FA60A8" w:rsidP="008E6E95">
            <w:pPr>
              <w:autoSpaceDE w:val="0"/>
              <w:autoSpaceDN w:val="0"/>
              <w:adjustRightInd w:val="0"/>
              <w:spacing w:line="360" w:lineRule="auto"/>
              <w:jc w:val="center"/>
              <w:cnfStyle w:val="100000000000"/>
              <w:rPr>
                <w:rFonts w:ascii="Times New Roman" w:hAnsi="Times New Roman" w:cs="Times New Roman"/>
                <w:color w:val="000000"/>
                <w:sz w:val="24"/>
                <w:szCs w:val="24"/>
              </w:rPr>
            </w:pPr>
            <w:r w:rsidRPr="00546A14">
              <w:rPr>
                <w:rFonts w:ascii="Times New Roman" w:hAnsi="Times New Roman" w:cs="Times New Roman"/>
                <w:color w:val="000000"/>
                <w:sz w:val="24"/>
                <w:szCs w:val="24"/>
              </w:rPr>
              <w:t>IDV</w:t>
            </w:r>
          </w:p>
        </w:tc>
        <w:tc>
          <w:tcPr>
            <w:tcW w:w="0" w:type="auto"/>
          </w:tcPr>
          <w:p w:rsidR="00FA60A8" w:rsidRPr="00546A14" w:rsidRDefault="00FA60A8" w:rsidP="008E6E95">
            <w:pPr>
              <w:autoSpaceDE w:val="0"/>
              <w:autoSpaceDN w:val="0"/>
              <w:adjustRightInd w:val="0"/>
              <w:spacing w:line="360" w:lineRule="auto"/>
              <w:jc w:val="center"/>
              <w:cnfStyle w:val="100000000000"/>
              <w:rPr>
                <w:rFonts w:ascii="Times New Roman" w:hAnsi="Times New Roman" w:cs="Times New Roman"/>
                <w:color w:val="000000"/>
                <w:sz w:val="24"/>
                <w:szCs w:val="24"/>
              </w:rPr>
            </w:pPr>
            <w:r w:rsidRPr="00546A14">
              <w:rPr>
                <w:rFonts w:ascii="Times New Roman" w:hAnsi="Times New Roman" w:cs="Times New Roman"/>
                <w:color w:val="000000"/>
                <w:sz w:val="24"/>
                <w:szCs w:val="24"/>
              </w:rPr>
              <w:t>UAI</w:t>
            </w:r>
          </w:p>
        </w:tc>
        <w:tc>
          <w:tcPr>
            <w:tcW w:w="0" w:type="auto"/>
          </w:tcPr>
          <w:p w:rsidR="00FA60A8" w:rsidRPr="00546A14" w:rsidRDefault="00FA60A8" w:rsidP="008E6E95">
            <w:pPr>
              <w:autoSpaceDE w:val="0"/>
              <w:autoSpaceDN w:val="0"/>
              <w:adjustRightInd w:val="0"/>
              <w:spacing w:line="360" w:lineRule="auto"/>
              <w:jc w:val="center"/>
              <w:cnfStyle w:val="100000000000"/>
              <w:rPr>
                <w:rFonts w:ascii="Times New Roman" w:hAnsi="Times New Roman" w:cs="Times New Roman"/>
                <w:color w:val="000000"/>
                <w:sz w:val="24"/>
                <w:szCs w:val="24"/>
              </w:rPr>
            </w:pPr>
            <w:r w:rsidRPr="00546A14">
              <w:rPr>
                <w:rFonts w:ascii="Times New Roman" w:hAnsi="Times New Roman" w:cs="Times New Roman"/>
                <w:color w:val="000000"/>
                <w:sz w:val="24"/>
                <w:szCs w:val="24"/>
              </w:rPr>
              <w:t>MASC</w:t>
            </w:r>
          </w:p>
        </w:tc>
        <w:tc>
          <w:tcPr>
            <w:tcW w:w="339" w:type="dxa"/>
          </w:tcPr>
          <w:p w:rsidR="00FA60A8" w:rsidRPr="00546A14" w:rsidRDefault="00FA60A8" w:rsidP="002F56A8">
            <w:pPr>
              <w:autoSpaceDE w:val="0"/>
              <w:autoSpaceDN w:val="0"/>
              <w:adjustRightInd w:val="0"/>
              <w:spacing w:line="360" w:lineRule="auto"/>
              <w:jc w:val="both"/>
              <w:cnfStyle w:val="100000000000"/>
              <w:rPr>
                <w:rFonts w:ascii="Times New Roman" w:hAnsi="Times New Roman" w:cs="Times New Roman"/>
                <w:color w:val="000000"/>
                <w:sz w:val="24"/>
                <w:szCs w:val="24"/>
              </w:rPr>
            </w:pPr>
          </w:p>
        </w:tc>
      </w:tr>
      <w:tr w:rsidR="00FA60A8" w:rsidRPr="00550826" w:rsidTr="00FA60A8">
        <w:trPr>
          <w:trHeight w:val="221"/>
        </w:trPr>
        <w:tc>
          <w:tcPr>
            <w:cnfStyle w:val="001000000000"/>
            <w:tcW w:w="0" w:type="auto"/>
          </w:tcPr>
          <w:p w:rsidR="00FA60A8" w:rsidRPr="00550826" w:rsidRDefault="00FA60A8" w:rsidP="00AF6B15">
            <w:pPr>
              <w:autoSpaceDE w:val="0"/>
              <w:autoSpaceDN w:val="0"/>
              <w:adjustRightInd w:val="0"/>
              <w:spacing w:line="360" w:lineRule="auto"/>
              <w:jc w:val="both"/>
              <w:rPr>
                <w:rFonts w:ascii="Times New Roman" w:hAnsi="Times New Roman" w:cs="Times New Roman"/>
                <w:color w:val="000000"/>
                <w:sz w:val="24"/>
                <w:szCs w:val="24"/>
              </w:rPr>
            </w:pPr>
            <w:r w:rsidRPr="00550826">
              <w:rPr>
                <w:rFonts w:ascii="Times New Roman" w:hAnsi="Times New Roman" w:cs="Times New Roman"/>
                <w:color w:val="000000"/>
                <w:sz w:val="24"/>
                <w:szCs w:val="24"/>
              </w:rPr>
              <w:t> Mean</w:t>
            </w:r>
          </w:p>
        </w:tc>
        <w:tc>
          <w:tcPr>
            <w:tcW w:w="0" w:type="auto"/>
          </w:tcPr>
          <w:p w:rsidR="00FA60A8" w:rsidRPr="00550826" w:rsidRDefault="00FA60A8" w:rsidP="008E6E95">
            <w:pPr>
              <w:autoSpaceDE w:val="0"/>
              <w:autoSpaceDN w:val="0"/>
              <w:adjustRightInd w:val="0"/>
              <w:spacing w:line="360" w:lineRule="auto"/>
              <w:jc w:val="center"/>
              <w:cnfStyle w:val="000000000000"/>
              <w:rPr>
                <w:rFonts w:ascii="Times New Roman" w:hAnsi="Times New Roman" w:cs="Times New Roman"/>
                <w:color w:val="000000"/>
                <w:sz w:val="24"/>
                <w:szCs w:val="24"/>
              </w:rPr>
            </w:pPr>
            <w:r w:rsidRPr="00550826">
              <w:rPr>
                <w:rFonts w:ascii="Times New Roman" w:hAnsi="Times New Roman" w:cs="Times New Roman"/>
                <w:color w:val="000000"/>
                <w:sz w:val="24"/>
                <w:szCs w:val="24"/>
              </w:rPr>
              <w:t>0.53</w:t>
            </w:r>
            <w:r w:rsidR="00AF68EE">
              <w:rPr>
                <w:rFonts w:ascii="Times New Roman" w:hAnsi="Times New Roman" w:cs="Times New Roman"/>
                <w:color w:val="000000"/>
                <w:sz w:val="24"/>
                <w:szCs w:val="24"/>
              </w:rPr>
              <w:t>4</w:t>
            </w:r>
          </w:p>
        </w:tc>
        <w:tc>
          <w:tcPr>
            <w:tcW w:w="0" w:type="auto"/>
          </w:tcPr>
          <w:p w:rsidR="00FA60A8" w:rsidRPr="00550826" w:rsidRDefault="00FA60A8" w:rsidP="008E6E95">
            <w:pPr>
              <w:autoSpaceDE w:val="0"/>
              <w:autoSpaceDN w:val="0"/>
              <w:adjustRightInd w:val="0"/>
              <w:spacing w:line="360" w:lineRule="auto"/>
              <w:jc w:val="center"/>
              <w:cnfStyle w:val="000000000000"/>
              <w:rPr>
                <w:rFonts w:ascii="Times New Roman" w:hAnsi="Times New Roman" w:cs="Times New Roman"/>
                <w:color w:val="000000"/>
                <w:sz w:val="24"/>
                <w:szCs w:val="24"/>
              </w:rPr>
            </w:pPr>
          </w:p>
        </w:tc>
        <w:tc>
          <w:tcPr>
            <w:tcW w:w="0" w:type="auto"/>
          </w:tcPr>
          <w:p w:rsidR="00FA60A8" w:rsidRPr="00550826" w:rsidRDefault="00FA60A8" w:rsidP="008E6E95">
            <w:pPr>
              <w:autoSpaceDE w:val="0"/>
              <w:autoSpaceDN w:val="0"/>
              <w:adjustRightInd w:val="0"/>
              <w:spacing w:line="360" w:lineRule="auto"/>
              <w:jc w:val="center"/>
              <w:cnfStyle w:val="000000000000"/>
              <w:rPr>
                <w:rFonts w:ascii="Times New Roman" w:hAnsi="Times New Roman" w:cs="Times New Roman"/>
                <w:color w:val="000000"/>
                <w:sz w:val="24"/>
                <w:szCs w:val="24"/>
              </w:rPr>
            </w:pPr>
            <w:r w:rsidRPr="00550826">
              <w:rPr>
                <w:rFonts w:ascii="Times New Roman" w:hAnsi="Times New Roman" w:cs="Times New Roman"/>
                <w:color w:val="000000"/>
                <w:sz w:val="24"/>
                <w:szCs w:val="24"/>
              </w:rPr>
              <w:t>0.49</w:t>
            </w:r>
            <w:r w:rsidR="00AF68EE">
              <w:rPr>
                <w:rFonts w:ascii="Times New Roman" w:hAnsi="Times New Roman" w:cs="Times New Roman"/>
                <w:color w:val="000000"/>
                <w:sz w:val="24"/>
                <w:szCs w:val="24"/>
              </w:rPr>
              <w:t>4</w:t>
            </w:r>
          </w:p>
        </w:tc>
        <w:tc>
          <w:tcPr>
            <w:tcW w:w="0" w:type="auto"/>
          </w:tcPr>
          <w:p w:rsidR="00FA60A8" w:rsidRPr="00550826" w:rsidRDefault="00FA60A8" w:rsidP="008E6E95">
            <w:pPr>
              <w:autoSpaceDE w:val="0"/>
              <w:autoSpaceDN w:val="0"/>
              <w:adjustRightInd w:val="0"/>
              <w:spacing w:line="360" w:lineRule="auto"/>
              <w:jc w:val="center"/>
              <w:cnfStyle w:val="000000000000"/>
              <w:rPr>
                <w:rFonts w:ascii="Times New Roman" w:hAnsi="Times New Roman" w:cs="Times New Roman"/>
                <w:color w:val="000000"/>
                <w:sz w:val="24"/>
                <w:szCs w:val="24"/>
              </w:rPr>
            </w:pPr>
            <w:r w:rsidRPr="00550826">
              <w:rPr>
                <w:rFonts w:ascii="Times New Roman" w:hAnsi="Times New Roman" w:cs="Times New Roman"/>
                <w:color w:val="000000"/>
                <w:sz w:val="24"/>
                <w:szCs w:val="24"/>
              </w:rPr>
              <w:t>0.681</w:t>
            </w:r>
          </w:p>
        </w:tc>
        <w:tc>
          <w:tcPr>
            <w:tcW w:w="0" w:type="auto"/>
          </w:tcPr>
          <w:p w:rsidR="00FA60A8" w:rsidRPr="00550826" w:rsidRDefault="00FA60A8" w:rsidP="008E6E95">
            <w:pPr>
              <w:autoSpaceDE w:val="0"/>
              <w:autoSpaceDN w:val="0"/>
              <w:adjustRightInd w:val="0"/>
              <w:spacing w:line="360" w:lineRule="auto"/>
              <w:jc w:val="center"/>
              <w:cnfStyle w:val="000000000000"/>
              <w:rPr>
                <w:rFonts w:ascii="Times New Roman" w:hAnsi="Times New Roman" w:cs="Times New Roman"/>
                <w:color w:val="000000"/>
                <w:sz w:val="24"/>
                <w:szCs w:val="24"/>
              </w:rPr>
            </w:pPr>
            <w:r w:rsidRPr="00550826">
              <w:rPr>
                <w:rFonts w:ascii="Times New Roman" w:hAnsi="Times New Roman" w:cs="Times New Roman"/>
                <w:color w:val="000000"/>
                <w:sz w:val="24"/>
                <w:szCs w:val="24"/>
              </w:rPr>
              <w:t>0.49</w:t>
            </w:r>
            <w:r w:rsidR="00AF68EE">
              <w:rPr>
                <w:rFonts w:ascii="Times New Roman" w:hAnsi="Times New Roman" w:cs="Times New Roman"/>
                <w:color w:val="000000"/>
                <w:sz w:val="24"/>
                <w:szCs w:val="24"/>
              </w:rPr>
              <w:t>3</w:t>
            </w:r>
          </w:p>
        </w:tc>
        <w:tc>
          <w:tcPr>
            <w:tcW w:w="339" w:type="dxa"/>
          </w:tcPr>
          <w:p w:rsidR="00FA60A8" w:rsidRPr="00550826" w:rsidRDefault="00FA60A8" w:rsidP="002F56A8">
            <w:pPr>
              <w:autoSpaceDE w:val="0"/>
              <w:autoSpaceDN w:val="0"/>
              <w:adjustRightInd w:val="0"/>
              <w:spacing w:line="360" w:lineRule="auto"/>
              <w:jc w:val="both"/>
              <w:cnfStyle w:val="000000000000"/>
              <w:rPr>
                <w:rFonts w:ascii="Times New Roman" w:hAnsi="Times New Roman" w:cs="Times New Roman"/>
                <w:color w:val="000000"/>
                <w:sz w:val="24"/>
                <w:szCs w:val="24"/>
              </w:rPr>
            </w:pPr>
          </w:p>
        </w:tc>
      </w:tr>
      <w:tr w:rsidR="00FA60A8" w:rsidRPr="00546A14" w:rsidTr="00FA60A8">
        <w:trPr>
          <w:trHeight w:val="221"/>
        </w:trPr>
        <w:tc>
          <w:tcPr>
            <w:cnfStyle w:val="001000000000"/>
            <w:tcW w:w="0" w:type="auto"/>
          </w:tcPr>
          <w:p w:rsidR="00FA60A8" w:rsidRPr="00546A14" w:rsidRDefault="00FA60A8" w:rsidP="00AF6B15">
            <w:pPr>
              <w:autoSpaceDE w:val="0"/>
              <w:autoSpaceDN w:val="0"/>
              <w:adjustRightInd w:val="0"/>
              <w:spacing w:line="360" w:lineRule="auto"/>
              <w:jc w:val="both"/>
              <w:rPr>
                <w:rFonts w:ascii="Times New Roman" w:hAnsi="Times New Roman" w:cs="Times New Roman"/>
                <w:color w:val="000000"/>
                <w:sz w:val="24"/>
                <w:szCs w:val="24"/>
              </w:rPr>
            </w:pPr>
            <w:r w:rsidRPr="00546A14">
              <w:rPr>
                <w:rFonts w:ascii="Times New Roman" w:hAnsi="Times New Roman" w:cs="Times New Roman"/>
                <w:color w:val="000000"/>
                <w:sz w:val="24"/>
                <w:szCs w:val="24"/>
              </w:rPr>
              <w:t> Median</w:t>
            </w:r>
          </w:p>
        </w:tc>
        <w:tc>
          <w:tcPr>
            <w:tcW w:w="0" w:type="auto"/>
          </w:tcPr>
          <w:p w:rsidR="00FA60A8" w:rsidRPr="00546A14" w:rsidRDefault="00FA60A8" w:rsidP="008E6E95">
            <w:pPr>
              <w:autoSpaceDE w:val="0"/>
              <w:autoSpaceDN w:val="0"/>
              <w:adjustRightInd w:val="0"/>
              <w:spacing w:line="360" w:lineRule="auto"/>
              <w:jc w:val="center"/>
              <w:cnfStyle w:val="000000000000"/>
              <w:rPr>
                <w:rFonts w:ascii="Times New Roman" w:hAnsi="Times New Roman" w:cs="Times New Roman"/>
                <w:color w:val="000000"/>
                <w:sz w:val="24"/>
                <w:szCs w:val="24"/>
              </w:rPr>
            </w:pPr>
            <w:r w:rsidRPr="00546A14">
              <w:rPr>
                <w:rFonts w:ascii="Times New Roman" w:hAnsi="Times New Roman" w:cs="Times New Roman"/>
                <w:color w:val="000000"/>
                <w:sz w:val="24"/>
                <w:szCs w:val="24"/>
              </w:rPr>
              <w:t>0.550</w:t>
            </w:r>
          </w:p>
        </w:tc>
        <w:tc>
          <w:tcPr>
            <w:tcW w:w="0" w:type="auto"/>
          </w:tcPr>
          <w:p w:rsidR="00FA60A8" w:rsidRPr="00546A14" w:rsidRDefault="00FA60A8" w:rsidP="008E6E95">
            <w:pPr>
              <w:autoSpaceDE w:val="0"/>
              <w:autoSpaceDN w:val="0"/>
              <w:adjustRightInd w:val="0"/>
              <w:spacing w:line="360" w:lineRule="auto"/>
              <w:jc w:val="center"/>
              <w:cnfStyle w:val="000000000000"/>
              <w:rPr>
                <w:rFonts w:ascii="Times New Roman" w:hAnsi="Times New Roman" w:cs="Times New Roman"/>
                <w:color w:val="000000"/>
                <w:sz w:val="24"/>
                <w:szCs w:val="24"/>
              </w:rPr>
            </w:pPr>
          </w:p>
        </w:tc>
        <w:tc>
          <w:tcPr>
            <w:tcW w:w="0" w:type="auto"/>
          </w:tcPr>
          <w:p w:rsidR="00FA60A8" w:rsidRPr="00546A14" w:rsidRDefault="00FA60A8" w:rsidP="008E6E95">
            <w:pPr>
              <w:autoSpaceDE w:val="0"/>
              <w:autoSpaceDN w:val="0"/>
              <w:adjustRightInd w:val="0"/>
              <w:spacing w:line="360" w:lineRule="auto"/>
              <w:jc w:val="center"/>
              <w:cnfStyle w:val="000000000000"/>
              <w:rPr>
                <w:rFonts w:ascii="Times New Roman" w:hAnsi="Times New Roman" w:cs="Times New Roman"/>
                <w:color w:val="000000"/>
                <w:sz w:val="24"/>
                <w:szCs w:val="24"/>
              </w:rPr>
            </w:pPr>
            <w:r w:rsidRPr="00546A14">
              <w:rPr>
                <w:rFonts w:ascii="Times New Roman" w:hAnsi="Times New Roman" w:cs="Times New Roman"/>
                <w:color w:val="000000"/>
                <w:sz w:val="24"/>
                <w:szCs w:val="24"/>
              </w:rPr>
              <w:t>0.520</w:t>
            </w:r>
          </w:p>
        </w:tc>
        <w:tc>
          <w:tcPr>
            <w:tcW w:w="0" w:type="auto"/>
          </w:tcPr>
          <w:p w:rsidR="00FA60A8" w:rsidRPr="00546A14" w:rsidRDefault="00FA60A8" w:rsidP="008E6E95">
            <w:pPr>
              <w:autoSpaceDE w:val="0"/>
              <w:autoSpaceDN w:val="0"/>
              <w:adjustRightInd w:val="0"/>
              <w:spacing w:line="360" w:lineRule="auto"/>
              <w:jc w:val="center"/>
              <w:cnfStyle w:val="000000000000"/>
              <w:rPr>
                <w:rFonts w:ascii="Times New Roman" w:hAnsi="Times New Roman" w:cs="Times New Roman"/>
                <w:color w:val="000000"/>
                <w:sz w:val="24"/>
                <w:szCs w:val="24"/>
              </w:rPr>
            </w:pPr>
            <w:r w:rsidRPr="00546A14">
              <w:rPr>
                <w:rFonts w:ascii="Times New Roman" w:hAnsi="Times New Roman" w:cs="Times New Roman"/>
                <w:color w:val="000000"/>
                <w:sz w:val="24"/>
                <w:szCs w:val="24"/>
              </w:rPr>
              <w:t>0.700</w:t>
            </w:r>
          </w:p>
        </w:tc>
        <w:tc>
          <w:tcPr>
            <w:tcW w:w="0" w:type="auto"/>
          </w:tcPr>
          <w:p w:rsidR="00FA60A8" w:rsidRPr="00546A14" w:rsidRDefault="00FA60A8" w:rsidP="008E6E95">
            <w:pPr>
              <w:autoSpaceDE w:val="0"/>
              <w:autoSpaceDN w:val="0"/>
              <w:adjustRightInd w:val="0"/>
              <w:spacing w:line="360" w:lineRule="auto"/>
              <w:jc w:val="center"/>
              <w:cnfStyle w:val="000000000000"/>
              <w:rPr>
                <w:rFonts w:ascii="Times New Roman" w:hAnsi="Times New Roman" w:cs="Times New Roman"/>
                <w:color w:val="000000"/>
                <w:sz w:val="24"/>
                <w:szCs w:val="24"/>
              </w:rPr>
            </w:pPr>
            <w:r w:rsidRPr="00546A14">
              <w:rPr>
                <w:rFonts w:ascii="Times New Roman" w:hAnsi="Times New Roman" w:cs="Times New Roman"/>
                <w:color w:val="000000"/>
                <w:sz w:val="24"/>
                <w:szCs w:val="24"/>
              </w:rPr>
              <w:t>0.500</w:t>
            </w:r>
          </w:p>
        </w:tc>
        <w:tc>
          <w:tcPr>
            <w:tcW w:w="339" w:type="dxa"/>
          </w:tcPr>
          <w:p w:rsidR="00FA60A8" w:rsidRPr="00546A14" w:rsidRDefault="00FA60A8" w:rsidP="002F56A8">
            <w:pPr>
              <w:autoSpaceDE w:val="0"/>
              <w:autoSpaceDN w:val="0"/>
              <w:adjustRightInd w:val="0"/>
              <w:spacing w:line="360" w:lineRule="auto"/>
              <w:jc w:val="both"/>
              <w:cnfStyle w:val="000000000000"/>
              <w:rPr>
                <w:rFonts w:ascii="Times New Roman" w:hAnsi="Times New Roman" w:cs="Times New Roman"/>
                <w:color w:val="000000"/>
                <w:sz w:val="24"/>
                <w:szCs w:val="24"/>
              </w:rPr>
            </w:pPr>
          </w:p>
        </w:tc>
      </w:tr>
      <w:tr w:rsidR="00FA60A8" w:rsidRPr="00546A14" w:rsidTr="00FA60A8">
        <w:trPr>
          <w:trHeight w:val="221"/>
        </w:trPr>
        <w:tc>
          <w:tcPr>
            <w:cnfStyle w:val="001000000000"/>
            <w:tcW w:w="0" w:type="auto"/>
          </w:tcPr>
          <w:p w:rsidR="00FA60A8" w:rsidRPr="00546A14" w:rsidRDefault="00FA60A8" w:rsidP="00AF6B15">
            <w:pPr>
              <w:autoSpaceDE w:val="0"/>
              <w:autoSpaceDN w:val="0"/>
              <w:adjustRightInd w:val="0"/>
              <w:spacing w:line="360" w:lineRule="auto"/>
              <w:jc w:val="both"/>
              <w:rPr>
                <w:rFonts w:ascii="Times New Roman" w:hAnsi="Times New Roman" w:cs="Times New Roman"/>
                <w:color w:val="000000"/>
                <w:sz w:val="24"/>
                <w:szCs w:val="24"/>
              </w:rPr>
            </w:pPr>
            <w:r w:rsidRPr="00546A14">
              <w:rPr>
                <w:rFonts w:ascii="Times New Roman" w:hAnsi="Times New Roman" w:cs="Times New Roman"/>
                <w:color w:val="000000"/>
                <w:sz w:val="24"/>
                <w:szCs w:val="24"/>
              </w:rPr>
              <w:t> Maximum</w:t>
            </w:r>
          </w:p>
        </w:tc>
        <w:tc>
          <w:tcPr>
            <w:tcW w:w="0" w:type="auto"/>
          </w:tcPr>
          <w:p w:rsidR="00FA60A8" w:rsidRPr="00546A14" w:rsidRDefault="00FA60A8" w:rsidP="008E6E95">
            <w:pPr>
              <w:autoSpaceDE w:val="0"/>
              <w:autoSpaceDN w:val="0"/>
              <w:adjustRightInd w:val="0"/>
              <w:spacing w:line="360" w:lineRule="auto"/>
              <w:jc w:val="center"/>
              <w:cnfStyle w:val="000000000000"/>
              <w:rPr>
                <w:rFonts w:ascii="Times New Roman" w:hAnsi="Times New Roman" w:cs="Times New Roman"/>
                <w:color w:val="000000"/>
                <w:sz w:val="24"/>
                <w:szCs w:val="24"/>
              </w:rPr>
            </w:pPr>
            <w:r w:rsidRPr="00546A14">
              <w:rPr>
                <w:rFonts w:ascii="Times New Roman" w:hAnsi="Times New Roman" w:cs="Times New Roman"/>
                <w:color w:val="000000"/>
                <w:sz w:val="24"/>
                <w:szCs w:val="24"/>
              </w:rPr>
              <w:t>1.040</w:t>
            </w:r>
          </w:p>
        </w:tc>
        <w:tc>
          <w:tcPr>
            <w:tcW w:w="0" w:type="auto"/>
          </w:tcPr>
          <w:p w:rsidR="00FA60A8" w:rsidRPr="00546A14" w:rsidRDefault="00FA60A8" w:rsidP="008E6E95">
            <w:pPr>
              <w:autoSpaceDE w:val="0"/>
              <w:autoSpaceDN w:val="0"/>
              <w:adjustRightInd w:val="0"/>
              <w:spacing w:line="360" w:lineRule="auto"/>
              <w:jc w:val="center"/>
              <w:cnfStyle w:val="000000000000"/>
              <w:rPr>
                <w:rFonts w:ascii="Times New Roman" w:hAnsi="Times New Roman" w:cs="Times New Roman"/>
                <w:color w:val="000000"/>
                <w:sz w:val="24"/>
                <w:szCs w:val="24"/>
              </w:rPr>
            </w:pPr>
          </w:p>
        </w:tc>
        <w:tc>
          <w:tcPr>
            <w:tcW w:w="0" w:type="auto"/>
          </w:tcPr>
          <w:p w:rsidR="00FA60A8" w:rsidRPr="00546A14" w:rsidRDefault="00FA60A8" w:rsidP="008E6E95">
            <w:pPr>
              <w:autoSpaceDE w:val="0"/>
              <w:autoSpaceDN w:val="0"/>
              <w:adjustRightInd w:val="0"/>
              <w:spacing w:line="360" w:lineRule="auto"/>
              <w:jc w:val="center"/>
              <w:cnfStyle w:val="000000000000"/>
              <w:rPr>
                <w:rFonts w:ascii="Times New Roman" w:hAnsi="Times New Roman" w:cs="Times New Roman"/>
                <w:color w:val="000000"/>
                <w:sz w:val="24"/>
                <w:szCs w:val="24"/>
              </w:rPr>
            </w:pPr>
            <w:r w:rsidRPr="00546A14">
              <w:rPr>
                <w:rFonts w:ascii="Times New Roman" w:hAnsi="Times New Roman" w:cs="Times New Roman"/>
                <w:color w:val="000000"/>
                <w:sz w:val="24"/>
                <w:szCs w:val="24"/>
              </w:rPr>
              <w:t>0.910</w:t>
            </w:r>
          </w:p>
        </w:tc>
        <w:tc>
          <w:tcPr>
            <w:tcW w:w="0" w:type="auto"/>
          </w:tcPr>
          <w:p w:rsidR="00FA60A8" w:rsidRPr="00546A14" w:rsidRDefault="00FA60A8" w:rsidP="008E6E95">
            <w:pPr>
              <w:autoSpaceDE w:val="0"/>
              <w:autoSpaceDN w:val="0"/>
              <w:adjustRightInd w:val="0"/>
              <w:spacing w:line="360" w:lineRule="auto"/>
              <w:jc w:val="center"/>
              <w:cnfStyle w:val="000000000000"/>
              <w:rPr>
                <w:rFonts w:ascii="Times New Roman" w:hAnsi="Times New Roman" w:cs="Times New Roman"/>
                <w:color w:val="000000"/>
                <w:sz w:val="24"/>
                <w:szCs w:val="24"/>
              </w:rPr>
            </w:pPr>
            <w:r w:rsidRPr="00546A14">
              <w:rPr>
                <w:rFonts w:ascii="Times New Roman" w:hAnsi="Times New Roman" w:cs="Times New Roman"/>
                <w:color w:val="000000"/>
                <w:sz w:val="24"/>
                <w:szCs w:val="24"/>
              </w:rPr>
              <w:t>1.120</w:t>
            </w:r>
          </w:p>
        </w:tc>
        <w:tc>
          <w:tcPr>
            <w:tcW w:w="0" w:type="auto"/>
          </w:tcPr>
          <w:p w:rsidR="00FA60A8" w:rsidRPr="00546A14" w:rsidRDefault="00FA60A8" w:rsidP="008E6E95">
            <w:pPr>
              <w:autoSpaceDE w:val="0"/>
              <w:autoSpaceDN w:val="0"/>
              <w:adjustRightInd w:val="0"/>
              <w:spacing w:line="360" w:lineRule="auto"/>
              <w:jc w:val="center"/>
              <w:cnfStyle w:val="000000000000"/>
              <w:rPr>
                <w:rFonts w:ascii="Times New Roman" w:hAnsi="Times New Roman" w:cs="Times New Roman"/>
                <w:color w:val="000000"/>
                <w:sz w:val="24"/>
                <w:szCs w:val="24"/>
              </w:rPr>
            </w:pPr>
            <w:r w:rsidRPr="00546A14">
              <w:rPr>
                <w:rFonts w:ascii="Times New Roman" w:hAnsi="Times New Roman" w:cs="Times New Roman"/>
                <w:color w:val="000000"/>
                <w:sz w:val="24"/>
                <w:szCs w:val="24"/>
              </w:rPr>
              <w:t>1.100</w:t>
            </w:r>
          </w:p>
        </w:tc>
        <w:tc>
          <w:tcPr>
            <w:tcW w:w="339" w:type="dxa"/>
          </w:tcPr>
          <w:p w:rsidR="00FA60A8" w:rsidRPr="00546A14" w:rsidRDefault="00FA60A8" w:rsidP="002F56A8">
            <w:pPr>
              <w:autoSpaceDE w:val="0"/>
              <w:autoSpaceDN w:val="0"/>
              <w:adjustRightInd w:val="0"/>
              <w:spacing w:line="360" w:lineRule="auto"/>
              <w:jc w:val="both"/>
              <w:cnfStyle w:val="000000000000"/>
              <w:rPr>
                <w:rFonts w:ascii="Times New Roman" w:hAnsi="Times New Roman" w:cs="Times New Roman"/>
                <w:color w:val="000000"/>
                <w:sz w:val="24"/>
                <w:szCs w:val="24"/>
              </w:rPr>
            </w:pPr>
          </w:p>
        </w:tc>
      </w:tr>
      <w:tr w:rsidR="00FA60A8" w:rsidRPr="00546A14" w:rsidTr="00FA60A8">
        <w:trPr>
          <w:trHeight w:val="221"/>
        </w:trPr>
        <w:tc>
          <w:tcPr>
            <w:cnfStyle w:val="001000000000"/>
            <w:tcW w:w="0" w:type="auto"/>
          </w:tcPr>
          <w:p w:rsidR="00FA60A8" w:rsidRPr="00546A14" w:rsidRDefault="00FA60A8" w:rsidP="00AF6B15">
            <w:pPr>
              <w:autoSpaceDE w:val="0"/>
              <w:autoSpaceDN w:val="0"/>
              <w:adjustRightInd w:val="0"/>
              <w:spacing w:line="360" w:lineRule="auto"/>
              <w:jc w:val="both"/>
              <w:rPr>
                <w:rFonts w:ascii="Times New Roman" w:hAnsi="Times New Roman" w:cs="Times New Roman"/>
                <w:color w:val="000000"/>
                <w:sz w:val="24"/>
                <w:szCs w:val="24"/>
              </w:rPr>
            </w:pPr>
            <w:r w:rsidRPr="00546A14">
              <w:rPr>
                <w:rFonts w:ascii="Times New Roman" w:hAnsi="Times New Roman" w:cs="Times New Roman"/>
                <w:color w:val="000000"/>
                <w:sz w:val="24"/>
                <w:szCs w:val="24"/>
              </w:rPr>
              <w:t> Minimum</w:t>
            </w:r>
          </w:p>
        </w:tc>
        <w:tc>
          <w:tcPr>
            <w:tcW w:w="0" w:type="auto"/>
          </w:tcPr>
          <w:p w:rsidR="00FA60A8" w:rsidRPr="00546A14" w:rsidRDefault="00FA60A8" w:rsidP="008E6E95">
            <w:pPr>
              <w:autoSpaceDE w:val="0"/>
              <w:autoSpaceDN w:val="0"/>
              <w:adjustRightInd w:val="0"/>
              <w:spacing w:line="360" w:lineRule="auto"/>
              <w:jc w:val="center"/>
              <w:cnfStyle w:val="000000000000"/>
              <w:rPr>
                <w:rFonts w:ascii="Times New Roman" w:hAnsi="Times New Roman" w:cs="Times New Roman"/>
                <w:color w:val="000000"/>
                <w:sz w:val="24"/>
                <w:szCs w:val="24"/>
              </w:rPr>
            </w:pPr>
            <w:r w:rsidRPr="00546A14">
              <w:rPr>
                <w:rFonts w:ascii="Times New Roman" w:hAnsi="Times New Roman" w:cs="Times New Roman"/>
                <w:color w:val="000000"/>
                <w:sz w:val="24"/>
                <w:szCs w:val="24"/>
              </w:rPr>
              <w:t>0.110</w:t>
            </w:r>
          </w:p>
        </w:tc>
        <w:tc>
          <w:tcPr>
            <w:tcW w:w="0" w:type="auto"/>
          </w:tcPr>
          <w:p w:rsidR="00FA60A8" w:rsidRPr="00546A14" w:rsidRDefault="00FA60A8" w:rsidP="008E6E95">
            <w:pPr>
              <w:autoSpaceDE w:val="0"/>
              <w:autoSpaceDN w:val="0"/>
              <w:adjustRightInd w:val="0"/>
              <w:spacing w:line="360" w:lineRule="auto"/>
              <w:jc w:val="center"/>
              <w:cnfStyle w:val="000000000000"/>
              <w:rPr>
                <w:rFonts w:ascii="Times New Roman" w:hAnsi="Times New Roman" w:cs="Times New Roman"/>
                <w:color w:val="000000"/>
                <w:sz w:val="24"/>
                <w:szCs w:val="24"/>
              </w:rPr>
            </w:pPr>
          </w:p>
        </w:tc>
        <w:tc>
          <w:tcPr>
            <w:tcW w:w="0" w:type="auto"/>
          </w:tcPr>
          <w:p w:rsidR="00FA60A8" w:rsidRPr="00546A14" w:rsidRDefault="00FA60A8" w:rsidP="008E6E95">
            <w:pPr>
              <w:autoSpaceDE w:val="0"/>
              <w:autoSpaceDN w:val="0"/>
              <w:adjustRightInd w:val="0"/>
              <w:spacing w:line="360" w:lineRule="auto"/>
              <w:jc w:val="center"/>
              <w:cnfStyle w:val="000000000000"/>
              <w:rPr>
                <w:rFonts w:ascii="Times New Roman" w:hAnsi="Times New Roman" w:cs="Times New Roman"/>
                <w:color w:val="000000"/>
                <w:sz w:val="24"/>
                <w:szCs w:val="24"/>
              </w:rPr>
            </w:pPr>
            <w:r w:rsidRPr="00546A14">
              <w:rPr>
                <w:rFonts w:ascii="Times New Roman" w:hAnsi="Times New Roman" w:cs="Times New Roman"/>
                <w:color w:val="000000"/>
                <w:sz w:val="24"/>
                <w:szCs w:val="24"/>
              </w:rPr>
              <w:t>0.130</w:t>
            </w:r>
          </w:p>
        </w:tc>
        <w:tc>
          <w:tcPr>
            <w:tcW w:w="0" w:type="auto"/>
          </w:tcPr>
          <w:p w:rsidR="00FA60A8" w:rsidRPr="00546A14" w:rsidRDefault="00FA60A8" w:rsidP="008E6E95">
            <w:pPr>
              <w:autoSpaceDE w:val="0"/>
              <w:autoSpaceDN w:val="0"/>
              <w:adjustRightInd w:val="0"/>
              <w:spacing w:line="360" w:lineRule="auto"/>
              <w:jc w:val="center"/>
              <w:cnfStyle w:val="000000000000"/>
              <w:rPr>
                <w:rFonts w:ascii="Times New Roman" w:hAnsi="Times New Roman" w:cs="Times New Roman"/>
                <w:color w:val="000000"/>
                <w:sz w:val="24"/>
                <w:szCs w:val="24"/>
              </w:rPr>
            </w:pPr>
            <w:r w:rsidRPr="00546A14">
              <w:rPr>
                <w:rFonts w:ascii="Times New Roman" w:hAnsi="Times New Roman" w:cs="Times New Roman"/>
                <w:color w:val="000000"/>
                <w:sz w:val="24"/>
                <w:szCs w:val="24"/>
              </w:rPr>
              <w:t>0.130</w:t>
            </w:r>
          </w:p>
        </w:tc>
        <w:tc>
          <w:tcPr>
            <w:tcW w:w="0" w:type="auto"/>
          </w:tcPr>
          <w:p w:rsidR="00FA60A8" w:rsidRPr="00546A14" w:rsidRDefault="00FA60A8" w:rsidP="008E6E95">
            <w:pPr>
              <w:autoSpaceDE w:val="0"/>
              <w:autoSpaceDN w:val="0"/>
              <w:adjustRightInd w:val="0"/>
              <w:spacing w:line="360" w:lineRule="auto"/>
              <w:jc w:val="center"/>
              <w:cnfStyle w:val="000000000000"/>
              <w:rPr>
                <w:rFonts w:ascii="Times New Roman" w:hAnsi="Times New Roman" w:cs="Times New Roman"/>
                <w:color w:val="000000"/>
                <w:sz w:val="24"/>
                <w:szCs w:val="24"/>
              </w:rPr>
            </w:pPr>
            <w:r w:rsidRPr="00546A14">
              <w:rPr>
                <w:rFonts w:ascii="Times New Roman" w:hAnsi="Times New Roman" w:cs="Times New Roman"/>
                <w:color w:val="000000"/>
                <w:sz w:val="24"/>
                <w:szCs w:val="24"/>
              </w:rPr>
              <w:t>0.050</w:t>
            </w:r>
          </w:p>
        </w:tc>
        <w:tc>
          <w:tcPr>
            <w:tcW w:w="339" w:type="dxa"/>
          </w:tcPr>
          <w:p w:rsidR="00FA60A8" w:rsidRPr="00546A14" w:rsidRDefault="00FA60A8" w:rsidP="002F56A8">
            <w:pPr>
              <w:autoSpaceDE w:val="0"/>
              <w:autoSpaceDN w:val="0"/>
              <w:adjustRightInd w:val="0"/>
              <w:spacing w:line="360" w:lineRule="auto"/>
              <w:jc w:val="both"/>
              <w:cnfStyle w:val="000000000000"/>
              <w:rPr>
                <w:rFonts w:ascii="Times New Roman" w:hAnsi="Times New Roman" w:cs="Times New Roman"/>
                <w:color w:val="000000"/>
                <w:sz w:val="24"/>
                <w:szCs w:val="24"/>
              </w:rPr>
            </w:pPr>
          </w:p>
        </w:tc>
      </w:tr>
      <w:tr w:rsidR="00FA60A8" w:rsidRPr="00546A14" w:rsidTr="00FA60A8">
        <w:trPr>
          <w:trHeight w:val="221"/>
        </w:trPr>
        <w:tc>
          <w:tcPr>
            <w:cnfStyle w:val="001000000000"/>
            <w:tcW w:w="0" w:type="auto"/>
          </w:tcPr>
          <w:p w:rsidR="00FA60A8" w:rsidRPr="00546A14" w:rsidRDefault="00FA60A8" w:rsidP="00AF6B15">
            <w:pPr>
              <w:autoSpaceDE w:val="0"/>
              <w:autoSpaceDN w:val="0"/>
              <w:adjustRightInd w:val="0"/>
              <w:spacing w:line="360" w:lineRule="auto"/>
              <w:jc w:val="both"/>
              <w:rPr>
                <w:rFonts w:ascii="Times New Roman" w:hAnsi="Times New Roman" w:cs="Times New Roman"/>
                <w:color w:val="000000"/>
                <w:sz w:val="24"/>
                <w:szCs w:val="24"/>
              </w:rPr>
            </w:pPr>
            <w:r w:rsidRPr="00546A14">
              <w:rPr>
                <w:rFonts w:ascii="Times New Roman" w:hAnsi="Times New Roman" w:cs="Times New Roman"/>
                <w:color w:val="000000"/>
                <w:sz w:val="24"/>
                <w:szCs w:val="24"/>
              </w:rPr>
              <w:t> Std. Dev.</w:t>
            </w:r>
          </w:p>
        </w:tc>
        <w:tc>
          <w:tcPr>
            <w:tcW w:w="0" w:type="auto"/>
          </w:tcPr>
          <w:p w:rsidR="00FA60A8" w:rsidRPr="00546A14" w:rsidRDefault="00FA60A8" w:rsidP="008E6E95">
            <w:pPr>
              <w:autoSpaceDE w:val="0"/>
              <w:autoSpaceDN w:val="0"/>
              <w:adjustRightInd w:val="0"/>
              <w:spacing w:line="360" w:lineRule="auto"/>
              <w:jc w:val="center"/>
              <w:cnfStyle w:val="000000000000"/>
              <w:rPr>
                <w:rFonts w:ascii="Times New Roman" w:hAnsi="Times New Roman" w:cs="Times New Roman"/>
                <w:color w:val="000000"/>
                <w:sz w:val="24"/>
                <w:szCs w:val="24"/>
              </w:rPr>
            </w:pPr>
            <w:r w:rsidRPr="00546A14">
              <w:rPr>
                <w:rFonts w:ascii="Times New Roman" w:hAnsi="Times New Roman" w:cs="Times New Roman"/>
                <w:color w:val="000000"/>
                <w:sz w:val="24"/>
                <w:szCs w:val="24"/>
              </w:rPr>
              <w:t>0.203</w:t>
            </w:r>
          </w:p>
        </w:tc>
        <w:tc>
          <w:tcPr>
            <w:tcW w:w="0" w:type="auto"/>
          </w:tcPr>
          <w:p w:rsidR="00FA60A8" w:rsidRPr="00546A14" w:rsidRDefault="00FA60A8" w:rsidP="008E6E95">
            <w:pPr>
              <w:autoSpaceDE w:val="0"/>
              <w:autoSpaceDN w:val="0"/>
              <w:adjustRightInd w:val="0"/>
              <w:spacing w:line="360" w:lineRule="auto"/>
              <w:jc w:val="center"/>
              <w:cnfStyle w:val="000000000000"/>
              <w:rPr>
                <w:rFonts w:ascii="Times New Roman" w:hAnsi="Times New Roman" w:cs="Times New Roman"/>
                <w:color w:val="000000"/>
                <w:sz w:val="24"/>
                <w:szCs w:val="24"/>
              </w:rPr>
            </w:pPr>
          </w:p>
        </w:tc>
        <w:tc>
          <w:tcPr>
            <w:tcW w:w="0" w:type="auto"/>
          </w:tcPr>
          <w:p w:rsidR="00FA60A8" w:rsidRPr="00546A14" w:rsidRDefault="00FA60A8" w:rsidP="008E6E95">
            <w:pPr>
              <w:autoSpaceDE w:val="0"/>
              <w:autoSpaceDN w:val="0"/>
              <w:adjustRightInd w:val="0"/>
              <w:spacing w:line="360" w:lineRule="auto"/>
              <w:jc w:val="center"/>
              <w:cnfStyle w:val="000000000000"/>
              <w:rPr>
                <w:rFonts w:ascii="Times New Roman" w:hAnsi="Times New Roman" w:cs="Times New Roman"/>
                <w:color w:val="000000"/>
                <w:sz w:val="24"/>
                <w:szCs w:val="24"/>
              </w:rPr>
            </w:pPr>
            <w:r w:rsidRPr="00546A14">
              <w:rPr>
                <w:rFonts w:ascii="Times New Roman" w:hAnsi="Times New Roman" w:cs="Times New Roman"/>
                <w:color w:val="000000"/>
                <w:sz w:val="24"/>
                <w:szCs w:val="24"/>
              </w:rPr>
              <w:t>0.236</w:t>
            </w:r>
          </w:p>
        </w:tc>
        <w:tc>
          <w:tcPr>
            <w:tcW w:w="0" w:type="auto"/>
          </w:tcPr>
          <w:p w:rsidR="00FA60A8" w:rsidRPr="00546A14" w:rsidRDefault="00FA60A8" w:rsidP="008E6E95">
            <w:pPr>
              <w:autoSpaceDE w:val="0"/>
              <w:autoSpaceDN w:val="0"/>
              <w:adjustRightInd w:val="0"/>
              <w:spacing w:line="360" w:lineRule="auto"/>
              <w:jc w:val="center"/>
              <w:cnfStyle w:val="000000000000"/>
              <w:rPr>
                <w:rFonts w:ascii="Times New Roman" w:hAnsi="Times New Roman" w:cs="Times New Roman"/>
                <w:color w:val="000000"/>
                <w:sz w:val="24"/>
                <w:szCs w:val="24"/>
              </w:rPr>
            </w:pPr>
            <w:r w:rsidRPr="00546A14">
              <w:rPr>
                <w:rFonts w:ascii="Times New Roman" w:hAnsi="Times New Roman" w:cs="Times New Roman"/>
                <w:color w:val="000000"/>
                <w:sz w:val="24"/>
                <w:szCs w:val="24"/>
              </w:rPr>
              <w:t>0.2</w:t>
            </w:r>
            <w:r w:rsidR="00AF68EE">
              <w:rPr>
                <w:rFonts w:ascii="Times New Roman" w:hAnsi="Times New Roman" w:cs="Times New Roman"/>
                <w:color w:val="000000"/>
                <w:sz w:val="24"/>
                <w:szCs w:val="24"/>
              </w:rPr>
              <w:t>30</w:t>
            </w:r>
          </w:p>
        </w:tc>
        <w:tc>
          <w:tcPr>
            <w:tcW w:w="0" w:type="auto"/>
          </w:tcPr>
          <w:p w:rsidR="00FA60A8" w:rsidRPr="00546A14" w:rsidRDefault="00FA60A8" w:rsidP="008E6E95">
            <w:pPr>
              <w:autoSpaceDE w:val="0"/>
              <w:autoSpaceDN w:val="0"/>
              <w:adjustRightInd w:val="0"/>
              <w:spacing w:line="360" w:lineRule="auto"/>
              <w:jc w:val="center"/>
              <w:cnfStyle w:val="000000000000"/>
              <w:rPr>
                <w:rFonts w:ascii="Times New Roman" w:hAnsi="Times New Roman" w:cs="Times New Roman"/>
                <w:color w:val="000000"/>
                <w:sz w:val="24"/>
                <w:szCs w:val="24"/>
              </w:rPr>
            </w:pPr>
            <w:r w:rsidRPr="00546A14">
              <w:rPr>
                <w:rFonts w:ascii="Times New Roman" w:hAnsi="Times New Roman" w:cs="Times New Roman"/>
                <w:color w:val="000000"/>
                <w:sz w:val="24"/>
                <w:szCs w:val="24"/>
              </w:rPr>
              <w:t>0.22</w:t>
            </w:r>
            <w:r w:rsidR="00AF68EE">
              <w:rPr>
                <w:rFonts w:ascii="Times New Roman" w:hAnsi="Times New Roman" w:cs="Times New Roman"/>
                <w:color w:val="000000"/>
                <w:sz w:val="24"/>
                <w:szCs w:val="24"/>
              </w:rPr>
              <w:t>3</w:t>
            </w:r>
          </w:p>
        </w:tc>
        <w:tc>
          <w:tcPr>
            <w:tcW w:w="339" w:type="dxa"/>
          </w:tcPr>
          <w:p w:rsidR="00FA60A8" w:rsidRPr="00546A14" w:rsidRDefault="00FA60A8" w:rsidP="002F56A8">
            <w:pPr>
              <w:autoSpaceDE w:val="0"/>
              <w:autoSpaceDN w:val="0"/>
              <w:adjustRightInd w:val="0"/>
              <w:spacing w:line="360" w:lineRule="auto"/>
              <w:jc w:val="both"/>
              <w:cnfStyle w:val="000000000000"/>
              <w:rPr>
                <w:rFonts w:ascii="Times New Roman" w:hAnsi="Times New Roman" w:cs="Times New Roman"/>
                <w:color w:val="000000"/>
                <w:sz w:val="24"/>
                <w:szCs w:val="24"/>
              </w:rPr>
            </w:pPr>
          </w:p>
        </w:tc>
      </w:tr>
    </w:tbl>
    <w:p w:rsidR="00DA6CE7" w:rsidRPr="002C595D" w:rsidRDefault="00DA6CE7" w:rsidP="00FA60A8">
      <w:pPr>
        <w:spacing w:line="360" w:lineRule="auto"/>
        <w:jc w:val="both"/>
        <w:rPr>
          <w:rFonts w:ascii="Times New Roman" w:hAnsi="Times New Roman" w:cs="Times New Roman"/>
          <w:sz w:val="20"/>
          <w:szCs w:val="24"/>
          <w:lang w:val="en-US"/>
        </w:rPr>
      </w:pPr>
      <w:r w:rsidRPr="002C595D">
        <w:rPr>
          <w:rFonts w:ascii="Times New Roman" w:hAnsi="Times New Roman" w:cs="Times New Roman"/>
          <w:sz w:val="20"/>
          <w:szCs w:val="24"/>
          <w:lang w:val="en-US"/>
        </w:rPr>
        <w:t xml:space="preserve">Descriptive statistics for the four cultural dimensions: </w:t>
      </w:r>
      <w:r w:rsidR="00FA60A8" w:rsidRPr="002C595D">
        <w:rPr>
          <w:rFonts w:ascii="Times New Roman" w:hAnsi="Times New Roman" w:cs="Times New Roman"/>
          <w:sz w:val="20"/>
          <w:szCs w:val="24"/>
          <w:lang w:val="en-US"/>
        </w:rPr>
        <w:t>Power Distance (PDI), Individualism(IDV), Uncertainty avoidance (UAI) and Masculinity</w:t>
      </w:r>
      <w:r w:rsidR="00FA60A8" w:rsidRPr="002C595D">
        <w:rPr>
          <w:rFonts w:ascii="Times New Roman" w:hAnsi="Times New Roman" w:cs="Times New Roman"/>
          <w:sz w:val="20"/>
          <w:szCs w:val="24"/>
          <w:lang w:val="en-US"/>
        </w:rPr>
        <w:tab/>
        <w:t xml:space="preserve">(MASC).  </w:t>
      </w:r>
    </w:p>
    <w:p w:rsidR="00AF6B15" w:rsidRPr="002C595D" w:rsidRDefault="00AF6B15" w:rsidP="00AF6B15">
      <w:pPr>
        <w:spacing w:line="360" w:lineRule="auto"/>
        <w:jc w:val="both"/>
        <w:rPr>
          <w:rFonts w:ascii="Times New Roman" w:hAnsi="Times New Roman" w:cs="Times New Roman"/>
          <w:szCs w:val="24"/>
          <w:lang w:val="en-US"/>
        </w:rPr>
      </w:pPr>
      <w:r w:rsidRPr="00546A14">
        <w:rPr>
          <w:rFonts w:ascii="Times New Roman" w:hAnsi="Times New Roman" w:cs="Times New Roman"/>
          <w:sz w:val="24"/>
          <w:szCs w:val="24"/>
          <w:lang w:val="en-US"/>
        </w:rPr>
        <w:br/>
      </w:r>
      <w:r w:rsidRPr="002C595D">
        <w:rPr>
          <w:rFonts w:ascii="Times New Roman" w:hAnsi="Times New Roman" w:cs="Times New Roman"/>
          <w:szCs w:val="24"/>
          <w:lang w:val="en-US"/>
        </w:rPr>
        <w:t>In addition, the mean for the IDV variable is 0.494 (SD=0.236)</w:t>
      </w:r>
      <w:r w:rsidR="005D4597" w:rsidRPr="002C595D">
        <w:rPr>
          <w:rFonts w:ascii="Times New Roman" w:hAnsi="Times New Roman" w:cs="Times New Roman"/>
          <w:szCs w:val="24"/>
          <w:lang w:val="en-US"/>
        </w:rPr>
        <w:t>, with</w:t>
      </w:r>
      <w:r w:rsidRPr="002C595D">
        <w:rPr>
          <w:rFonts w:ascii="Times New Roman" w:hAnsi="Times New Roman" w:cs="Times New Roman"/>
          <w:szCs w:val="24"/>
          <w:lang w:val="en-US"/>
        </w:rPr>
        <w:t xml:space="preserve"> the values of Individualism scores varying from 13 for Colombia to 91 for the United States. Uncertainty avoidance scores range from 13 for Jamaica to 112 for Greece, with a mean of 0.68 (SD=0.229).   The minimum score for the dimension of masculinity is 5 for Sweden and the maximum is 11o for Slovakia, giving a mean of s 0.492 (SD=0.22). Last, power distance scores vary from 11 to 104 for Austria and Slovakia respectively, with </w:t>
      </w:r>
      <w:r w:rsidR="005D4597" w:rsidRPr="002C595D">
        <w:rPr>
          <w:rFonts w:ascii="Times New Roman" w:hAnsi="Times New Roman" w:cs="Times New Roman"/>
          <w:szCs w:val="24"/>
          <w:lang w:val="en-US"/>
        </w:rPr>
        <w:t>a</w:t>
      </w:r>
      <w:r w:rsidRPr="002C595D">
        <w:rPr>
          <w:rFonts w:ascii="Times New Roman" w:hAnsi="Times New Roman" w:cs="Times New Roman"/>
          <w:szCs w:val="24"/>
          <w:lang w:val="en-US"/>
        </w:rPr>
        <w:t xml:space="preserve"> mean equal to 0.534 (SD=0.20).</w:t>
      </w:r>
    </w:p>
    <w:p w:rsidR="00AF6B15" w:rsidRPr="002C595D" w:rsidRDefault="00AF6B15" w:rsidP="00AF6B15">
      <w:pPr>
        <w:pStyle w:val="ListParagraph"/>
        <w:tabs>
          <w:tab w:val="left" w:pos="6480"/>
        </w:tabs>
        <w:spacing w:after="160" w:line="360" w:lineRule="auto"/>
        <w:ind w:left="0"/>
        <w:jc w:val="both"/>
        <w:rPr>
          <w:rFonts w:ascii="Times New Roman" w:hAnsi="Times New Roman" w:cs="Times New Roman"/>
          <w:b/>
          <w:szCs w:val="24"/>
          <w:lang w:val="en-US"/>
        </w:rPr>
      </w:pPr>
      <w:r w:rsidRPr="002C595D">
        <w:rPr>
          <w:rFonts w:ascii="Times New Roman" w:hAnsi="Times New Roman" w:cs="Times New Roman"/>
          <w:szCs w:val="24"/>
          <w:lang w:val="en-US"/>
        </w:rPr>
        <w:t xml:space="preserve">Additionally, it is important to mention the results of the Jarque-Bera normality test. As we mentioned before, the null hypothesis is rejected when the probability is below 5% (confidence interval 95%). In our case, the results of JB test show that all of our variables follow a normal distribution (P&gt;5%). </w:t>
      </w:r>
    </w:p>
    <w:p w:rsidR="00907769" w:rsidRDefault="00907769" w:rsidP="005717B5">
      <w:pPr>
        <w:spacing w:line="360" w:lineRule="auto"/>
        <w:jc w:val="both"/>
        <w:rPr>
          <w:rFonts w:ascii="Arial" w:hAnsi="Arial" w:cs="Arial"/>
          <w:b/>
          <w:i/>
          <w:lang w:val="en-US"/>
        </w:rPr>
      </w:pPr>
    </w:p>
    <w:p w:rsidR="005717B5" w:rsidRPr="000C576E" w:rsidRDefault="00550826" w:rsidP="005717B5">
      <w:pPr>
        <w:spacing w:line="360" w:lineRule="auto"/>
        <w:jc w:val="both"/>
        <w:rPr>
          <w:rFonts w:ascii="Arial" w:hAnsi="Arial" w:cs="Arial"/>
          <w:b/>
          <w:i/>
          <w:lang w:val="en-US"/>
        </w:rPr>
      </w:pPr>
      <w:r w:rsidRPr="000C576E">
        <w:rPr>
          <w:rFonts w:ascii="Arial" w:hAnsi="Arial" w:cs="Arial"/>
          <w:b/>
          <w:i/>
          <w:lang w:val="en-US"/>
        </w:rPr>
        <w:t xml:space="preserve">3.2 </w:t>
      </w:r>
      <w:r w:rsidR="005717B5" w:rsidRPr="000C576E">
        <w:rPr>
          <w:rFonts w:ascii="Arial" w:hAnsi="Arial" w:cs="Arial"/>
          <w:b/>
          <w:i/>
          <w:lang w:val="en-US"/>
        </w:rPr>
        <w:t>Dependent Variable</w:t>
      </w:r>
      <w:r w:rsidRPr="000C576E">
        <w:rPr>
          <w:rFonts w:ascii="Arial" w:hAnsi="Arial" w:cs="Arial"/>
          <w:b/>
          <w:i/>
          <w:lang w:val="en-US"/>
        </w:rPr>
        <w:t xml:space="preserve">: </w:t>
      </w:r>
      <w:r w:rsidR="005717B5" w:rsidRPr="000C576E">
        <w:rPr>
          <w:rFonts w:ascii="Arial" w:hAnsi="Arial" w:cs="Arial"/>
          <w:b/>
          <w:i/>
          <w:lang w:val="en-US"/>
        </w:rPr>
        <w:t>Equity investments</w:t>
      </w:r>
      <w:r w:rsidR="00AA2132" w:rsidRPr="000C576E">
        <w:rPr>
          <w:rFonts w:ascii="Arial" w:hAnsi="Arial" w:cs="Arial"/>
          <w:b/>
          <w:i/>
          <w:lang w:val="en-US"/>
        </w:rPr>
        <w:t xml:space="preserve"> </w:t>
      </w:r>
      <w:r w:rsidR="005717B5" w:rsidRPr="000C576E">
        <w:rPr>
          <w:rFonts w:ascii="Arial" w:hAnsi="Arial" w:cs="Arial"/>
          <w:b/>
          <w:i/>
          <w:lang w:val="en-US"/>
        </w:rPr>
        <w:t>/ Total investments</w:t>
      </w:r>
    </w:p>
    <w:p w:rsidR="00AF6B15" w:rsidRPr="002C595D" w:rsidRDefault="005717B5" w:rsidP="005717B5">
      <w:pPr>
        <w:spacing w:line="360" w:lineRule="auto"/>
        <w:jc w:val="both"/>
        <w:rPr>
          <w:rFonts w:ascii="Times New Roman" w:hAnsi="Times New Roman" w:cs="Times New Roman"/>
          <w:szCs w:val="24"/>
          <w:lang w:val="en-US"/>
        </w:rPr>
      </w:pPr>
      <w:r w:rsidRPr="002C595D">
        <w:rPr>
          <w:rFonts w:ascii="Times New Roman" w:hAnsi="Times New Roman" w:cs="Times New Roman"/>
          <w:szCs w:val="24"/>
          <w:lang w:val="en-US"/>
        </w:rPr>
        <w:t xml:space="preserve">As we have discussed in the previous chapter, in this study, we are going to express the risk appetite of pension funds as the total amount of equity share taken. The </w:t>
      </w:r>
      <w:r w:rsidR="005D4597" w:rsidRPr="002C595D">
        <w:rPr>
          <w:rFonts w:ascii="Times New Roman" w:hAnsi="Times New Roman" w:cs="Times New Roman"/>
          <w:szCs w:val="24"/>
          <w:lang w:val="en-US"/>
        </w:rPr>
        <w:t>data of</w:t>
      </w:r>
      <w:r w:rsidRPr="002C595D">
        <w:rPr>
          <w:rFonts w:ascii="Times New Roman" w:hAnsi="Times New Roman" w:cs="Times New Roman"/>
          <w:szCs w:val="24"/>
          <w:lang w:val="en-US"/>
        </w:rPr>
        <w:t xml:space="preserve"> Pension fund total investment and asset allocation in selected OECD and non-OECD countries </w:t>
      </w:r>
      <w:r w:rsidR="005D4597" w:rsidRPr="002C595D">
        <w:rPr>
          <w:rFonts w:ascii="Times New Roman" w:hAnsi="Times New Roman" w:cs="Times New Roman"/>
          <w:szCs w:val="24"/>
          <w:lang w:val="en-US"/>
        </w:rPr>
        <w:t>for the</w:t>
      </w:r>
      <w:r w:rsidRPr="002C595D">
        <w:rPr>
          <w:rFonts w:ascii="Times New Roman" w:hAnsi="Times New Roman" w:cs="Times New Roman"/>
          <w:szCs w:val="24"/>
          <w:lang w:val="en-US"/>
        </w:rPr>
        <w:t xml:space="preserve"> year 2011 were found in the website of OECD and refer to the same 49 countries that are mentioned in the table above. </w:t>
      </w:r>
    </w:p>
    <w:p w:rsidR="008E6E95" w:rsidRDefault="008E6E95" w:rsidP="00907769">
      <w:pPr>
        <w:spacing w:line="240" w:lineRule="exact"/>
        <w:jc w:val="both"/>
        <w:rPr>
          <w:b/>
          <w:lang w:val="en-US"/>
        </w:rPr>
      </w:pPr>
    </w:p>
    <w:p w:rsidR="002C595D" w:rsidRDefault="002C595D">
      <w:pPr>
        <w:rPr>
          <w:b/>
          <w:lang w:val="en-US"/>
        </w:rPr>
      </w:pPr>
      <w:r>
        <w:rPr>
          <w:b/>
          <w:lang w:val="en-US"/>
        </w:rPr>
        <w:br w:type="page"/>
      </w:r>
    </w:p>
    <w:p w:rsidR="00317759" w:rsidRPr="00965861" w:rsidRDefault="00317759" w:rsidP="00907769">
      <w:pPr>
        <w:spacing w:line="240" w:lineRule="exact"/>
        <w:jc w:val="both"/>
        <w:rPr>
          <w:b/>
          <w:lang w:val="en-US"/>
        </w:rPr>
      </w:pPr>
      <w:r w:rsidRPr="00965861">
        <w:rPr>
          <w:b/>
          <w:lang w:val="en-US"/>
        </w:rPr>
        <w:lastRenderedPageBreak/>
        <w:t xml:space="preserve">Table 3.3 Equity investments in relation to total assets per country. </w:t>
      </w:r>
    </w:p>
    <w:tbl>
      <w:tblPr>
        <w:tblStyle w:val="LightShading2"/>
        <w:tblW w:w="9458" w:type="dxa"/>
        <w:tblLook w:val="0620"/>
      </w:tblPr>
      <w:tblGrid>
        <w:gridCol w:w="3514"/>
        <w:gridCol w:w="5944"/>
      </w:tblGrid>
      <w:tr w:rsidR="00DB3DD1" w:rsidRPr="00EA564A" w:rsidTr="004E50D3">
        <w:trPr>
          <w:cnfStyle w:val="100000000000"/>
          <w:trHeight w:val="90"/>
        </w:trPr>
        <w:tc>
          <w:tcPr>
            <w:tcW w:w="3514" w:type="dxa"/>
          </w:tcPr>
          <w:p w:rsidR="00DB3DD1" w:rsidRPr="00546A14" w:rsidRDefault="00DB3DD1" w:rsidP="001152B6">
            <w:pPr>
              <w:rPr>
                <w:rFonts w:ascii="Calibri" w:eastAsia="Times New Roman" w:hAnsi="Calibri" w:cs="Times New Roman"/>
                <w:color w:val="000000"/>
                <w:lang w:val="en-US" w:eastAsia="el-GR"/>
              </w:rPr>
            </w:pPr>
            <w:r w:rsidRPr="00546A14">
              <w:rPr>
                <w:rFonts w:ascii="Calibri" w:eastAsia="Times New Roman" w:hAnsi="Calibri" w:cs="Times New Roman"/>
                <w:color w:val="000000"/>
                <w:lang w:val="en-US" w:eastAsia="el-GR"/>
              </w:rPr>
              <w:t>Country</w:t>
            </w:r>
          </w:p>
        </w:tc>
        <w:tc>
          <w:tcPr>
            <w:tcW w:w="5944" w:type="dxa"/>
            <w:noWrap/>
            <w:hideMark/>
          </w:tcPr>
          <w:p w:rsidR="00DB3DD1" w:rsidRPr="00546A14" w:rsidRDefault="00DB3DD1" w:rsidP="008E6E95">
            <w:pPr>
              <w:jc w:val="right"/>
              <w:rPr>
                <w:rFonts w:ascii="Calibri" w:eastAsia="Times New Roman" w:hAnsi="Calibri" w:cs="Times New Roman"/>
                <w:color w:val="000000"/>
                <w:lang w:val="en-US" w:eastAsia="el-GR"/>
              </w:rPr>
            </w:pPr>
            <w:r w:rsidRPr="00546A14">
              <w:rPr>
                <w:rFonts w:ascii="Calibri" w:eastAsia="Times New Roman" w:hAnsi="Calibri" w:cs="Times New Roman"/>
                <w:color w:val="000000"/>
                <w:lang w:val="en-US" w:eastAsia="el-GR"/>
              </w:rPr>
              <w:t>Total investm</w:t>
            </w:r>
            <w:r w:rsidR="003E383A">
              <w:rPr>
                <w:rFonts w:ascii="Calibri" w:eastAsia="Times New Roman" w:hAnsi="Calibri" w:cs="Times New Roman"/>
                <w:color w:val="000000"/>
                <w:lang w:val="en-US" w:eastAsia="el-GR"/>
              </w:rPr>
              <w:t>ents/ Investments in equity (EqAll</w:t>
            </w:r>
            <w:r w:rsidR="00550826">
              <w:rPr>
                <w:rFonts w:ascii="Calibri" w:eastAsia="Times New Roman" w:hAnsi="Calibri" w:cs="Times New Roman"/>
                <w:color w:val="000000"/>
                <w:lang w:val="en-US" w:eastAsia="el-GR"/>
              </w:rPr>
              <w:t>)</w:t>
            </w:r>
          </w:p>
        </w:tc>
      </w:tr>
      <w:tr w:rsidR="00DB3DD1" w:rsidRPr="00546A14" w:rsidTr="004E50D3">
        <w:trPr>
          <w:trHeight w:val="90"/>
        </w:trPr>
        <w:tc>
          <w:tcPr>
            <w:tcW w:w="3514" w:type="dxa"/>
          </w:tcPr>
          <w:p w:rsidR="00DB3DD1" w:rsidRPr="00546A14" w:rsidRDefault="00DB3DD1">
            <w:pPr>
              <w:rPr>
                <w:rFonts w:ascii="Calibri" w:hAnsi="Calibri"/>
                <w:color w:val="000000"/>
              </w:rPr>
            </w:pPr>
            <w:r w:rsidRPr="00546A14">
              <w:rPr>
                <w:rFonts w:ascii="Calibri" w:hAnsi="Calibri"/>
                <w:color w:val="000000"/>
              </w:rPr>
              <w:t>Australia</w:t>
            </w:r>
          </w:p>
        </w:tc>
        <w:tc>
          <w:tcPr>
            <w:tcW w:w="5944" w:type="dxa"/>
            <w:noWrap/>
            <w:hideMark/>
          </w:tcPr>
          <w:p w:rsidR="00DB3DD1" w:rsidRPr="00546A14" w:rsidRDefault="00DB3DD1" w:rsidP="008E6E95">
            <w:pPr>
              <w:jc w:val="right"/>
              <w:rPr>
                <w:rFonts w:ascii="Calibri" w:eastAsia="Times New Roman" w:hAnsi="Calibri" w:cs="Times New Roman"/>
                <w:color w:val="000000"/>
                <w:lang w:eastAsia="el-GR"/>
              </w:rPr>
            </w:pPr>
            <w:r w:rsidRPr="00546A14">
              <w:rPr>
                <w:rFonts w:ascii="Calibri" w:eastAsia="Times New Roman" w:hAnsi="Calibri" w:cs="Times New Roman"/>
                <w:color w:val="000000"/>
                <w:lang w:eastAsia="el-GR"/>
              </w:rPr>
              <w:t>0.49</w:t>
            </w:r>
            <w:r w:rsidR="00AF68EE">
              <w:rPr>
                <w:rFonts w:ascii="Calibri" w:eastAsia="Times New Roman" w:hAnsi="Calibri" w:cs="Times New Roman"/>
                <w:color w:val="000000"/>
                <w:lang w:eastAsia="el-GR"/>
              </w:rPr>
              <w:t>7</w:t>
            </w:r>
          </w:p>
        </w:tc>
      </w:tr>
      <w:tr w:rsidR="00DB3DD1" w:rsidRPr="00546A14" w:rsidTr="004E50D3">
        <w:trPr>
          <w:trHeight w:val="90"/>
        </w:trPr>
        <w:tc>
          <w:tcPr>
            <w:tcW w:w="3514" w:type="dxa"/>
          </w:tcPr>
          <w:p w:rsidR="00DB3DD1" w:rsidRPr="00546A14" w:rsidRDefault="00DB3DD1">
            <w:pPr>
              <w:rPr>
                <w:rFonts w:ascii="Calibri" w:hAnsi="Calibri"/>
                <w:color w:val="000000"/>
              </w:rPr>
            </w:pPr>
            <w:r w:rsidRPr="00546A14">
              <w:rPr>
                <w:rFonts w:ascii="Calibri" w:hAnsi="Calibri"/>
                <w:color w:val="000000"/>
              </w:rPr>
              <w:t>Austria</w:t>
            </w:r>
          </w:p>
        </w:tc>
        <w:tc>
          <w:tcPr>
            <w:tcW w:w="5944" w:type="dxa"/>
            <w:noWrap/>
            <w:hideMark/>
          </w:tcPr>
          <w:p w:rsidR="00DB3DD1" w:rsidRPr="00546A14" w:rsidRDefault="00DB3DD1" w:rsidP="008E6E95">
            <w:pPr>
              <w:jc w:val="right"/>
              <w:rPr>
                <w:rFonts w:ascii="Calibri" w:eastAsia="Times New Roman" w:hAnsi="Calibri" w:cs="Times New Roman"/>
                <w:color w:val="000000"/>
                <w:lang w:eastAsia="el-GR"/>
              </w:rPr>
            </w:pPr>
            <w:r w:rsidRPr="00546A14">
              <w:rPr>
                <w:rFonts w:ascii="Calibri" w:eastAsia="Times New Roman" w:hAnsi="Calibri" w:cs="Times New Roman"/>
                <w:color w:val="000000"/>
                <w:lang w:eastAsia="el-GR"/>
              </w:rPr>
              <w:t>0.2</w:t>
            </w:r>
            <w:r w:rsidR="00AF68EE">
              <w:rPr>
                <w:rFonts w:ascii="Calibri" w:eastAsia="Times New Roman" w:hAnsi="Calibri" w:cs="Times New Roman"/>
                <w:color w:val="000000"/>
                <w:lang w:eastAsia="el-GR"/>
              </w:rPr>
              <w:t>60</w:t>
            </w:r>
          </w:p>
        </w:tc>
      </w:tr>
      <w:tr w:rsidR="00DB3DD1" w:rsidRPr="00546A14" w:rsidTr="004E50D3">
        <w:trPr>
          <w:trHeight w:val="90"/>
        </w:trPr>
        <w:tc>
          <w:tcPr>
            <w:tcW w:w="3514" w:type="dxa"/>
          </w:tcPr>
          <w:p w:rsidR="00DB3DD1" w:rsidRPr="00546A14" w:rsidRDefault="00DB3DD1">
            <w:pPr>
              <w:rPr>
                <w:rFonts w:ascii="Calibri" w:hAnsi="Calibri"/>
                <w:color w:val="000000"/>
              </w:rPr>
            </w:pPr>
            <w:r w:rsidRPr="00546A14">
              <w:rPr>
                <w:rFonts w:ascii="Calibri" w:hAnsi="Calibri"/>
                <w:color w:val="000000"/>
              </w:rPr>
              <w:t>Belgium</w:t>
            </w:r>
          </w:p>
        </w:tc>
        <w:tc>
          <w:tcPr>
            <w:tcW w:w="5944" w:type="dxa"/>
            <w:noWrap/>
            <w:hideMark/>
          </w:tcPr>
          <w:p w:rsidR="00DB3DD1" w:rsidRPr="00546A14" w:rsidRDefault="00DB3DD1" w:rsidP="008E6E95">
            <w:pPr>
              <w:jc w:val="right"/>
              <w:rPr>
                <w:rFonts w:ascii="Calibri" w:eastAsia="Times New Roman" w:hAnsi="Calibri" w:cs="Times New Roman"/>
                <w:color w:val="000000"/>
                <w:lang w:eastAsia="el-GR"/>
              </w:rPr>
            </w:pPr>
            <w:r w:rsidRPr="00546A14">
              <w:rPr>
                <w:rFonts w:ascii="Calibri" w:eastAsia="Times New Roman" w:hAnsi="Calibri" w:cs="Times New Roman"/>
                <w:color w:val="000000"/>
                <w:lang w:eastAsia="el-GR"/>
              </w:rPr>
              <w:t>0.34</w:t>
            </w:r>
            <w:r w:rsidR="00AF68EE">
              <w:rPr>
                <w:rFonts w:ascii="Calibri" w:eastAsia="Times New Roman" w:hAnsi="Calibri" w:cs="Times New Roman"/>
                <w:color w:val="000000"/>
                <w:lang w:eastAsia="el-GR"/>
              </w:rPr>
              <w:t>8</w:t>
            </w:r>
          </w:p>
        </w:tc>
      </w:tr>
      <w:tr w:rsidR="00DB3DD1" w:rsidRPr="00546A14" w:rsidTr="004E50D3">
        <w:trPr>
          <w:trHeight w:val="90"/>
        </w:trPr>
        <w:tc>
          <w:tcPr>
            <w:tcW w:w="3514" w:type="dxa"/>
          </w:tcPr>
          <w:p w:rsidR="00DB3DD1" w:rsidRPr="00546A14" w:rsidRDefault="00DB3DD1">
            <w:pPr>
              <w:rPr>
                <w:rFonts w:ascii="Calibri" w:hAnsi="Calibri"/>
                <w:color w:val="000000"/>
              </w:rPr>
            </w:pPr>
            <w:r w:rsidRPr="00546A14">
              <w:rPr>
                <w:rFonts w:ascii="Calibri" w:hAnsi="Calibri"/>
                <w:color w:val="000000"/>
              </w:rPr>
              <w:t>Brazil</w:t>
            </w:r>
          </w:p>
        </w:tc>
        <w:tc>
          <w:tcPr>
            <w:tcW w:w="5944" w:type="dxa"/>
            <w:noWrap/>
            <w:hideMark/>
          </w:tcPr>
          <w:p w:rsidR="00DB3DD1" w:rsidRPr="00546A14" w:rsidRDefault="00DB3DD1" w:rsidP="008E6E95">
            <w:pPr>
              <w:jc w:val="right"/>
              <w:rPr>
                <w:rFonts w:ascii="Calibri" w:hAnsi="Calibri"/>
                <w:color w:val="000000"/>
                <w:lang w:val="en-US"/>
              </w:rPr>
            </w:pPr>
            <w:r w:rsidRPr="00546A14">
              <w:rPr>
                <w:rFonts w:ascii="Calibri" w:hAnsi="Calibri"/>
                <w:color w:val="000000"/>
              </w:rPr>
              <w:t>0.29</w:t>
            </w:r>
            <w:r w:rsidR="00AF68EE">
              <w:rPr>
                <w:rFonts w:ascii="Calibri" w:hAnsi="Calibri"/>
                <w:color w:val="000000"/>
              </w:rPr>
              <w:t>9</w:t>
            </w:r>
          </w:p>
        </w:tc>
      </w:tr>
      <w:tr w:rsidR="00DB3DD1" w:rsidRPr="00546A14" w:rsidTr="004E50D3">
        <w:trPr>
          <w:trHeight w:val="90"/>
        </w:trPr>
        <w:tc>
          <w:tcPr>
            <w:tcW w:w="3514" w:type="dxa"/>
          </w:tcPr>
          <w:p w:rsidR="00DB3DD1" w:rsidRPr="00546A14" w:rsidRDefault="00DB3DD1">
            <w:pPr>
              <w:rPr>
                <w:rFonts w:ascii="Calibri" w:hAnsi="Calibri"/>
                <w:color w:val="000000"/>
              </w:rPr>
            </w:pPr>
            <w:r w:rsidRPr="00546A14">
              <w:rPr>
                <w:rFonts w:ascii="Calibri" w:hAnsi="Calibri"/>
                <w:color w:val="000000"/>
              </w:rPr>
              <w:t>Bulgaria</w:t>
            </w:r>
          </w:p>
        </w:tc>
        <w:tc>
          <w:tcPr>
            <w:tcW w:w="5944" w:type="dxa"/>
            <w:noWrap/>
            <w:hideMark/>
          </w:tcPr>
          <w:p w:rsidR="00DB3DD1" w:rsidRPr="00546A14" w:rsidRDefault="00DB3DD1" w:rsidP="008E6E95">
            <w:pPr>
              <w:jc w:val="right"/>
              <w:rPr>
                <w:rFonts w:ascii="Calibri" w:hAnsi="Calibri"/>
                <w:color w:val="000000"/>
                <w:lang w:val="en-US"/>
              </w:rPr>
            </w:pPr>
            <w:r w:rsidRPr="00546A14">
              <w:rPr>
                <w:rFonts w:ascii="Calibri" w:hAnsi="Calibri"/>
                <w:color w:val="000000"/>
              </w:rPr>
              <w:t>0.127</w:t>
            </w:r>
          </w:p>
        </w:tc>
      </w:tr>
      <w:tr w:rsidR="00DB3DD1" w:rsidRPr="00546A14" w:rsidTr="004E50D3">
        <w:trPr>
          <w:trHeight w:val="90"/>
        </w:trPr>
        <w:tc>
          <w:tcPr>
            <w:tcW w:w="3514" w:type="dxa"/>
          </w:tcPr>
          <w:p w:rsidR="00DB3DD1" w:rsidRPr="00546A14" w:rsidRDefault="00DB3DD1">
            <w:pPr>
              <w:rPr>
                <w:rFonts w:ascii="Calibri" w:hAnsi="Calibri"/>
                <w:color w:val="000000"/>
              </w:rPr>
            </w:pPr>
            <w:r w:rsidRPr="00546A14">
              <w:rPr>
                <w:rFonts w:ascii="Calibri" w:hAnsi="Calibri"/>
                <w:color w:val="000000"/>
              </w:rPr>
              <w:t>Canada</w:t>
            </w:r>
          </w:p>
        </w:tc>
        <w:tc>
          <w:tcPr>
            <w:tcW w:w="5944" w:type="dxa"/>
            <w:noWrap/>
            <w:hideMark/>
          </w:tcPr>
          <w:p w:rsidR="00DB3DD1" w:rsidRPr="00546A14" w:rsidRDefault="00DB3DD1" w:rsidP="008E6E95">
            <w:pPr>
              <w:jc w:val="right"/>
              <w:rPr>
                <w:rFonts w:ascii="Calibri" w:eastAsia="Times New Roman" w:hAnsi="Calibri" w:cs="Times New Roman"/>
                <w:color w:val="000000"/>
                <w:lang w:eastAsia="el-GR"/>
              </w:rPr>
            </w:pPr>
            <w:r w:rsidRPr="00546A14">
              <w:rPr>
                <w:rFonts w:ascii="Calibri" w:eastAsia="Times New Roman" w:hAnsi="Calibri" w:cs="Times New Roman"/>
                <w:color w:val="000000"/>
                <w:lang w:eastAsia="el-GR"/>
              </w:rPr>
              <w:t>0.309</w:t>
            </w:r>
          </w:p>
        </w:tc>
      </w:tr>
      <w:tr w:rsidR="00DB3DD1" w:rsidRPr="00546A14" w:rsidTr="004E50D3">
        <w:trPr>
          <w:trHeight w:val="90"/>
        </w:trPr>
        <w:tc>
          <w:tcPr>
            <w:tcW w:w="3514" w:type="dxa"/>
          </w:tcPr>
          <w:p w:rsidR="00DB3DD1" w:rsidRPr="00546A14" w:rsidRDefault="00DB3DD1">
            <w:pPr>
              <w:rPr>
                <w:rFonts w:ascii="Calibri" w:hAnsi="Calibri"/>
                <w:color w:val="000000"/>
              </w:rPr>
            </w:pPr>
            <w:r w:rsidRPr="00546A14">
              <w:rPr>
                <w:rFonts w:ascii="Calibri" w:hAnsi="Calibri"/>
                <w:color w:val="000000"/>
              </w:rPr>
              <w:t>Chile</w:t>
            </w:r>
          </w:p>
        </w:tc>
        <w:tc>
          <w:tcPr>
            <w:tcW w:w="5944" w:type="dxa"/>
            <w:noWrap/>
            <w:hideMark/>
          </w:tcPr>
          <w:p w:rsidR="00DB3DD1" w:rsidRPr="00546A14" w:rsidRDefault="00DB3DD1" w:rsidP="008E6E95">
            <w:pPr>
              <w:jc w:val="right"/>
              <w:rPr>
                <w:rFonts w:ascii="Calibri" w:eastAsia="Times New Roman" w:hAnsi="Calibri" w:cs="Times New Roman"/>
                <w:color w:val="000000"/>
                <w:lang w:eastAsia="el-GR"/>
              </w:rPr>
            </w:pPr>
            <w:r w:rsidRPr="00546A14">
              <w:rPr>
                <w:rFonts w:ascii="Calibri" w:eastAsia="Times New Roman" w:hAnsi="Calibri" w:cs="Times New Roman"/>
                <w:color w:val="000000"/>
                <w:lang w:eastAsia="el-GR"/>
              </w:rPr>
              <w:t>0.406</w:t>
            </w:r>
          </w:p>
        </w:tc>
      </w:tr>
      <w:tr w:rsidR="00DB3DD1" w:rsidRPr="00546A14" w:rsidTr="004E50D3">
        <w:trPr>
          <w:trHeight w:val="90"/>
        </w:trPr>
        <w:tc>
          <w:tcPr>
            <w:tcW w:w="3514" w:type="dxa"/>
          </w:tcPr>
          <w:p w:rsidR="00DB3DD1" w:rsidRPr="00546A14" w:rsidRDefault="00DB3DD1">
            <w:pPr>
              <w:rPr>
                <w:rFonts w:ascii="Calibri" w:hAnsi="Calibri"/>
                <w:color w:val="000000"/>
              </w:rPr>
            </w:pPr>
            <w:r w:rsidRPr="00546A14">
              <w:rPr>
                <w:rFonts w:ascii="Calibri" w:hAnsi="Calibri"/>
                <w:color w:val="000000"/>
              </w:rPr>
              <w:t>Colombia</w:t>
            </w:r>
          </w:p>
        </w:tc>
        <w:tc>
          <w:tcPr>
            <w:tcW w:w="5944" w:type="dxa"/>
            <w:noWrap/>
            <w:hideMark/>
          </w:tcPr>
          <w:p w:rsidR="00DB3DD1" w:rsidRPr="00546A14" w:rsidRDefault="00DB3DD1" w:rsidP="008E6E95">
            <w:pPr>
              <w:jc w:val="right"/>
              <w:rPr>
                <w:rFonts w:ascii="Calibri" w:eastAsia="Times New Roman" w:hAnsi="Calibri" w:cs="Times New Roman"/>
                <w:color w:val="000000"/>
                <w:lang w:val="en-US" w:eastAsia="el-GR"/>
              </w:rPr>
            </w:pPr>
            <w:r w:rsidRPr="00546A14">
              <w:rPr>
                <w:rFonts w:ascii="Calibri" w:eastAsia="Times New Roman" w:hAnsi="Calibri" w:cs="Times New Roman"/>
                <w:color w:val="000000"/>
                <w:lang w:val="en-US" w:eastAsia="el-GR"/>
              </w:rPr>
              <w:t>0.331</w:t>
            </w:r>
          </w:p>
        </w:tc>
      </w:tr>
      <w:tr w:rsidR="00DB3DD1" w:rsidRPr="00546A14" w:rsidTr="004E50D3">
        <w:trPr>
          <w:trHeight w:val="90"/>
        </w:trPr>
        <w:tc>
          <w:tcPr>
            <w:tcW w:w="3514" w:type="dxa"/>
          </w:tcPr>
          <w:p w:rsidR="00DB3DD1" w:rsidRPr="00546A14" w:rsidRDefault="00DB3DD1">
            <w:pPr>
              <w:rPr>
                <w:rFonts w:ascii="Calibri" w:hAnsi="Calibri"/>
                <w:color w:val="000000"/>
              </w:rPr>
            </w:pPr>
            <w:r w:rsidRPr="00546A14">
              <w:rPr>
                <w:rFonts w:ascii="Calibri" w:hAnsi="Calibri"/>
                <w:color w:val="000000"/>
              </w:rPr>
              <w:t>Costa Rica</w:t>
            </w:r>
          </w:p>
        </w:tc>
        <w:tc>
          <w:tcPr>
            <w:tcW w:w="5944" w:type="dxa"/>
            <w:noWrap/>
            <w:hideMark/>
          </w:tcPr>
          <w:p w:rsidR="00DB3DD1" w:rsidRPr="00546A14" w:rsidRDefault="00DB3DD1" w:rsidP="008E6E95">
            <w:pPr>
              <w:jc w:val="right"/>
              <w:rPr>
                <w:rFonts w:ascii="Calibri" w:eastAsia="Times New Roman" w:hAnsi="Calibri" w:cs="Times New Roman"/>
                <w:color w:val="000000"/>
                <w:lang w:val="en-US" w:eastAsia="el-GR"/>
              </w:rPr>
            </w:pPr>
            <w:r w:rsidRPr="00546A14">
              <w:rPr>
                <w:rFonts w:ascii="Calibri" w:eastAsia="Times New Roman" w:hAnsi="Calibri" w:cs="Times New Roman"/>
                <w:color w:val="000000"/>
                <w:lang w:val="en-US" w:eastAsia="el-GR"/>
              </w:rPr>
              <w:t>0</w:t>
            </w:r>
          </w:p>
        </w:tc>
      </w:tr>
      <w:tr w:rsidR="00DB3DD1" w:rsidRPr="00546A14" w:rsidTr="004E50D3">
        <w:trPr>
          <w:trHeight w:val="90"/>
        </w:trPr>
        <w:tc>
          <w:tcPr>
            <w:tcW w:w="3514" w:type="dxa"/>
          </w:tcPr>
          <w:p w:rsidR="00DB3DD1" w:rsidRPr="00546A14" w:rsidRDefault="00DB3DD1">
            <w:pPr>
              <w:rPr>
                <w:rFonts w:ascii="Calibri" w:hAnsi="Calibri"/>
                <w:color w:val="000000"/>
              </w:rPr>
            </w:pPr>
            <w:r w:rsidRPr="00546A14">
              <w:rPr>
                <w:rFonts w:ascii="Calibri" w:hAnsi="Calibri"/>
                <w:color w:val="000000"/>
              </w:rPr>
              <w:t>Czech Republic</w:t>
            </w:r>
          </w:p>
        </w:tc>
        <w:tc>
          <w:tcPr>
            <w:tcW w:w="5944" w:type="dxa"/>
            <w:noWrap/>
            <w:hideMark/>
          </w:tcPr>
          <w:p w:rsidR="00DB3DD1" w:rsidRPr="00546A14" w:rsidRDefault="00DB3DD1" w:rsidP="008E6E95">
            <w:pPr>
              <w:jc w:val="right"/>
              <w:rPr>
                <w:rFonts w:ascii="Calibri" w:eastAsia="Times New Roman" w:hAnsi="Calibri" w:cs="Times New Roman"/>
                <w:color w:val="000000"/>
                <w:lang w:eastAsia="el-GR"/>
              </w:rPr>
            </w:pPr>
            <w:r w:rsidRPr="00546A14">
              <w:rPr>
                <w:rFonts w:ascii="Calibri" w:eastAsia="Times New Roman" w:hAnsi="Calibri" w:cs="Times New Roman"/>
                <w:color w:val="000000"/>
                <w:lang w:eastAsia="el-GR"/>
              </w:rPr>
              <w:t>0.004</w:t>
            </w:r>
          </w:p>
        </w:tc>
      </w:tr>
      <w:tr w:rsidR="00DB3DD1" w:rsidRPr="00546A14" w:rsidTr="004E50D3">
        <w:trPr>
          <w:trHeight w:val="90"/>
        </w:trPr>
        <w:tc>
          <w:tcPr>
            <w:tcW w:w="3514" w:type="dxa"/>
          </w:tcPr>
          <w:p w:rsidR="00DB3DD1" w:rsidRPr="00546A14" w:rsidRDefault="00DB3DD1">
            <w:pPr>
              <w:rPr>
                <w:rFonts w:ascii="Calibri" w:hAnsi="Calibri"/>
                <w:color w:val="000000"/>
              </w:rPr>
            </w:pPr>
            <w:r w:rsidRPr="00546A14">
              <w:rPr>
                <w:rFonts w:ascii="Calibri" w:hAnsi="Calibri"/>
                <w:color w:val="000000"/>
              </w:rPr>
              <w:t>Denmark</w:t>
            </w:r>
          </w:p>
        </w:tc>
        <w:tc>
          <w:tcPr>
            <w:tcW w:w="5944" w:type="dxa"/>
            <w:noWrap/>
            <w:hideMark/>
          </w:tcPr>
          <w:p w:rsidR="00DB3DD1" w:rsidRPr="00546A14" w:rsidRDefault="00DB3DD1" w:rsidP="008E6E95">
            <w:pPr>
              <w:jc w:val="right"/>
              <w:rPr>
                <w:rFonts w:ascii="Calibri" w:eastAsia="Times New Roman" w:hAnsi="Calibri" w:cs="Times New Roman"/>
                <w:color w:val="000000"/>
                <w:lang w:eastAsia="el-GR"/>
              </w:rPr>
            </w:pPr>
            <w:r w:rsidRPr="00546A14">
              <w:rPr>
                <w:rFonts w:ascii="Calibri" w:eastAsia="Times New Roman" w:hAnsi="Calibri" w:cs="Times New Roman"/>
                <w:color w:val="000000"/>
                <w:lang w:eastAsia="el-GR"/>
              </w:rPr>
              <w:t>0.128</w:t>
            </w:r>
          </w:p>
        </w:tc>
      </w:tr>
      <w:tr w:rsidR="00DB3DD1" w:rsidRPr="00546A14" w:rsidTr="004E50D3">
        <w:trPr>
          <w:trHeight w:val="90"/>
        </w:trPr>
        <w:tc>
          <w:tcPr>
            <w:tcW w:w="3514" w:type="dxa"/>
          </w:tcPr>
          <w:p w:rsidR="00DB3DD1" w:rsidRPr="00546A14" w:rsidRDefault="00DB3DD1">
            <w:pPr>
              <w:rPr>
                <w:rFonts w:ascii="Calibri" w:hAnsi="Calibri"/>
                <w:color w:val="000000"/>
              </w:rPr>
            </w:pPr>
            <w:r w:rsidRPr="00546A14">
              <w:rPr>
                <w:rFonts w:ascii="Calibri" w:hAnsi="Calibri"/>
                <w:color w:val="000000"/>
              </w:rPr>
              <w:t>Estonia</w:t>
            </w:r>
          </w:p>
        </w:tc>
        <w:tc>
          <w:tcPr>
            <w:tcW w:w="5944" w:type="dxa"/>
            <w:noWrap/>
            <w:hideMark/>
          </w:tcPr>
          <w:p w:rsidR="00DB3DD1" w:rsidRPr="00546A14" w:rsidRDefault="00DB3DD1" w:rsidP="008E6E95">
            <w:pPr>
              <w:jc w:val="right"/>
              <w:rPr>
                <w:rFonts w:ascii="Calibri" w:eastAsia="Times New Roman" w:hAnsi="Calibri" w:cs="Times New Roman"/>
                <w:color w:val="000000"/>
                <w:lang w:eastAsia="el-GR"/>
              </w:rPr>
            </w:pPr>
            <w:r w:rsidRPr="00546A14">
              <w:rPr>
                <w:rFonts w:ascii="Calibri" w:eastAsia="Times New Roman" w:hAnsi="Calibri" w:cs="Times New Roman"/>
                <w:color w:val="000000"/>
                <w:lang w:eastAsia="el-GR"/>
              </w:rPr>
              <w:t>0.077</w:t>
            </w:r>
          </w:p>
        </w:tc>
      </w:tr>
      <w:tr w:rsidR="00DB3DD1" w:rsidRPr="00546A14" w:rsidTr="004E50D3">
        <w:trPr>
          <w:trHeight w:val="90"/>
        </w:trPr>
        <w:tc>
          <w:tcPr>
            <w:tcW w:w="3514" w:type="dxa"/>
          </w:tcPr>
          <w:p w:rsidR="00DB3DD1" w:rsidRPr="00546A14" w:rsidRDefault="00DB3DD1">
            <w:pPr>
              <w:rPr>
                <w:rFonts w:ascii="Calibri" w:hAnsi="Calibri"/>
                <w:color w:val="000000"/>
              </w:rPr>
            </w:pPr>
            <w:r w:rsidRPr="00546A14">
              <w:rPr>
                <w:rFonts w:ascii="Calibri" w:hAnsi="Calibri"/>
                <w:color w:val="000000"/>
              </w:rPr>
              <w:t>Finland</w:t>
            </w:r>
          </w:p>
        </w:tc>
        <w:tc>
          <w:tcPr>
            <w:tcW w:w="5944" w:type="dxa"/>
            <w:noWrap/>
            <w:hideMark/>
          </w:tcPr>
          <w:p w:rsidR="00DB3DD1" w:rsidRPr="00546A14" w:rsidRDefault="00DB3DD1" w:rsidP="008E6E95">
            <w:pPr>
              <w:jc w:val="right"/>
              <w:rPr>
                <w:rFonts w:ascii="Calibri" w:eastAsia="Times New Roman" w:hAnsi="Calibri" w:cs="Times New Roman"/>
                <w:color w:val="000000"/>
                <w:lang w:eastAsia="el-GR"/>
              </w:rPr>
            </w:pPr>
            <w:r w:rsidRPr="00546A14">
              <w:rPr>
                <w:rFonts w:ascii="Calibri" w:eastAsia="Times New Roman" w:hAnsi="Calibri" w:cs="Times New Roman"/>
                <w:color w:val="000000"/>
                <w:lang w:eastAsia="el-GR"/>
              </w:rPr>
              <w:t>0.413</w:t>
            </w:r>
          </w:p>
        </w:tc>
      </w:tr>
      <w:tr w:rsidR="00DB3DD1" w:rsidRPr="00546A14" w:rsidTr="004E50D3">
        <w:trPr>
          <w:trHeight w:val="90"/>
        </w:trPr>
        <w:tc>
          <w:tcPr>
            <w:tcW w:w="3514" w:type="dxa"/>
          </w:tcPr>
          <w:p w:rsidR="00DB3DD1" w:rsidRPr="00546A14" w:rsidRDefault="00DB3DD1">
            <w:pPr>
              <w:rPr>
                <w:rFonts w:ascii="Calibri" w:hAnsi="Calibri"/>
                <w:color w:val="000000"/>
              </w:rPr>
            </w:pPr>
            <w:r w:rsidRPr="00546A14">
              <w:rPr>
                <w:rFonts w:ascii="Calibri" w:hAnsi="Calibri"/>
                <w:color w:val="000000"/>
              </w:rPr>
              <w:t>Germany</w:t>
            </w:r>
          </w:p>
        </w:tc>
        <w:tc>
          <w:tcPr>
            <w:tcW w:w="5944" w:type="dxa"/>
            <w:noWrap/>
            <w:hideMark/>
          </w:tcPr>
          <w:p w:rsidR="00DB3DD1" w:rsidRPr="00546A14" w:rsidRDefault="00DB3DD1" w:rsidP="008E6E95">
            <w:pPr>
              <w:jc w:val="right"/>
              <w:rPr>
                <w:rFonts w:ascii="Calibri" w:eastAsia="Times New Roman" w:hAnsi="Calibri" w:cs="Times New Roman"/>
                <w:color w:val="000000"/>
                <w:lang w:eastAsia="el-GR"/>
              </w:rPr>
            </w:pPr>
            <w:r w:rsidRPr="00546A14">
              <w:rPr>
                <w:rFonts w:ascii="Calibri" w:eastAsia="Times New Roman" w:hAnsi="Calibri" w:cs="Times New Roman"/>
                <w:color w:val="000000"/>
                <w:lang w:eastAsia="el-GR"/>
              </w:rPr>
              <w:t>0.03</w:t>
            </w:r>
            <w:r w:rsidR="00AF68EE">
              <w:rPr>
                <w:rFonts w:ascii="Calibri" w:eastAsia="Times New Roman" w:hAnsi="Calibri" w:cs="Times New Roman"/>
                <w:color w:val="000000"/>
                <w:lang w:eastAsia="el-GR"/>
              </w:rPr>
              <w:t>7</w:t>
            </w:r>
          </w:p>
        </w:tc>
      </w:tr>
      <w:tr w:rsidR="00DB3DD1" w:rsidRPr="00546A14" w:rsidTr="004E50D3">
        <w:trPr>
          <w:trHeight w:val="90"/>
        </w:trPr>
        <w:tc>
          <w:tcPr>
            <w:tcW w:w="3514" w:type="dxa"/>
          </w:tcPr>
          <w:p w:rsidR="00DB3DD1" w:rsidRPr="00546A14" w:rsidRDefault="00DB3DD1">
            <w:pPr>
              <w:rPr>
                <w:rFonts w:ascii="Calibri" w:hAnsi="Calibri"/>
                <w:color w:val="000000"/>
              </w:rPr>
            </w:pPr>
            <w:r w:rsidRPr="00546A14">
              <w:rPr>
                <w:rFonts w:ascii="Calibri" w:hAnsi="Calibri"/>
                <w:color w:val="000000"/>
              </w:rPr>
              <w:t>Greece</w:t>
            </w:r>
          </w:p>
        </w:tc>
        <w:tc>
          <w:tcPr>
            <w:tcW w:w="5944" w:type="dxa"/>
            <w:noWrap/>
            <w:hideMark/>
          </w:tcPr>
          <w:p w:rsidR="00DB3DD1" w:rsidRPr="00546A14" w:rsidRDefault="00DB3DD1" w:rsidP="008E6E95">
            <w:pPr>
              <w:jc w:val="right"/>
              <w:rPr>
                <w:rFonts w:ascii="Calibri" w:eastAsia="Times New Roman" w:hAnsi="Calibri" w:cs="Times New Roman"/>
                <w:color w:val="000000"/>
                <w:lang w:eastAsia="el-GR"/>
              </w:rPr>
            </w:pPr>
            <w:r w:rsidRPr="00546A14">
              <w:rPr>
                <w:rFonts w:ascii="Calibri" w:eastAsia="Times New Roman" w:hAnsi="Calibri" w:cs="Times New Roman"/>
                <w:color w:val="000000"/>
                <w:lang w:eastAsia="el-GR"/>
              </w:rPr>
              <w:t>0.005</w:t>
            </w:r>
          </w:p>
        </w:tc>
      </w:tr>
      <w:tr w:rsidR="00DB3DD1" w:rsidRPr="00546A14" w:rsidTr="004E50D3">
        <w:trPr>
          <w:trHeight w:val="90"/>
        </w:trPr>
        <w:tc>
          <w:tcPr>
            <w:tcW w:w="3514" w:type="dxa"/>
          </w:tcPr>
          <w:p w:rsidR="00DB3DD1" w:rsidRPr="00546A14" w:rsidRDefault="00DB3DD1">
            <w:pPr>
              <w:rPr>
                <w:rFonts w:ascii="Calibri" w:hAnsi="Calibri"/>
                <w:color w:val="000000"/>
              </w:rPr>
            </w:pPr>
            <w:r w:rsidRPr="00546A14">
              <w:rPr>
                <w:rFonts w:ascii="Calibri" w:hAnsi="Calibri"/>
                <w:color w:val="000000"/>
              </w:rPr>
              <w:t>Hong Kong SAR, China</w:t>
            </w:r>
          </w:p>
        </w:tc>
        <w:tc>
          <w:tcPr>
            <w:tcW w:w="5944" w:type="dxa"/>
            <w:noWrap/>
            <w:hideMark/>
          </w:tcPr>
          <w:p w:rsidR="00DB3DD1" w:rsidRPr="00546A14" w:rsidRDefault="00DB3DD1" w:rsidP="008E6E95">
            <w:pPr>
              <w:jc w:val="right"/>
              <w:rPr>
                <w:rFonts w:ascii="Calibri" w:eastAsia="Times New Roman" w:hAnsi="Calibri" w:cs="Times New Roman"/>
                <w:color w:val="000000"/>
                <w:lang w:eastAsia="el-GR"/>
              </w:rPr>
            </w:pPr>
            <w:r w:rsidRPr="00546A14">
              <w:rPr>
                <w:rFonts w:ascii="Calibri" w:eastAsia="Times New Roman" w:hAnsi="Calibri" w:cs="Times New Roman"/>
                <w:color w:val="000000"/>
                <w:lang w:eastAsia="el-GR"/>
              </w:rPr>
              <w:t>0.54</w:t>
            </w:r>
            <w:r w:rsidR="00AF68EE">
              <w:rPr>
                <w:rFonts w:ascii="Calibri" w:eastAsia="Times New Roman" w:hAnsi="Calibri" w:cs="Times New Roman"/>
                <w:color w:val="000000"/>
                <w:lang w:eastAsia="el-GR"/>
              </w:rPr>
              <w:t>1</w:t>
            </w:r>
          </w:p>
        </w:tc>
      </w:tr>
      <w:tr w:rsidR="00DB3DD1" w:rsidRPr="00546A14" w:rsidTr="004E50D3">
        <w:trPr>
          <w:trHeight w:val="90"/>
        </w:trPr>
        <w:tc>
          <w:tcPr>
            <w:tcW w:w="3514" w:type="dxa"/>
          </w:tcPr>
          <w:p w:rsidR="00DB3DD1" w:rsidRPr="00546A14" w:rsidRDefault="00DB3DD1">
            <w:pPr>
              <w:rPr>
                <w:rFonts w:ascii="Calibri" w:hAnsi="Calibri"/>
                <w:color w:val="000000"/>
              </w:rPr>
            </w:pPr>
            <w:r w:rsidRPr="00546A14">
              <w:rPr>
                <w:rFonts w:ascii="Calibri" w:hAnsi="Calibri"/>
                <w:color w:val="000000"/>
              </w:rPr>
              <w:t>Hungary</w:t>
            </w:r>
          </w:p>
        </w:tc>
        <w:tc>
          <w:tcPr>
            <w:tcW w:w="5944" w:type="dxa"/>
            <w:noWrap/>
            <w:hideMark/>
          </w:tcPr>
          <w:p w:rsidR="00DB3DD1" w:rsidRPr="00546A14" w:rsidRDefault="00DB3DD1" w:rsidP="008E6E95">
            <w:pPr>
              <w:jc w:val="right"/>
              <w:rPr>
                <w:rFonts w:ascii="Calibri" w:eastAsia="Times New Roman" w:hAnsi="Calibri" w:cs="Times New Roman"/>
                <w:color w:val="000000"/>
                <w:lang w:eastAsia="el-GR"/>
              </w:rPr>
            </w:pPr>
            <w:r w:rsidRPr="00546A14">
              <w:rPr>
                <w:rFonts w:ascii="Calibri" w:eastAsia="Times New Roman" w:hAnsi="Calibri" w:cs="Times New Roman"/>
                <w:color w:val="000000"/>
                <w:lang w:eastAsia="el-GR"/>
              </w:rPr>
              <w:t>0.086</w:t>
            </w:r>
          </w:p>
        </w:tc>
      </w:tr>
      <w:tr w:rsidR="00DB3DD1" w:rsidRPr="00546A14" w:rsidTr="004E50D3">
        <w:trPr>
          <w:trHeight w:val="90"/>
        </w:trPr>
        <w:tc>
          <w:tcPr>
            <w:tcW w:w="3514" w:type="dxa"/>
          </w:tcPr>
          <w:p w:rsidR="00DB3DD1" w:rsidRPr="00546A14" w:rsidRDefault="00DB3DD1">
            <w:pPr>
              <w:rPr>
                <w:rFonts w:ascii="Calibri" w:hAnsi="Calibri"/>
                <w:color w:val="000000"/>
              </w:rPr>
            </w:pPr>
            <w:r w:rsidRPr="00546A14">
              <w:rPr>
                <w:rFonts w:ascii="Calibri" w:hAnsi="Calibri"/>
                <w:color w:val="000000"/>
              </w:rPr>
              <w:t>India</w:t>
            </w:r>
          </w:p>
        </w:tc>
        <w:tc>
          <w:tcPr>
            <w:tcW w:w="5944" w:type="dxa"/>
            <w:noWrap/>
            <w:hideMark/>
          </w:tcPr>
          <w:p w:rsidR="00DB3DD1" w:rsidRPr="00546A14" w:rsidRDefault="00DB3DD1" w:rsidP="008E6E95">
            <w:pPr>
              <w:jc w:val="right"/>
              <w:rPr>
                <w:rFonts w:ascii="Calibri" w:eastAsia="Times New Roman" w:hAnsi="Calibri" w:cs="Times New Roman"/>
                <w:color w:val="000000"/>
                <w:lang w:eastAsia="el-GR"/>
              </w:rPr>
            </w:pPr>
            <w:r w:rsidRPr="00546A14">
              <w:rPr>
                <w:rFonts w:ascii="Calibri" w:eastAsia="Times New Roman" w:hAnsi="Calibri" w:cs="Times New Roman"/>
                <w:color w:val="000000"/>
                <w:lang w:eastAsia="el-GR"/>
              </w:rPr>
              <w:t>0.188</w:t>
            </w:r>
          </w:p>
        </w:tc>
      </w:tr>
      <w:tr w:rsidR="00DB3DD1" w:rsidRPr="00546A14" w:rsidTr="004E50D3">
        <w:trPr>
          <w:trHeight w:val="90"/>
        </w:trPr>
        <w:tc>
          <w:tcPr>
            <w:tcW w:w="3514" w:type="dxa"/>
          </w:tcPr>
          <w:p w:rsidR="00DB3DD1" w:rsidRPr="00546A14" w:rsidRDefault="00DB3DD1">
            <w:pPr>
              <w:rPr>
                <w:rFonts w:ascii="Calibri" w:hAnsi="Calibri"/>
                <w:color w:val="000000"/>
              </w:rPr>
            </w:pPr>
            <w:r w:rsidRPr="00546A14">
              <w:rPr>
                <w:rFonts w:ascii="Calibri" w:hAnsi="Calibri"/>
                <w:color w:val="000000"/>
              </w:rPr>
              <w:t>Indonesia</w:t>
            </w:r>
          </w:p>
        </w:tc>
        <w:tc>
          <w:tcPr>
            <w:tcW w:w="5944" w:type="dxa"/>
            <w:noWrap/>
            <w:hideMark/>
          </w:tcPr>
          <w:p w:rsidR="00DB3DD1" w:rsidRPr="00546A14" w:rsidRDefault="00DB3DD1" w:rsidP="008E6E95">
            <w:pPr>
              <w:jc w:val="right"/>
              <w:rPr>
                <w:rFonts w:ascii="Calibri" w:eastAsia="Times New Roman" w:hAnsi="Calibri" w:cs="Times New Roman"/>
                <w:color w:val="000000"/>
                <w:lang w:eastAsia="el-GR"/>
              </w:rPr>
            </w:pPr>
            <w:r w:rsidRPr="00546A14">
              <w:rPr>
                <w:rFonts w:ascii="Calibri" w:eastAsia="Times New Roman" w:hAnsi="Calibri" w:cs="Times New Roman"/>
                <w:color w:val="000000"/>
                <w:lang w:eastAsia="el-GR"/>
              </w:rPr>
              <w:t>0.049</w:t>
            </w:r>
            <w:r w:rsidR="00AF68EE">
              <w:rPr>
                <w:rFonts w:ascii="Calibri" w:eastAsia="Times New Roman" w:hAnsi="Calibri" w:cs="Times New Roman"/>
                <w:color w:val="000000"/>
                <w:lang w:eastAsia="el-GR"/>
              </w:rPr>
              <w:t>9</w:t>
            </w:r>
          </w:p>
        </w:tc>
      </w:tr>
      <w:tr w:rsidR="00DB3DD1" w:rsidRPr="00546A14" w:rsidTr="004E50D3">
        <w:trPr>
          <w:trHeight w:val="90"/>
        </w:trPr>
        <w:tc>
          <w:tcPr>
            <w:tcW w:w="3514" w:type="dxa"/>
          </w:tcPr>
          <w:p w:rsidR="00DB3DD1" w:rsidRPr="00546A14" w:rsidRDefault="00DB3DD1">
            <w:pPr>
              <w:rPr>
                <w:rFonts w:ascii="Calibri" w:hAnsi="Calibri"/>
                <w:color w:val="000000"/>
              </w:rPr>
            </w:pPr>
            <w:r w:rsidRPr="00546A14">
              <w:rPr>
                <w:rFonts w:ascii="Calibri" w:hAnsi="Calibri"/>
                <w:color w:val="000000"/>
              </w:rPr>
              <w:t>Ireland</w:t>
            </w:r>
          </w:p>
        </w:tc>
        <w:tc>
          <w:tcPr>
            <w:tcW w:w="5944" w:type="dxa"/>
            <w:noWrap/>
            <w:hideMark/>
          </w:tcPr>
          <w:p w:rsidR="00DB3DD1" w:rsidRPr="00546A14" w:rsidRDefault="00DB3DD1" w:rsidP="008E6E95">
            <w:pPr>
              <w:jc w:val="right"/>
              <w:rPr>
                <w:rFonts w:ascii="Calibri" w:eastAsia="Times New Roman" w:hAnsi="Calibri" w:cs="Times New Roman"/>
                <w:color w:val="000000"/>
                <w:lang w:val="en-US" w:eastAsia="el-GR"/>
              </w:rPr>
            </w:pPr>
            <w:r w:rsidRPr="00546A14">
              <w:rPr>
                <w:rFonts w:ascii="Calibri" w:eastAsia="Times New Roman" w:hAnsi="Calibri" w:cs="Times New Roman"/>
                <w:color w:val="000000"/>
                <w:lang w:val="en-US" w:eastAsia="el-GR"/>
              </w:rPr>
              <w:t>0</w:t>
            </w:r>
          </w:p>
        </w:tc>
      </w:tr>
      <w:tr w:rsidR="00DB3DD1" w:rsidRPr="00546A14" w:rsidTr="004E50D3">
        <w:trPr>
          <w:trHeight w:val="90"/>
        </w:trPr>
        <w:tc>
          <w:tcPr>
            <w:tcW w:w="3514" w:type="dxa"/>
          </w:tcPr>
          <w:p w:rsidR="00DB3DD1" w:rsidRPr="00546A14" w:rsidRDefault="00DB3DD1">
            <w:pPr>
              <w:rPr>
                <w:rFonts w:ascii="Calibri" w:hAnsi="Calibri"/>
                <w:color w:val="000000"/>
              </w:rPr>
            </w:pPr>
            <w:r w:rsidRPr="00546A14">
              <w:rPr>
                <w:rFonts w:ascii="Calibri" w:hAnsi="Calibri"/>
                <w:color w:val="000000"/>
              </w:rPr>
              <w:t>Israel</w:t>
            </w:r>
          </w:p>
        </w:tc>
        <w:tc>
          <w:tcPr>
            <w:tcW w:w="5944" w:type="dxa"/>
            <w:noWrap/>
            <w:hideMark/>
          </w:tcPr>
          <w:p w:rsidR="00DB3DD1" w:rsidRPr="00546A14" w:rsidRDefault="00DB3DD1" w:rsidP="008E6E95">
            <w:pPr>
              <w:jc w:val="right"/>
              <w:rPr>
                <w:rFonts w:ascii="Calibri" w:eastAsia="Times New Roman" w:hAnsi="Calibri" w:cs="Times New Roman"/>
                <w:color w:val="000000"/>
                <w:lang w:val="en-US" w:eastAsia="el-GR"/>
              </w:rPr>
            </w:pPr>
            <w:r w:rsidRPr="00546A14">
              <w:rPr>
                <w:rFonts w:ascii="Calibri" w:eastAsia="Times New Roman" w:hAnsi="Calibri" w:cs="Times New Roman"/>
                <w:color w:val="000000"/>
                <w:lang w:val="en-US" w:eastAsia="el-GR"/>
              </w:rPr>
              <w:t>0.05</w:t>
            </w:r>
            <w:r w:rsidR="00AF68EE">
              <w:rPr>
                <w:rFonts w:ascii="Calibri" w:eastAsia="Times New Roman" w:hAnsi="Calibri" w:cs="Times New Roman"/>
                <w:color w:val="000000"/>
                <w:lang w:val="en-US" w:eastAsia="el-GR"/>
              </w:rPr>
              <w:t>0</w:t>
            </w:r>
          </w:p>
        </w:tc>
      </w:tr>
      <w:tr w:rsidR="00DB3DD1" w:rsidRPr="00546A14" w:rsidTr="004E50D3">
        <w:trPr>
          <w:trHeight w:val="90"/>
        </w:trPr>
        <w:tc>
          <w:tcPr>
            <w:tcW w:w="3514" w:type="dxa"/>
          </w:tcPr>
          <w:p w:rsidR="00DB3DD1" w:rsidRPr="00546A14" w:rsidRDefault="00DB3DD1">
            <w:pPr>
              <w:rPr>
                <w:rFonts w:ascii="Calibri" w:hAnsi="Calibri"/>
                <w:color w:val="000000"/>
              </w:rPr>
            </w:pPr>
            <w:r w:rsidRPr="00546A14">
              <w:rPr>
                <w:rFonts w:ascii="Calibri" w:hAnsi="Calibri"/>
                <w:color w:val="000000"/>
              </w:rPr>
              <w:t>Italy</w:t>
            </w:r>
          </w:p>
        </w:tc>
        <w:tc>
          <w:tcPr>
            <w:tcW w:w="5944" w:type="dxa"/>
            <w:noWrap/>
            <w:hideMark/>
          </w:tcPr>
          <w:p w:rsidR="00DB3DD1" w:rsidRPr="00546A14" w:rsidRDefault="00DB3DD1" w:rsidP="008E6E95">
            <w:pPr>
              <w:jc w:val="right"/>
              <w:rPr>
                <w:rFonts w:ascii="Calibri" w:eastAsia="Times New Roman" w:hAnsi="Calibri" w:cs="Times New Roman"/>
                <w:color w:val="000000"/>
                <w:lang w:eastAsia="el-GR"/>
              </w:rPr>
            </w:pPr>
            <w:r w:rsidRPr="00546A14">
              <w:rPr>
                <w:rFonts w:ascii="Calibri" w:eastAsia="Times New Roman" w:hAnsi="Calibri" w:cs="Times New Roman"/>
                <w:color w:val="000000"/>
                <w:lang w:eastAsia="el-GR"/>
              </w:rPr>
              <w:t>0.153</w:t>
            </w:r>
          </w:p>
        </w:tc>
      </w:tr>
      <w:tr w:rsidR="00DB3DD1" w:rsidRPr="00546A14" w:rsidTr="004E50D3">
        <w:trPr>
          <w:trHeight w:val="90"/>
        </w:trPr>
        <w:tc>
          <w:tcPr>
            <w:tcW w:w="3514" w:type="dxa"/>
          </w:tcPr>
          <w:p w:rsidR="00DB3DD1" w:rsidRPr="00546A14" w:rsidRDefault="00DB3DD1">
            <w:pPr>
              <w:rPr>
                <w:rFonts w:ascii="Calibri" w:hAnsi="Calibri"/>
                <w:color w:val="000000"/>
              </w:rPr>
            </w:pPr>
            <w:r w:rsidRPr="00546A14">
              <w:rPr>
                <w:rFonts w:ascii="Calibri" w:hAnsi="Calibri"/>
                <w:color w:val="000000"/>
              </w:rPr>
              <w:t>Jamaica</w:t>
            </w:r>
          </w:p>
        </w:tc>
        <w:tc>
          <w:tcPr>
            <w:tcW w:w="5944" w:type="dxa"/>
            <w:noWrap/>
            <w:hideMark/>
          </w:tcPr>
          <w:p w:rsidR="00DB3DD1" w:rsidRPr="00546A14" w:rsidRDefault="00DB3DD1" w:rsidP="008E6E95">
            <w:pPr>
              <w:jc w:val="right"/>
              <w:rPr>
                <w:rFonts w:ascii="Calibri" w:eastAsia="Times New Roman" w:hAnsi="Calibri" w:cs="Times New Roman"/>
                <w:color w:val="000000"/>
                <w:lang w:val="en-US" w:eastAsia="el-GR"/>
              </w:rPr>
            </w:pPr>
            <w:r w:rsidRPr="00546A14">
              <w:rPr>
                <w:rFonts w:ascii="Calibri" w:eastAsia="Times New Roman" w:hAnsi="Calibri" w:cs="Times New Roman"/>
                <w:color w:val="000000"/>
                <w:lang w:val="en-US" w:eastAsia="el-GR"/>
              </w:rPr>
              <w:t>0.16</w:t>
            </w:r>
            <w:r w:rsidR="00AF68EE">
              <w:rPr>
                <w:rFonts w:ascii="Calibri" w:eastAsia="Times New Roman" w:hAnsi="Calibri" w:cs="Times New Roman"/>
                <w:color w:val="000000"/>
                <w:lang w:val="en-US" w:eastAsia="el-GR"/>
              </w:rPr>
              <w:t>0</w:t>
            </w:r>
          </w:p>
        </w:tc>
      </w:tr>
      <w:tr w:rsidR="00DB3DD1" w:rsidRPr="00546A14" w:rsidTr="004E50D3">
        <w:trPr>
          <w:trHeight w:val="90"/>
        </w:trPr>
        <w:tc>
          <w:tcPr>
            <w:tcW w:w="3514" w:type="dxa"/>
          </w:tcPr>
          <w:p w:rsidR="00DB3DD1" w:rsidRPr="00546A14" w:rsidRDefault="00DB3DD1">
            <w:pPr>
              <w:rPr>
                <w:rFonts w:ascii="Calibri" w:hAnsi="Calibri"/>
                <w:color w:val="000000"/>
              </w:rPr>
            </w:pPr>
            <w:r w:rsidRPr="00546A14">
              <w:rPr>
                <w:rFonts w:ascii="Calibri" w:hAnsi="Calibri"/>
                <w:color w:val="000000"/>
              </w:rPr>
              <w:t>Japan</w:t>
            </w:r>
          </w:p>
        </w:tc>
        <w:tc>
          <w:tcPr>
            <w:tcW w:w="5944" w:type="dxa"/>
            <w:noWrap/>
            <w:hideMark/>
          </w:tcPr>
          <w:p w:rsidR="00DB3DD1" w:rsidRPr="00546A14" w:rsidRDefault="00DB3DD1" w:rsidP="008E6E95">
            <w:pPr>
              <w:jc w:val="right"/>
              <w:rPr>
                <w:rFonts w:ascii="Calibri" w:eastAsia="Times New Roman" w:hAnsi="Calibri" w:cs="Times New Roman"/>
                <w:color w:val="000000"/>
                <w:lang w:eastAsia="el-GR"/>
              </w:rPr>
            </w:pPr>
            <w:r w:rsidRPr="00546A14">
              <w:rPr>
                <w:rFonts w:ascii="Calibri" w:eastAsia="Times New Roman" w:hAnsi="Calibri" w:cs="Times New Roman"/>
                <w:color w:val="000000"/>
                <w:lang w:eastAsia="el-GR"/>
              </w:rPr>
              <w:t>0.087</w:t>
            </w:r>
          </w:p>
        </w:tc>
      </w:tr>
      <w:tr w:rsidR="00DB3DD1" w:rsidRPr="00546A14" w:rsidTr="004E50D3">
        <w:trPr>
          <w:trHeight w:val="90"/>
        </w:trPr>
        <w:tc>
          <w:tcPr>
            <w:tcW w:w="3514" w:type="dxa"/>
          </w:tcPr>
          <w:p w:rsidR="00DB3DD1" w:rsidRPr="00546A14" w:rsidRDefault="00DB3DD1">
            <w:pPr>
              <w:rPr>
                <w:rFonts w:ascii="Calibri" w:hAnsi="Calibri"/>
                <w:color w:val="000000"/>
              </w:rPr>
            </w:pPr>
            <w:r w:rsidRPr="00546A14">
              <w:rPr>
                <w:rFonts w:ascii="Calibri" w:hAnsi="Calibri"/>
                <w:color w:val="000000"/>
              </w:rPr>
              <w:t>Korea, Rep.</w:t>
            </w:r>
          </w:p>
        </w:tc>
        <w:tc>
          <w:tcPr>
            <w:tcW w:w="5944" w:type="dxa"/>
            <w:noWrap/>
            <w:hideMark/>
          </w:tcPr>
          <w:p w:rsidR="00DB3DD1" w:rsidRPr="00546A14" w:rsidRDefault="00DB3DD1" w:rsidP="008E6E95">
            <w:pPr>
              <w:jc w:val="right"/>
              <w:rPr>
                <w:rFonts w:ascii="Calibri" w:eastAsia="Times New Roman" w:hAnsi="Calibri" w:cs="Times New Roman"/>
                <w:color w:val="000000"/>
                <w:lang w:eastAsia="el-GR"/>
              </w:rPr>
            </w:pPr>
            <w:r w:rsidRPr="00546A14">
              <w:rPr>
                <w:rFonts w:ascii="Calibri" w:eastAsia="Times New Roman" w:hAnsi="Calibri" w:cs="Times New Roman"/>
                <w:color w:val="000000"/>
                <w:lang w:eastAsia="el-GR"/>
              </w:rPr>
              <w:t>0.00</w:t>
            </w:r>
            <w:r w:rsidR="00AF68EE">
              <w:rPr>
                <w:rFonts w:ascii="Calibri" w:eastAsia="Times New Roman" w:hAnsi="Calibri" w:cs="Times New Roman"/>
                <w:color w:val="000000"/>
                <w:lang w:eastAsia="el-GR"/>
              </w:rPr>
              <w:t>2</w:t>
            </w:r>
          </w:p>
        </w:tc>
      </w:tr>
      <w:tr w:rsidR="00DB3DD1" w:rsidRPr="00546A14" w:rsidTr="004E50D3">
        <w:trPr>
          <w:trHeight w:val="90"/>
        </w:trPr>
        <w:tc>
          <w:tcPr>
            <w:tcW w:w="3514" w:type="dxa"/>
          </w:tcPr>
          <w:p w:rsidR="00DB3DD1" w:rsidRPr="00546A14" w:rsidRDefault="00DB3DD1">
            <w:pPr>
              <w:rPr>
                <w:rFonts w:ascii="Calibri" w:hAnsi="Calibri"/>
                <w:color w:val="000000"/>
              </w:rPr>
            </w:pPr>
            <w:r w:rsidRPr="00546A14">
              <w:rPr>
                <w:rFonts w:ascii="Calibri" w:hAnsi="Calibri"/>
                <w:color w:val="000000"/>
              </w:rPr>
              <w:t>Latvia</w:t>
            </w:r>
          </w:p>
        </w:tc>
        <w:tc>
          <w:tcPr>
            <w:tcW w:w="5944" w:type="dxa"/>
            <w:noWrap/>
            <w:hideMark/>
          </w:tcPr>
          <w:p w:rsidR="00DB3DD1" w:rsidRPr="00546A14" w:rsidRDefault="00DB3DD1" w:rsidP="008E6E95">
            <w:pPr>
              <w:jc w:val="right"/>
              <w:rPr>
                <w:rFonts w:ascii="Calibri" w:eastAsia="Times New Roman" w:hAnsi="Calibri" w:cs="Times New Roman"/>
                <w:color w:val="000000"/>
                <w:lang w:eastAsia="el-GR"/>
              </w:rPr>
            </w:pPr>
            <w:r w:rsidRPr="00546A14">
              <w:rPr>
                <w:rFonts w:ascii="Calibri" w:eastAsia="Times New Roman" w:hAnsi="Calibri" w:cs="Times New Roman"/>
                <w:color w:val="000000"/>
                <w:lang w:eastAsia="el-GR"/>
              </w:rPr>
              <w:t>0.009</w:t>
            </w:r>
          </w:p>
        </w:tc>
      </w:tr>
      <w:tr w:rsidR="00DB3DD1" w:rsidRPr="00546A14" w:rsidTr="004E50D3">
        <w:trPr>
          <w:trHeight w:val="90"/>
        </w:trPr>
        <w:tc>
          <w:tcPr>
            <w:tcW w:w="3514" w:type="dxa"/>
          </w:tcPr>
          <w:p w:rsidR="00DB3DD1" w:rsidRPr="00546A14" w:rsidRDefault="00DB3DD1">
            <w:pPr>
              <w:rPr>
                <w:rFonts w:ascii="Calibri" w:hAnsi="Calibri"/>
                <w:color w:val="000000"/>
              </w:rPr>
            </w:pPr>
            <w:r w:rsidRPr="00546A14">
              <w:rPr>
                <w:rFonts w:ascii="Calibri" w:hAnsi="Calibri"/>
                <w:color w:val="000000"/>
              </w:rPr>
              <w:t>Luxembourg</w:t>
            </w:r>
          </w:p>
        </w:tc>
        <w:tc>
          <w:tcPr>
            <w:tcW w:w="5944" w:type="dxa"/>
            <w:noWrap/>
            <w:hideMark/>
          </w:tcPr>
          <w:p w:rsidR="00DB3DD1" w:rsidRPr="00546A14" w:rsidRDefault="00DB3DD1" w:rsidP="008E6E95">
            <w:pPr>
              <w:jc w:val="right"/>
              <w:rPr>
                <w:rFonts w:ascii="Calibri" w:eastAsia="Times New Roman" w:hAnsi="Calibri" w:cs="Times New Roman"/>
                <w:color w:val="000000"/>
                <w:lang w:eastAsia="el-GR"/>
              </w:rPr>
            </w:pPr>
            <w:r w:rsidRPr="00546A14">
              <w:rPr>
                <w:rFonts w:ascii="Calibri" w:eastAsia="Times New Roman" w:hAnsi="Calibri" w:cs="Times New Roman"/>
                <w:color w:val="000000"/>
                <w:lang w:eastAsia="el-GR"/>
              </w:rPr>
              <w:t>0.13</w:t>
            </w:r>
            <w:r w:rsidR="00AF68EE">
              <w:rPr>
                <w:rFonts w:ascii="Calibri" w:eastAsia="Times New Roman" w:hAnsi="Calibri" w:cs="Times New Roman"/>
                <w:color w:val="000000"/>
                <w:lang w:eastAsia="el-GR"/>
              </w:rPr>
              <w:t>4</w:t>
            </w:r>
          </w:p>
        </w:tc>
      </w:tr>
      <w:tr w:rsidR="00DB3DD1" w:rsidRPr="00546A14" w:rsidTr="004E50D3">
        <w:trPr>
          <w:trHeight w:val="90"/>
        </w:trPr>
        <w:tc>
          <w:tcPr>
            <w:tcW w:w="3514" w:type="dxa"/>
          </w:tcPr>
          <w:p w:rsidR="00DB3DD1" w:rsidRPr="00546A14" w:rsidRDefault="00DB3DD1">
            <w:pPr>
              <w:rPr>
                <w:rFonts w:ascii="Calibri" w:hAnsi="Calibri"/>
                <w:color w:val="000000"/>
              </w:rPr>
            </w:pPr>
            <w:r w:rsidRPr="00546A14">
              <w:rPr>
                <w:rFonts w:ascii="Calibri" w:hAnsi="Calibri"/>
                <w:color w:val="000000"/>
              </w:rPr>
              <w:t>Malta</w:t>
            </w:r>
          </w:p>
        </w:tc>
        <w:tc>
          <w:tcPr>
            <w:tcW w:w="5944" w:type="dxa"/>
            <w:noWrap/>
            <w:hideMark/>
          </w:tcPr>
          <w:p w:rsidR="00DB3DD1" w:rsidRPr="00546A14" w:rsidRDefault="00DB3DD1" w:rsidP="008E6E95">
            <w:pPr>
              <w:jc w:val="right"/>
              <w:rPr>
                <w:rFonts w:ascii="Calibri" w:eastAsia="Times New Roman" w:hAnsi="Calibri" w:cs="Times New Roman"/>
                <w:color w:val="000000"/>
                <w:lang w:eastAsia="el-GR"/>
              </w:rPr>
            </w:pPr>
            <w:r w:rsidRPr="00546A14">
              <w:rPr>
                <w:rFonts w:ascii="Calibri" w:eastAsia="Times New Roman" w:hAnsi="Calibri" w:cs="Times New Roman"/>
                <w:color w:val="000000"/>
                <w:lang w:eastAsia="el-GR"/>
              </w:rPr>
              <w:t>0.348</w:t>
            </w:r>
          </w:p>
        </w:tc>
      </w:tr>
      <w:tr w:rsidR="00DB3DD1" w:rsidRPr="00546A14" w:rsidTr="004E50D3">
        <w:trPr>
          <w:trHeight w:val="90"/>
        </w:trPr>
        <w:tc>
          <w:tcPr>
            <w:tcW w:w="3514" w:type="dxa"/>
          </w:tcPr>
          <w:p w:rsidR="00DB3DD1" w:rsidRPr="00546A14" w:rsidRDefault="00DB3DD1">
            <w:pPr>
              <w:rPr>
                <w:rFonts w:ascii="Calibri" w:hAnsi="Calibri"/>
                <w:color w:val="000000"/>
              </w:rPr>
            </w:pPr>
            <w:r w:rsidRPr="00546A14">
              <w:rPr>
                <w:rFonts w:ascii="Calibri" w:hAnsi="Calibri"/>
                <w:color w:val="000000"/>
              </w:rPr>
              <w:t>Mexico</w:t>
            </w:r>
          </w:p>
        </w:tc>
        <w:tc>
          <w:tcPr>
            <w:tcW w:w="5944" w:type="dxa"/>
            <w:noWrap/>
            <w:hideMark/>
          </w:tcPr>
          <w:p w:rsidR="00DB3DD1" w:rsidRPr="00546A14" w:rsidRDefault="00DB3DD1" w:rsidP="008E6E95">
            <w:pPr>
              <w:jc w:val="right"/>
              <w:rPr>
                <w:rFonts w:ascii="Calibri" w:eastAsia="Times New Roman" w:hAnsi="Calibri" w:cs="Times New Roman"/>
                <w:color w:val="000000"/>
                <w:lang w:eastAsia="el-GR"/>
              </w:rPr>
            </w:pPr>
            <w:r w:rsidRPr="00546A14">
              <w:rPr>
                <w:rFonts w:ascii="Calibri" w:eastAsia="Times New Roman" w:hAnsi="Calibri" w:cs="Times New Roman"/>
                <w:color w:val="000000"/>
                <w:lang w:eastAsia="el-GR"/>
              </w:rPr>
              <w:t>0.17</w:t>
            </w:r>
            <w:r w:rsidR="00AF68EE">
              <w:rPr>
                <w:rFonts w:ascii="Calibri" w:eastAsia="Times New Roman" w:hAnsi="Calibri" w:cs="Times New Roman"/>
                <w:color w:val="000000"/>
                <w:lang w:eastAsia="el-GR"/>
              </w:rPr>
              <w:t>6</w:t>
            </w:r>
          </w:p>
        </w:tc>
      </w:tr>
      <w:tr w:rsidR="00DB3DD1" w:rsidRPr="00546A14" w:rsidTr="004E50D3">
        <w:trPr>
          <w:trHeight w:val="90"/>
        </w:trPr>
        <w:tc>
          <w:tcPr>
            <w:tcW w:w="3514" w:type="dxa"/>
          </w:tcPr>
          <w:p w:rsidR="00DB3DD1" w:rsidRPr="00546A14" w:rsidRDefault="00DB3DD1">
            <w:pPr>
              <w:rPr>
                <w:rFonts w:ascii="Calibri" w:hAnsi="Calibri"/>
                <w:color w:val="000000"/>
              </w:rPr>
            </w:pPr>
            <w:r w:rsidRPr="00546A14">
              <w:rPr>
                <w:rFonts w:ascii="Calibri" w:hAnsi="Calibri"/>
                <w:color w:val="000000"/>
              </w:rPr>
              <w:t>Netherlands</w:t>
            </w:r>
          </w:p>
        </w:tc>
        <w:tc>
          <w:tcPr>
            <w:tcW w:w="5944" w:type="dxa"/>
            <w:noWrap/>
            <w:hideMark/>
          </w:tcPr>
          <w:p w:rsidR="00DB3DD1" w:rsidRPr="00546A14" w:rsidRDefault="00DB3DD1" w:rsidP="008E6E95">
            <w:pPr>
              <w:jc w:val="right"/>
              <w:rPr>
                <w:rFonts w:ascii="Calibri" w:eastAsia="Times New Roman" w:hAnsi="Calibri" w:cs="Times New Roman"/>
                <w:color w:val="000000"/>
                <w:lang w:eastAsia="el-GR"/>
              </w:rPr>
            </w:pPr>
            <w:r w:rsidRPr="00546A14">
              <w:rPr>
                <w:rFonts w:ascii="Calibri" w:eastAsia="Times New Roman" w:hAnsi="Calibri" w:cs="Times New Roman"/>
                <w:color w:val="000000"/>
                <w:lang w:eastAsia="el-GR"/>
              </w:rPr>
              <w:t>0.335</w:t>
            </w:r>
          </w:p>
        </w:tc>
      </w:tr>
      <w:tr w:rsidR="00DB3DD1" w:rsidRPr="00546A14" w:rsidTr="004E50D3">
        <w:trPr>
          <w:trHeight w:val="90"/>
        </w:trPr>
        <w:tc>
          <w:tcPr>
            <w:tcW w:w="3514" w:type="dxa"/>
          </w:tcPr>
          <w:p w:rsidR="00DB3DD1" w:rsidRPr="00546A14" w:rsidRDefault="00DB3DD1">
            <w:pPr>
              <w:rPr>
                <w:rFonts w:ascii="Calibri" w:hAnsi="Calibri"/>
                <w:color w:val="000000"/>
              </w:rPr>
            </w:pPr>
            <w:r w:rsidRPr="00546A14">
              <w:rPr>
                <w:rFonts w:ascii="Calibri" w:hAnsi="Calibri"/>
                <w:color w:val="000000"/>
              </w:rPr>
              <w:t>Norway</w:t>
            </w:r>
          </w:p>
        </w:tc>
        <w:tc>
          <w:tcPr>
            <w:tcW w:w="5944" w:type="dxa"/>
            <w:noWrap/>
            <w:hideMark/>
          </w:tcPr>
          <w:p w:rsidR="00DB3DD1" w:rsidRPr="00546A14" w:rsidRDefault="00DB3DD1" w:rsidP="008E6E95">
            <w:pPr>
              <w:jc w:val="right"/>
              <w:rPr>
                <w:rFonts w:ascii="Calibri" w:eastAsia="Times New Roman" w:hAnsi="Calibri" w:cs="Times New Roman"/>
                <w:color w:val="000000"/>
                <w:lang w:eastAsia="el-GR"/>
              </w:rPr>
            </w:pPr>
            <w:r w:rsidRPr="00546A14">
              <w:rPr>
                <w:rFonts w:ascii="Calibri" w:eastAsia="Times New Roman" w:hAnsi="Calibri" w:cs="Times New Roman"/>
                <w:color w:val="000000"/>
                <w:lang w:eastAsia="el-GR"/>
              </w:rPr>
              <w:t>0.2</w:t>
            </w:r>
            <w:r w:rsidR="00AF68EE">
              <w:rPr>
                <w:rFonts w:ascii="Calibri" w:eastAsia="Times New Roman" w:hAnsi="Calibri" w:cs="Times New Roman"/>
                <w:color w:val="000000"/>
                <w:lang w:eastAsia="el-GR"/>
              </w:rPr>
              <w:t>90</w:t>
            </w:r>
          </w:p>
        </w:tc>
      </w:tr>
      <w:tr w:rsidR="00DB3DD1" w:rsidRPr="00546A14" w:rsidTr="004E50D3">
        <w:trPr>
          <w:trHeight w:val="90"/>
        </w:trPr>
        <w:tc>
          <w:tcPr>
            <w:tcW w:w="3514" w:type="dxa"/>
          </w:tcPr>
          <w:p w:rsidR="00DB3DD1" w:rsidRPr="00546A14" w:rsidRDefault="00DB3DD1">
            <w:pPr>
              <w:rPr>
                <w:rFonts w:ascii="Calibri" w:hAnsi="Calibri"/>
                <w:color w:val="000000"/>
              </w:rPr>
            </w:pPr>
            <w:r w:rsidRPr="00546A14">
              <w:rPr>
                <w:rFonts w:ascii="Calibri" w:hAnsi="Calibri"/>
                <w:color w:val="000000"/>
              </w:rPr>
              <w:t>Pakistan</w:t>
            </w:r>
          </w:p>
        </w:tc>
        <w:tc>
          <w:tcPr>
            <w:tcW w:w="5944" w:type="dxa"/>
            <w:noWrap/>
            <w:hideMark/>
          </w:tcPr>
          <w:p w:rsidR="00DB3DD1" w:rsidRPr="00546A14" w:rsidRDefault="00DB3DD1" w:rsidP="008E6E95">
            <w:pPr>
              <w:jc w:val="right"/>
              <w:rPr>
                <w:rFonts w:ascii="Calibri" w:eastAsia="Times New Roman" w:hAnsi="Calibri" w:cs="Times New Roman"/>
                <w:color w:val="000000"/>
                <w:lang w:eastAsia="el-GR"/>
              </w:rPr>
            </w:pPr>
            <w:r w:rsidRPr="00546A14">
              <w:rPr>
                <w:rFonts w:ascii="Calibri" w:eastAsia="Times New Roman" w:hAnsi="Calibri" w:cs="Times New Roman"/>
                <w:color w:val="000000"/>
                <w:lang w:eastAsia="el-GR"/>
              </w:rPr>
              <w:t>0.28</w:t>
            </w:r>
            <w:r w:rsidR="00AF68EE">
              <w:rPr>
                <w:rFonts w:ascii="Calibri" w:eastAsia="Times New Roman" w:hAnsi="Calibri" w:cs="Times New Roman"/>
                <w:color w:val="000000"/>
                <w:lang w:eastAsia="el-GR"/>
              </w:rPr>
              <w:t>7</w:t>
            </w:r>
          </w:p>
        </w:tc>
      </w:tr>
      <w:tr w:rsidR="00DB3DD1" w:rsidRPr="00546A14" w:rsidTr="004E50D3">
        <w:trPr>
          <w:trHeight w:val="90"/>
        </w:trPr>
        <w:tc>
          <w:tcPr>
            <w:tcW w:w="3514" w:type="dxa"/>
          </w:tcPr>
          <w:p w:rsidR="00DB3DD1" w:rsidRPr="00546A14" w:rsidRDefault="00DB3DD1">
            <w:pPr>
              <w:rPr>
                <w:rFonts w:ascii="Calibri" w:hAnsi="Calibri"/>
                <w:color w:val="000000"/>
              </w:rPr>
            </w:pPr>
            <w:r w:rsidRPr="00546A14">
              <w:rPr>
                <w:rFonts w:ascii="Calibri" w:hAnsi="Calibri"/>
                <w:color w:val="000000"/>
              </w:rPr>
              <w:t>Peru</w:t>
            </w:r>
          </w:p>
        </w:tc>
        <w:tc>
          <w:tcPr>
            <w:tcW w:w="5944" w:type="dxa"/>
            <w:noWrap/>
            <w:hideMark/>
          </w:tcPr>
          <w:p w:rsidR="00DB3DD1" w:rsidRPr="00546A14" w:rsidRDefault="00DB3DD1" w:rsidP="008E6E95">
            <w:pPr>
              <w:jc w:val="right"/>
              <w:rPr>
                <w:rFonts w:ascii="Calibri" w:eastAsia="Times New Roman" w:hAnsi="Calibri" w:cs="Times New Roman"/>
                <w:color w:val="000000"/>
                <w:lang w:eastAsia="el-GR"/>
              </w:rPr>
            </w:pPr>
            <w:r w:rsidRPr="00546A14">
              <w:rPr>
                <w:rFonts w:ascii="Calibri" w:eastAsia="Times New Roman" w:hAnsi="Calibri" w:cs="Times New Roman"/>
                <w:color w:val="000000"/>
                <w:lang w:eastAsia="el-GR"/>
              </w:rPr>
              <w:t>0.439</w:t>
            </w:r>
          </w:p>
        </w:tc>
      </w:tr>
      <w:tr w:rsidR="00DB3DD1" w:rsidRPr="00546A14" w:rsidTr="004E50D3">
        <w:trPr>
          <w:trHeight w:val="90"/>
        </w:trPr>
        <w:tc>
          <w:tcPr>
            <w:tcW w:w="3514" w:type="dxa"/>
          </w:tcPr>
          <w:p w:rsidR="00DB3DD1" w:rsidRPr="00546A14" w:rsidRDefault="00DB3DD1">
            <w:pPr>
              <w:rPr>
                <w:rFonts w:ascii="Calibri" w:hAnsi="Calibri"/>
                <w:color w:val="000000"/>
              </w:rPr>
            </w:pPr>
            <w:r w:rsidRPr="00546A14">
              <w:rPr>
                <w:rFonts w:ascii="Calibri" w:hAnsi="Calibri"/>
                <w:color w:val="000000"/>
              </w:rPr>
              <w:t>Poland</w:t>
            </w:r>
          </w:p>
        </w:tc>
        <w:tc>
          <w:tcPr>
            <w:tcW w:w="5944" w:type="dxa"/>
            <w:noWrap/>
            <w:hideMark/>
          </w:tcPr>
          <w:p w:rsidR="00DB3DD1" w:rsidRPr="00546A14" w:rsidRDefault="00DB3DD1" w:rsidP="008E6E95">
            <w:pPr>
              <w:jc w:val="right"/>
              <w:rPr>
                <w:rFonts w:ascii="Calibri" w:eastAsia="Times New Roman" w:hAnsi="Calibri" w:cs="Times New Roman"/>
                <w:color w:val="000000"/>
                <w:lang w:eastAsia="el-GR"/>
              </w:rPr>
            </w:pPr>
            <w:r w:rsidRPr="00546A14">
              <w:rPr>
                <w:rFonts w:ascii="Calibri" w:eastAsia="Times New Roman" w:hAnsi="Calibri" w:cs="Times New Roman"/>
                <w:color w:val="000000"/>
                <w:lang w:eastAsia="el-GR"/>
              </w:rPr>
              <w:t>0.30</w:t>
            </w:r>
            <w:r w:rsidR="00AF68EE">
              <w:rPr>
                <w:rFonts w:ascii="Calibri" w:eastAsia="Times New Roman" w:hAnsi="Calibri" w:cs="Times New Roman"/>
                <w:color w:val="000000"/>
                <w:lang w:eastAsia="el-GR"/>
              </w:rPr>
              <w:t>7</w:t>
            </w:r>
          </w:p>
        </w:tc>
      </w:tr>
      <w:tr w:rsidR="00DB3DD1" w:rsidRPr="00546A14" w:rsidTr="004E50D3">
        <w:trPr>
          <w:trHeight w:val="90"/>
        </w:trPr>
        <w:tc>
          <w:tcPr>
            <w:tcW w:w="3514" w:type="dxa"/>
          </w:tcPr>
          <w:p w:rsidR="00DB3DD1" w:rsidRPr="00546A14" w:rsidRDefault="00DB3DD1">
            <w:pPr>
              <w:rPr>
                <w:rFonts w:ascii="Calibri" w:hAnsi="Calibri"/>
                <w:color w:val="000000"/>
              </w:rPr>
            </w:pPr>
            <w:r w:rsidRPr="00546A14">
              <w:rPr>
                <w:rFonts w:ascii="Calibri" w:hAnsi="Calibri"/>
                <w:color w:val="000000"/>
              </w:rPr>
              <w:t>Portugal</w:t>
            </w:r>
          </w:p>
        </w:tc>
        <w:tc>
          <w:tcPr>
            <w:tcW w:w="5944" w:type="dxa"/>
            <w:noWrap/>
            <w:hideMark/>
          </w:tcPr>
          <w:p w:rsidR="00DB3DD1" w:rsidRPr="00546A14" w:rsidRDefault="00DB3DD1" w:rsidP="008E6E95">
            <w:pPr>
              <w:jc w:val="right"/>
              <w:rPr>
                <w:rFonts w:ascii="Calibri" w:eastAsia="Times New Roman" w:hAnsi="Calibri" w:cs="Times New Roman"/>
                <w:color w:val="000000"/>
                <w:lang w:eastAsia="el-GR"/>
              </w:rPr>
            </w:pPr>
            <w:r w:rsidRPr="00546A14">
              <w:rPr>
                <w:rFonts w:ascii="Calibri" w:eastAsia="Times New Roman" w:hAnsi="Calibri" w:cs="Times New Roman"/>
                <w:color w:val="000000"/>
                <w:lang w:eastAsia="el-GR"/>
              </w:rPr>
              <w:t>0.24</w:t>
            </w:r>
            <w:r w:rsidR="00AF68EE">
              <w:rPr>
                <w:rFonts w:ascii="Calibri" w:eastAsia="Times New Roman" w:hAnsi="Calibri" w:cs="Times New Roman"/>
                <w:color w:val="000000"/>
                <w:lang w:eastAsia="el-GR"/>
              </w:rPr>
              <w:t>5</w:t>
            </w:r>
          </w:p>
        </w:tc>
      </w:tr>
      <w:tr w:rsidR="00DB3DD1" w:rsidRPr="00546A14" w:rsidTr="004E50D3">
        <w:trPr>
          <w:trHeight w:val="90"/>
        </w:trPr>
        <w:tc>
          <w:tcPr>
            <w:tcW w:w="3514" w:type="dxa"/>
          </w:tcPr>
          <w:p w:rsidR="00DB3DD1" w:rsidRPr="00546A14" w:rsidRDefault="00DB3DD1">
            <w:pPr>
              <w:rPr>
                <w:rFonts w:ascii="Calibri" w:hAnsi="Calibri"/>
                <w:color w:val="000000"/>
              </w:rPr>
            </w:pPr>
            <w:r w:rsidRPr="00546A14">
              <w:rPr>
                <w:rFonts w:ascii="Calibri" w:hAnsi="Calibri"/>
                <w:color w:val="000000"/>
              </w:rPr>
              <w:t>Romania</w:t>
            </w:r>
          </w:p>
        </w:tc>
        <w:tc>
          <w:tcPr>
            <w:tcW w:w="5944" w:type="dxa"/>
            <w:noWrap/>
            <w:hideMark/>
          </w:tcPr>
          <w:p w:rsidR="00DB3DD1" w:rsidRPr="00546A14" w:rsidRDefault="00DB3DD1" w:rsidP="008E6E95">
            <w:pPr>
              <w:jc w:val="right"/>
              <w:rPr>
                <w:rFonts w:ascii="Calibri" w:eastAsia="Times New Roman" w:hAnsi="Calibri" w:cs="Times New Roman"/>
                <w:color w:val="000000"/>
                <w:lang w:eastAsia="el-GR"/>
              </w:rPr>
            </w:pPr>
            <w:r w:rsidRPr="00546A14">
              <w:rPr>
                <w:rFonts w:ascii="Calibri" w:eastAsia="Times New Roman" w:hAnsi="Calibri" w:cs="Times New Roman"/>
                <w:color w:val="000000"/>
                <w:lang w:eastAsia="el-GR"/>
              </w:rPr>
              <w:t>0.11</w:t>
            </w:r>
            <w:r w:rsidR="00AF68EE">
              <w:rPr>
                <w:rFonts w:ascii="Calibri" w:eastAsia="Times New Roman" w:hAnsi="Calibri" w:cs="Times New Roman"/>
                <w:color w:val="000000"/>
                <w:lang w:eastAsia="el-GR"/>
              </w:rPr>
              <w:t>9</w:t>
            </w:r>
          </w:p>
        </w:tc>
      </w:tr>
      <w:tr w:rsidR="00DB3DD1" w:rsidRPr="00546A14" w:rsidTr="004E50D3">
        <w:trPr>
          <w:trHeight w:val="90"/>
        </w:trPr>
        <w:tc>
          <w:tcPr>
            <w:tcW w:w="3514" w:type="dxa"/>
          </w:tcPr>
          <w:p w:rsidR="00DB3DD1" w:rsidRPr="00546A14" w:rsidRDefault="00DB3DD1">
            <w:pPr>
              <w:rPr>
                <w:rFonts w:ascii="Calibri" w:hAnsi="Calibri"/>
                <w:color w:val="000000"/>
              </w:rPr>
            </w:pPr>
            <w:r w:rsidRPr="00546A14">
              <w:rPr>
                <w:rFonts w:ascii="Calibri" w:hAnsi="Calibri"/>
                <w:color w:val="000000"/>
              </w:rPr>
              <w:t>Serbia</w:t>
            </w:r>
          </w:p>
        </w:tc>
        <w:tc>
          <w:tcPr>
            <w:tcW w:w="5944" w:type="dxa"/>
            <w:noWrap/>
            <w:hideMark/>
          </w:tcPr>
          <w:p w:rsidR="00DB3DD1" w:rsidRPr="00546A14" w:rsidRDefault="00DB3DD1" w:rsidP="008E6E95">
            <w:pPr>
              <w:jc w:val="right"/>
              <w:rPr>
                <w:rFonts w:ascii="Calibri" w:eastAsia="Times New Roman" w:hAnsi="Calibri" w:cs="Times New Roman"/>
                <w:color w:val="000000"/>
                <w:lang w:eastAsia="el-GR"/>
              </w:rPr>
            </w:pPr>
            <w:r w:rsidRPr="00546A14">
              <w:rPr>
                <w:rFonts w:ascii="Calibri" w:eastAsia="Times New Roman" w:hAnsi="Calibri" w:cs="Times New Roman"/>
                <w:color w:val="000000"/>
                <w:lang w:eastAsia="el-GR"/>
              </w:rPr>
              <w:t>0.054</w:t>
            </w:r>
          </w:p>
        </w:tc>
      </w:tr>
      <w:tr w:rsidR="00DB3DD1" w:rsidRPr="00546A14" w:rsidTr="004E50D3">
        <w:trPr>
          <w:trHeight w:val="90"/>
        </w:trPr>
        <w:tc>
          <w:tcPr>
            <w:tcW w:w="3514" w:type="dxa"/>
          </w:tcPr>
          <w:p w:rsidR="00DB3DD1" w:rsidRPr="00546A14" w:rsidRDefault="00DB3DD1">
            <w:pPr>
              <w:rPr>
                <w:rFonts w:ascii="Calibri" w:hAnsi="Calibri"/>
                <w:color w:val="000000"/>
              </w:rPr>
            </w:pPr>
            <w:r w:rsidRPr="00546A14">
              <w:rPr>
                <w:rFonts w:ascii="Calibri" w:hAnsi="Calibri"/>
                <w:color w:val="000000"/>
              </w:rPr>
              <w:t>Slovak Republic</w:t>
            </w:r>
          </w:p>
        </w:tc>
        <w:tc>
          <w:tcPr>
            <w:tcW w:w="5944" w:type="dxa"/>
            <w:noWrap/>
            <w:hideMark/>
          </w:tcPr>
          <w:p w:rsidR="00DB3DD1" w:rsidRPr="00546A14" w:rsidRDefault="00DB3DD1" w:rsidP="008E6E95">
            <w:pPr>
              <w:jc w:val="right"/>
              <w:rPr>
                <w:rFonts w:ascii="Calibri" w:eastAsia="Times New Roman" w:hAnsi="Calibri" w:cs="Times New Roman"/>
                <w:color w:val="000000"/>
                <w:lang w:eastAsia="el-GR"/>
              </w:rPr>
            </w:pPr>
            <w:r w:rsidRPr="00546A14">
              <w:rPr>
                <w:rFonts w:ascii="Calibri" w:eastAsia="Times New Roman" w:hAnsi="Calibri" w:cs="Times New Roman"/>
                <w:color w:val="000000"/>
                <w:lang w:eastAsia="el-GR"/>
              </w:rPr>
              <w:t>0.01</w:t>
            </w:r>
            <w:r w:rsidR="00A00E69">
              <w:rPr>
                <w:rFonts w:ascii="Calibri" w:eastAsia="Times New Roman" w:hAnsi="Calibri" w:cs="Times New Roman"/>
                <w:color w:val="000000"/>
                <w:lang w:eastAsia="el-GR"/>
              </w:rPr>
              <w:t>3</w:t>
            </w:r>
          </w:p>
        </w:tc>
      </w:tr>
      <w:tr w:rsidR="00DB3DD1" w:rsidRPr="00546A14" w:rsidTr="004E50D3">
        <w:trPr>
          <w:trHeight w:val="90"/>
        </w:trPr>
        <w:tc>
          <w:tcPr>
            <w:tcW w:w="3514" w:type="dxa"/>
          </w:tcPr>
          <w:p w:rsidR="00DB3DD1" w:rsidRPr="00546A14" w:rsidRDefault="00DB3DD1">
            <w:pPr>
              <w:rPr>
                <w:rFonts w:ascii="Calibri" w:hAnsi="Calibri"/>
                <w:color w:val="000000"/>
              </w:rPr>
            </w:pPr>
            <w:r w:rsidRPr="00546A14">
              <w:rPr>
                <w:rFonts w:ascii="Calibri" w:hAnsi="Calibri"/>
                <w:color w:val="000000"/>
              </w:rPr>
              <w:t>Slovenia</w:t>
            </w:r>
          </w:p>
        </w:tc>
        <w:tc>
          <w:tcPr>
            <w:tcW w:w="5944" w:type="dxa"/>
            <w:noWrap/>
            <w:hideMark/>
          </w:tcPr>
          <w:p w:rsidR="00DB3DD1" w:rsidRPr="00546A14" w:rsidRDefault="00DB3DD1" w:rsidP="008E6E95">
            <w:pPr>
              <w:jc w:val="right"/>
              <w:rPr>
                <w:rFonts w:ascii="Calibri" w:eastAsia="Times New Roman" w:hAnsi="Calibri" w:cs="Times New Roman"/>
                <w:color w:val="000000"/>
                <w:lang w:eastAsia="el-GR"/>
              </w:rPr>
            </w:pPr>
            <w:r w:rsidRPr="00546A14">
              <w:rPr>
                <w:rFonts w:ascii="Calibri" w:eastAsia="Times New Roman" w:hAnsi="Calibri" w:cs="Times New Roman"/>
                <w:color w:val="000000"/>
                <w:lang w:eastAsia="el-GR"/>
              </w:rPr>
              <w:t>0.015</w:t>
            </w:r>
          </w:p>
        </w:tc>
      </w:tr>
      <w:tr w:rsidR="00DB3DD1" w:rsidRPr="00546A14" w:rsidTr="004E50D3">
        <w:trPr>
          <w:trHeight w:val="90"/>
        </w:trPr>
        <w:tc>
          <w:tcPr>
            <w:tcW w:w="3514" w:type="dxa"/>
          </w:tcPr>
          <w:p w:rsidR="00DB3DD1" w:rsidRPr="00546A14" w:rsidRDefault="00DB3DD1">
            <w:pPr>
              <w:rPr>
                <w:rFonts w:ascii="Calibri" w:hAnsi="Calibri"/>
                <w:color w:val="000000"/>
              </w:rPr>
            </w:pPr>
            <w:r w:rsidRPr="00546A14">
              <w:rPr>
                <w:rFonts w:ascii="Calibri" w:hAnsi="Calibri"/>
                <w:color w:val="000000"/>
              </w:rPr>
              <w:t>South Africa</w:t>
            </w:r>
          </w:p>
        </w:tc>
        <w:tc>
          <w:tcPr>
            <w:tcW w:w="5944" w:type="dxa"/>
            <w:noWrap/>
            <w:hideMark/>
          </w:tcPr>
          <w:p w:rsidR="00DB3DD1" w:rsidRPr="00546A14" w:rsidRDefault="00DB3DD1" w:rsidP="008E6E95">
            <w:pPr>
              <w:jc w:val="right"/>
              <w:rPr>
                <w:rFonts w:ascii="Calibri" w:eastAsia="Times New Roman" w:hAnsi="Calibri" w:cs="Times New Roman"/>
                <w:color w:val="000000"/>
                <w:lang w:val="en-US" w:eastAsia="el-GR"/>
              </w:rPr>
            </w:pPr>
            <w:r w:rsidRPr="00546A14">
              <w:rPr>
                <w:rFonts w:ascii="Calibri" w:eastAsia="Times New Roman" w:hAnsi="Calibri" w:cs="Times New Roman"/>
                <w:color w:val="000000"/>
                <w:lang w:val="en-US" w:eastAsia="el-GR"/>
              </w:rPr>
              <w:t>0</w:t>
            </w:r>
          </w:p>
        </w:tc>
      </w:tr>
      <w:tr w:rsidR="00DB3DD1" w:rsidRPr="00546A14" w:rsidTr="004E50D3">
        <w:trPr>
          <w:trHeight w:val="90"/>
        </w:trPr>
        <w:tc>
          <w:tcPr>
            <w:tcW w:w="3514" w:type="dxa"/>
          </w:tcPr>
          <w:p w:rsidR="00DB3DD1" w:rsidRPr="00546A14" w:rsidRDefault="00DB3DD1">
            <w:pPr>
              <w:rPr>
                <w:rFonts w:ascii="Calibri" w:hAnsi="Calibri"/>
                <w:color w:val="000000"/>
              </w:rPr>
            </w:pPr>
            <w:r w:rsidRPr="00546A14">
              <w:rPr>
                <w:rFonts w:ascii="Calibri" w:hAnsi="Calibri"/>
                <w:color w:val="000000"/>
              </w:rPr>
              <w:t>Spain</w:t>
            </w:r>
          </w:p>
        </w:tc>
        <w:tc>
          <w:tcPr>
            <w:tcW w:w="5944" w:type="dxa"/>
            <w:noWrap/>
            <w:hideMark/>
          </w:tcPr>
          <w:p w:rsidR="00DB3DD1" w:rsidRPr="00546A14" w:rsidRDefault="00DB3DD1" w:rsidP="008E6E95">
            <w:pPr>
              <w:jc w:val="right"/>
              <w:rPr>
                <w:rFonts w:ascii="Calibri" w:eastAsia="Times New Roman" w:hAnsi="Calibri" w:cs="Times New Roman"/>
                <w:color w:val="000000"/>
                <w:lang w:eastAsia="el-GR"/>
              </w:rPr>
            </w:pPr>
            <w:r w:rsidRPr="00546A14">
              <w:rPr>
                <w:rFonts w:ascii="Calibri" w:eastAsia="Times New Roman" w:hAnsi="Calibri" w:cs="Times New Roman"/>
                <w:color w:val="000000"/>
                <w:lang w:eastAsia="el-GR"/>
              </w:rPr>
              <w:t>0.099</w:t>
            </w:r>
          </w:p>
        </w:tc>
      </w:tr>
      <w:tr w:rsidR="00DB3DD1" w:rsidRPr="00546A14" w:rsidTr="004E50D3">
        <w:trPr>
          <w:trHeight w:val="90"/>
        </w:trPr>
        <w:tc>
          <w:tcPr>
            <w:tcW w:w="3514" w:type="dxa"/>
          </w:tcPr>
          <w:p w:rsidR="00DB3DD1" w:rsidRPr="00546A14" w:rsidRDefault="00DB3DD1">
            <w:pPr>
              <w:rPr>
                <w:rFonts w:ascii="Calibri" w:hAnsi="Calibri"/>
                <w:color w:val="000000"/>
              </w:rPr>
            </w:pPr>
            <w:r w:rsidRPr="00546A14">
              <w:rPr>
                <w:rFonts w:ascii="Calibri" w:hAnsi="Calibri"/>
                <w:color w:val="000000"/>
              </w:rPr>
              <w:t>Suriname</w:t>
            </w:r>
          </w:p>
        </w:tc>
        <w:tc>
          <w:tcPr>
            <w:tcW w:w="5944" w:type="dxa"/>
            <w:noWrap/>
            <w:hideMark/>
          </w:tcPr>
          <w:p w:rsidR="00DB3DD1" w:rsidRPr="00546A14" w:rsidRDefault="00DB3DD1" w:rsidP="008E6E95">
            <w:pPr>
              <w:jc w:val="right"/>
              <w:rPr>
                <w:rFonts w:ascii="Calibri" w:eastAsia="Times New Roman" w:hAnsi="Calibri" w:cs="Times New Roman"/>
                <w:color w:val="000000"/>
                <w:lang w:val="en-US" w:eastAsia="el-GR"/>
              </w:rPr>
            </w:pPr>
            <w:r w:rsidRPr="00546A14">
              <w:rPr>
                <w:rFonts w:ascii="Calibri" w:eastAsia="Times New Roman" w:hAnsi="Calibri" w:cs="Times New Roman"/>
                <w:color w:val="000000"/>
                <w:lang w:val="en-US" w:eastAsia="el-GR"/>
              </w:rPr>
              <w:t>0</w:t>
            </w:r>
          </w:p>
        </w:tc>
      </w:tr>
      <w:tr w:rsidR="00DB3DD1" w:rsidRPr="00546A14" w:rsidTr="004E50D3">
        <w:trPr>
          <w:trHeight w:val="90"/>
        </w:trPr>
        <w:tc>
          <w:tcPr>
            <w:tcW w:w="3514" w:type="dxa"/>
          </w:tcPr>
          <w:p w:rsidR="00DB3DD1" w:rsidRPr="00546A14" w:rsidRDefault="00DB3DD1">
            <w:pPr>
              <w:rPr>
                <w:rFonts w:ascii="Calibri" w:hAnsi="Calibri"/>
                <w:color w:val="000000"/>
              </w:rPr>
            </w:pPr>
            <w:r w:rsidRPr="00546A14">
              <w:rPr>
                <w:rFonts w:ascii="Calibri" w:hAnsi="Calibri"/>
                <w:color w:val="000000"/>
              </w:rPr>
              <w:t>Sweden</w:t>
            </w:r>
          </w:p>
        </w:tc>
        <w:tc>
          <w:tcPr>
            <w:tcW w:w="5944" w:type="dxa"/>
            <w:noWrap/>
            <w:hideMark/>
          </w:tcPr>
          <w:p w:rsidR="00DB3DD1" w:rsidRPr="00546A14" w:rsidRDefault="00DB3DD1" w:rsidP="008E6E95">
            <w:pPr>
              <w:jc w:val="right"/>
              <w:rPr>
                <w:rFonts w:ascii="Calibri" w:eastAsia="Times New Roman" w:hAnsi="Calibri" w:cs="Times New Roman"/>
                <w:color w:val="000000"/>
                <w:lang w:eastAsia="el-GR"/>
              </w:rPr>
            </w:pPr>
            <w:r w:rsidRPr="00546A14">
              <w:rPr>
                <w:rFonts w:ascii="Calibri" w:eastAsia="Times New Roman" w:hAnsi="Calibri" w:cs="Times New Roman"/>
                <w:color w:val="000000"/>
                <w:lang w:eastAsia="el-GR"/>
              </w:rPr>
              <w:t>0.11</w:t>
            </w:r>
            <w:r w:rsidR="00A00E69">
              <w:rPr>
                <w:rFonts w:ascii="Calibri" w:eastAsia="Times New Roman" w:hAnsi="Calibri" w:cs="Times New Roman"/>
                <w:color w:val="000000"/>
                <w:lang w:eastAsia="el-GR"/>
              </w:rPr>
              <w:t>4</w:t>
            </w:r>
          </w:p>
        </w:tc>
      </w:tr>
      <w:tr w:rsidR="00DB3DD1" w:rsidRPr="00546A14" w:rsidTr="004E50D3">
        <w:trPr>
          <w:trHeight w:val="90"/>
        </w:trPr>
        <w:tc>
          <w:tcPr>
            <w:tcW w:w="3514" w:type="dxa"/>
          </w:tcPr>
          <w:p w:rsidR="00DB3DD1" w:rsidRPr="00546A14" w:rsidRDefault="00DB3DD1">
            <w:pPr>
              <w:rPr>
                <w:rFonts w:ascii="Calibri" w:hAnsi="Calibri"/>
                <w:color w:val="000000"/>
              </w:rPr>
            </w:pPr>
            <w:r w:rsidRPr="00546A14">
              <w:rPr>
                <w:rFonts w:ascii="Calibri" w:hAnsi="Calibri"/>
                <w:color w:val="000000"/>
              </w:rPr>
              <w:t>Switzerland</w:t>
            </w:r>
          </w:p>
        </w:tc>
        <w:tc>
          <w:tcPr>
            <w:tcW w:w="5944" w:type="dxa"/>
            <w:noWrap/>
            <w:hideMark/>
          </w:tcPr>
          <w:p w:rsidR="00DB3DD1" w:rsidRPr="00546A14" w:rsidRDefault="00DB3DD1" w:rsidP="008E6E95">
            <w:pPr>
              <w:jc w:val="right"/>
              <w:rPr>
                <w:rFonts w:ascii="Calibri" w:eastAsia="Times New Roman" w:hAnsi="Calibri" w:cs="Times New Roman"/>
                <w:color w:val="000000"/>
                <w:lang w:eastAsia="el-GR"/>
              </w:rPr>
            </w:pPr>
            <w:r w:rsidRPr="00546A14">
              <w:rPr>
                <w:rFonts w:ascii="Calibri" w:eastAsia="Times New Roman" w:hAnsi="Calibri" w:cs="Times New Roman"/>
                <w:color w:val="000000"/>
                <w:lang w:eastAsia="el-GR"/>
              </w:rPr>
              <w:t>0.260</w:t>
            </w:r>
          </w:p>
        </w:tc>
      </w:tr>
      <w:tr w:rsidR="00DB3DD1" w:rsidRPr="00546A14" w:rsidTr="004E50D3">
        <w:trPr>
          <w:trHeight w:val="90"/>
        </w:trPr>
        <w:tc>
          <w:tcPr>
            <w:tcW w:w="3514" w:type="dxa"/>
          </w:tcPr>
          <w:p w:rsidR="00DB3DD1" w:rsidRPr="00546A14" w:rsidRDefault="00DB3DD1">
            <w:pPr>
              <w:rPr>
                <w:rFonts w:ascii="Calibri" w:hAnsi="Calibri"/>
                <w:color w:val="000000"/>
              </w:rPr>
            </w:pPr>
            <w:r w:rsidRPr="00546A14">
              <w:rPr>
                <w:rFonts w:ascii="Calibri" w:hAnsi="Calibri"/>
                <w:color w:val="000000"/>
              </w:rPr>
              <w:t>Thailand</w:t>
            </w:r>
          </w:p>
        </w:tc>
        <w:tc>
          <w:tcPr>
            <w:tcW w:w="5944" w:type="dxa"/>
            <w:noWrap/>
            <w:hideMark/>
          </w:tcPr>
          <w:p w:rsidR="00DB3DD1" w:rsidRPr="00546A14" w:rsidRDefault="00DB3DD1" w:rsidP="008E6E95">
            <w:pPr>
              <w:jc w:val="right"/>
              <w:rPr>
                <w:rFonts w:ascii="Calibri" w:eastAsia="Times New Roman" w:hAnsi="Calibri" w:cs="Times New Roman"/>
                <w:color w:val="000000"/>
                <w:lang w:eastAsia="el-GR"/>
              </w:rPr>
            </w:pPr>
            <w:r w:rsidRPr="00546A14">
              <w:rPr>
                <w:rFonts w:ascii="Calibri" w:eastAsia="Times New Roman" w:hAnsi="Calibri" w:cs="Times New Roman"/>
                <w:color w:val="000000"/>
                <w:lang w:eastAsia="el-GR"/>
              </w:rPr>
              <w:t>0.11</w:t>
            </w:r>
            <w:r w:rsidR="00A00E69">
              <w:rPr>
                <w:rFonts w:ascii="Calibri" w:eastAsia="Times New Roman" w:hAnsi="Calibri" w:cs="Times New Roman"/>
                <w:color w:val="000000"/>
                <w:lang w:eastAsia="el-GR"/>
              </w:rPr>
              <w:t>8</w:t>
            </w:r>
          </w:p>
        </w:tc>
      </w:tr>
      <w:tr w:rsidR="00DB3DD1" w:rsidRPr="00546A14" w:rsidTr="004E50D3">
        <w:trPr>
          <w:trHeight w:val="90"/>
        </w:trPr>
        <w:tc>
          <w:tcPr>
            <w:tcW w:w="3514" w:type="dxa"/>
          </w:tcPr>
          <w:p w:rsidR="00DB3DD1" w:rsidRPr="00546A14" w:rsidRDefault="00DB3DD1">
            <w:pPr>
              <w:rPr>
                <w:rFonts w:ascii="Calibri" w:hAnsi="Calibri"/>
                <w:color w:val="000000"/>
              </w:rPr>
            </w:pPr>
            <w:r w:rsidRPr="00546A14">
              <w:rPr>
                <w:rFonts w:ascii="Calibri" w:hAnsi="Calibri"/>
                <w:color w:val="000000"/>
              </w:rPr>
              <w:t>Trinidad and Tobago</w:t>
            </w:r>
          </w:p>
        </w:tc>
        <w:tc>
          <w:tcPr>
            <w:tcW w:w="5944" w:type="dxa"/>
            <w:noWrap/>
            <w:hideMark/>
          </w:tcPr>
          <w:p w:rsidR="00DB3DD1" w:rsidRPr="00546A14" w:rsidRDefault="00A00E69" w:rsidP="008E6E95">
            <w:pPr>
              <w:jc w:val="right"/>
              <w:rPr>
                <w:rFonts w:ascii="Calibri" w:eastAsia="Times New Roman" w:hAnsi="Calibri" w:cs="Times New Roman"/>
                <w:color w:val="000000"/>
                <w:lang w:val="en-US" w:eastAsia="el-GR"/>
              </w:rPr>
            </w:pPr>
            <w:r>
              <w:rPr>
                <w:rFonts w:ascii="Calibri" w:eastAsia="Times New Roman" w:hAnsi="Calibri" w:cs="Times New Roman"/>
                <w:color w:val="000000"/>
                <w:lang w:val="en-US" w:eastAsia="el-GR"/>
              </w:rPr>
              <w:t>0</w:t>
            </w:r>
          </w:p>
        </w:tc>
      </w:tr>
      <w:tr w:rsidR="00DB3DD1" w:rsidRPr="00546A14" w:rsidTr="004E50D3">
        <w:trPr>
          <w:trHeight w:val="45"/>
        </w:trPr>
        <w:tc>
          <w:tcPr>
            <w:tcW w:w="3514" w:type="dxa"/>
          </w:tcPr>
          <w:p w:rsidR="00DB3DD1" w:rsidRPr="00546A14" w:rsidRDefault="00DB3DD1">
            <w:pPr>
              <w:rPr>
                <w:rFonts w:ascii="Calibri" w:hAnsi="Calibri"/>
                <w:color w:val="000000"/>
              </w:rPr>
            </w:pPr>
            <w:r w:rsidRPr="00546A14">
              <w:rPr>
                <w:rFonts w:ascii="Calibri" w:hAnsi="Calibri"/>
                <w:color w:val="000000"/>
              </w:rPr>
              <w:t>Turkey</w:t>
            </w:r>
          </w:p>
        </w:tc>
        <w:tc>
          <w:tcPr>
            <w:tcW w:w="5944" w:type="dxa"/>
            <w:noWrap/>
            <w:hideMark/>
          </w:tcPr>
          <w:p w:rsidR="00DB3DD1" w:rsidRPr="00546A14" w:rsidRDefault="00DB3DD1" w:rsidP="008E6E95">
            <w:pPr>
              <w:jc w:val="right"/>
              <w:rPr>
                <w:rFonts w:ascii="Calibri" w:eastAsia="Times New Roman" w:hAnsi="Calibri" w:cs="Times New Roman"/>
                <w:color w:val="000000"/>
                <w:lang w:eastAsia="el-GR"/>
              </w:rPr>
            </w:pPr>
            <w:r w:rsidRPr="00546A14">
              <w:rPr>
                <w:rFonts w:ascii="Calibri" w:eastAsia="Times New Roman" w:hAnsi="Calibri" w:cs="Times New Roman"/>
                <w:color w:val="000000"/>
                <w:lang w:eastAsia="el-GR"/>
              </w:rPr>
              <w:t>0.120</w:t>
            </w:r>
          </w:p>
        </w:tc>
      </w:tr>
      <w:tr w:rsidR="00DB3DD1" w:rsidRPr="00546A14" w:rsidTr="004E50D3">
        <w:trPr>
          <w:trHeight w:val="90"/>
        </w:trPr>
        <w:tc>
          <w:tcPr>
            <w:tcW w:w="3514" w:type="dxa"/>
          </w:tcPr>
          <w:p w:rsidR="00DB3DD1" w:rsidRPr="00546A14" w:rsidRDefault="00DB3DD1">
            <w:pPr>
              <w:rPr>
                <w:rFonts w:ascii="Calibri" w:hAnsi="Calibri"/>
                <w:color w:val="000000"/>
              </w:rPr>
            </w:pPr>
            <w:r w:rsidRPr="00546A14">
              <w:rPr>
                <w:rFonts w:ascii="Calibri" w:hAnsi="Calibri"/>
                <w:color w:val="000000"/>
              </w:rPr>
              <w:t>United Kingdom</w:t>
            </w:r>
          </w:p>
        </w:tc>
        <w:tc>
          <w:tcPr>
            <w:tcW w:w="5944" w:type="dxa"/>
            <w:noWrap/>
            <w:hideMark/>
          </w:tcPr>
          <w:p w:rsidR="00DB3DD1" w:rsidRPr="00546A14" w:rsidRDefault="00DB3DD1" w:rsidP="008E6E95">
            <w:pPr>
              <w:jc w:val="right"/>
              <w:rPr>
                <w:rFonts w:ascii="Calibri" w:eastAsia="Times New Roman" w:hAnsi="Calibri" w:cs="Times New Roman"/>
                <w:color w:val="000000"/>
                <w:lang w:eastAsia="el-GR"/>
              </w:rPr>
            </w:pPr>
            <w:r w:rsidRPr="00546A14">
              <w:rPr>
                <w:rFonts w:ascii="Calibri" w:eastAsia="Times New Roman" w:hAnsi="Calibri" w:cs="Times New Roman"/>
                <w:color w:val="000000"/>
                <w:lang w:eastAsia="el-GR"/>
              </w:rPr>
              <w:t>0</w:t>
            </w:r>
          </w:p>
        </w:tc>
      </w:tr>
      <w:tr w:rsidR="00DB3DD1" w:rsidRPr="00546A14" w:rsidTr="004E50D3">
        <w:trPr>
          <w:trHeight w:val="79"/>
        </w:trPr>
        <w:tc>
          <w:tcPr>
            <w:tcW w:w="3514" w:type="dxa"/>
          </w:tcPr>
          <w:p w:rsidR="00DB3DD1" w:rsidRPr="00546A14" w:rsidRDefault="00DB3DD1">
            <w:pPr>
              <w:rPr>
                <w:rFonts w:ascii="Calibri" w:hAnsi="Calibri"/>
                <w:color w:val="000000"/>
              </w:rPr>
            </w:pPr>
            <w:r w:rsidRPr="00546A14">
              <w:rPr>
                <w:rFonts w:ascii="Calibri" w:hAnsi="Calibri"/>
                <w:color w:val="000000"/>
              </w:rPr>
              <w:t>United States</w:t>
            </w:r>
          </w:p>
        </w:tc>
        <w:tc>
          <w:tcPr>
            <w:tcW w:w="5944" w:type="dxa"/>
            <w:noWrap/>
            <w:hideMark/>
          </w:tcPr>
          <w:p w:rsidR="00DB3DD1" w:rsidRPr="00546A14" w:rsidRDefault="00DB3DD1" w:rsidP="008E6E95">
            <w:pPr>
              <w:jc w:val="right"/>
              <w:rPr>
                <w:rFonts w:ascii="Calibri" w:eastAsia="Times New Roman" w:hAnsi="Calibri" w:cs="Times New Roman"/>
                <w:color w:val="000000"/>
                <w:lang w:eastAsia="el-GR"/>
              </w:rPr>
            </w:pPr>
            <w:r w:rsidRPr="00546A14">
              <w:rPr>
                <w:rFonts w:ascii="Calibri" w:eastAsia="Times New Roman" w:hAnsi="Calibri" w:cs="Times New Roman"/>
                <w:color w:val="000000"/>
                <w:lang w:eastAsia="el-GR"/>
              </w:rPr>
              <w:t>0.480</w:t>
            </w:r>
          </w:p>
        </w:tc>
      </w:tr>
    </w:tbl>
    <w:p w:rsidR="00AF6B15" w:rsidRPr="002C595D" w:rsidRDefault="00CE01CA" w:rsidP="00AF6B15">
      <w:pPr>
        <w:spacing w:line="360" w:lineRule="auto"/>
        <w:jc w:val="both"/>
        <w:rPr>
          <w:rFonts w:ascii="Times New Roman" w:hAnsi="Times New Roman" w:cs="Times New Roman"/>
          <w:sz w:val="20"/>
          <w:szCs w:val="24"/>
          <w:lang w:val="en-US"/>
        </w:rPr>
      </w:pPr>
      <w:r w:rsidRPr="002C595D">
        <w:rPr>
          <w:rFonts w:ascii="Times New Roman" w:hAnsi="Times New Roman" w:cs="Times New Roman"/>
          <w:sz w:val="20"/>
          <w:szCs w:val="24"/>
          <w:lang w:val="en-US"/>
        </w:rPr>
        <w:lastRenderedPageBreak/>
        <w:t>The above</w:t>
      </w:r>
      <w:r w:rsidR="00FA60A8" w:rsidRPr="002C595D">
        <w:rPr>
          <w:rFonts w:ascii="Times New Roman" w:hAnsi="Times New Roman" w:cs="Times New Roman"/>
          <w:sz w:val="20"/>
          <w:szCs w:val="24"/>
          <w:lang w:val="en-US"/>
        </w:rPr>
        <w:t xml:space="preserve"> table presents the data for the dependent variable EqAll (Percentage of equity investments relatively to the total investments of pension funds</w:t>
      </w:r>
      <w:r w:rsidR="004E50D3" w:rsidRPr="002C595D">
        <w:rPr>
          <w:rFonts w:ascii="Times New Roman" w:hAnsi="Times New Roman" w:cs="Times New Roman"/>
          <w:sz w:val="20"/>
          <w:szCs w:val="24"/>
          <w:lang w:val="en-US"/>
        </w:rPr>
        <w:t>)</w:t>
      </w:r>
      <w:r w:rsidR="00FA60A8" w:rsidRPr="002C595D">
        <w:rPr>
          <w:rFonts w:ascii="Times New Roman" w:hAnsi="Times New Roman" w:cs="Times New Roman"/>
          <w:sz w:val="20"/>
          <w:szCs w:val="24"/>
          <w:lang w:val="en-US"/>
        </w:rPr>
        <w:t xml:space="preserve"> in 2011 for the 49 countries.</w:t>
      </w:r>
      <w:r w:rsidR="00D65381" w:rsidRPr="002C595D">
        <w:rPr>
          <w:rFonts w:ascii="Times New Roman" w:hAnsi="Times New Roman" w:cs="Times New Roman"/>
          <w:sz w:val="20"/>
          <w:szCs w:val="24"/>
          <w:lang w:val="en-US"/>
        </w:rPr>
        <w:t xml:space="preserve"> Source: OECD database. </w:t>
      </w:r>
    </w:p>
    <w:p w:rsidR="00D65381" w:rsidRPr="00546A14" w:rsidRDefault="00D65381" w:rsidP="00AF6B15">
      <w:pPr>
        <w:spacing w:line="360" w:lineRule="auto"/>
        <w:jc w:val="both"/>
        <w:rPr>
          <w:rFonts w:ascii="Times New Roman" w:hAnsi="Times New Roman" w:cs="Times New Roman"/>
          <w:sz w:val="24"/>
          <w:szCs w:val="24"/>
          <w:lang w:val="en-US"/>
        </w:rPr>
      </w:pPr>
    </w:p>
    <w:p w:rsidR="002C096D" w:rsidRPr="00965861" w:rsidRDefault="002C096D" w:rsidP="005717B5">
      <w:pPr>
        <w:spacing w:line="360" w:lineRule="auto"/>
        <w:jc w:val="both"/>
        <w:rPr>
          <w:b/>
          <w:lang w:val="en-US"/>
        </w:rPr>
      </w:pPr>
      <w:r w:rsidRPr="00965861">
        <w:rPr>
          <w:b/>
          <w:lang w:val="en-US"/>
        </w:rPr>
        <w:t>Table</w:t>
      </w:r>
      <w:r w:rsidR="00317759" w:rsidRPr="00965861">
        <w:rPr>
          <w:b/>
          <w:lang w:val="en-US"/>
        </w:rPr>
        <w:t xml:space="preserve"> 3.4</w:t>
      </w:r>
      <w:r w:rsidRPr="00965861">
        <w:rPr>
          <w:b/>
          <w:lang w:val="en-US"/>
        </w:rPr>
        <w:t>. Summary statistics for the dependent variable</w:t>
      </w:r>
    </w:p>
    <w:p w:rsidR="004E50D3" w:rsidRDefault="004E50D3" w:rsidP="00ED3485">
      <w:pPr>
        <w:autoSpaceDE w:val="0"/>
        <w:autoSpaceDN w:val="0"/>
        <w:adjustRightInd w:val="0"/>
        <w:spacing w:line="360" w:lineRule="auto"/>
        <w:jc w:val="both"/>
        <w:rPr>
          <w:rFonts w:ascii="Times New Roman" w:hAnsi="Times New Roman" w:cs="Times New Roman"/>
          <w:b/>
          <w:bCs/>
          <w:color w:val="000000"/>
          <w:sz w:val="24"/>
          <w:szCs w:val="24"/>
          <w:lang w:val="en-US"/>
        </w:rPr>
        <w:sectPr w:rsidR="004E50D3" w:rsidSect="008007D7">
          <w:footerReference w:type="default" r:id="rId14"/>
          <w:type w:val="continuous"/>
          <w:pgSz w:w="11906" w:h="16838"/>
          <w:pgMar w:top="1418" w:right="1134" w:bottom="1418" w:left="1418" w:header="708" w:footer="708" w:gutter="0"/>
          <w:cols w:space="708"/>
          <w:titlePg/>
          <w:docGrid w:linePitch="360"/>
        </w:sectPr>
      </w:pPr>
    </w:p>
    <w:tbl>
      <w:tblPr>
        <w:tblStyle w:val="LightShading1"/>
        <w:tblW w:w="4513" w:type="dxa"/>
        <w:tblLook w:val="06A0"/>
      </w:tblPr>
      <w:tblGrid>
        <w:gridCol w:w="2796"/>
        <w:gridCol w:w="1717"/>
      </w:tblGrid>
      <w:tr w:rsidR="002C096D" w:rsidRPr="00546A14" w:rsidTr="00D65381">
        <w:trPr>
          <w:cnfStyle w:val="100000000000"/>
          <w:trHeight w:val="218"/>
        </w:trPr>
        <w:tc>
          <w:tcPr>
            <w:cnfStyle w:val="001000000000"/>
            <w:tcW w:w="0" w:type="auto"/>
          </w:tcPr>
          <w:p w:rsidR="002C096D" w:rsidRPr="00D47B51" w:rsidRDefault="002C096D" w:rsidP="00ED3485">
            <w:pPr>
              <w:autoSpaceDE w:val="0"/>
              <w:autoSpaceDN w:val="0"/>
              <w:adjustRightInd w:val="0"/>
              <w:spacing w:line="360" w:lineRule="auto"/>
              <w:jc w:val="both"/>
              <w:rPr>
                <w:rFonts w:ascii="Times New Roman" w:hAnsi="Times New Roman" w:cs="Times New Roman"/>
                <w:color w:val="000000"/>
                <w:szCs w:val="24"/>
                <w:lang w:val="en-US"/>
              </w:rPr>
            </w:pPr>
          </w:p>
        </w:tc>
        <w:tc>
          <w:tcPr>
            <w:tcW w:w="0" w:type="auto"/>
          </w:tcPr>
          <w:p w:rsidR="002C096D" w:rsidRPr="00D47B51" w:rsidRDefault="002C096D" w:rsidP="004E50D3">
            <w:pPr>
              <w:autoSpaceDE w:val="0"/>
              <w:autoSpaceDN w:val="0"/>
              <w:adjustRightInd w:val="0"/>
              <w:spacing w:line="360" w:lineRule="auto"/>
              <w:jc w:val="both"/>
              <w:cnfStyle w:val="100000000000"/>
              <w:rPr>
                <w:rFonts w:ascii="Times New Roman" w:hAnsi="Times New Roman" w:cs="Times New Roman"/>
                <w:color w:val="000000"/>
                <w:szCs w:val="24"/>
                <w:lang w:val="en-US"/>
              </w:rPr>
            </w:pPr>
            <w:r w:rsidRPr="00D47B51">
              <w:rPr>
                <w:rFonts w:ascii="Times New Roman" w:hAnsi="Times New Roman" w:cs="Times New Roman"/>
                <w:color w:val="000000"/>
                <w:szCs w:val="24"/>
              </w:rPr>
              <w:t>E</w:t>
            </w:r>
            <w:r w:rsidR="004E50D3" w:rsidRPr="00D47B51">
              <w:rPr>
                <w:rFonts w:ascii="Times New Roman" w:hAnsi="Times New Roman" w:cs="Times New Roman"/>
                <w:color w:val="000000"/>
                <w:szCs w:val="24"/>
              </w:rPr>
              <w:t>qAll</w:t>
            </w:r>
          </w:p>
        </w:tc>
      </w:tr>
      <w:tr w:rsidR="002C096D" w:rsidRPr="00546A14" w:rsidTr="00D65381">
        <w:trPr>
          <w:trHeight w:val="218"/>
        </w:trPr>
        <w:tc>
          <w:tcPr>
            <w:cnfStyle w:val="001000000000"/>
            <w:tcW w:w="0" w:type="auto"/>
          </w:tcPr>
          <w:p w:rsidR="002C096D" w:rsidRPr="00D47B51" w:rsidRDefault="002C096D" w:rsidP="00ED3485">
            <w:pPr>
              <w:autoSpaceDE w:val="0"/>
              <w:autoSpaceDN w:val="0"/>
              <w:adjustRightInd w:val="0"/>
              <w:spacing w:line="360" w:lineRule="auto"/>
              <w:jc w:val="both"/>
              <w:rPr>
                <w:rFonts w:ascii="Times New Roman" w:hAnsi="Times New Roman" w:cs="Times New Roman"/>
                <w:color w:val="000000"/>
                <w:szCs w:val="24"/>
              </w:rPr>
            </w:pPr>
            <w:r w:rsidRPr="00D47B51">
              <w:rPr>
                <w:rFonts w:ascii="Times New Roman" w:hAnsi="Times New Roman" w:cs="Times New Roman"/>
                <w:color w:val="000000"/>
                <w:szCs w:val="24"/>
              </w:rPr>
              <w:t> Mean</w:t>
            </w:r>
          </w:p>
        </w:tc>
        <w:tc>
          <w:tcPr>
            <w:tcW w:w="0" w:type="auto"/>
          </w:tcPr>
          <w:p w:rsidR="002C096D" w:rsidRPr="00D47B51" w:rsidRDefault="002C096D" w:rsidP="00ED3485">
            <w:pPr>
              <w:autoSpaceDE w:val="0"/>
              <w:autoSpaceDN w:val="0"/>
              <w:adjustRightInd w:val="0"/>
              <w:spacing w:line="360" w:lineRule="auto"/>
              <w:jc w:val="both"/>
              <w:cnfStyle w:val="000000000000"/>
              <w:rPr>
                <w:rFonts w:ascii="Times New Roman" w:hAnsi="Times New Roman" w:cs="Times New Roman"/>
                <w:color w:val="000000"/>
                <w:szCs w:val="24"/>
              </w:rPr>
            </w:pPr>
            <w:r w:rsidRPr="00D47B51">
              <w:rPr>
                <w:rFonts w:ascii="Times New Roman" w:hAnsi="Times New Roman" w:cs="Times New Roman"/>
                <w:color w:val="000000"/>
                <w:szCs w:val="24"/>
              </w:rPr>
              <w:t> 0.156</w:t>
            </w:r>
          </w:p>
        </w:tc>
      </w:tr>
      <w:tr w:rsidR="002C096D" w:rsidRPr="00546A14" w:rsidTr="00D65381">
        <w:trPr>
          <w:trHeight w:val="218"/>
        </w:trPr>
        <w:tc>
          <w:tcPr>
            <w:cnfStyle w:val="001000000000"/>
            <w:tcW w:w="0" w:type="auto"/>
          </w:tcPr>
          <w:p w:rsidR="002C096D" w:rsidRPr="00D47B51" w:rsidRDefault="002C096D" w:rsidP="00ED3485">
            <w:pPr>
              <w:autoSpaceDE w:val="0"/>
              <w:autoSpaceDN w:val="0"/>
              <w:adjustRightInd w:val="0"/>
              <w:spacing w:line="360" w:lineRule="auto"/>
              <w:jc w:val="both"/>
              <w:rPr>
                <w:rFonts w:ascii="Times New Roman" w:hAnsi="Times New Roman" w:cs="Times New Roman"/>
                <w:color w:val="000000"/>
                <w:szCs w:val="24"/>
              </w:rPr>
            </w:pPr>
            <w:r w:rsidRPr="00D47B51">
              <w:rPr>
                <w:rFonts w:ascii="Times New Roman" w:hAnsi="Times New Roman" w:cs="Times New Roman"/>
                <w:color w:val="000000"/>
                <w:szCs w:val="24"/>
              </w:rPr>
              <w:t> Median</w:t>
            </w:r>
          </w:p>
        </w:tc>
        <w:tc>
          <w:tcPr>
            <w:tcW w:w="0" w:type="auto"/>
          </w:tcPr>
          <w:p w:rsidR="002C096D" w:rsidRPr="00D47B51" w:rsidRDefault="002C096D" w:rsidP="00ED3485">
            <w:pPr>
              <w:autoSpaceDE w:val="0"/>
              <w:autoSpaceDN w:val="0"/>
              <w:adjustRightInd w:val="0"/>
              <w:spacing w:line="360" w:lineRule="auto"/>
              <w:jc w:val="both"/>
              <w:cnfStyle w:val="000000000000"/>
              <w:rPr>
                <w:rFonts w:ascii="Times New Roman" w:hAnsi="Times New Roman" w:cs="Times New Roman"/>
                <w:color w:val="000000"/>
                <w:szCs w:val="24"/>
              </w:rPr>
            </w:pPr>
            <w:r w:rsidRPr="00D47B51">
              <w:rPr>
                <w:rFonts w:ascii="Times New Roman" w:hAnsi="Times New Roman" w:cs="Times New Roman"/>
                <w:color w:val="000000"/>
                <w:szCs w:val="24"/>
              </w:rPr>
              <w:t> 0.11</w:t>
            </w:r>
            <w:r w:rsidR="00A00E69">
              <w:rPr>
                <w:rFonts w:ascii="Times New Roman" w:hAnsi="Times New Roman" w:cs="Times New Roman"/>
                <w:color w:val="000000"/>
                <w:szCs w:val="24"/>
              </w:rPr>
              <w:t>9</w:t>
            </w:r>
          </w:p>
        </w:tc>
      </w:tr>
      <w:tr w:rsidR="002C096D" w:rsidRPr="00546A14" w:rsidTr="00D65381">
        <w:trPr>
          <w:trHeight w:val="218"/>
        </w:trPr>
        <w:tc>
          <w:tcPr>
            <w:cnfStyle w:val="001000000000"/>
            <w:tcW w:w="0" w:type="auto"/>
          </w:tcPr>
          <w:p w:rsidR="002C096D" w:rsidRPr="00D47B51" w:rsidRDefault="002C096D" w:rsidP="00ED3485">
            <w:pPr>
              <w:autoSpaceDE w:val="0"/>
              <w:autoSpaceDN w:val="0"/>
              <w:adjustRightInd w:val="0"/>
              <w:spacing w:line="360" w:lineRule="auto"/>
              <w:jc w:val="both"/>
              <w:rPr>
                <w:rFonts w:ascii="Times New Roman" w:hAnsi="Times New Roman" w:cs="Times New Roman"/>
                <w:color w:val="000000"/>
                <w:szCs w:val="24"/>
              </w:rPr>
            </w:pPr>
            <w:r w:rsidRPr="00D47B51">
              <w:rPr>
                <w:rFonts w:ascii="Times New Roman" w:hAnsi="Times New Roman" w:cs="Times New Roman"/>
                <w:color w:val="000000"/>
                <w:szCs w:val="24"/>
              </w:rPr>
              <w:t> Maximum</w:t>
            </w:r>
          </w:p>
        </w:tc>
        <w:tc>
          <w:tcPr>
            <w:tcW w:w="0" w:type="auto"/>
          </w:tcPr>
          <w:p w:rsidR="002C096D" w:rsidRPr="00D47B51" w:rsidRDefault="002C096D" w:rsidP="00ED3485">
            <w:pPr>
              <w:autoSpaceDE w:val="0"/>
              <w:autoSpaceDN w:val="0"/>
              <w:adjustRightInd w:val="0"/>
              <w:spacing w:line="360" w:lineRule="auto"/>
              <w:jc w:val="both"/>
              <w:cnfStyle w:val="000000000000"/>
              <w:rPr>
                <w:rFonts w:ascii="Times New Roman" w:hAnsi="Times New Roman" w:cs="Times New Roman"/>
                <w:color w:val="000000"/>
                <w:szCs w:val="24"/>
              </w:rPr>
            </w:pPr>
            <w:r w:rsidRPr="00D47B51">
              <w:rPr>
                <w:rFonts w:ascii="Times New Roman" w:hAnsi="Times New Roman" w:cs="Times New Roman"/>
                <w:color w:val="000000"/>
                <w:szCs w:val="24"/>
              </w:rPr>
              <w:t> </w:t>
            </w:r>
            <w:r w:rsidR="00385193" w:rsidRPr="00D47B51">
              <w:rPr>
                <w:rFonts w:ascii="Times New Roman" w:hAnsi="Times New Roman" w:cs="Times New Roman"/>
                <w:color w:val="000000"/>
                <w:szCs w:val="24"/>
                <w:lang w:val="en-US"/>
              </w:rPr>
              <w:t>0.</w:t>
            </w:r>
            <w:r w:rsidR="00ED3485" w:rsidRPr="00D47B51">
              <w:rPr>
                <w:rFonts w:ascii="Times New Roman" w:hAnsi="Times New Roman" w:cs="Times New Roman"/>
                <w:color w:val="000000"/>
                <w:szCs w:val="24"/>
              </w:rPr>
              <w:t>54</w:t>
            </w:r>
            <w:r w:rsidR="00A00E69">
              <w:rPr>
                <w:rFonts w:ascii="Times New Roman" w:hAnsi="Times New Roman" w:cs="Times New Roman"/>
                <w:color w:val="000000"/>
                <w:szCs w:val="24"/>
              </w:rPr>
              <w:t>1</w:t>
            </w:r>
          </w:p>
        </w:tc>
      </w:tr>
      <w:tr w:rsidR="002C096D" w:rsidRPr="00546A14" w:rsidTr="00D65381">
        <w:trPr>
          <w:trHeight w:val="218"/>
        </w:trPr>
        <w:tc>
          <w:tcPr>
            <w:cnfStyle w:val="001000000000"/>
            <w:tcW w:w="0" w:type="auto"/>
          </w:tcPr>
          <w:p w:rsidR="002C096D" w:rsidRPr="00D47B51" w:rsidRDefault="002C096D" w:rsidP="00ED3485">
            <w:pPr>
              <w:autoSpaceDE w:val="0"/>
              <w:autoSpaceDN w:val="0"/>
              <w:adjustRightInd w:val="0"/>
              <w:spacing w:line="360" w:lineRule="auto"/>
              <w:jc w:val="both"/>
              <w:rPr>
                <w:rFonts w:ascii="Times New Roman" w:hAnsi="Times New Roman" w:cs="Times New Roman"/>
                <w:color w:val="000000"/>
                <w:szCs w:val="24"/>
              </w:rPr>
            </w:pPr>
            <w:r w:rsidRPr="00D47B51">
              <w:rPr>
                <w:rFonts w:ascii="Times New Roman" w:hAnsi="Times New Roman" w:cs="Times New Roman"/>
                <w:color w:val="000000"/>
                <w:szCs w:val="24"/>
              </w:rPr>
              <w:t> Minimum</w:t>
            </w:r>
          </w:p>
        </w:tc>
        <w:tc>
          <w:tcPr>
            <w:tcW w:w="0" w:type="auto"/>
          </w:tcPr>
          <w:p w:rsidR="002C096D" w:rsidRPr="00D47B51" w:rsidRDefault="002C096D" w:rsidP="00A00E69">
            <w:pPr>
              <w:autoSpaceDE w:val="0"/>
              <w:autoSpaceDN w:val="0"/>
              <w:adjustRightInd w:val="0"/>
              <w:spacing w:line="360" w:lineRule="auto"/>
              <w:jc w:val="both"/>
              <w:cnfStyle w:val="000000000000"/>
              <w:rPr>
                <w:rFonts w:ascii="Times New Roman" w:hAnsi="Times New Roman" w:cs="Times New Roman"/>
                <w:color w:val="000000"/>
                <w:szCs w:val="24"/>
              </w:rPr>
            </w:pPr>
            <w:r w:rsidRPr="00D47B51">
              <w:rPr>
                <w:rFonts w:ascii="Times New Roman" w:hAnsi="Times New Roman" w:cs="Times New Roman"/>
                <w:color w:val="000000"/>
                <w:szCs w:val="24"/>
              </w:rPr>
              <w:t> 0.000</w:t>
            </w:r>
          </w:p>
        </w:tc>
      </w:tr>
      <w:tr w:rsidR="002C096D" w:rsidRPr="00546A14" w:rsidTr="00D65381">
        <w:trPr>
          <w:trHeight w:val="218"/>
        </w:trPr>
        <w:tc>
          <w:tcPr>
            <w:cnfStyle w:val="001000000000"/>
            <w:tcW w:w="0" w:type="auto"/>
          </w:tcPr>
          <w:p w:rsidR="002C096D" w:rsidRPr="00D47B51" w:rsidRDefault="002C096D" w:rsidP="00ED3485">
            <w:pPr>
              <w:autoSpaceDE w:val="0"/>
              <w:autoSpaceDN w:val="0"/>
              <w:adjustRightInd w:val="0"/>
              <w:spacing w:line="360" w:lineRule="auto"/>
              <w:jc w:val="both"/>
              <w:rPr>
                <w:rFonts w:ascii="Times New Roman" w:hAnsi="Times New Roman" w:cs="Times New Roman"/>
                <w:color w:val="000000"/>
                <w:szCs w:val="24"/>
              </w:rPr>
            </w:pPr>
            <w:r w:rsidRPr="00D47B51">
              <w:rPr>
                <w:rFonts w:ascii="Times New Roman" w:hAnsi="Times New Roman" w:cs="Times New Roman"/>
                <w:color w:val="000000"/>
                <w:szCs w:val="24"/>
              </w:rPr>
              <w:t> Std. Dev.</w:t>
            </w:r>
          </w:p>
        </w:tc>
        <w:tc>
          <w:tcPr>
            <w:tcW w:w="0" w:type="auto"/>
          </w:tcPr>
          <w:p w:rsidR="002C096D" w:rsidRPr="00D47B51" w:rsidRDefault="002C096D" w:rsidP="00A00E69">
            <w:pPr>
              <w:autoSpaceDE w:val="0"/>
              <w:autoSpaceDN w:val="0"/>
              <w:adjustRightInd w:val="0"/>
              <w:spacing w:line="360" w:lineRule="auto"/>
              <w:jc w:val="both"/>
              <w:cnfStyle w:val="000000000000"/>
              <w:rPr>
                <w:rFonts w:ascii="Times New Roman" w:hAnsi="Times New Roman" w:cs="Times New Roman"/>
                <w:color w:val="000000"/>
                <w:szCs w:val="24"/>
              </w:rPr>
            </w:pPr>
            <w:r w:rsidRPr="00D47B51">
              <w:rPr>
                <w:rFonts w:ascii="Times New Roman" w:hAnsi="Times New Roman" w:cs="Times New Roman"/>
                <w:color w:val="000000"/>
                <w:szCs w:val="24"/>
              </w:rPr>
              <w:t> 0.150</w:t>
            </w:r>
          </w:p>
        </w:tc>
      </w:tr>
    </w:tbl>
    <w:p w:rsidR="004E50D3" w:rsidRDefault="004E50D3" w:rsidP="005717B5">
      <w:pPr>
        <w:spacing w:line="360" w:lineRule="auto"/>
        <w:jc w:val="both"/>
        <w:rPr>
          <w:rFonts w:ascii="Times New Roman" w:hAnsi="Times New Roman" w:cs="Times New Roman"/>
          <w:sz w:val="24"/>
          <w:szCs w:val="24"/>
          <w:lang w:val="en-US"/>
        </w:rPr>
      </w:pPr>
    </w:p>
    <w:p w:rsidR="004E50D3" w:rsidRDefault="004E50D3" w:rsidP="005717B5">
      <w:pPr>
        <w:spacing w:line="360" w:lineRule="auto"/>
        <w:jc w:val="both"/>
        <w:rPr>
          <w:rFonts w:ascii="Times New Roman" w:hAnsi="Times New Roman" w:cs="Times New Roman"/>
          <w:sz w:val="24"/>
          <w:szCs w:val="24"/>
          <w:lang w:val="en-US"/>
        </w:rPr>
      </w:pPr>
    </w:p>
    <w:p w:rsidR="00AF6B15" w:rsidRPr="002C595D" w:rsidRDefault="004E50D3" w:rsidP="004E50D3">
      <w:pPr>
        <w:spacing w:line="360" w:lineRule="auto"/>
        <w:jc w:val="both"/>
        <w:rPr>
          <w:rFonts w:ascii="Times New Roman" w:hAnsi="Times New Roman" w:cs="Times New Roman"/>
          <w:sz w:val="20"/>
          <w:szCs w:val="24"/>
          <w:lang w:val="en-US"/>
        </w:rPr>
      </w:pPr>
      <w:r w:rsidRPr="002C595D">
        <w:rPr>
          <w:rFonts w:ascii="Times New Roman" w:hAnsi="Times New Roman" w:cs="Times New Roman"/>
          <w:sz w:val="20"/>
          <w:szCs w:val="24"/>
          <w:lang w:val="en-US"/>
        </w:rPr>
        <w:t>This table presents the descriptive statistics for the dependent variable EqAll (Percentage of equity investments relatively to the total investments of pension funds). in 2011 for the 49 countries.</w:t>
      </w:r>
    </w:p>
    <w:p w:rsidR="004E50D3" w:rsidRDefault="004E50D3" w:rsidP="00ED3485">
      <w:pPr>
        <w:autoSpaceDE w:val="0"/>
        <w:autoSpaceDN w:val="0"/>
        <w:adjustRightInd w:val="0"/>
        <w:spacing w:line="360" w:lineRule="auto"/>
        <w:jc w:val="both"/>
        <w:rPr>
          <w:rFonts w:ascii="Times New Roman" w:hAnsi="Times New Roman" w:cs="Times New Roman"/>
          <w:sz w:val="24"/>
          <w:szCs w:val="24"/>
          <w:lang w:val="en-US"/>
        </w:rPr>
        <w:sectPr w:rsidR="004E50D3" w:rsidSect="004E50D3">
          <w:type w:val="continuous"/>
          <w:pgSz w:w="11906" w:h="16838"/>
          <w:pgMar w:top="1418" w:right="1134" w:bottom="1418" w:left="1418" w:header="708" w:footer="708" w:gutter="0"/>
          <w:cols w:num="2" w:space="708"/>
          <w:titlePg/>
          <w:docGrid w:linePitch="360"/>
        </w:sectPr>
      </w:pPr>
    </w:p>
    <w:p w:rsidR="002C096D" w:rsidRPr="002C595D" w:rsidRDefault="002C096D" w:rsidP="00ED3485">
      <w:pPr>
        <w:autoSpaceDE w:val="0"/>
        <w:autoSpaceDN w:val="0"/>
        <w:adjustRightInd w:val="0"/>
        <w:spacing w:line="360" w:lineRule="auto"/>
        <w:jc w:val="both"/>
        <w:rPr>
          <w:rFonts w:ascii="Times New Roman" w:hAnsi="Times New Roman" w:cs="Times New Roman"/>
          <w:szCs w:val="24"/>
          <w:lang w:val="en-US"/>
        </w:rPr>
      </w:pPr>
      <w:r w:rsidRPr="002C595D">
        <w:rPr>
          <w:rFonts w:ascii="Times New Roman" w:hAnsi="Times New Roman" w:cs="Times New Roman"/>
          <w:szCs w:val="24"/>
          <w:lang w:val="en-US"/>
        </w:rPr>
        <w:lastRenderedPageBreak/>
        <w:t xml:space="preserve">As we can see from the table above, our sample has a mean of 0.156 with maximum values of </w:t>
      </w:r>
      <w:r w:rsidR="00ED3485" w:rsidRPr="002C595D">
        <w:rPr>
          <w:rFonts w:ascii="Times New Roman" w:hAnsi="Times New Roman" w:cs="Times New Roman"/>
          <w:color w:val="000000"/>
          <w:szCs w:val="24"/>
          <w:lang w:val="en-US"/>
        </w:rPr>
        <w:t xml:space="preserve"> 0.541 </w:t>
      </w:r>
      <w:r w:rsidRPr="002C595D">
        <w:rPr>
          <w:rFonts w:ascii="Times New Roman" w:hAnsi="Times New Roman" w:cs="Times New Roman"/>
          <w:szCs w:val="24"/>
          <w:lang w:val="en-US"/>
        </w:rPr>
        <w:t xml:space="preserve">for </w:t>
      </w:r>
      <w:r w:rsidR="00ED3485" w:rsidRPr="002C595D">
        <w:rPr>
          <w:rFonts w:ascii="Times New Roman" w:hAnsi="Times New Roman" w:cs="Times New Roman"/>
          <w:szCs w:val="24"/>
          <w:lang w:val="en-US"/>
        </w:rPr>
        <w:t>Hong Kong</w:t>
      </w:r>
      <w:r w:rsidRPr="002C595D">
        <w:rPr>
          <w:rFonts w:ascii="Times New Roman" w:hAnsi="Times New Roman" w:cs="Times New Roman"/>
          <w:szCs w:val="24"/>
          <w:lang w:val="en-US"/>
        </w:rPr>
        <w:t xml:space="preserve"> and almost zero for </w:t>
      </w:r>
      <w:r w:rsidR="00ED3485" w:rsidRPr="002C595D">
        <w:rPr>
          <w:rFonts w:ascii="Times New Roman" w:hAnsi="Times New Roman" w:cs="Times New Roman"/>
          <w:szCs w:val="24"/>
          <w:lang w:val="en-US"/>
        </w:rPr>
        <w:t>India</w:t>
      </w:r>
      <w:r w:rsidR="00385193" w:rsidRPr="002C595D">
        <w:rPr>
          <w:rFonts w:ascii="Times New Roman" w:hAnsi="Times New Roman" w:cs="Times New Roman"/>
          <w:szCs w:val="24"/>
          <w:lang w:val="en-US"/>
        </w:rPr>
        <w:t xml:space="preserve">. Unfortunately for some countries there were no data available for their investment allocation in 2011. In these cases we had to choose a value of zero. </w:t>
      </w:r>
    </w:p>
    <w:p w:rsidR="00385193" w:rsidRPr="002C595D" w:rsidRDefault="00385193" w:rsidP="005717B5">
      <w:pPr>
        <w:spacing w:line="360" w:lineRule="auto"/>
        <w:jc w:val="both"/>
        <w:rPr>
          <w:rFonts w:ascii="Times New Roman" w:hAnsi="Times New Roman" w:cs="Times New Roman"/>
          <w:szCs w:val="24"/>
          <w:lang w:val="en-US"/>
        </w:rPr>
      </w:pPr>
      <w:r w:rsidRPr="002C595D">
        <w:rPr>
          <w:rFonts w:ascii="Times New Roman" w:hAnsi="Times New Roman" w:cs="Times New Roman"/>
          <w:szCs w:val="24"/>
          <w:lang w:val="en-US"/>
        </w:rPr>
        <w:t>Australia, Chile, Finland</w:t>
      </w:r>
      <w:r w:rsidR="00ED3485" w:rsidRPr="002C595D">
        <w:rPr>
          <w:rFonts w:ascii="Times New Roman" w:hAnsi="Times New Roman" w:cs="Times New Roman"/>
          <w:szCs w:val="24"/>
          <w:lang w:val="en-US"/>
        </w:rPr>
        <w:t>, United States and Peru are also countries that maintain their equity investments above the level of 40 per cent of their total portfolio, showing a rather risk taking profile. On the other hand, Latvia</w:t>
      </w:r>
      <w:r w:rsidR="005D4597" w:rsidRPr="002C595D">
        <w:rPr>
          <w:rFonts w:ascii="Times New Roman" w:hAnsi="Times New Roman" w:cs="Times New Roman"/>
          <w:szCs w:val="24"/>
          <w:lang w:val="en-US"/>
        </w:rPr>
        <w:t>, Costa</w:t>
      </w:r>
      <w:r w:rsidR="00ED3485" w:rsidRPr="002C595D">
        <w:rPr>
          <w:rFonts w:ascii="Times New Roman" w:hAnsi="Times New Roman" w:cs="Times New Roman"/>
          <w:szCs w:val="24"/>
          <w:lang w:val="en-US"/>
        </w:rPr>
        <w:t xml:space="preserve"> Rica, Slovakia, Czech Republic, Estonia, Greece, Hungary, Israel and Japan invest less than 10 per cent of their portfolio in equity, following a more conservative strategy. </w:t>
      </w:r>
    </w:p>
    <w:p w:rsidR="00ED3485" w:rsidRPr="002C595D" w:rsidRDefault="00ED3485" w:rsidP="005717B5">
      <w:pPr>
        <w:spacing w:line="360" w:lineRule="auto"/>
        <w:jc w:val="both"/>
        <w:rPr>
          <w:rFonts w:ascii="Times New Roman" w:hAnsi="Times New Roman" w:cs="Times New Roman"/>
          <w:szCs w:val="24"/>
          <w:lang w:val="en-US"/>
        </w:rPr>
      </w:pPr>
      <w:r w:rsidRPr="002C595D">
        <w:rPr>
          <w:rFonts w:ascii="Times New Roman" w:hAnsi="Times New Roman" w:cs="Times New Roman"/>
          <w:szCs w:val="24"/>
          <w:lang w:val="en-US"/>
        </w:rPr>
        <w:t xml:space="preserve">What is worth mentioning is that, from 2008 to 2011 all the countries in our sample decreased their equity investments, sometimes to half the volume than the year before. A possible explanation for that could be the credit crisis that was in its peak at that period of time, and also has a serious impact on </w:t>
      </w:r>
      <w:r w:rsidR="00CE2F20" w:rsidRPr="002C595D">
        <w:rPr>
          <w:rFonts w:ascii="Times New Roman" w:hAnsi="Times New Roman" w:cs="Times New Roman"/>
          <w:szCs w:val="24"/>
          <w:lang w:val="en-US"/>
        </w:rPr>
        <w:t xml:space="preserve">pension funds. The only countries that exhibited an increasing equity allocation were Australia, Portugal and Jamaica, which had my average two per cent higher equity investments in 2011, n comparison with 2010.  </w:t>
      </w:r>
    </w:p>
    <w:p w:rsidR="00CE2F20" w:rsidRPr="002C595D" w:rsidRDefault="00CE2F20" w:rsidP="005717B5">
      <w:pPr>
        <w:spacing w:line="360" w:lineRule="auto"/>
        <w:jc w:val="both"/>
        <w:rPr>
          <w:rFonts w:ascii="Times New Roman" w:hAnsi="Times New Roman" w:cs="Times New Roman"/>
          <w:szCs w:val="24"/>
          <w:lang w:val="en-US"/>
        </w:rPr>
      </w:pPr>
      <w:r w:rsidRPr="002C595D">
        <w:rPr>
          <w:rFonts w:ascii="Times New Roman" w:hAnsi="Times New Roman" w:cs="Times New Roman"/>
          <w:szCs w:val="24"/>
          <w:lang w:val="en-US"/>
        </w:rPr>
        <w:t xml:space="preserve">There is an interesting point to our sample, since it is formed by 49 countries with many different investment profiles. We have countries with high, medium and low -to extremely low- equity investments, which gives a great variety in our sample and makes it interesting to compare. </w:t>
      </w:r>
    </w:p>
    <w:p w:rsidR="002C595D" w:rsidRDefault="002C595D" w:rsidP="005717B5">
      <w:pPr>
        <w:spacing w:line="360" w:lineRule="auto"/>
        <w:jc w:val="both"/>
        <w:rPr>
          <w:b/>
          <w:lang w:val="en-US"/>
        </w:rPr>
      </w:pPr>
    </w:p>
    <w:p w:rsidR="002C595D" w:rsidRDefault="002C595D" w:rsidP="005717B5">
      <w:pPr>
        <w:spacing w:line="360" w:lineRule="auto"/>
        <w:jc w:val="both"/>
        <w:rPr>
          <w:b/>
          <w:lang w:val="en-US"/>
        </w:rPr>
      </w:pPr>
    </w:p>
    <w:p w:rsidR="002C595D" w:rsidRDefault="002C595D" w:rsidP="005717B5">
      <w:pPr>
        <w:spacing w:line="360" w:lineRule="auto"/>
        <w:jc w:val="both"/>
        <w:rPr>
          <w:b/>
          <w:lang w:val="en-US"/>
        </w:rPr>
      </w:pPr>
    </w:p>
    <w:p w:rsidR="002C595D" w:rsidRDefault="002C595D" w:rsidP="005717B5">
      <w:pPr>
        <w:spacing w:line="360" w:lineRule="auto"/>
        <w:jc w:val="both"/>
        <w:rPr>
          <w:b/>
          <w:lang w:val="en-US"/>
        </w:rPr>
      </w:pPr>
    </w:p>
    <w:p w:rsidR="00317759" w:rsidRPr="00010AE6" w:rsidRDefault="00BB1EF7" w:rsidP="005717B5">
      <w:pPr>
        <w:spacing w:line="360" w:lineRule="auto"/>
        <w:jc w:val="both"/>
        <w:rPr>
          <w:b/>
          <w:lang w:val="en-US"/>
        </w:rPr>
      </w:pPr>
      <w:r w:rsidRPr="00010AE6">
        <w:rPr>
          <w:b/>
          <w:lang w:val="en-US"/>
        </w:rPr>
        <w:lastRenderedPageBreak/>
        <w:t>Figure</w:t>
      </w:r>
      <w:r w:rsidR="00317759" w:rsidRPr="00010AE6">
        <w:rPr>
          <w:b/>
          <w:lang w:val="en-US"/>
        </w:rPr>
        <w:t xml:space="preserve"> 3.</w:t>
      </w:r>
      <w:r w:rsidRPr="00010AE6">
        <w:rPr>
          <w:b/>
          <w:lang w:val="en-US"/>
        </w:rPr>
        <w:t>1</w:t>
      </w:r>
      <w:r w:rsidR="00317759" w:rsidRPr="00010AE6">
        <w:rPr>
          <w:b/>
          <w:lang w:val="en-US"/>
        </w:rPr>
        <w:t xml:space="preserve"> Equity allocation as a percentage of total investments</w:t>
      </w:r>
    </w:p>
    <w:p w:rsidR="00305DD0" w:rsidRPr="00546A14" w:rsidRDefault="00305DD0" w:rsidP="005717B5">
      <w:pPr>
        <w:spacing w:line="360" w:lineRule="auto"/>
        <w:jc w:val="both"/>
        <w:rPr>
          <w:rFonts w:ascii="Times New Roman" w:hAnsi="Times New Roman" w:cs="Times New Roman"/>
          <w:sz w:val="24"/>
          <w:szCs w:val="24"/>
          <w:lang w:val="en-US"/>
        </w:rPr>
      </w:pPr>
      <w:r w:rsidRPr="00546A14">
        <w:rPr>
          <w:rFonts w:ascii="Times New Roman" w:hAnsi="Times New Roman" w:cs="Times New Roman"/>
          <w:noProof/>
          <w:sz w:val="24"/>
          <w:szCs w:val="24"/>
          <w:lang w:val="en-US" w:eastAsia="en-US"/>
        </w:rPr>
        <w:drawing>
          <wp:inline distT="0" distB="0" distL="0" distR="0">
            <wp:extent cx="6105776" cy="3199765"/>
            <wp:effectExtent l="0" t="0" r="9525" b="1968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717B5" w:rsidRPr="002C595D" w:rsidRDefault="004E50D3" w:rsidP="005717B5">
      <w:pPr>
        <w:spacing w:line="360" w:lineRule="auto"/>
        <w:jc w:val="both"/>
        <w:rPr>
          <w:rFonts w:ascii="Times New Roman" w:hAnsi="Times New Roman" w:cs="Times New Roman"/>
          <w:sz w:val="24"/>
          <w:szCs w:val="24"/>
          <w:lang w:val="en-US"/>
        </w:rPr>
      </w:pPr>
      <w:r w:rsidRPr="002C595D">
        <w:rPr>
          <w:rFonts w:ascii="Times New Roman" w:hAnsi="Times New Roman" w:cs="Times New Roman"/>
          <w:sz w:val="20"/>
          <w:szCs w:val="24"/>
          <w:lang w:val="en-US"/>
        </w:rPr>
        <w:t xml:space="preserve">The figure above describes the equity allocation as a percentage of the total investments for the 49 countries that we investigate. As we can see the dependent variable EqAll (percentage of equity </w:t>
      </w:r>
      <w:r w:rsidR="00E37EE3" w:rsidRPr="002C595D">
        <w:rPr>
          <w:rFonts w:ascii="Times New Roman" w:hAnsi="Times New Roman" w:cs="Times New Roman"/>
          <w:sz w:val="20"/>
          <w:szCs w:val="24"/>
          <w:lang w:val="en-US"/>
        </w:rPr>
        <w:t xml:space="preserve">investments relatively to the total), varies from 0% up to 54%. </w:t>
      </w:r>
    </w:p>
    <w:p w:rsidR="00E37EE3" w:rsidRPr="00546A14" w:rsidRDefault="00E37EE3" w:rsidP="005717B5">
      <w:pPr>
        <w:spacing w:line="360" w:lineRule="auto"/>
        <w:jc w:val="both"/>
        <w:rPr>
          <w:rFonts w:ascii="Times New Roman" w:hAnsi="Times New Roman" w:cs="Times New Roman"/>
          <w:sz w:val="24"/>
          <w:szCs w:val="24"/>
          <w:lang w:val="en-US"/>
        </w:rPr>
      </w:pPr>
    </w:p>
    <w:p w:rsidR="005717B5" w:rsidRPr="000C576E" w:rsidRDefault="00550826" w:rsidP="005717B5">
      <w:pPr>
        <w:spacing w:line="360" w:lineRule="auto"/>
        <w:jc w:val="both"/>
        <w:rPr>
          <w:rFonts w:ascii="Arial" w:hAnsi="Arial" w:cs="Arial"/>
          <w:b/>
          <w:i/>
          <w:lang w:val="en-US"/>
        </w:rPr>
      </w:pPr>
      <w:r w:rsidRPr="000C576E">
        <w:rPr>
          <w:rFonts w:ascii="Arial" w:hAnsi="Arial" w:cs="Arial"/>
          <w:b/>
          <w:i/>
          <w:lang w:val="en-US"/>
        </w:rPr>
        <w:t xml:space="preserve">3.3 </w:t>
      </w:r>
      <w:r w:rsidR="005717B5" w:rsidRPr="000C576E">
        <w:rPr>
          <w:rFonts w:ascii="Arial" w:hAnsi="Arial" w:cs="Arial"/>
          <w:b/>
          <w:i/>
          <w:lang w:val="en-US"/>
        </w:rPr>
        <w:t>Control Variables</w:t>
      </w:r>
    </w:p>
    <w:p w:rsidR="005717B5" w:rsidRPr="000C576E" w:rsidRDefault="00550826" w:rsidP="005717B5">
      <w:pPr>
        <w:spacing w:line="360" w:lineRule="auto"/>
        <w:jc w:val="both"/>
        <w:rPr>
          <w:rFonts w:ascii="Arial" w:hAnsi="Arial" w:cs="Arial"/>
          <w:b/>
          <w:i/>
          <w:lang w:val="en-US"/>
        </w:rPr>
      </w:pPr>
      <w:r w:rsidRPr="000C576E">
        <w:rPr>
          <w:rFonts w:ascii="Arial" w:hAnsi="Arial" w:cs="Arial"/>
          <w:b/>
          <w:i/>
          <w:lang w:val="en-US"/>
        </w:rPr>
        <w:t xml:space="preserve">3.3.1 </w:t>
      </w:r>
      <w:r w:rsidR="005717B5" w:rsidRPr="000C576E">
        <w:rPr>
          <w:rFonts w:ascii="Arial" w:hAnsi="Arial" w:cs="Arial"/>
          <w:b/>
          <w:i/>
          <w:lang w:val="en-US"/>
        </w:rPr>
        <w:t>Equity limits</w:t>
      </w:r>
    </w:p>
    <w:p w:rsidR="005717B5" w:rsidRPr="002C595D" w:rsidRDefault="005717B5" w:rsidP="005717B5">
      <w:pPr>
        <w:spacing w:line="360" w:lineRule="auto"/>
        <w:jc w:val="both"/>
        <w:rPr>
          <w:rFonts w:ascii="Times New Roman" w:hAnsi="Times New Roman" w:cs="Times New Roman"/>
          <w:szCs w:val="24"/>
          <w:lang w:val="en-US"/>
        </w:rPr>
      </w:pPr>
      <w:r w:rsidRPr="002C595D">
        <w:rPr>
          <w:rFonts w:ascii="Times New Roman" w:hAnsi="Times New Roman" w:cs="Times New Roman"/>
          <w:szCs w:val="24"/>
          <w:lang w:val="en-US"/>
        </w:rPr>
        <w:t xml:space="preserve">Our first control variable is the Equity limits on investments, imposed by regulation in our 49 countries. We used public information, derived from the </w:t>
      </w:r>
      <w:r w:rsidR="005D4597" w:rsidRPr="002C595D">
        <w:rPr>
          <w:rFonts w:ascii="Times New Roman" w:hAnsi="Times New Roman" w:cs="Times New Roman"/>
          <w:szCs w:val="24"/>
          <w:lang w:val="en-US"/>
        </w:rPr>
        <w:t>"Survey</w:t>
      </w:r>
      <w:r w:rsidRPr="002C595D">
        <w:rPr>
          <w:rFonts w:ascii="Times New Roman" w:hAnsi="Times New Roman" w:cs="Times New Roman"/>
          <w:szCs w:val="24"/>
          <w:lang w:val="en-US"/>
        </w:rPr>
        <w:t xml:space="preserve"> of investment regulation of pension funds" report from OECD, published </w:t>
      </w:r>
      <w:r w:rsidR="005D4597" w:rsidRPr="002C595D">
        <w:rPr>
          <w:rFonts w:ascii="Times New Roman" w:hAnsi="Times New Roman" w:cs="Times New Roman"/>
          <w:szCs w:val="24"/>
          <w:lang w:val="en-US"/>
        </w:rPr>
        <w:t>in February</w:t>
      </w:r>
      <w:r w:rsidRPr="002C595D">
        <w:rPr>
          <w:rFonts w:ascii="Times New Roman" w:hAnsi="Times New Roman" w:cs="Times New Roman"/>
          <w:szCs w:val="24"/>
          <w:lang w:val="en-US"/>
        </w:rPr>
        <w:t xml:space="preserve"> 2010. As an additional source, we used information on Portfolio limits from the World Bank survey "Pension investment restrictions compromise fund performance". </w:t>
      </w:r>
    </w:p>
    <w:p w:rsidR="005717B5" w:rsidRPr="002C595D" w:rsidRDefault="005717B5" w:rsidP="005717B5">
      <w:pPr>
        <w:spacing w:line="360" w:lineRule="auto"/>
        <w:jc w:val="both"/>
        <w:rPr>
          <w:rFonts w:ascii="Times New Roman" w:hAnsi="Times New Roman" w:cs="Times New Roman"/>
          <w:szCs w:val="24"/>
          <w:lang w:val="en-US"/>
        </w:rPr>
      </w:pPr>
      <w:r w:rsidRPr="002C595D">
        <w:rPr>
          <w:rFonts w:ascii="Times New Roman" w:hAnsi="Times New Roman" w:cs="Times New Roman"/>
          <w:szCs w:val="24"/>
          <w:lang w:val="en-US"/>
        </w:rPr>
        <w:t xml:space="preserve">The figure below presents the portfolio </w:t>
      </w:r>
      <w:r w:rsidR="005D4597" w:rsidRPr="002C595D">
        <w:rPr>
          <w:rFonts w:ascii="Times New Roman" w:hAnsi="Times New Roman" w:cs="Times New Roman"/>
          <w:szCs w:val="24"/>
          <w:lang w:val="en-US"/>
        </w:rPr>
        <w:t>limits in</w:t>
      </w:r>
      <w:r w:rsidRPr="002C595D">
        <w:rPr>
          <w:rFonts w:ascii="Times New Roman" w:hAnsi="Times New Roman" w:cs="Times New Roman"/>
          <w:szCs w:val="24"/>
          <w:lang w:val="en-US"/>
        </w:rPr>
        <w:t xml:space="preserve"> our sample countries.</w:t>
      </w:r>
    </w:p>
    <w:p w:rsidR="00010AE6" w:rsidRDefault="005717B5" w:rsidP="005717B5">
      <w:pPr>
        <w:spacing w:line="360" w:lineRule="auto"/>
        <w:jc w:val="both"/>
        <w:rPr>
          <w:b/>
          <w:lang w:val="en-US"/>
        </w:rPr>
      </w:pPr>
      <w:r w:rsidRPr="00010AE6">
        <w:rPr>
          <w:b/>
          <w:lang w:val="en-US"/>
        </w:rPr>
        <w:t xml:space="preserve">   </w:t>
      </w:r>
    </w:p>
    <w:p w:rsidR="00B046EE" w:rsidRDefault="00B046EE" w:rsidP="005717B5">
      <w:pPr>
        <w:spacing w:line="360" w:lineRule="auto"/>
        <w:jc w:val="both"/>
        <w:rPr>
          <w:b/>
          <w:lang w:val="en-US"/>
        </w:rPr>
      </w:pPr>
    </w:p>
    <w:p w:rsidR="00B046EE" w:rsidRDefault="00B046EE" w:rsidP="005717B5">
      <w:pPr>
        <w:spacing w:line="360" w:lineRule="auto"/>
        <w:jc w:val="both"/>
        <w:rPr>
          <w:b/>
          <w:lang w:val="en-US"/>
        </w:rPr>
      </w:pPr>
    </w:p>
    <w:p w:rsidR="002C595D" w:rsidRDefault="002C595D" w:rsidP="005717B5">
      <w:pPr>
        <w:spacing w:line="360" w:lineRule="auto"/>
        <w:jc w:val="both"/>
        <w:rPr>
          <w:b/>
          <w:lang w:val="en-US"/>
        </w:rPr>
      </w:pPr>
    </w:p>
    <w:p w:rsidR="002C595D" w:rsidRDefault="002C595D" w:rsidP="005717B5">
      <w:pPr>
        <w:spacing w:line="360" w:lineRule="auto"/>
        <w:jc w:val="both"/>
        <w:rPr>
          <w:b/>
          <w:lang w:val="en-US"/>
        </w:rPr>
      </w:pPr>
    </w:p>
    <w:p w:rsidR="005717B5" w:rsidRPr="00010AE6" w:rsidRDefault="00BB1EF7" w:rsidP="005717B5">
      <w:pPr>
        <w:spacing w:line="360" w:lineRule="auto"/>
        <w:jc w:val="both"/>
        <w:rPr>
          <w:b/>
          <w:lang w:val="en-US"/>
        </w:rPr>
      </w:pPr>
      <w:r w:rsidRPr="00010AE6">
        <w:rPr>
          <w:b/>
          <w:lang w:val="en-US"/>
        </w:rPr>
        <w:lastRenderedPageBreak/>
        <w:t>Figure</w:t>
      </w:r>
      <w:r w:rsidR="00317759" w:rsidRPr="00010AE6">
        <w:rPr>
          <w:b/>
          <w:lang w:val="en-US"/>
        </w:rPr>
        <w:t xml:space="preserve"> 3.</w:t>
      </w:r>
      <w:r w:rsidRPr="00010AE6">
        <w:rPr>
          <w:b/>
          <w:lang w:val="en-US"/>
        </w:rPr>
        <w:t>2</w:t>
      </w:r>
      <w:r w:rsidR="005717B5" w:rsidRPr="00010AE6">
        <w:rPr>
          <w:b/>
          <w:lang w:val="en-US"/>
        </w:rPr>
        <w:t xml:space="preserve"> Equity limits in investments as a percentage of total investments</w:t>
      </w:r>
    </w:p>
    <w:p w:rsidR="005717B5" w:rsidRPr="00546A14" w:rsidRDefault="005717B5" w:rsidP="005717B5">
      <w:pPr>
        <w:spacing w:line="360" w:lineRule="auto"/>
        <w:jc w:val="both"/>
        <w:rPr>
          <w:rFonts w:ascii="Times New Roman" w:hAnsi="Times New Roman" w:cs="Times New Roman"/>
          <w:sz w:val="24"/>
          <w:szCs w:val="24"/>
          <w:lang w:val="en-US"/>
        </w:rPr>
      </w:pPr>
      <w:r w:rsidRPr="00546A14">
        <w:rPr>
          <w:rFonts w:ascii="Times New Roman" w:hAnsi="Times New Roman" w:cs="Times New Roman"/>
          <w:noProof/>
          <w:sz w:val="24"/>
          <w:szCs w:val="24"/>
          <w:lang w:val="en-US" w:eastAsia="en-US"/>
        </w:rPr>
        <w:drawing>
          <wp:inline distT="0" distB="0" distL="0" distR="0">
            <wp:extent cx="5277544" cy="6315740"/>
            <wp:effectExtent l="19050" t="0" r="18356" b="886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717B5" w:rsidRPr="002C595D" w:rsidRDefault="00E37EE3" w:rsidP="005717B5">
      <w:pPr>
        <w:spacing w:line="360" w:lineRule="auto"/>
        <w:jc w:val="both"/>
        <w:rPr>
          <w:rFonts w:ascii="Times New Roman" w:hAnsi="Times New Roman" w:cs="Times New Roman"/>
          <w:sz w:val="20"/>
          <w:szCs w:val="24"/>
          <w:lang w:val="en-US"/>
        </w:rPr>
      </w:pPr>
      <w:r w:rsidRPr="002C595D">
        <w:rPr>
          <w:rFonts w:ascii="Times New Roman" w:hAnsi="Times New Roman" w:cs="Times New Roman"/>
          <w:sz w:val="20"/>
          <w:szCs w:val="24"/>
          <w:lang w:val="en-US"/>
        </w:rPr>
        <w:t xml:space="preserve">The above </w:t>
      </w:r>
      <w:r w:rsidR="00B046EE" w:rsidRPr="002C595D">
        <w:rPr>
          <w:rFonts w:ascii="Times New Roman" w:hAnsi="Times New Roman" w:cs="Times New Roman"/>
          <w:sz w:val="20"/>
          <w:szCs w:val="24"/>
          <w:lang w:val="en-US"/>
        </w:rPr>
        <w:t>figure</w:t>
      </w:r>
      <w:r w:rsidRPr="002C595D">
        <w:rPr>
          <w:rFonts w:ascii="Times New Roman" w:hAnsi="Times New Roman" w:cs="Times New Roman"/>
          <w:sz w:val="20"/>
          <w:szCs w:val="24"/>
          <w:lang w:val="en-US"/>
        </w:rPr>
        <w:t xml:space="preserve"> refers to the first control variable : Equity Limits. This is the maximum percentage of equity investments pension funds are allowed to maintain in their portfolio for each country. </w:t>
      </w:r>
      <w:r w:rsidR="005717B5" w:rsidRPr="002C595D">
        <w:rPr>
          <w:rFonts w:ascii="Times New Roman" w:hAnsi="Times New Roman" w:cs="Times New Roman"/>
          <w:sz w:val="20"/>
          <w:szCs w:val="24"/>
          <w:lang w:val="en-US"/>
        </w:rPr>
        <w:t xml:space="preserve">Source: OECD survey of Investment Regulation of Pension Funds 2010 </w:t>
      </w:r>
      <w:r w:rsidR="005D4597" w:rsidRPr="002C595D">
        <w:rPr>
          <w:rFonts w:ascii="Times New Roman" w:hAnsi="Times New Roman" w:cs="Times New Roman"/>
          <w:sz w:val="20"/>
          <w:szCs w:val="24"/>
          <w:lang w:val="en-US"/>
        </w:rPr>
        <w:t>&amp; World</w:t>
      </w:r>
      <w:r w:rsidR="005717B5" w:rsidRPr="002C595D">
        <w:rPr>
          <w:rFonts w:ascii="Times New Roman" w:hAnsi="Times New Roman" w:cs="Times New Roman"/>
          <w:sz w:val="20"/>
          <w:szCs w:val="24"/>
          <w:lang w:val="en-US"/>
        </w:rPr>
        <w:t xml:space="preserve"> Bank survey "Pension investment restrictions compromise fund performance". </w:t>
      </w:r>
    </w:p>
    <w:p w:rsidR="005717B5" w:rsidRPr="00546A14" w:rsidRDefault="005717B5" w:rsidP="005717B5">
      <w:pPr>
        <w:spacing w:line="360" w:lineRule="auto"/>
        <w:jc w:val="both"/>
        <w:rPr>
          <w:rFonts w:ascii="Times New Roman" w:hAnsi="Times New Roman" w:cs="Times New Roman"/>
          <w:sz w:val="24"/>
          <w:szCs w:val="24"/>
          <w:lang w:val="en-US"/>
        </w:rPr>
      </w:pPr>
    </w:p>
    <w:p w:rsidR="00B046EE" w:rsidRDefault="00B046EE" w:rsidP="005717B5">
      <w:pPr>
        <w:spacing w:line="360" w:lineRule="auto"/>
        <w:jc w:val="both"/>
        <w:rPr>
          <w:rFonts w:ascii="Arial" w:hAnsi="Arial" w:cs="Arial"/>
          <w:b/>
          <w:i/>
          <w:lang w:val="en-US"/>
        </w:rPr>
      </w:pPr>
    </w:p>
    <w:p w:rsidR="002C595D" w:rsidRDefault="002C595D" w:rsidP="005717B5">
      <w:pPr>
        <w:spacing w:line="360" w:lineRule="auto"/>
        <w:jc w:val="both"/>
        <w:rPr>
          <w:rFonts w:ascii="Arial" w:hAnsi="Arial" w:cs="Arial"/>
          <w:b/>
          <w:i/>
          <w:lang w:val="en-US"/>
        </w:rPr>
      </w:pPr>
    </w:p>
    <w:p w:rsidR="005717B5" w:rsidRPr="002C595D" w:rsidRDefault="00550826" w:rsidP="005717B5">
      <w:pPr>
        <w:spacing w:line="360" w:lineRule="auto"/>
        <w:jc w:val="both"/>
        <w:rPr>
          <w:rFonts w:ascii="Arial" w:hAnsi="Arial" w:cs="Arial"/>
          <w:b/>
          <w:i/>
          <w:lang w:val="en-US"/>
        </w:rPr>
      </w:pPr>
      <w:r w:rsidRPr="002C595D">
        <w:rPr>
          <w:rFonts w:ascii="Arial" w:hAnsi="Arial" w:cs="Arial"/>
          <w:b/>
          <w:i/>
          <w:lang w:val="en-US"/>
        </w:rPr>
        <w:lastRenderedPageBreak/>
        <w:t xml:space="preserve">3.3.2 </w:t>
      </w:r>
      <w:r w:rsidR="005717B5" w:rsidRPr="002C595D">
        <w:rPr>
          <w:rFonts w:ascii="Arial" w:hAnsi="Arial" w:cs="Arial"/>
          <w:b/>
          <w:i/>
          <w:lang w:val="en-US"/>
        </w:rPr>
        <w:t>GDP per capita</w:t>
      </w:r>
    </w:p>
    <w:p w:rsidR="005717B5" w:rsidRPr="002C595D" w:rsidRDefault="005D4597" w:rsidP="005717B5">
      <w:pPr>
        <w:spacing w:line="360" w:lineRule="auto"/>
        <w:jc w:val="both"/>
        <w:rPr>
          <w:rFonts w:ascii="Times New Roman" w:hAnsi="Times New Roman" w:cs="Times New Roman"/>
          <w:lang w:val="en-US"/>
        </w:rPr>
      </w:pPr>
      <w:r w:rsidRPr="002C595D">
        <w:rPr>
          <w:rFonts w:ascii="Times New Roman" w:hAnsi="Times New Roman" w:cs="Times New Roman"/>
          <w:lang w:val="en-US"/>
        </w:rPr>
        <w:t>Following Hofstede's</w:t>
      </w:r>
      <w:r w:rsidR="005717B5" w:rsidRPr="002C595D">
        <w:rPr>
          <w:rFonts w:ascii="Times New Roman" w:hAnsi="Times New Roman" w:cs="Times New Roman"/>
          <w:lang w:val="en-US"/>
        </w:rPr>
        <w:t xml:space="preserve"> recommendation, we will control for the influence of national wealth between cultural dimensions and other data. In order to do that, we use data on the GDP per </w:t>
      </w:r>
      <w:r w:rsidRPr="002C595D">
        <w:rPr>
          <w:rFonts w:ascii="Times New Roman" w:hAnsi="Times New Roman" w:cs="Times New Roman"/>
          <w:lang w:val="en-US"/>
        </w:rPr>
        <w:t>capita in</w:t>
      </w:r>
      <w:r w:rsidR="005717B5" w:rsidRPr="002C595D">
        <w:rPr>
          <w:rFonts w:ascii="Times New Roman" w:hAnsi="Times New Roman" w:cs="Times New Roman"/>
          <w:lang w:val="en-US"/>
        </w:rPr>
        <w:t xml:space="preserve"> our analysis as a measure of national wealth. Data on 2011 figures for the 49 countries was derived from OECD database as well. </w:t>
      </w:r>
      <w:r w:rsidR="00E37EE3" w:rsidRPr="002C595D">
        <w:rPr>
          <w:rFonts w:ascii="Times New Roman" w:hAnsi="Times New Roman" w:cs="Times New Roman"/>
          <w:lang w:val="en-US"/>
        </w:rPr>
        <w:t>(The data can be found on the Appendix)</w:t>
      </w:r>
    </w:p>
    <w:p w:rsidR="005717B5" w:rsidRPr="002C595D" w:rsidRDefault="00550826" w:rsidP="005717B5">
      <w:pPr>
        <w:spacing w:line="360" w:lineRule="auto"/>
        <w:jc w:val="both"/>
        <w:rPr>
          <w:rFonts w:ascii="Arial" w:hAnsi="Arial" w:cs="Arial"/>
          <w:b/>
          <w:i/>
          <w:lang w:val="en-US"/>
        </w:rPr>
      </w:pPr>
      <w:r w:rsidRPr="002C595D">
        <w:rPr>
          <w:rFonts w:ascii="Arial" w:hAnsi="Arial" w:cs="Arial"/>
          <w:b/>
          <w:i/>
          <w:lang w:val="en-US"/>
        </w:rPr>
        <w:t xml:space="preserve">3.3.3 </w:t>
      </w:r>
      <w:r w:rsidR="005717B5" w:rsidRPr="002C595D">
        <w:rPr>
          <w:rFonts w:ascii="Arial" w:hAnsi="Arial" w:cs="Arial"/>
          <w:b/>
          <w:i/>
          <w:lang w:val="en-US"/>
        </w:rPr>
        <w:t>Market capitalization</w:t>
      </w:r>
    </w:p>
    <w:p w:rsidR="005717B5" w:rsidRPr="002C595D" w:rsidRDefault="005717B5" w:rsidP="005717B5">
      <w:pPr>
        <w:spacing w:line="360" w:lineRule="auto"/>
        <w:jc w:val="both"/>
        <w:rPr>
          <w:rFonts w:ascii="Times New Roman" w:hAnsi="Times New Roman" w:cs="Times New Roman"/>
          <w:noProof/>
          <w:lang w:val="en-US" w:eastAsia="el-GR"/>
        </w:rPr>
      </w:pPr>
      <w:r w:rsidRPr="002C595D">
        <w:rPr>
          <w:rFonts w:ascii="Times New Roman" w:hAnsi="Times New Roman" w:cs="Times New Roman"/>
          <w:noProof/>
          <w:lang w:val="en-US" w:eastAsia="el-GR"/>
        </w:rPr>
        <w:t xml:space="preserve">In order to examine the stock market development of each country, given that we will work with equity investments, it is important to include a measure of Stock market development. We chose the Market Capitalization as a percentage to GDP as  our third control variable. Once more, the data was derived from the World bank database. </w:t>
      </w:r>
      <w:r w:rsidR="00E37EE3" w:rsidRPr="002C595D">
        <w:rPr>
          <w:rFonts w:ascii="Times New Roman" w:hAnsi="Times New Roman" w:cs="Times New Roman"/>
          <w:lang w:val="en-US"/>
        </w:rPr>
        <w:t>(The data can be found on the Appendix)</w:t>
      </w:r>
    </w:p>
    <w:p w:rsidR="005717B5" w:rsidRPr="002C595D" w:rsidRDefault="00550826" w:rsidP="005717B5">
      <w:pPr>
        <w:spacing w:line="360" w:lineRule="auto"/>
        <w:jc w:val="both"/>
        <w:rPr>
          <w:rFonts w:ascii="Arial" w:hAnsi="Arial" w:cs="Arial"/>
          <w:b/>
          <w:i/>
          <w:lang w:val="en-US"/>
        </w:rPr>
      </w:pPr>
      <w:r w:rsidRPr="002C595D">
        <w:rPr>
          <w:rFonts w:ascii="Arial" w:hAnsi="Arial" w:cs="Arial"/>
          <w:b/>
          <w:i/>
          <w:lang w:val="en-US"/>
        </w:rPr>
        <w:t xml:space="preserve">3.3.4 </w:t>
      </w:r>
      <w:r w:rsidR="005717B5" w:rsidRPr="002C595D">
        <w:rPr>
          <w:rFonts w:ascii="Arial" w:hAnsi="Arial" w:cs="Arial"/>
          <w:b/>
          <w:i/>
          <w:lang w:val="en-US"/>
        </w:rPr>
        <w:t xml:space="preserve">Age dependency ratio  </w:t>
      </w:r>
    </w:p>
    <w:p w:rsidR="005717B5" w:rsidRPr="002C595D" w:rsidRDefault="005717B5" w:rsidP="005717B5">
      <w:pPr>
        <w:spacing w:line="360" w:lineRule="auto"/>
        <w:jc w:val="both"/>
        <w:rPr>
          <w:rFonts w:ascii="Times New Roman" w:hAnsi="Times New Roman" w:cs="Times New Roman"/>
          <w:noProof/>
          <w:lang w:val="en-US" w:eastAsia="el-GR"/>
        </w:rPr>
      </w:pPr>
      <w:r w:rsidRPr="002C595D">
        <w:rPr>
          <w:rFonts w:ascii="Times New Roman" w:hAnsi="Times New Roman" w:cs="Times New Roman"/>
          <w:noProof/>
          <w:lang w:val="en-US" w:eastAsia="el-GR"/>
        </w:rPr>
        <w:t>World Bank database offers a range of data on population age. We used the Age  dependency ratio,  a percentage of working-age population, as the last control variable of our analysis. This ratio shows the proportion of people younger that 15 or older than 64 years, against the working age population (ages between 15 and 64) in each  country.</w:t>
      </w:r>
    </w:p>
    <w:p w:rsidR="00AC05E4" w:rsidRPr="00A00E69" w:rsidRDefault="00AC05E4" w:rsidP="00AC05E4">
      <w:pPr>
        <w:spacing w:line="360" w:lineRule="auto"/>
        <w:jc w:val="both"/>
        <w:rPr>
          <w:rFonts w:ascii="Times New Roman" w:hAnsi="Times New Roman" w:cs="Times New Roman"/>
          <w:i/>
          <w:noProof/>
          <w:lang w:val="en-US" w:eastAsia="el-GR"/>
        </w:rPr>
      </w:pPr>
      <w:r w:rsidRPr="002C595D">
        <w:rPr>
          <w:rFonts w:ascii="Times New Roman" w:hAnsi="Times New Roman" w:cs="Times New Roman"/>
          <w:i/>
          <w:noProof/>
          <w:lang w:val="en-US" w:eastAsia="el-GR"/>
        </w:rPr>
        <w:t>"It relates the number of individuals who are likely to be “dependent” on the support of others for their daily living – the young and the elderly – to the number of those individuals who are capable of providing this support".</w:t>
      </w:r>
      <w:r w:rsidR="00A00E69">
        <w:rPr>
          <w:rFonts w:ascii="Times New Roman" w:hAnsi="Times New Roman" w:cs="Times New Roman"/>
          <w:i/>
          <w:noProof/>
          <w:lang w:val="en-US" w:eastAsia="el-GR"/>
        </w:rPr>
        <w:t xml:space="preserve"> </w:t>
      </w:r>
      <w:r w:rsidRPr="002C595D">
        <w:rPr>
          <w:rFonts w:ascii="Times New Roman" w:hAnsi="Times New Roman" w:cs="Times New Roman"/>
          <w:noProof/>
          <w:lang w:val="en-US" w:eastAsia="el-GR"/>
        </w:rPr>
        <w:t xml:space="preserve">(European commission, Glossary </w:t>
      </w:r>
      <w:hyperlink r:id="rId17" w:history="1">
        <w:r w:rsidRPr="002C595D">
          <w:rPr>
            <w:rStyle w:val="Hyperlink"/>
            <w:lang w:val="en-US"/>
          </w:rPr>
          <w:t>http://epp.eurostat.ec.europa.eu/statistics_explained/index.php/Glossary:Total-age-dependency_ratio</w:t>
        </w:r>
      </w:hyperlink>
      <w:r w:rsidRPr="002C595D">
        <w:rPr>
          <w:lang w:val="en-US"/>
        </w:rPr>
        <w:t>)</w:t>
      </w:r>
    </w:p>
    <w:p w:rsidR="005717B5" w:rsidRPr="002C595D" w:rsidRDefault="005717B5" w:rsidP="005717B5">
      <w:pPr>
        <w:spacing w:line="360" w:lineRule="auto"/>
        <w:jc w:val="both"/>
        <w:rPr>
          <w:rFonts w:ascii="Times New Roman" w:hAnsi="Times New Roman" w:cs="Times New Roman"/>
          <w:noProof/>
          <w:lang w:val="en-US" w:eastAsia="el-GR"/>
        </w:rPr>
      </w:pPr>
      <w:r w:rsidRPr="002C595D">
        <w:rPr>
          <w:rFonts w:ascii="Times New Roman" w:hAnsi="Times New Roman" w:cs="Times New Roman"/>
          <w:noProof/>
          <w:lang w:val="en-US" w:eastAsia="el-GR"/>
        </w:rPr>
        <w:t>*World Bank staff estimates from various sources including census reports, the United Nations Population Division's World Population Prospects, national statistical offices, household surveys conducted by national agencies, and Macro International</w:t>
      </w:r>
    </w:p>
    <w:p w:rsidR="005717B5" w:rsidRPr="00546A14" w:rsidRDefault="005717B5" w:rsidP="005717B5">
      <w:pPr>
        <w:spacing w:line="360" w:lineRule="auto"/>
        <w:jc w:val="both"/>
        <w:rPr>
          <w:rFonts w:ascii="Times New Roman" w:hAnsi="Times New Roman" w:cs="Times New Roman"/>
          <w:noProof/>
          <w:sz w:val="24"/>
          <w:szCs w:val="24"/>
          <w:lang w:val="en-US" w:eastAsia="el-GR"/>
        </w:rPr>
      </w:pPr>
    </w:p>
    <w:p w:rsidR="005717B5" w:rsidRPr="00546A14" w:rsidRDefault="005717B5" w:rsidP="005717B5">
      <w:pPr>
        <w:spacing w:line="360" w:lineRule="auto"/>
        <w:jc w:val="both"/>
        <w:rPr>
          <w:rFonts w:ascii="Times New Roman" w:hAnsi="Times New Roman" w:cs="Times New Roman"/>
          <w:noProof/>
          <w:sz w:val="24"/>
          <w:szCs w:val="24"/>
          <w:lang w:val="en-US" w:eastAsia="el-GR"/>
        </w:rPr>
        <w:sectPr w:rsidR="005717B5" w:rsidRPr="00546A14" w:rsidSect="008007D7">
          <w:type w:val="continuous"/>
          <w:pgSz w:w="11906" w:h="16838"/>
          <w:pgMar w:top="1418" w:right="1134" w:bottom="1418" w:left="1418" w:header="708" w:footer="708" w:gutter="0"/>
          <w:cols w:space="708"/>
          <w:titlePg/>
          <w:docGrid w:linePitch="360"/>
        </w:sectPr>
      </w:pPr>
    </w:p>
    <w:p w:rsidR="005717B5" w:rsidRPr="00546A14" w:rsidRDefault="001D2711" w:rsidP="001D2711">
      <w:pPr>
        <w:tabs>
          <w:tab w:val="left" w:pos="9128"/>
        </w:tabs>
        <w:spacing w:line="360" w:lineRule="auto"/>
        <w:jc w:val="both"/>
        <w:rPr>
          <w:rFonts w:ascii="Times New Roman" w:hAnsi="Times New Roman" w:cs="Times New Roman"/>
          <w:noProof/>
          <w:sz w:val="24"/>
          <w:szCs w:val="24"/>
          <w:lang w:val="en-US" w:eastAsia="el-GR"/>
        </w:rPr>
      </w:pPr>
      <w:r>
        <w:rPr>
          <w:rFonts w:ascii="Times New Roman" w:hAnsi="Times New Roman" w:cs="Times New Roman"/>
          <w:noProof/>
          <w:sz w:val="24"/>
          <w:szCs w:val="24"/>
          <w:lang w:val="en-US" w:eastAsia="el-GR"/>
        </w:rPr>
        <w:lastRenderedPageBreak/>
        <w:tab/>
      </w:r>
    </w:p>
    <w:p w:rsidR="00317759" w:rsidRPr="00010AE6" w:rsidRDefault="00B046EE" w:rsidP="00317759">
      <w:pPr>
        <w:spacing w:line="360" w:lineRule="auto"/>
        <w:jc w:val="both"/>
        <w:rPr>
          <w:b/>
          <w:lang w:val="en-US"/>
        </w:rPr>
      </w:pPr>
      <w:r w:rsidRPr="00546A14">
        <w:rPr>
          <w:rFonts w:ascii="Times New Roman" w:hAnsi="Times New Roman" w:cs="Times New Roman"/>
          <w:noProof/>
          <w:sz w:val="24"/>
          <w:szCs w:val="24"/>
          <w:lang w:val="en-US" w:eastAsia="en-US"/>
        </w:rPr>
        <w:drawing>
          <wp:anchor distT="0" distB="0" distL="114300" distR="114300" simplePos="0" relativeHeight="251659264" behindDoc="0" locked="0" layoutInCell="1" allowOverlap="1">
            <wp:simplePos x="0" y="0"/>
            <wp:positionH relativeFrom="margin">
              <wp:posOffset>-376555</wp:posOffset>
            </wp:positionH>
            <wp:positionV relativeFrom="margin">
              <wp:posOffset>814070</wp:posOffset>
            </wp:positionV>
            <wp:extent cx="9772650" cy="2943225"/>
            <wp:effectExtent l="0" t="0" r="19050" b="9525"/>
            <wp:wrapSquare wrapText="bothSides"/>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00BB1EF7" w:rsidRPr="00010AE6">
        <w:rPr>
          <w:b/>
          <w:lang w:val="en-US"/>
        </w:rPr>
        <w:t>Figure 3.3</w:t>
      </w:r>
      <w:r w:rsidR="00317759" w:rsidRPr="00010AE6">
        <w:rPr>
          <w:b/>
          <w:lang w:val="en-US"/>
        </w:rPr>
        <w:t xml:space="preserve">  Age dependency ratio</w:t>
      </w:r>
    </w:p>
    <w:p w:rsidR="005717B5" w:rsidRPr="002C595D" w:rsidRDefault="000D0E96" w:rsidP="00CE01CA">
      <w:pPr>
        <w:spacing w:line="360" w:lineRule="auto"/>
        <w:jc w:val="both"/>
        <w:rPr>
          <w:rFonts w:ascii="Times New Roman" w:hAnsi="Times New Roman" w:cs="Times New Roman"/>
          <w:noProof/>
          <w:sz w:val="20"/>
          <w:szCs w:val="24"/>
          <w:lang w:val="en-US" w:eastAsia="el-GR"/>
        </w:rPr>
        <w:sectPr w:rsidR="005717B5" w:rsidRPr="002C595D" w:rsidSect="008007D7">
          <w:type w:val="continuous"/>
          <w:pgSz w:w="16838" w:h="11906" w:orient="landscape"/>
          <w:pgMar w:top="1418" w:right="1134" w:bottom="1418" w:left="1418" w:header="708" w:footer="708" w:gutter="0"/>
          <w:cols w:space="708"/>
          <w:docGrid w:linePitch="360"/>
        </w:sectPr>
      </w:pPr>
      <w:r w:rsidRPr="002C595D">
        <w:rPr>
          <w:rFonts w:ascii="Times New Roman" w:hAnsi="Times New Roman" w:cs="Times New Roman"/>
          <w:noProof/>
          <w:sz w:val="20"/>
          <w:szCs w:val="24"/>
          <w:lang w:val="en-US" w:eastAsia="el-GR"/>
        </w:rPr>
        <w:t>This table presents one of o</w:t>
      </w:r>
      <w:r w:rsidR="00E37EE3" w:rsidRPr="002C595D">
        <w:rPr>
          <w:rFonts w:ascii="Times New Roman" w:hAnsi="Times New Roman" w:cs="Times New Roman"/>
          <w:noProof/>
          <w:sz w:val="20"/>
          <w:szCs w:val="24"/>
          <w:lang w:val="en-US" w:eastAsia="el-GR"/>
        </w:rPr>
        <w:t>u</w:t>
      </w:r>
      <w:r w:rsidRPr="002C595D">
        <w:rPr>
          <w:rFonts w:ascii="Times New Roman" w:hAnsi="Times New Roman" w:cs="Times New Roman"/>
          <w:noProof/>
          <w:sz w:val="20"/>
          <w:szCs w:val="24"/>
          <w:lang w:val="en-US" w:eastAsia="el-GR"/>
        </w:rPr>
        <w:t xml:space="preserve">r control variables, the </w:t>
      </w:r>
      <w:r w:rsidR="005717B5" w:rsidRPr="002C595D">
        <w:rPr>
          <w:rFonts w:ascii="Times New Roman" w:hAnsi="Times New Roman" w:cs="Times New Roman"/>
          <w:noProof/>
          <w:sz w:val="20"/>
          <w:szCs w:val="24"/>
          <w:lang w:val="en-US" w:eastAsia="el-GR"/>
        </w:rPr>
        <w:t>Age dependency ratio as a percentage of working-age population.  (Population younger than 15 or older than 64/ Population older than 15 or younger than 64)</w:t>
      </w:r>
      <w:r w:rsidRPr="002C595D">
        <w:rPr>
          <w:rFonts w:ascii="Times New Roman" w:hAnsi="Times New Roman" w:cs="Times New Roman"/>
          <w:noProof/>
          <w:sz w:val="20"/>
          <w:szCs w:val="24"/>
          <w:lang w:val="en-US" w:eastAsia="el-GR"/>
        </w:rPr>
        <w:t xml:space="preserve">. The figures are retreived from the </w:t>
      </w:r>
      <w:r w:rsidR="009203C4" w:rsidRPr="002C595D">
        <w:rPr>
          <w:rFonts w:ascii="Times New Roman" w:hAnsi="Times New Roman" w:cs="Times New Roman"/>
          <w:noProof/>
          <w:sz w:val="20"/>
          <w:szCs w:val="24"/>
          <w:lang w:val="en-US" w:eastAsia="el-GR"/>
        </w:rPr>
        <w:t>World Bank database</w:t>
      </w:r>
      <w:r w:rsidRPr="002C595D">
        <w:rPr>
          <w:rFonts w:ascii="Times New Roman" w:hAnsi="Times New Roman" w:cs="Times New Roman"/>
          <w:noProof/>
          <w:sz w:val="20"/>
          <w:szCs w:val="24"/>
          <w:lang w:val="en-US" w:eastAsia="el-GR"/>
        </w:rPr>
        <w:t xml:space="preserve"> and refer to the 49 countres of our sample. </w:t>
      </w:r>
      <w:r w:rsidR="00CC06BF" w:rsidRPr="002C595D">
        <w:rPr>
          <w:rFonts w:ascii="Times New Roman" w:hAnsi="Times New Roman" w:cs="Times New Roman"/>
          <w:noProof/>
          <w:sz w:val="20"/>
          <w:szCs w:val="24"/>
          <w:lang w:val="en-US" w:eastAsia="el-GR"/>
        </w:rPr>
        <w:t>The smallest dependency ratio is found in Hong Kong, with a dependency ratio of 31.94, while Pakistan has the highest ratio of 64.39</w:t>
      </w:r>
      <w:r w:rsidR="00AC05E4" w:rsidRPr="002C595D">
        <w:rPr>
          <w:rFonts w:ascii="Times New Roman" w:hAnsi="Times New Roman" w:cs="Times New Roman"/>
          <w:noProof/>
          <w:sz w:val="20"/>
          <w:szCs w:val="24"/>
          <w:lang w:val="en-US" w:eastAsia="el-GR"/>
        </w:rPr>
        <w:t xml:space="preserve">. </w:t>
      </w:r>
      <w:r w:rsidR="007547ED" w:rsidRPr="002C595D">
        <w:rPr>
          <w:rFonts w:ascii="Times New Roman" w:hAnsi="Times New Roman" w:cs="Times New Roman"/>
          <w:noProof/>
          <w:sz w:val="20"/>
          <w:szCs w:val="24"/>
          <w:lang w:val="en-US" w:eastAsia="el-GR"/>
        </w:rPr>
        <w:t xml:space="preserve">The mean for the AGEDR is 48,5 and as we can see all the values are fluctiating aroung the </w:t>
      </w:r>
      <w:r w:rsidR="005B6A37" w:rsidRPr="002C595D">
        <w:rPr>
          <w:rFonts w:ascii="Times New Roman" w:hAnsi="Times New Roman" w:cs="Times New Roman"/>
          <w:noProof/>
          <w:sz w:val="20"/>
          <w:szCs w:val="24"/>
          <w:lang w:val="en-US" w:eastAsia="el-GR"/>
        </w:rPr>
        <w:t>50 line,</w:t>
      </w:r>
      <w:r w:rsidR="007547ED" w:rsidRPr="002C595D">
        <w:rPr>
          <w:rFonts w:ascii="Times New Roman" w:hAnsi="Times New Roman" w:cs="Times New Roman"/>
          <w:noProof/>
          <w:sz w:val="20"/>
          <w:szCs w:val="24"/>
          <w:lang w:val="en-US" w:eastAsia="el-GR"/>
        </w:rPr>
        <w:t xml:space="preserve"> with a few extreme values for </w:t>
      </w:r>
      <w:r w:rsidR="005B6A37" w:rsidRPr="002C595D">
        <w:rPr>
          <w:rFonts w:ascii="Times New Roman" w:hAnsi="Times New Roman" w:cs="Times New Roman"/>
          <w:noProof/>
          <w:sz w:val="20"/>
          <w:szCs w:val="24"/>
          <w:lang w:val="en-US" w:eastAsia="el-GR"/>
        </w:rPr>
        <w:t>Hong Kong, Pakistan</w:t>
      </w:r>
      <w:r w:rsidR="00F024A6" w:rsidRPr="002C595D">
        <w:rPr>
          <w:rFonts w:ascii="Times New Roman" w:hAnsi="Times New Roman" w:cs="Times New Roman"/>
          <w:noProof/>
          <w:sz w:val="20"/>
          <w:szCs w:val="24"/>
          <w:lang w:val="en-US" w:eastAsia="el-GR"/>
        </w:rPr>
        <w:t xml:space="preserve">, Slaovakia and Israel. </w:t>
      </w:r>
      <w:r w:rsidR="00AC05E4" w:rsidRPr="002C595D">
        <w:rPr>
          <w:rFonts w:ascii="Times New Roman" w:hAnsi="Times New Roman" w:cs="Times New Roman"/>
          <w:noProof/>
          <w:sz w:val="20"/>
          <w:szCs w:val="24"/>
          <w:lang w:val="en-US" w:eastAsia="el-GR"/>
        </w:rPr>
        <w:t xml:space="preserve">An increased ratio is translated into </w:t>
      </w:r>
      <w:r w:rsidR="00F024A6" w:rsidRPr="002C595D">
        <w:rPr>
          <w:rFonts w:ascii="Times New Roman" w:hAnsi="Times New Roman" w:cs="Times New Roman"/>
          <w:noProof/>
          <w:sz w:val="20"/>
          <w:szCs w:val="24"/>
          <w:lang w:val="en-US" w:eastAsia="el-GR"/>
        </w:rPr>
        <w:t xml:space="preserve">a </w:t>
      </w:r>
      <w:r w:rsidR="00AC05E4" w:rsidRPr="002C595D">
        <w:rPr>
          <w:rFonts w:ascii="Times New Roman" w:hAnsi="Times New Roman" w:cs="Times New Roman"/>
          <w:noProof/>
          <w:sz w:val="20"/>
          <w:szCs w:val="24"/>
          <w:lang w:val="en-US" w:eastAsia="el-GR"/>
        </w:rPr>
        <w:t>higher burden for the part of population which is economically active to finance the </w:t>
      </w:r>
      <w:hyperlink r:id="rId19" w:tooltip="Pension" w:history="1">
        <w:r w:rsidR="00AC05E4" w:rsidRPr="002C595D">
          <w:rPr>
            <w:rFonts w:ascii="Times New Roman" w:hAnsi="Times New Roman" w:cs="Times New Roman"/>
            <w:noProof/>
            <w:sz w:val="20"/>
            <w:szCs w:val="24"/>
            <w:lang w:val="en-US" w:eastAsia="el-GR"/>
          </w:rPr>
          <w:t>pensions</w:t>
        </w:r>
      </w:hyperlink>
      <w:r w:rsidR="00AC05E4" w:rsidRPr="002C595D">
        <w:rPr>
          <w:rFonts w:ascii="Times New Roman" w:hAnsi="Times New Roman" w:cs="Times New Roman"/>
          <w:noProof/>
          <w:sz w:val="20"/>
          <w:szCs w:val="24"/>
          <w:lang w:val="en-US" w:eastAsia="el-GR"/>
        </w:rPr>
        <w:t> of the economically dependent. According to the World Bank, since 2010 Japan and</w:t>
      </w:r>
      <w:r w:rsidR="002F56A8" w:rsidRPr="002C595D">
        <w:rPr>
          <w:rFonts w:ascii="Times New Roman" w:hAnsi="Times New Roman" w:cs="Times New Roman"/>
          <w:noProof/>
          <w:sz w:val="20"/>
          <w:szCs w:val="24"/>
          <w:lang w:val="en-US" w:eastAsia="el-GR"/>
        </w:rPr>
        <w:t xml:space="preserve"> Europe present the higher aged</w:t>
      </w:r>
      <w:r w:rsidR="00E37EE3" w:rsidRPr="002C595D">
        <w:rPr>
          <w:rFonts w:ascii="Times New Roman" w:hAnsi="Times New Roman" w:cs="Times New Roman"/>
          <w:noProof/>
          <w:sz w:val="20"/>
          <w:szCs w:val="24"/>
          <w:lang w:val="en-US" w:eastAsia="el-GR"/>
        </w:rPr>
        <w:t xml:space="preserve"> </w:t>
      </w:r>
      <w:r w:rsidR="00AC05E4" w:rsidRPr="002C595D">
        <w:rPr>
          <w:rFonts w:ascii="Times New Roman" w:hAnsi="Times New Roman" w:cs="Times New Roman"/>
          <w:noProof/>
          <w:sz w:val="20"/>
          <w:szCs w:val="24"/>
          <w:lang w:val="en-US" w:eastAsia="el-GR"/>
        </w:rPr>
        <w:t xml:space="preserve">dependency ratios among other regions in the world. </w:t>
      </w:r>
      <w:r w:rsidR="002C595D">
        <w:rPr>
          <w:rFonts w:ascii="Times New Roman" w:hAnsi="Times New Roman" w:cs="Times New Roman"/>
          <w:noProof/>
          <w:sz w:val="20"/>
          <w:szCs w:val="24"/>
          <w:lang w:val="en-US" w:eastAsia="el-GR"/>
        </w:rPr>
        <w:tab/>
      </w:r>
    </w:p>
    <w:p w:rsidR="003D1F7C" w:rsidRDefault="003D1F7C" w:rsidP="003D1F7C">
      <w:pPr>
        <w:spacing w:line="360" w:lineRule="auto"/>
        <w:jc w:val="both"/>
        <w:rPr>
          <w:rFonts w:ascii="Arial" w:hAnsi="Arial" w:cs="Arial"/>
          <w:b/>
          <w:i/>
          <w:lang w:val="en-US"/>
        </w:rPr>
      </w:pPr>
      <w:r>
        <w:rPr>
          <w:rFonts w:ascii="Arial" w:hAnsi="Arial" w:cs="Arial"/>
          <w:b/>
          <w:i/>
          <w:lang w:val="en-US"/>
        </w:rPr>
        <w:lastRenderedPageBreak/>
        <w:t>3.3.5</w:t>
      </w:r>
      <w:r w:rsidRPr="000C576E">
        <w:rPr>
          <w:rFonts w:ascii="Arial" w:hAnsi="Arial" w:cs="Arial"/>
          <w:b/>
          <w:i/>
          <w:lang w:val="en-US"/>
        </w:rPr>
        <w:t xml:space="preserve"> </w:t>
      </w:r>
      <w:r w:rsidR="00E37EE3">
        <w:rPr>
          <w:rFonts w:ascii="Arial" w:hAnsi="Arial" w:cs="Arial"/>
          <w:b/>
          <w:i/>
          <w:lang w:val="en-US"/>
        </w:rPr>
        <w:t xml:space="preserve">Relative share </w:t>
      </w:r>
      <w:r>
        <w:rPr>
          <w:rFonts w:ascii="Arial" w:hAnsi="Arial" w:cs="Arial"/>
          <w:b/>
          <w:i/>
          <w:lang w:val="en-US"/>
        </w:rPr>
        <w:t>of total assets held by Defined Benefit plans</w:t>
      </w:r>
      <w:r w:rsidRPr="000C576E">
        <w:rPr>
          <w:rFonts w:ascii="Arial" w:hAnsi="Arial" w:cs="Arial"/>
          <w:b/>
          <w:i/>
          <w:lang w:val="en-US"/>
        </w:rPr>
        <w:t xml:space="preserve">  </w:t>
      </w:r>
    </w:p>
    <w:p w:rsidR="003D1F7C" w:rsidRPr="002C595D" w:rsidRDefault="00F72D04" w:rsidP="003D1F7C">
      <w:pPr>
        <w:spacing w:line="360" w:lineRule="auto"/>
        <w:jc w:val="both"/>
        <w:rPr>
          <w:rFonts w:ascii="Arial" w:hAnsi="Arial" w:cs="Arial"/>
          <w:b/>
          <w:i/>
          <w:sz w:val="20"/>
          <w:lang w:val="en-US"/>
        </w:rPr>
      </w:pPr>
      <w:r w:rsidRPr="002C595D">
        <w:rPr>
          <w:rFonts w:ascii="Times New Roman" w:hAnsi="Times New Roman" w:cs="Times New Roman"/>
          <w:noProof/>
          <w:szCs w:val="24"/>
          <w:lang w:val="en-US" w:eastAsia="el-GR"/>
        </w:rPr>
        <w:t xml:space="preserve">For the last control variable we used data found on OECD survey: "Pensions at a Glance 2011: Retirement-income Systems in OECD and G20 Countries" (2011). </w:t>
      </w:r>
      <w:r w:rsidR="00522DD7" w:rsidRPr="002C595D">
        <w:rPr>
          <w:rFonts w:ascii="Times New Roman" w:hAnsi="Times New Roman" w:cs="Times New Roman"/>
          <w:noProof/>
          <w:szCs w:val="24"/>
          <w:lang w:val="en-US" w:eastAsia="el-GR"/>
        </w:rPr>
        <w:t xml:space="preserve">We retrieved data regarding the </w:t>
      </w:r>
      <w:r w:rsidRPr="002C595D">
        <w:rPr>
          <w:rFonts w:ascii="Times New Roman" w:hAnsi="Times New Roman" w:cs="Times New Roman"/>
          <w:noProof/>
          <w:szCs w:val="24"/>
          <w:lang w:val="en-US" w:eastAsia="el-GR"/>
        </w:rPr>
        <w:t>Relative shares of D</w:t>
      </w:r>
      <w:r w:rsidR="00522DD7" w:rsidRPr="002C595D">
        <w:rPr>
          <w:rFonts w:ascii="Times New Roman" w:hAnsi="Times New Roman" w:cs="Times New Roman"/>
          <w:noProof/>
          <w:szCs w:val="24"/>
          <w:lang w:val="en-US" w:eastAsia="el-GR"/>
        </w:rPr>
        <w:t>efined Benefit</w:t>
      </w:r>
      <w:r w:rsidRPr="002C595D">
        <w:rPr>
          <w:rFonts w:ascii="Times New Roman" w:hAnsi="Times New Roman" w:cs="Times New Roman"/>
          <w:noProof/>
          <w:szCs w:val="24"/>
          <w:lang w:val="en-US" w:eastAsia="el-GR"/>
        </w:rPr>
        <w:t xml:space="preserve"> pension fund as</w:t>
      </w:r>
      <w:r w:rsidR="00522DD7" w:rsidRPr="002C595D">
        <w:rPr>
          <w:rFonts w:ascii="Times New Roman" w:hAnsi="Times New Roman" w:cs="Times New Roman"/>
          <w:noProof/>
          <w:szCs w:val="24"/>
          <w:lang w:val="en-US" w:eastAsia="el-GR"/>
        </w:rPr>
        <w:t xml:space="preserve">sets. </w:t>
      </w:r>
    </w:p>
    <w:p w:rsidR="00AF6B15" w:rsidRPr="002C595D" w:rsidRDefault="00AF6B15" w:rsidP="00AF6B15">
      <w:pPr>
        <w:spacing w:line="360" w:lineRule="auto"/>
        <w:jc w:val="both"/>
        <w:rPr>
          <w:rFonts w:ascii="Times New Roman" w:hAnsi="Times New Roman" w:cs="Times New Roman"/>
          <w:szCs w:val="24"/>
          <w:lang w:val="en-US"/>
        </w:rPr>
      </w:pPr>
      <w:r w:rsidRPr="002C595D">
        <w:rPr>
          <w:rFonts w:ascii="Times New Roman" w:hAnsi="Times New Roman" w:cs="Times New Roman"/>
          <w:szCs w:val="24"/>
          <w:lang w:val="en-US"/>
        </w:rPr>
        <w:t>The table below indicates the main statistic indicators (descriptive statistics) for the control variables. The control variables are:</w:t>
      </w:r>
    </w:p>
    <w:p w:rsidR="00AF6B15" w:rsidRPr="00546A14" w:rsidRDefault="00317759" w:rsidP="00010AE6">
      <w:pPr>
        <w:spacing w:line="360" w:lineRule="auto"/>
        <w:jc w:val="both"/>
        <w:rPr>
          <w:rFonts w:ascii="Times New Roman" w:hAnsi="Times New Roman" w:cs="Times New Roman"/>
          <w:b/>
          <w:sz w:val="28"/>
          <w:szCs w:val="24"/>
          <w:lang w:val="en-US"/>
        </w:rPr>
      </w:pPr>
      <w:r w:rsidRPr="00010AE6">
        <w:rPr>
          <w:b/>
          <w:lang w:val="en-US"/>
        </w:rPr>
        <w:t>Table 3</w:t>
      </w:r>
      <w:r w:rsidR="00AF6B15" w:rsidRPr="00010AE6">
        <w:rPr>
          <w:b/>
          <w:lang w:val="en-US"/>
        </w:rPr>
        <w:t>.</w:t>
      </w:r>
      <w:r w:rsidR="00D47B51">
        <w:rPr>
          <w:b/>
          <w:lang w:val="en-US"/>
        </w:rPr>
        <w:t>4</w:t>
      </w:r>
      <w:r w:rsidR="00AF6B15" w:rsidRPr="00010AE6">
        <w:rPr>
          <w:b/>
          <w:lang w:val="en-US"/>
        </w:rPr>
        <w:t xml:space="preserve"> Descriptive </w:t>
      </w:r>
      <w:r w:rsidR="005D4597" w:rsidRPr="00010AE6">
        <w:rPr>
          <w:b/>
          <w:lang w:val="en-US"/>
        </w:rPr>
        <w:t>statistics for</w:t>
      </w:r>
      <w:r w:rsidR="00550826" w:rsidRPr="00010AE6">
        <w:rPr>
          <w:b/>
          <w:lang w:val="en-US"/>
        </w:rPr>
        <w:t xml:space="preserve"> the control variables</w:t>
      </w:r>
    </w:p>
    <w:tbl>
      <w:tblPr>
        <w:tblStyle w:val="LightShading1"/>
        <w:tblW w:w="9311" w:type="dxa"/>
        <w:tblLook w:val="06A0"/>
      </w:tblPr>
      <w:tblGrid>
        <w:gridCol w:w="2085"/>
        <w:gridCol w:w="1379"/>
        <w:gridCol w:w="1481"/>
        <w:gridCol w:w="1345"/>
        <w:gridCol w:w="2058"/>
        <w:gridCol w:w="963"/>
      </w:tblGrid>
      <w:tr w:rsidR="00A536D0" w:rsidRPr="00D47B51" w:rsidTr="00A536D0">
        <w:trPr>
          <w:cnfStyle w:val="100000000000"/>
          <w:trHeight w:val="222"/>
        </w:trPr>
        <w:tc>
          <w:tcPr>
            <w:cnfStyle w:val="001000000000"/>
            <w:tcW w:w="0" w:type="auto"/>
          </w:tcPr>
          <w:p w:rsidR="00A536D0" w:rsidRPr="00546A14" w:rsidRDefault="00A536D0" w:rsidP="00AF6B15">
            <w:pPr>
              <w:autoSpaceDE w:val="0"/>
              <w:autoSpaceDN w:val="0"/>
              <w:adjustRightInd w:val="0"/>
              <w:spacing w:line="360" w:lineRule="auto"/>
              <w:jc w:val="both"/>
              <w:rPr>
                <w:rFonts w:ascii="Times New Roman" w:hAnsi="Times New Roman" w:cs="Times New Roman"/>
                <w:color w:val="000000"/>
                <w:sz w:val="24"/>
                <w:szCs w:val="24"/>
                <w:lang w:val="en-US"/>
              </w:rPr>
            </w:pPr>
          </w:p>
        </w:tc>
        <w:tc>
          <w:tcPr>
            <w:tcW w:w="0" w:type="auto"/>
          </w:tcPr>
          <w:p w:rsidR="00A536D0" w:rsidRPr="00D47B51" w:rsidRDefault="00A536D0" w:rsidP="00A536D0">
            <w:pPr>
              <w:autoSpaceDE w:val="0"/>
              <w:autoSpaceDN w:val="0"/>
              <w:adjustRightInd w:val="0"/>
              <w:spacing w:line="360" w:lineRule="auto"/>
              <w:cnfStyle w:val="100000000000"/>
              <w:rPr>
                <w:rFonts w:ascii="Times New Roman" w:hAnsi="Times New Roman" w:cs="Times New Roman"/>
                <w:color w:val="000000"/>
                <w:sz w:val="24"/>
                <w:szCs w:val="24"/>
                <w:lang w:val="en-GB"/>
              </w:rPr>
            </w:pPr>
            <w:r w:rsidRPr="00D47B51">
              <w:rPr>
                <w:rFonts w:ascii="Times New Roman" w:hAnsi="Times New Roman" w:cs="Times New Roman"/>
                <w:color w:val="000000"/>
                <w:sz w:val="24"/>
                <w:szCs w:val="24"/>
                <w:lang w:val="en-GB"/>
              </w:rPr>
              <w:t>AGEDR</w:t>
            </w:r>
          </w:p>
        </w:tc>
        <w:tc>
          <w:tcPr>
            <w:tcW w:w="0" w:type="auto"/>
          </w:tcPr>
          <w:p w:rsidR="00A536D0" w:rsidRPr="00D47B51" w:rsidRDefault="00A536D0" w:rsidP="00A536D0">
            <w:pPr>
              <w:autoSpaceDE w:val="0"/>
              <w:autoSpaceDN w:val="0"/>
              <w:adjustRightInd w:val="0"/>
              <w:spacing w:line="360" w:lineRule="auto"/>
              <w:cnfStyle w:val="100000000000"/>
              <w:rPr>
                <w:rFonts w:ascii="Times New Roman" w:hAnsi="Times New Roman" w:cs="Times New Roman"/>
                <w:color w:val="000000"/>
                <w:sz w:val="24"/>
                <w:szCs w:val="24"/>
                <w:lang w:val="en-GB"/>
              </w:rPr>
            </w:pPr>
            <w:r w:rsidRPr="00D47B51">
              <w:rPr>
                <w:rFonts w:ascii="Times New Roman" w:hAnsi="Times New Roman" w:cs="Times New Roman"/>
                <w:color w:val="000000"/>
                <w:sz w:val="24"/>
                <w:szCs w:val="24"/>
                <w:lang w:val="en-GB"/>
              </w:rPr>
              <w:t>LEQINV</w:t>
            </w:r>
          </w:p>
        </w:tc>
        <w:tc>
          <w:tcPr>
            <w:tcW w:w="0" w:type="auto"/>
          </w:tcPr>
          <w:p w:rsidR="00A536D0" w:rsidRPr="00D47B51" w:rsidRDefault="00A536D0" w:rsidP="00A536D0">
            <w:pPr>
              <w:autoSpaceDE w:val="0"/>
              <w:autoSpaceDN w:val="0"/>
              <w:adjustRightInd w:val="0"/>
              <w:spacing w:line="360" w:lineRule="auto"/>
              <w:cnfStyle w:val="100000000000"/>
              <w:rPr>
                <w:rFonts w:ascii="Times New Roman" w:hAnsi="Times New Roman" w:cs="Times New Roman"/>
                <w:color w:val="000000"/>
                <w:sz w:val="24"/>
                <w:szCs w:val="24"/>
                <w:lang w:val="en-GB"/>
              </w:rPr>
            </w:pPr>
            <w:r w:rsidRPr="00D47B51">
              <w:rPr>
                <w:rFonts w:ascii="Times New Roman" w:hAnsi="Times New Roman" w:cs="Times New Roman"/>
                <w:color w:val="000000"/>
                <w:sz w:val="24"/>
                <w:szCs w:val="24"/>
                <w:lang w:val="en-GB"/>
              </w:rPr>
              <w:t>LNGDP</w:t>
            </w:r>
          </w:p>
        </w:tc>
        <w:tc>
          <w:tcPr>
            <w:tcW w:w="0" w:type="auto"/>
          </w:tcPr>
          <w:p w:rsidR="00A536D0" w:rsidRPr="00D47B51" w:rsidRDefault="00A536D0" w:rsidP="00A536D0">
            <w:pPr>
              <w:autoSpaceDE w:val="0"/>
              <w:autoSpaceDN w:val="0"/>
              <w:adjustRightInd w:val="0"/>
              <w:spacing w:line="360" w:lineRule="auto"/>
              <w:cnfStyle w:val="100000000000"/>
              <w:rPr>
                <w:rFonts w:ascii="Times New Roman" w:hAnsi="Times New Roman" w:cs="Times New Roman"/>
                <w:color w:val="000000"/>
                <w:sz w:val="24"/>
                <w:szCs w:val="24"/>
                <w:lang w:val="en-GB"/>
              </w:rPr>
            </w:pPr>
            <w:r w:rsidRPr="00D47B51">
              <w:rPr>
                <w:rFonts w:ascii="Times New Roman" w:hAnsi="Times New Roman" w:cs="Times New Roman"/>
                <w:color w:val="000000"/>
                <w:sz w:val="24"/>
                <w:szCs w:val="24"/>
                <w:lang w:val="en-GB"/>
              </w:rPr>
              <w:t>LNMARCAP</w:t>
            </w:r>
          </w:p>
        </w:tc>
        <w:tc>
          <w:tcPr>
            <w:tcW w:w="0" w:type="auto"/>
          </w:tcPr>
          <w:p w:rsidR="00A536D0" w:rsidRPr="00D47B51" w:rsidRDefault="00A536D0" w:rsidP="00A536D0">
            <w:pPr>
              <w:autoSpaceDE w:val="0"/>
              <w:autoSpaceDN w:val="0"/>
              <w:adjustRightInd w:val="0"/>
              <w:spacing w:line="360" w:lineRule="auto"/>
              <w:cnfStyle w:val="100000000000"/>
              <w:rPr>
                <w:rFonts w:ascii="Times New Roman" w:hAnsi="Times New Roman" w:cs="Times New Roman"/>
                <w:color w:val="000000"/>
                <w:sz w:val="24"/>
                <w:szCs w:val="24"/>
                <w:lang w:val="en-GB"/>
              </w:rPr>
            </w:pPr>
            <w:r w:rsidRPr="00D47B51">
              <w:rPr>
                <w:rFonts w:ascii="Times New Roman" w:hAnsi="Times New Roman" w:cs="Times New Roman"/>
                <w:color w:val="000000"/>
                <w:sz w:val="24"/>
                <w:szCs w:val="24"/>
                <w:lang w:val="en-GB"/>
              </w:rPr>
              <w:t>DB</w:t>
            </w:r>
          </w:p>
        </w:tc>
      </w:tr>
      <w:tr w:rsidR="00A536D0" w:rsidRPr="00D47B51" w:rsidTr="00A536D0">
        <w:trPr>
          <w:trHeight w:val="222"/>
        </w:trPr>
        <w:tc>
          <w:tcPr>
            <w:cnfStyle w:val="001000000000"/>
            <w:tcW w:w="0" w:type="auto"/>
          </w:tcPr>
          <w:p w:rsidR="00A536D0" w:rsidRPr="00D47B51" w:rsidRDefault="00A536D0" w:rsidP="00AF6B15">
            <w:pPr>
              <w:autoSpaceDE w:val="0"/>
              <w:autoSpaceDN w:val="0"/>
              <w:adjustRightInd w:val="0"/>
              <w:spacing w:line="360" w:lineRule="auto"/>
              <w:jc w:val="both"/>
              <w:rPr>
                <w:rFonts w:ascii="Times New Roman" w:hAnsi="Times New Roman" w:cs="Times New Roman"/>
                <w:color w:val="000000"/>
                <w:sz w:val="24"/>
                <w:szCs w:val="24"/>
                <w:lang w:val="en-GB"/>
              </w:rPr>
            </w:pPr>
            <w:r w:rsidRPr="00D47B51">
              <w:rPr>
                <w:rFonts w:ascii="Times New Roman" w:hAnsi="Times New Roman" w:cs="Times New Roman"/>
                <w:color w:val="000000"/>
                <w:sz w:val="24"/>
                <w:szCs w:val="24"/>
                <w:lang w:val="en-GB"/>
              </w:rPr>
              <w:t> Mean</w:t>
            </w:r>
          </w:p>
        </w:tc>
        <w:tc>
          <w:tcPr>
            <w:tcW w:w="0" w:type="auto"/>
          </w:tcPr>
          <w:p w:rsidR="00A536D0" w:rsidRPr="00D47B51" w:rsidRDefault="00A536D0" w:rsidP="00A536D0">
            <w:pPr>
              <w:autoSpaceDE w:val="0"/>
              <w:autoSpaceDN w:val="0"/>
              <w:adjustRightInd w:val="0"/>
              <w:spacing w:line="360" w:lineRule="auto"/>
              <w:cnfStyle w:val="000000000000"/>
              <w:rPr>
                <w:rFonts w:ascii="Times New Roman" w:hAnsi="Times New Roman" w:cs="Times New Roman"/>
                <w:color w:val="000000"/>
                <w:sz w:val="24"/>
                <w:szCs w:val="24"/>
                <w:lang w:val="en-GB"/>
              </w:rPr>
            </w:pPr>
            <w:r w:rsidRPr="00D47B51">
              <w:rPr>
                <w:rFonts w:ascii="Times New Roman" w:hAnsi="Times New Roman" w:cs="Times New Roman"/>
                <w:color w:val="000000"/>
                <w:sz w:val="24"/>
                <w:szCs w:val="24"/>
                <w:lang w:val="en-GB"/>
              </w:rPr>
              <w:t> 0.48</w:t>
            </w:r>
            <w:r w:rsidR="00A00E69">
              <w:rPr>
                <w:rFonts w:ascii="Times New Roman" w:hAnsi="Times New Roman" w:cs="Times New Roman"/>
                <w:color w:val="000000"/>
                <w:sz w:val="24"/>
                <w:szCs w:val="24"/>
                <w:lang w:val="en-GB"/>
              </w:rPr>
              <w:t>5</w:t>
            </w:r>
          </w:p>
        </w:tc>
        <w:tc>
          <w:tcPr>
            <w:tcW w:w="0" w:type="auto"/>
          </w:tcPr>
          <w:p w:rsidR="00A536D0" w:rsidRPr="00D47B51" w:rsidRDefault="00A536D0" w:rsidP="00A00E69">
            <w:pPr>
              <w:autoSpaceDE w:val="0"/>
              <w:autoSpaceDN w:val="0"/>
              <w:adjustRightInd w:val="0"/>
              <w:spacing w:line="360" w:lineRule="auto"/>
              <w:cnfStyle w:val="000000000000"/>
              <w:rPr>
                <w:rFonts w:ascii="Times New Roman" w:hAnsi="Times New Roman" w:cs="Times New Roman"/>
                <w:color w:val="000000"/>
                <w:sz w:val="24"/>
                <w:szCs w:val="24"/>
                <w:lang w:val="en-GB"/>
              </w:rPr>
            </w:pPr>
            <w:r w:rsidRPr="00D47B51">
              <w:rPr>
                <w:rFonts w:ascii="Times New Roman" w:hAnsi="Times New Roman" w:cs="Times New Roman"/>
                <w:color w:val="000000"/>
                <w:sz w:val="24"/>
                <w:szCs w:val="24"/>
                <w:lang w:val="en-GB"/>
              </w:rPr>
              <w:t> 0.616</w:t>
            </w:r>
          </w:p>
        </w:tc>
        <w:tc>
          <w:tcPr>
            <w:tcW w:w="0" w:type="auto"/>
          </w:tcPr>
          <w:p w:rsidR="00A536D0" w:rsidRPr="00D47B51" w:rsidRDefault="00A00E69" w:rsidP="00A00E69">
            <w:pPr>
              <w:autoSpaceDE w:val="0"/>
              <w:autoSpaceDN w:val="0"/>
              <w:adjustRightInd w:val="0"/>
              <w:spacing w:line="360" w:lineRule="auto"/>
              <w:cnfStyle w:val="000000000000"/>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9.674</w:t>
            </w:r>
          </w:p>
        </w:tc>
        <w:tc>
          <w:tcPr>
            <w:tcW w:w="0" w:type="auto"/>
          </w:tcPr>
          <w:p w:rsidR="00A536D0" w:rsidRPr="00D47B51" w:rsidRDefault="00A536D0" w:rsidP="00A00E69">
            <w:pPr>
              <w:autoSpaceDE w:val="0"/>
              <w:autoSpaceDN w:val="0"/>
              <w:adjustRightInd w:val="0"/>
              <w:spacing w:line="360" w:lineRule="auto"/>
              <w:cnfStyle w:val="000000000000"/>
              <w:rPr>
                <w:rFonts w:ascii="Times New Roman" w:hAnsi="Times New Roman" w:cs="Times New Roman"/>
                <w:color w:val="000000"/>
                <w:sz w:val="24"/>
                <w:szCs w:val="24"/>
                <w:lang w:val="en-GB"/>
              </w:rPr>
            </w:pPr>
            <w:r w:rsidRPr="00D47B51">
              <w:rPr>
                <w:rFonts w:ascii="Times New Roman" w:hAnsi="Times New Roman" w:cs="Times New Roman"/>
                <w:color w:val="000000"/>
                <w:sz w:val="24"/>
                <w:szCs w:val="24"/>
                <w:lang w:val="en-GB"/>
              </w:rPr>
              <w:t> 3.557</w:t>
            </w:r>
          </w:p>
        </w:tc>
        <w:tc>
          <w:tcPr>
            <w:tcW w:w="0" w:type="auto"/>
          </w:tcPr>
          <w:p w:rsidR="00A536D0" w:rsidRPr="00D47B51" w:rsidRDefault="00A536D0" w:rsidP="00A00E69">
            <w:pPr>
              <w:autoSpaceDE w:val="0"/>
              <w:autoSpaceDN w:val="0"/>
              <w:adjustRightInd w:val="0"/>
              <w:spacing w:line="360" w:lineRule="auto"/>
              <w:cnfStyle w:val="000000000000"/>
              <w:rPr>
                <w:rFonts w:ascii="Times New Roman" w:hAnsi="Times New Roman" w:cs="Times New Roman"/>
                <w:color w:val="000000"/>
                <w:sz w:val="24"/>
                <w:szCs w:val="24"/>
                <w:lang w:val="en-GB"/>
              </w:rPr>
            </w:pPr>
            <w:r w:rsidRPr="00D47B51">
              <w:rPr>
                <w:rFonts w:ascii="Times New Roman" w:hAnsi="Times New Roman" w:cs="Times New Roman"/>
                <w:color w:val="000000"/>
                <w:sz w:val="24"/>
                <w:szCs w:val="24"/>
                <w:lang w:val="en-GB"/>
              </w:rPr>
              <w:t>0.167</w:t>
            </w:r>
          </w:p>
        </w:tc>
      </w:tr>
      <w:tr w:rsidR="00A536D0" w:rsidRPr="00546A14" w:rsidTr="00A536D0">
        <w:trPr>
          <w:trHeight w:val="222"/>
        </w:trPr>
        <w:tc>
          <w:tcPr>
            <w:cnfStyle w:val="001000000000"/>
            <w:tcW w:w="0" w:type="auto"/>
          </w:tcPr>
          <w:p w:rsidR="00A536D0" w:rsidRPr="00D47B51" w:rsidRDefault="00A536D0" w:rsidP="00AF6B15">
            <w:pPr>
              <w:autoSpaceDE w:val="0"/>
              <w:autoSpaceDN w:val="0"/>
              <w:adjustRightInd w:val="0"/>
              <w:spacing w:line="360" w:lineRule="auto"/>
              <w:jc w:val="both"/>
              <w:rPr>
                <w:rFonts w:ascii="Times New Roman" w:hAnsi="Times New Roman" w:cs="Times New Roman"/>
                <w:color w:val="000000"/>
                <w:sz w:val="24"/>
                <w:szCs w:val="24"/>
                <w:lang w:val="en-GB"/>
              </w:rPr>
            </w:pPr>
            <w:r w:rsidRPr="00D47B51">
              <w:rPr>
                <w:rFonts w:ascii="Times New Roman" w:hAnsi="Times New Roman" w:cs="Times New Roman"/>
                <w:color w:val="000000"/>
                <w:sz w:val="24"/>
                <w:szCs w:val="24"/>
                <w:lang w:val="en-GB"/>
              </w:rPr>
              <w:t> Median</w:t>
            </w:r>
          </w:p>
        </w:tc>
        <w:tc>
          <w:tcPr>
            <w:tcW w:w="0" w:type="auto"/>
          </w:tcPr>
          <w:p w:rsidR="00A536D0" w:rsidRPr="00D47B51" w:rsidRDefault="00A536D0" w:rsidP="00A00E69">
            <w:pPr>
              <w:autoSpaceDE w:val="0"/>
              <w:autoSpaceDN w:val="0"/>
              <w:adjustRightInd w:val="0"/>
              <w:spacing w:line="360" w:lineRule="auto"/>
              <w:cnfStyle w:val="000000000000"/>
              <w:rPr>
                <w:rFonts w:ascii="Times New Roman" w:hAnsi="Times New Roman" w:cs="Times New Roman"/>
                <w:color w:val="000000"/>
                <w:sz w:val="24"/>
                <w:szCs w:val="24"/>
                <w:lang w:val="en-GB"/>
              </w:rPr>
            </w:pPr>
            <w:r w:rsidRPr="00D47B51">
              <w:rPr>
                <w:rFonts w:ascii="Times New Roman" w:hAnsi="Times New Roman" w:cs="Times New Roman"/>
                <w:color w:val="000000"/>
                <w:sz w:val="24"/>
                <w:szCs w:val="24"/>
                <w:lang w:val="en-GB"/>
              </w:rPr>
              <w:t> 0.48</w:t>
            </w:r>
            <w:r w:rsidR="00A00E69">
              <w:rPr>
                <w:rFonts w:ascii="Times New Roman" w:hAnsi="Times New Roman" w:cs="Times New Roman"/>
                <w:color w:val="000000"/>
                <w:sz w:val="24"/>
                <w:szCs w:val="24"/>
                <w:lang w:val="en-GB"/>
              </w:rPr>
              <w:t>5</w:t>
            </w:r>
          </w:p>
        </w:tc>
        <w:tc>
          <w:tcPr>
            <w:tcW w:w="0" w:type="auto"/>
          </w:tcPr>
          <w:p w:rsidR="00A536D0" w:rsidRPr="00D47B51" w:rsidRDefault="00A536D0" w:rsidP="00A00E69">
            <w:pPr>
              <w:autoSpaceDE w:val="0"/>
              <w:autoSpaceDN w:val="0"/>
              <w:adjustRightInd w:val="0"/>
              <w:spacing w:line="360" w:lineRule="auto"/>
              <w:cnfStyle w:val="000000000000"/>
              <w:rPr>
                <w:rFonts w:ascii="Times New Roman" w:hAnsi="Times New Roman" w:cs="Times New Roman"/>
                <w:color w:val="000000"/>
                <w:sz w:val="24"/>
                <w:szCs w:val="24"/>
                <w:lang w:val="en-GB"/>
              </w:rPr>
            </w:pPr>
            <w:r w:rsidRPr="00D47B51">
              <w:rPr>
                <w:rFonts w:ascii="Times New Roman" w:hAnsi="Times New Roman" w:cs="Times New Roman"/>
                <w:color w:val="000000"/>
                <w:sz w:val="24"/>
                <w:szCs w:val="24"/>
                <w:lang w:val="en-GB"/>
              </w:rPr>
              <w:t> 0.600</w:t>
            </w:r>
          </w:p>
        </w:tc>
        <w:tc>
          <w:tcPr>
            <w:tcW w:w="0" w:type="auto"/>
          </w:tcPr>
          <w:p w:rsidR="00A536D0" w:rsidRPr="00D47B51" w:rsidRDefault="00A536D0" w:rsidP="00A00E69">
            <w:pPr>
              <w:autoSpaceDE w:val="0"/>
              <w:autoSpaceDN w:val="0"/>
              <w:adjustRightInd w:val="0"/>
              <w:spacing w:line="360" w:lineRule="auto"/>
              <w:cnfStyle w:val="000000000000"/>
              <w:rPr>
                <w:rFonts w:ascii="Times New Roman" w:hAnsi="Times New Roman" w:cs="Times New Roman"/>
                <w:color w:val="000000"/>
                <w:sz w:val="24"/>
                <w:szCs w:val="24"/>
                <w:lang w:val="en-GB"/>
              </w:rPr>
            </w:pPr>
            <w:r w:rsidRPr="00D47B51">
              <w:rPr>
                <w:rFonts w:ascii="Times New Roman" w:hAnsi="Times New Roman" w:cs="Times New Roman"/>
                <w:color w:val="000000"/>
                <w:sz w:val="24"/>
                <w:szCs w:val="24"/>
                <w:lang w:val="en-GB"/>
              </w:rPr>
              <w:t> 9.962</w:t>
            </w:r>
          </w:p>
        </w:tc>
        <w:tc>
          <w:tcPr>
            <w:tcW w:w="0" w:type="auto"/>
          </w:tcPr>
          <w:p w:rsidR="00A536D0" w:rsidRPr="00546A14" w:rsidRDefault="00A536D0" w:rsidP="00A00E69">
            <w:pPr>
              <w:autoSpaceDE w:val="0"/>
              <w:autoSpaceDN w:val="0"/>
              <w:adjustRightInd w:val="0"/>
              <w:spacing w:line="360" w:lineRule="auto"/>
              <w:cnfStyle w:val="000000000000"/>
              <w:rPr>
                <w:rFonts w:ascii="Times New Roman" w:hAnsi="Times New Roman" w:cs="Times New Roman"/>
                <w:color w:val="000000"/>
                <w:sz w:val="24"/>
                <w:szCs w:val="24"/>
              </w:rPr>
            </w:pPr>
            <w:r w:rsidRPr="00D47B51">
              <w:rPr>
                <w:rFonts w:ascii="Times New Roman" w:hAnsi="Times New Roman" w:cs="Times New Roman"/>
                <w:color w:val="000000"/>
                <w:sz w:val="24"/>
                <w:szCs w:val="24"/>
                <w:lang w:val="en-GB"/>
              </w:rPr>
              <w:t> 3</w:t>
            </w:r>
            <w:r w:rsidRPr="00546A14">
              <w:rPr>
                <w:rFonts w:ascii="Times New Roman" w:hAnsi="Times New Roman" w:cs="Times New Roman"/>
                <w:color w:val="000000"/>
                <w:sz w:val="24"/>
                <w:szCs w:val="24"/>
              </w:rPr>
              <w:t>.809</w:t>
            </w:r>
          </w:p>
        </w:tc>
        <w:tc>
          <w:tcPr>
            <w:tcW w:w="0" w:type="auto"/>
          </w:tcPr>
          <w:p w:rsidR="00A536D0" w:rsidRDefault="00A536D0" w:rsidP="00A536D0">
            <w:pPr>
              <w:autoSpaceDE w:val="0"/>
              <w:autoSpaceDN w:val="0"/>
              <w:adjustRightInd w:val="0"/>
              <w:spacing w:line="360" w:lineRule="auto"/>
              <w:cnfStyle w:val="000000000000"/>
              <w:rPr>
                <w:rFonts w:ascii="Times New Roman" w:hAnsi="Times New Roman" w:cs="Times New Roman"/>
                <w:color w:val="000000"/>
                <w:sz w:val="24"/>
                <w:szCs w:val="24"/>
              </w:rPr>
            </w:pPr>
            <w:r>
              <w:rPr>
                <w:rFonts w:ascii="Times New Roman" w:hAnsi="Times New Roman" w:cs="Times New Roman"/>
                <w:color w:val="000000"/>
                <w:sz w:val="24"/>
                <w:szCs w:val="24"/>
              </w:rPr>
              <w:t>0.00</w:t>
            </w:r>
            <w:r w:rsidR="00A00E69">
              <w:rPr>
                <w:rFonts w:ascii="Times New Roman" w:hAnsi="Times New Roman" w:cs="Times New Roman"/>
                <w:color w:val="000000"/>
                <w:sz w:val="24"/>
                <w:szCs w:val="24"/>
              </w:rPr>
              <w:t>0</w:t>
            </w:r>
          </w:p>
        </w:tc>
      </w:tr>
      <w:tr w:rsidR="00A536D0" w:rsidRPr="00546A14" w:rsidTr="00A536D0">
        <w:trPr>
          <w:trHeight w:val="222"/>
        </w:trPr>
        <w:tc>
          <w:tcPr>
            <w:cnfStyle w:val="001000000000"/>
            <w:tcW w:w="0" w:type="auto"/>
          </w:tcPr>
          <w:p w:rsidR="00A536D0" w:rsidRPr="00546A14" w:rsidRDefault="00A536D0" w:rsidP="00AF6B15">
            <w:pPr>
              <w:autoSpaceDE w:val="0"/>
              <w:autoSpaceDN w:val="0"/>
              <w:adjustRightInd w:val="0"/>
              <w:spacing w:line="360" w:lineRule="auto"/>
              <w:jc w:val="both"/>
              <w:rPr>
                <w:rFonts w:ascii="Times New Roman" w:hAnsi="Times New Roman" w:cs="Times New Roman"/>
                <w:color w:val="000000"/>
                <w:sz w:val="24"/>
                <w:szCs w:val="24"/>
              </w:rPr>
            </w:pPr>
            <w:r w:rsidRPr="00546A14">
              <w:rPr>
                <w:rFonts w:ascii="Times New Roman" w:hAnsi="Times New Roman" w:cs="Times New Roman"/>
                <w:color w:val="000000"/>
                <w:sz w:val="24"/>
                <w:szCs w:val="24"/>
              </w:rPr>
              <w:t> Maximum</w:t>
            </w:r>
          </w:p>
        </w:tc>
        <w:tc>
          <w:tcPr>
            <w:tcW w:w="0" w:type="auto"/>
          </w:tcPr>
          <w:p w:rsidR="00A536D0" w:rsidRPr="00546A14" w:rsidRDefault="00A00E69" w:rsidP="00A00E69">
            <w:pPr>
              <w:autoSpaceDE w:val="0"/>
              <w:autoSpaceDN w:val="0"/>
              <w:adjustRightInd w:val="0"/>
              <w:spacing w:line="360" w:lineRule="auto"/>
              <w:cnfStyle w:val="000000000000"/>
              <w:rPr>
                <w:rFonts w:ascii="Times New Roman" w:hAnsi="Times New Roman" w:cs="Times New Roman"/>
                <w:color w:val="000000"/>
                <w:sz w:val="24"/>
                <w:szCs w:val="24"/>
              </w:rPr>
            </w:pPr>
            <w:r>
              <w:rPr>
                <w:rFonts w:ascii="Times New Roman" w:hAnsi="Times New Roman" w:cs="Times New Roman"/>
                <w:color w:val="000000"/>
                <w:sz w:val="24"/>
                <w:szCs w:val="24"/>
              </w:rPr>
              <w:t> 0.644</w:t>
            </w:r>
          </w:p>
        </w:tc>
        <w:tc>
          <w:tcPr>
            <w:tcW w:w="0" w:type="auto"/>
          </w:tcPr>
          <w:p w:rsidR="00A536D0" w:rsidRPr="00546A14" w:rsidRDefault="00A536D0" w:rsidP="00A00E69">
            <w:pPr>
              <w:autoSpaceDE w:val="0"/>
              <w:autoSpaceDN w:val="0"/>
              <w:adjustRightInd w:val="0"/>
              <w:spacing w:line="360" w:lineRule="auto"/>
              <w:cnfStyle w:val="000000000000"/>
              <w:rPr>
                <w:rFonts w:ascii="Times New Roman" w:hAnsi="Times New Roman" w:cs="Times New Roman"/>
                <w:color w:val="000000"/>
                <w:sz w:val="24"/>
                <w:szCs w:val="24"/>
              </w:rPr>
            </w:pPr>
            <w:r w:rsidRPr="00546A14">
              <w:rPr>
                <w:rFonts w:ascii="Times New Roman" w:hAnsi="Times New Roman" w:cs="Times New Roman"/>
                <w:color w:val="000000"/>
                <w:sz w:val="24"/>
                <w:szCs w:val="24"/>
              </w:rPr>
              <w:t> 1.000</w:t>
            </w:r>
          </w:p>
        </w:tc>
        <w:tc>
          <w:tcPr>
            <w:tcW w:w="0" w:type="auto"/>
          </w:tcPr>
          <w:p w:rsidR="00A536D0" w:rsidRPr="00546A14" w:rsidRDefault="00A536D0" w:rsidP="00A00E69">
            <w:pPr>
              <w:autoSpaceDE w:val="0"/>
              <w:autoSpaceDN w:val="0"/>
              <w:adjustRightInd w:val="0"/>
              <w:spacing w:line="360" w:lineRule="auto"/>
              <w:cnfStyle w:val="000000000000"/>
              <w:rPr>
                <w:rFonts w:ascii="Times New Roman" w:hAnsi="Times New Roman" w:cs="Times New Roman"/>
                <w:color w:val="000000"/>
                <w:sz w:val="24"/>
                <w:szCs w:val="24"/>
              </w:rPr>
            </w:pPr>
            <w:r w:rsidRPr="00546A14">
              <w:rPr>
                <w:rFonts w:ascii="Times New Roman" w:hAnsi="Times New Roman" w:cs="Times New Roman"/>
                <w:color w:val="000000"/>
                <w:sz w:val="24"/>
                <w:szCs w:val="24"/>
              </w:rPr>
              <w:t> 11.6</w:t>
            </w:r>
            <w:r w:rsidR="00A00E69">
              <w:rPr>
                <w:rFonts w:ascii="Times New Roman" w:hAnsi="Times New Roman" w:cs="Times New Roman"/>
                <w:color w:val="000000"/>
                <w:sz w:val="24"/>
                <w:szCs w:val="24"/>
              </w:rPr>
              <w:t>5</w:t>
            </w:r>
          </w:p>
        </w:tc>
        <w:tc>
          <w:tcPr>
            <w:tcW w:w="0" w:type="auto"/>
          </w:tcPr>
          <w:p w:rsidR="00A536D0" w:rsidRPr="00546A14" w:rsidRDefault="00A536D0" w:rsidP="00A00E69">
            <w:pPr>
              <w:autoSpaceDE w:val="0"/>
              <w:autoSpaceDN w:val="0"/>
              <w:adjustRightInd w:val="0"/>
              <w:spacing w:line="360" w:lineRule="auto"/>
              <w:cnfStyle w:val="000000000000"/>
              <w:rPr>
                <w:rFonts w:ascii="Times New Roman" w:hAnsi="Times New Roman" w:cs="Times New Roman"/>
                <w:color w:val="000000"/>
                <w:sz w:val="24"/>
                <w:szCs w:val="24"/>
              </w:rPr>
            </w:pPr>
            <w:r w:rsidRPr="00546A14">
              <w:rPr>
                <w:rFonts w:ascii="Times New Roman" w:hAnsi="Times New Roman" w:cs="Times New Roman"/>
                <w:color w:val="000000"/>
                <w:sz w:val="24"/>
                <w:szCs w:val="24"/>
              </w:rPr>
              <w:t> 5.880</w:t>
            </w:r>
          </w:p>
        </w:tc>
        <w:tc>
          <w:tcPr>
            <w:tcW w:w="0" w:type="auto"/>
          </w:tcPr>
          <w:p w:rsidR="00A536D0" w:rsidRDefault="00A536D0" w:rsidP="00A536D0">
            <w:pPr>
              <w:autoSpaceDE w:val="0"/>
              <w:autoSpaceDN w:val="0"/>
              <w:adjustRightInd w:val="0"/>
              <w:spacing w:line="360" w:lineRule="auto"/>
              <w:cnfStyle w:val="000000000000"/>
              <w:rPr>
                <w:rFonts w:ascii="Times New Roman" w:hAnsi="Times New Roman" w:cs="Times New Roman"/>
                <w:color w:val="000000"/>
                <w:sz w:val="24"/>
                <w:szCs w:val="24"/>
              </w:rPr>
            </w:pPr>
            <w:r>
              <w:rPr>
                <w:rFonts w:ascii="Times New Roman" w:hAnsi="Times New Roman" w:cs="Times New Roman"/>
                <w:color w:val="000000"/>
                <w:sz w:val="24"/>
                <w:szCs w:val="24"/>
              </w:rPr>
              <w:t>1.00</w:t>
            </w:r>
            <w:r w:rsidR="00A00E69">
              <w:rPr>
                <w:rFonts w:ascii="Times New Roman" w:hAnsi="Times New Roman" w:cs="Times New Roman"/>
                <w:color w:val="000000"/>
                <w:sz w:val="24"/>
                <w:szCs w:val="24"/>
              </w:rPr>
              <w:t>0</w:t>
            </w:r>
          </w:p>
        </w:tc>
      </w:tr>
      <w:tr w:rsidR="00A536D0" w:rsidRPr="00546A14" w:rsidTr="00A536D0">
        <w:trPr>
          <w:trHeight w:val="222"/>
        </w:trPr>
        <w:tc>
          <w:tcPr>
            <w:cnfStyle w:val="001000000000"/>
            <w:tcW w:w="0" w:type="auto"/>
          </w:tcPr>
          <w:p w:rsidR="00A536D0" w:rsidRPr="00546A14" w:rsidRDefault="00A536D0" w:rsidP="00AF6B15">
            <w:pPr>
              <w:autoSpaceDE w:val="0"/>
              <w:autoSpaceDN w:val="0"/>
              <w:adjustRightInd w:val="0"/>
              <w:spacing w:line="360" w:lineRule="auto"/>
              <w:jc w:val="both"/>
              <w:rPr>
                <w:rFonts w:ascii="Times New Roman" w:hAnsi="Times New Roman" w:cs="Times New Roman"/>
                <w:color w:val="000000"/>
                <w:sz w:val="24"/>
                <w:szCs w:val="24"/>
              </w:rPr>
            </w:pPr>
            <w:r w:rsidRPr="00546A14">
              <w:rPr>
                <w:rFonts w:ascii="Times New Roman" w:hAnsi="Times New Roman" w:cs="Times New Roman"/>
                <w:color w:val="000000"/>
                <w:sz w:val="24"/>
                <w:szCs w:val="24"/>
              </w:rPr>
              <w:t> Minimum</w:t>
            </w:r>
          </w:p>
        </w:tc>
        <w:tc>
          <w:tcPr>
            <w:tcW w:w="0" w:type="auto"/>
          </w:tcPr>
          <w:p w:rsidR="00A536D0" w:rsidRPr="00546A14" w:rsidRDefault="00A536D0" w:rsidP="00A00E69">
            <w:pPr>
              <w:autoSpaceDE w:val="0"/>
              <w:autoSpaceDN w:val="0"/>
              <w:adjustRightInd w:val="0"/>
              <w:spacing w:line="360" w:lineRule="auto"/>
              <w:cnfStyle w:val="000000000000"/>
              <w:rPr>
                <w:rFonts w:ascii="Times New Roman" w:hAnsi="Times New Roman" w:cs="Times New Roman"/>
                <w:color w:val="000000"/>
                <w:sz w:val="24"/>
                <w:szCs w:val="24"/>
              </w:rPr>
            </w:pPr>
            <w:r w:rsidRPr="00546A14">
              <w:rPr>
                <w:rFonts w:ascii="Times New Roman" w:hAnsi="Times New Roman" w:cs="Times New Roman"/>
                <w:color w:val="000000"/>
                <w:sz w:val="24"/>
                <w:szCs w:val="24"/>
              </w:rPr>
              <w:t> 0.319</w:t>
            </w:r>
          </w:p>
        </w:tc>
        <w:tc>
          <w:tcPr>
            <w:tcW w:w="0" w:type="auto"/>
          </w:tcPr>
          <w:p w:rsidR="00A536D0" w:rsidRPr="00546A14" w:rsidRDefault="00A536D0" w:rsidP="00A00E69">
            <w:pPr>
              <w:autoSpaceDE w:val="0"/>
              <w:autoSpaceDN w:val="0"/>
              <w:adjustRightInd w:val="0"/>
              <w:spacing w:line="360" w:lineRule="auto"/>
              <w:cnfStyle w:val="000000000000"/>
              <w:rPr>
                <w:rFonts w:ascii="Times New Roman" w:hAnsi="Times New Roman" w:cs="Times New Roman"/>
                <w:color w:val="000000"/>
                <w:sz w:val="24"/>
                <w:szCs w:val="24"/>
              </w:rPr>
            </w:pPr>
            <w:r w:rsidRPr="00546A14">
              <w:rPr>
                <w:rFonts w:ascii="Times New Roman" w:hAnsi="Times New Roman" w:cs="Times New Roman"/>
                <w:color w:val="000000"/>
                <w:sz w:val="24"/>
                <w:szCs w:val="24"/>
              </w:rPr>
              <w:t> 0.000</w:t>
            </w:r>
          </w:p>
        </w:tc>
        <w:tc>
          <w:tcPr>
            <w:tcW w:w="0" w:type="auto"/>
          </w:tcPr>
          <w:p w:rsidR="00A536D0" w:rsidRPr="00546A14" w:rsidRDefault="00A536D0" w:rsidP="00A00E69">
            <w:pPr>
              <w:autoSpaceDE w:val="0"/>
              <w:autoSpaceDN w:val="0"/>
              <w:adjustRightInd w:val="0"/>
              <w:spacing w:line="360" w:lineRule="auto"/>
              <w:cnfStyle w:val="000000000000"/>
              <w:rPr>
                <w:rFonts w:ascii="Times New Roman" w:hAnsi="Times New Roman" w:cs="Times New Roman"/>
                <w:color w:val="000000"/>
                <w:sz w:val="24"/>
                <w:szCs w:val="24"/>
              </w:rPr>
            </w:pPr>
            <w:r w:rsidRPr="00546A14">
              <w:rPr>
                <w:rFonts w:ascii="Times New Roman" w:hAnsi="Times New Roman" w:cs="Times New Roman"/>
                <w:color w:val="000000"/>
                <w:sz w:val="24"/>
                <w:szCs w:val="24"/>
              </w:rPr>
              <w:t> 0.000</w:t>
            </w:r>
          </w:p>
        </w:tc>
        <w:tc>
          <w:tcPr>
            <w:tcW w:w="0" w:type="auto"/>
          </w:tcPr>
          <w:p w:rsidR="00A536D0" w:rsidRPr="00546A14" w:rsidRDefault="00A536D0" w:rsidP="00A00E69">
            <w:pPr>
              <w:autoSpaceDE w:val="0"/>
              <w:autoSpaceDN w:val="0"/>
              <w:adjustRightInd w:val="0"/>
              <w:spacing w:line="360" w:lineRule="auto"/>
              <w:cnfStyle w:val="000000000000"/>
              <w:rPr>
                <w:rFonts w:ascii="Times New Roman" w:hAnsi="Times New Roman" w:cs="Times New Roman"/>
                <w:color w:val="000000"/>
                <w:sz w:val="24"/>
                <w:szCs w:val="24"/>
              </w:rPr>
            </w:pPr>
            <w:r w:rsidRPr="00546A14">
              <w:rPr>
                <w:rFonts w:ascii="Times New Roman" w:hAnsi="Times New Roman" w:cs="Times New Roman"/>
                <w:color w:val="000000"/>
                <w:sz w:val="24"/>
                <w:szCs w:val="24"/>
              </w:rPr>
              <w:t> 0.000</w:t>
            </w:r>
          </w:p>
        </w:tc>
        <w:tc>
          <w:tcPr>
            <w:tcW w:w="0" w:type="auto"/>
          </w:tcPr>
          <w:p w:rsidR="00A536D0" w:rsidRDefault="00A536D0" w:rsidP="00A536D0">
            <w:pPr>
              <w:autoSpaceDE w:val="0"/>
              <w:autoSpaceDN w:val="0"/>
              <w:adjustRightInd w:val="0"/>
              <w:spacing w:line="360" w:lineRule="auto"/>
              <w:cnfStyle w:val="000000000000"/>
              <w:rPr>
                <w:rFonts w:ascii="Times New Roman" w:hAnsi="Times New Roman" w:cs="Times New Roman"/>
                <w:color w:val="000000"/>
                <w:sz w:val="24"/>
                <w:szCs w:val="24"/>
              </w:rPr>
            </w:pPr>
            <w:r>
              <w:rPr>
                <w:rFonts w:ascii="Times New Roman" w:hAnsi="Times New Roman" w:cs="Times New Roman"/>
                <w:color w:val="000000"/>
                <w:sz w:val="24"/>
                <w:szCs w:val="24"/>
              </w:rPr>
              <w:t>0.00</w:t>
            </w:r>
            <w:r w:rsidR="00A00E69">
              <w:rPr>
                <w:rFonts w:ascii="Times New Roman" w:hAnsi="Times New Roman" w:cs="Times New Roman"/>
                <w:color w:val="000000"/>
                <w:sz w:val="24"/>
                <w:szCs w:val="24"/>
              </w:rPr>
              <w:t>0</w:t>
            </w:r>
          </w:p>
        </w:tc>
      </w:tr>
      <w:tr w:rsidR="00A536D0" w:rsidRPr="00546A14" w:rsidTr="00A536D0">
        <w:trPr>
          <w:trHeight w:val="222"/>
        </w:trPr>
        <w:tc>
          <w:tcPr>
            <w:cnfStyle w:val="001000000000"/>
            <w:tcW w:w="0" w:type="auto"/>
          </w:tcPr>
          <w:p w:rsidR="00A536D0" w:rsidRPr="00546A14" w:rsidRDefault="00A536D0" w:rsidP="00AF6B15">
            <w:pPr>
              <w:autoSpaceDE w:val="0"/>
              <w:autoSpaceDN w:val="0"/>
              <w:adjustRightInd w:val="0"/>
              <w:spacing w:line="360" w:lineRule="auto"/>
              <w:jc w:val="both"/>
              <w:rPr>
                <w:rFonts w:ascii="Times New Roman" w:hAnsi="Times New Roman" w:cs="Times New Roman"/>
                <w:color w:val="000000"/>
                <w:sz w:val="24"/>
                <w:szCs w:val="24"/>
              </w:rPr>
            </w:pPr>
            <w:r w:rsidRPr="00546A14">
              <w:rPr>
                <w:rFonts w:ascii="Times New Roman" w:hAnsi="Times New Roman" w:cs="Times New Roman"/>
                <w:color w:val="000000"/>
                <w:sz w:val="24"/>
                <w:szCs w:val="24"/>
              </w:rPr>
              <w:t> Std. Dev.</w:t>
            </w:r>
          </w:p>
        </w:tc>
        <w:tc>
          <w:tcPr>
            <w:tcW w:w="0" w:type="auto"/>
          </w:tcPr>
          <w:p w:rsidR="00A536D0" w:rsidRPr="00546A14" w:rsidRDefault="00A00E69" w:rsidP="00A00E69">
            <w:pPr>
              <w:autoSpaceDE w:val="0"/>
              <w:autoSpaceDN w:val="0"/>
              <w:adjustRightInd w:val="0"/>
              <w:spacing w:line="360" w:lineRule="auto"/>
              <w:cnfStyle w:val="000000000000"/>
              <w:rPr>
                <w:rFonts w:ascii="Times New Roman" w:hAnsi="Times New Roman" w:cs="Times New Roman"/>
                <w:color w:val="000000"/>
                <w:sz w:val="24"/>
                <w:szCs w:val="24"/>
              </w:rPr>
            </w:pPr>
            <w:r>
              <w:rPr>
                <w:rFonts w:ascii="Times New Roman" w:hAnsi="Times New Roman" w:cs="Times New Roman"/>
                <w:color w:val="000000"/>
                <w:sz w:val="24"/>
                <w:szCs w:val="24"/>
              </w:rPr>
              <w:t> 0.062</w:t>
            </w:r>
          </w:p>
        </w:tc>
        <w:tc>
          <w:tcPr>
            <w:tcW w:w="0" w:type="auto"/>
          </w:tcPr>
          <w:p w:rsidR="00A536D0" w:rsidRPr="00546A14" w:rsidRDefault="00A536D0" w:rsidP="00A00E69">
            <w:pPr>
              <w:autoSpaceDE w:val="0"/>
              <w:autoSpaceDN w:val="0"/>
              <w:adjustRightInd w:val="0"/>
              <w:spacing w:line="360" w:lineRule="auto"/>
              <w:cnfStyle w:val="000000000000"/>
              <w:rPr>
                <w:rFonts w:ascii="Times New Roman" w:hAnsi="Times New Roman" w:cs="Times New Roman"/>
                <w:color w:val="000000"/>
                <w:sz w:val="24"/>
                <w:szCs w:val="24"/>
              </w:rPr>
            </w:pPr>
            <w:r w:rsidRPr="00546A14">
              <w:rPr>
                <w:rFonts w:ascii="Times New Roman" w:hAnsi="Times New Roman" w:cs="Times New Roman"/>
                <w:color w:val="000000"/>
                <w:sz w:val="24"/>
                <w:szCs w:val="24"/>
              </w:rPr>
              <w:t> 0.363</w:t>
            </w:r>
          </w:p>
        </w:tc>
        <w:tc>
          <w:tcPr>
            <w:tcW w:w="0" w:type="auto"/>
          </w:tcPr>
          <w:p w:rsidR="00A536D0" w:rsidRPr="00546A14" w:rsidRDefault="00A536D0" w:rsidP="00A00E69">
            <w:pPr>
              <w:autoSpaceDE w:val="0"/>
              <w:autoSpaceDN w:val="0"/>
              <w:adjustRightInd w:val="0"/>
              <w:spacing w:line="360" w:lineRule="auto"/>
              <w:cnfStyle w:val="000000000000"/>
              <w:rPr>
                <w:rFonts w:ascii="Times New Roman" w:hAnsi="Times New Roman" w:cs="Times New Roman"/>
                <w:color w:val="000000"/>
                <w:sz w:val="24"/>
                <w:szCs w:val="24"/>
              </w:rPr>
            </w:pPr>
            <w:r w:rsidRPr="00546A14">
              <w:rPr>
                <w:rFonts w:ascii="Times New Roman" w:hAnsi="Times New Roman" w:cs="Times New Roman"/>
                <w:color w:val="000000"/>
                <w:sz w:val="24"/>
                <w:szCs w:val="24"/>
              </w:rPr>
              <w:t> 1.74</w:t>
            </w:r>
            <w:r w:rsidR="00A00E69">
              <w:rPr>
                <w:rFonts w:ascii="Times New Roman" w:hAnsi="Times New Roman" w:cs="Times New Roman"/>
                <w:color w:val="000000"/>
                <w:sz w:val="24"/>
                <w:szCs w:val="24"/>
              </w:rPr>
              <w:t>2</w:t>
            </w:r>
          </w:p>
        </w:tc>
        <w:tc>
          <w:tcPr>
            <w:tcW w:w="0" w:type="auto"/>
          </w:tcPr>
          <w:p w:rsidR="00A536D0" w:rsidRPr="00546A14" w:rsidRDefault="00A536D0" w:rsidP="00A00E69">
            <w:pPr>
              <w:autoSpaceDE w:val="0"/>
              <w:autoSpaceDN w:val="0"/>
              <w:adjustRightInd w:val="0"/>
              <w:spacing w:line="360" w:lineRule="auto"/>
              <w:cnfStyle w:val="000000000000"/>
              <w:rPr>
                <w:rFonts w:ascii="Times New Roman" w:hAnsi="Times New Roman" w:cs="Times New Roman"/>
                <w:color w:val="000000"/>
                <w:sz w:val="24"/>
                <w:szCs w:val="24"/>
              </w:rPr>
            </w:pPr>
            <w:r w:rsidRPr="00546A14">
              <w:rPr>
                <w:rFonts w:ascii="Times New Roman" w:hAnsi="Times New Roman" w:cs="Times New Roman"/>
                <w:color w:val="000000"/>
                <w:sz w:val="24"/>
                <w:szCs w:val="24"/>
              </w:rPr>
              <w:t> 1.12</w:t>
            </w:r>
            <w:r w:rsidR="00A00E69">
              <w:rPr>
                <w:rFonts w:ascii="Times New Roman" w:hAnsi="Times New Roman" w:cs="Times New Roman"/>
                <w:color w:val="000000"/>
                <w:sz w:val="24"/>
                <w:szCs w:val="24"/>
              </w:rPr>
              <w:t>7</w:t>
            </w:r>
          </w:p>
        </w:tc>
        <w:tc>
          <w:tcPr>
            <w:tcW w:w="0" w:type="auto"/>
          </w:tcPr>
          <w:p w:rsidR="00A536D0" w:rsidRPr="00A536D0" w:rsidRDefault="00A536D0" w:rsidP="00A00E69">
            <w:pPr>
              <w:autoSpaceDE w:val="0"/>
              <w:autoSpaceDN w:val="0"/>
              <w:adjustRightInd w:val="0"/>
              <w:spacing w:line="360" w:lineRule="auto"/>
              <w:cnfStyle w:val="000000000000"/>
              <w:rPr>
                <w:rFonts w:ascii="Times New Roman" w:hAnsi="Times New Roman" w:cs="Times New Roman"/>
                <w:color w:val="000000"/>
                <w:sz w:val="24"/>
                <w:szCs w:val="24"/>
              </w:rPr>
            </w:pPr>
            <w:r>
              <w:rPr>
                <w:rFonts w:ascii="Times New Roman" w:hAnsi="Times New Roman" w:cs="Times New Roman"/>
                <w:color w:val="000000"/>
                <w:sz w:val="24"/>
                <w:szCs w:val="24"/>
              </w:rPr>
              <w:t>0.327</w:t>
            </w:r>
          </w:p>
        </w:tc>
      </w:tr>
      <w:tr w:rsidR="00A536D0" w:rsidRPr="00546A14" w:rsidTr="00A536D0">
        <w:trPr>
          <w:trHeight w:val="222"/>
        </w:trPr>
        <w:tc>
          <w:tcPr>
            <w:cnfStyle w:val="001000000000"/>
            <w:tcW w:w="0" w:type="auto"/>
          </w:tcPr>
          <w:p w:rsidR="00A536D0" w:rsidRPr="00546A14" w:rsidRDefault="00A536D0" w:rsidP="00AF6B15">
            <w:pPr>
              <w:autoSpaceDE w:val="0"/>
              <w:autoSpaceDN w:val="0"/>
              <w:adjustRightInd w:val="0"/>
              <w:spacing w:line="360" w:lineRule="auto"/>
              <w:jc w:val="both"/>
              <w:rPr>
                <w:rFonts w:ascii="Times New Roman" w:hAnsi="Times New Roman" w:cs="Times New Roman"/>
                <w:color w:val="000000"/>
                <w:sz w:val="24"/>
                <w:szCs w:val="24"/>
              </w:rPr>
            </w:pPr>
            <w:r w:rsidRPr="00546A14">
              <w:rPr>
                <w:rFonts w:ascii="Times New Roman" w:hAnsi="Times New Roman" w:cs="Times New Roman"/>
                <w:color w:val="000000"/>
                <w:sz w:val="24"/>
                <w:szCs w:val="24"/>
              </w:rPr>
              <w:t> Observations</w:t>
            </w:r>
          </w:p>
        </w:tc>
        <w:tc>
          <w:tcPr>
            <w:tcW w:w="0" w:type="auto"/>
          </w:tcPr>
          <w:p w:rsidR="00A536D0" w:rsidRPr="00546A14" w:rsidRDefault="00A536D0" w:rsidP="00A536D0">
            <w:pPr>
              <w:autoSpaceDE w:val="0"/>
              <w:autoSpaceDN w:val="0"/>
              <w:adjustRightInd w:val="0"/>
              <w:spacing w:line="360" w:lineRule="auto"/>
              <w:cnfStyle w:val="000000000000"/>
              <w:rPr>
                <w:rFonts w:ascii="Times New Roman" w:hAnsi="Times New Roman" w:cs="Times New Roman"/>
                <w:color w:val="000000"/>
                <w:sz w:val="24"/>
                <w:szCs w:val="24"/>
              </w:rPr>
            </w:pPr>
            <w:r w:rsidRPr="00546A14">
              <w:rPr>
                <w:rFonts w:ascii="Times New Roman" w:hAnsi="Times New Roman" w:cs="Times New Roman"/>
                <w:color w:val="000000"/>
                <w:sz w:val="24"/>
                <w:szCs w:val="24"/>
              </w:rPr>
              <w:t> 49</w:t>
            </w:r>
          </w:p>
        </w:tc>
        <w:tc>
          <w:tcPr>
            <w:tcW w:w="0" w:type="auto"/>
          </w:tcPr>
          <w:p w:rsidR="00A536D0" w:rsidRPr="00546A14" w:rsidRDefault="00A536D0" w:rsidP="00A536D0">
            <w:pPr>
              <w:autoSpaceDE w:val="0"/>
              <w:autoSpaceDN w:val="0"/>
              <w:adjustRightInd w:val="0"/>
              <w:spacing w:line="360" w:lineRule="auto"/>
              <w:cnfStyle w:val="000000000000"/>
              <w:rPr>
                <w:rFonts w:ascii="Times New Roman" w:hAnsi="Times New Roman" w:cs="Times New Roman"/>
                <w:color w:val="000000"/>
                <w:sz w:val="24"/>
                <w:szCs w:val="24"/>
              </w:rPr>
            </w:pPr>
            <w:r w:rsidRPr="00546A14">
              <w:rPr>
                <w:rFonts w:ascii="Times New Roman" w:hAnsi="Times New Roman" w:cs="Times New Roman"/>
                <w:color w:val="000000"/>
                <w:sz w:val="24"/>
                <w:szCs w:val="24"/>
              </w:rPr>
              <w:t> 49</w:t>
            </w:r>
          </w:p>
        </w:tc>
        <w:tc>
          <w:tcPr>
            <w:tcW w:w="0" w:type="auto"/>
          </w:tcPr>
          <w:p w:rsidR="00A536D0" w:rsidRPr="00546A14" w:rsidRDefault="00A536D0" w:rsidP="00A536D0">
            <w:pPr>
              <w:autoSpaceDE w:val="0"/>
              <w:autoSpaceDN w:val="0"/>
              <w:adjustRightInd w:val="0"/>
              <w:spacing w:line="360" w:lineRule="auto"/>
              <w:cnfStyle w:val="000000000000"/>
              <w:rPr>
                <w:rFonts w:ascii="Times New Roman" w:hAnsi="Times New Roman" w:cs="Times New Roman"/>
                <w:color w:val="000000"/>
                <w:sz w:val="24"/>
                <w:szCs w:val="24"/>
              </w:rPr>
            </w:pPr>
            <w:r w:rsidRPr="00546A14">
              <w:rPr>
                <w:rFonts w:ascii="Times New Roman" w:hAnsi="Times New Roman" w:cs="Times New Roman"/>
                <w:color w:val="000000"/>
                <w:sz w:val="24"/>
                <w:szCs w:val="24"/>
              </w:rPr>
              <w:t> 49</w:t>
            </w:r>
          </w:p>
        </w:tc>
        <w:tc>
          <w:tcPr>
            <w:tcW w:w="0" w:type="auto"/>
          </w:tcPr>
          <w:p w:rsidR="00A536D0" w:rsidRPr="00546A14" w:rsidRDefault="00A536D0" w:rsidP="00A536D0">
            <w:pPr>
              <w:autoSpaceDE w:val="0"/>
              <w:autoSpaceDN w:val="0"/>
              <w:adjustRightInd w:val="0"/>
              <w:spacing w:line="360" w:lineRule="auto"/>
              <w:cnfStyle w:val="000000000000"/>
              <w:rPr>
                <w:rFonts w:ascii="Times New Roman" w:hAnsi="Times New Roman" w:cs="Times New Roman"/>
                <w:color w:val="000000"/>
                <w:sz w:val="24"/>
                <w:szCs w:val="24"/>
              </w:rPr>
            </w:pPr>
            <w:r w:rsidRPr="00546A14">
              <w:rPr>
                <w:rFonts w:ascii="Times New Roman" w:hAnsi="Times New Roman" w:cs="Times New Roman"/>
                <w:color w:val="000000"/>
                <w:sz w:val="24"/>
                <w:szCs w:val="24"/>
              </w:rPr>
              <w:t> 49</w:t>
            </w:r>
          </w:p>
        </w:tc>
        <w:tc>
          <w:tcPr>
            <w:tcW w:w="0" w:type="auto"/>
          </w:tcPr>
          <w:p w:rsidR="00A536D0" w:rsidRDefault="002F5D13" w:rsidP="00A536D0">
            <w:pPr>
              <w:autoSpaceDE w:val="0"/>
              <w:autoSpaceDN w:val="0"/>
              <w:adjustRightInd w:val="0"/>
              <w:spacing w:line="360" w:lineRule="auto"/>
              <w:cnfStyle w:val="000000000000"/>
              <w:rPr>
                <w:rFonts w:ascii="Times New Roman" w:hAnsi="Times New Roman" w:cs="Times New Roman"/>
                <w:color w:val="000000"/>
                <w:sz w:val="24"/>
                <w:szCs w:val="24"/>
              </w:rPr>
            </w:pPr>
            <w:r>
              <w:rPr>
                <w:rFonts w:ascii="Times New Roman" w:hAnsi="Times New Roman" w:cs="Times New Roman"/>
                <w:color w:val="000000"/>
                <w:sz w:val="24"/>
                <w:szCs w:val="24"/>
              </w:rPr>
              <w:t>49</w:t>
            </w:r>
          </w:p>
        </w:tc>
      </w:tr>
    </w:tbl>
    <w:p w:rsidR="00F51FB9" w:rsidRPr="002C595D" w:rsidRDefault="00522DD7" w:rsidP="00F51FB9">
      <w:pPr>
        <w:spacing w:line="240" w:lineRule="atLeast"/>
        <w:jc w:val="both"/>
        <w:rPr>
          <w:rFonts w:ascii="Times New Roman" w:hAnsi="Times New Roman" w:cs="Times New Roman"/>
          <w:sz w:val="18"/>
          <w:szCs w:val="24"/>
          <w:lang w:val="en-US"/>
        </w:rPr>
      </w:pPr>
      <w:r w:rsidRPr="002C595D">
        <w:rPr>
          <w:rFonts w:ascii="Times New Roman" w:hAnsi="Times New Roman" w:cs="Times New Roman"/>
          <w:sz w:val="18"/>
          <w:szCs w:val="24"/>
          <w:lang w:val="en-US"/>
        </w:rPr>
        <w:t>Descriptive statistics for the five control variables, w</w:t>
      </w:r>
      <w:r w:rsidR="002F56A8" w:rsidRPr="002C595D">
        <w:rPr>
          <w:rFonts w:ascii="Times New Roman" w:hAnsi="Times New Roman" w:cs="Times New Roman"/>
          <w:sz w:val="18"/>
          <w:szCs w:val="24"/>
          <w:lang w:val="en-US"/>
        </w:rPr>
        <w:t>here:</w:t>
      </w:r>
    </w:p>
    <w:p w:rsidR="00522DD7" w:rsidRPr="002C595D" w:rsidRDefault="00975644" w:rsidP="00F51FB9">
      <w:pPr>
        <w:spacing w:line="240" w:lineRule="atLeast"/>
        <w:jc w:val="both"/>
        <w:rPr>
          <w:rFonts w:ascii="Times New Roman" w:hAnsi="Times New Roman" w:cs="Times New Roman"/>
          <w:sz w:val="18"/>
          <w:szCs w:val="24"/>
          <w:lang w:val="en-US"/>
        </w:rPr>
      </w:pPr>
      <w:r w:rsidRPr="002C595D">
        <w:rPr>
          <w:rFonts w:ascii="Times New Roman" w:hAnsi="Times New Roman" w:cs="Times New Roman"/>
          <w:sz w:val="18"/>
          <w:szCs w:val="24"/>
          <w:lang w:val="en-US"/>
        </w:rPr>
        <w:t>a)</w:t>
      </w:r>
      <w:r w:rsidR="002F56A8" w:rsidRPr="002C595D">
        <w:rPr>
          <w:rFonts w:ascii="Times New Roman" w:hAnsi="Times New Roman" w:cs="Times New Roman"/>
          <w:sz w:val="18"/>
          <w:szCs w:val="24"/>
          <w:lang w:val="en-US"/>
        </w:rPr>
        <w:t xml:space="preserve"> LEQINV is the</w:t>
      </w:r>
      <w:r w:rsidRPr="002C595D">
        <w:rPr>
          <w:rFonts w:ascii="Times New Roman" w:hAnsi="Times New Roman" w:cs="Times New Roman"/>
          <w:sz w:val="18"/>
          <w:szCs w:val="24"/>
          <w:lang w:val="en-US"/>
        </w:rPr>
        <w:t xml:space="preserve"> equity limits as a prop</w:t>
      </w:r>
      <w:r w:rsidR="002F56A8" w:rsidRPr="002C595D">
        <w:rPr>
          <w:rFonts w:ascii="Times New Roman" w:hAnsi="Times New Roman" w:cs="Times New Roman"/>
          <w:sz w:val="18"/>
          <w:szCs w:val="24"/>
          <w:lang w:val="en-US"/>
        </w:rPr>
        <w:t>ortion of investments.</w:t>
      </w:r>
    </w:p>
    <w:p w:rsidR="00522DD7" w:rsidRPr="002C595D" w:rsidRDefault="00975644" w:rsidP="00F51FB9">
      <w:pPr>
        <w:spacing w:line="240" w:lineRule="atLeast"/>
        <w:jc w:val="both"/>
        <w:rPr>
          <w:rFonts w:ascii="Times New Roman" w:hAnsi="Times New Roman" w:cs="Times New Roman"/>
          <w:sz w:val="18"/>
          <w:szCs w:val="24"/>
          <w:lang w:val="en-US"/>
        </w:rPr>
      </w:pPr>
      <w:r w:rsidRPr="002C595D">
        <w:rPr>
          <w:rFonts w:ascii="Times New Roman" w:hAnsi="Times New Roman" w:cs="Times New Roman"/>
          <w:sz w:val="18"/>
          <w:szCs w:val="24"/>
          <w:lang w:val="en-US"/>
        </w:rPr>
        <w:t>b)</w:t>
      </w:r>
      <w:r w:rsidR="002F56A8" w:rsidRPr="002C595D">
        <w:rPr>
          <w:rFonts w:ascii="Times New Roman" w:hAnsi="Times New Roman" w:cs="Times New Roman"/>
          <w:sz w:val="18"/>
          <w:szCs w:val="24"/>
          <w:lang w:val="en-US"/>
        </w:rPr>
        <w:t xml:space="preserve"> LNGDP is </w:t>
      </w:r>
      <w:r w:rsidRPr="002C595D">
        <w:rPr>
          <w:rFonts w:ascii="Times New Roman" w:hAnsi="Times New Roman" w:cs="Times New Roman"/>
          <w:sz w:val="18"/>
          <w:szCs w:val="24"/>
          <w:lang w:val="en-US"/>
        </w:rPr>
        <w:t>the natural logarit</w:t>
      </w:r>
      <w:r w:rsidR="002F56A8" w:rsidRPr="002C595D">
        <w:rPr>
          <w:rFonts w:ascii="Times New Roman" w:hAnsi="Times New Roman" w:cs="Times New Roman"/>
          <w:sz w:val="18"/>
          <w:szCs w:val="24"/>
          <w:lang w:val="en-US"/>
        </w:rPr>
        <w:t xml:space="preserve">hm (LN) of the GDP per capital </w:t>
      </w:r>
    </w:p>
    <w:p w:rsidR="00522DD7" w:rsidRPr="002C595D" w:rsidRDefault="005D4597" w:rsidP="00F51FB9">
      <w:pPr>
        <w:spacing w:line="240" w:lineRule="atLeast"/>
        <w:jc w:val="both"/>
        <w:rPr>
          <w:rFonts w:ascii="Times New Roman" w:hAnsi="Times New Roman" w:cs="Times New Roman"/>
          <w:sz w:val="18"/>
          <w:szCs w:val="24"/>
          <w:lang w:val="en-US"/>
        </w:rPr>
      </w:pPr>
      <w:r w:rsidRPr="002C595D">
        <w:rPr>
          <w:rFonts w:ascii="Times New Roman" w:hAnsi="Times New Roman" w:cs="Times New Roman"/>
          <w:sz w:val="18"/>
          <w:szCs w:val="24"/>
          <w:lang w:val="en-US"/>
        </w:rPr>
        <w:t>c) LNMARCAP</w:t>
      </w:r>
      <w:r w:rsidR="002F56A8" w:rsidRPr="002C595D">
        <w:rPr>
          <w:rFonts w:ascii="Times New Roman" w:hAnsi="Times New Roman" w:cs="Times New Roman"/>
          <w:sz w:val="18"/>
          <w:szCs w:val="24"/>
          <w:lang w:val="en-US"/>
        </w:rPr>
        <w:t xml:space="preserve"> is</w:t>
      </w:r>
      <w:r w:rsidR="00975644" w:rsidRPr="002C595D">
        <w:rPr>
          <w:rFonts w:ascii="Times New Roman" w:hAnsi="Times New Roman" w:cs="Times New Roman"/>
          <w:sz w:val="18"/>
          <w:szCs w:val="24"/>
          <w:lang w:val="en-US"/>
        </w:rPr>
        <w:t xml:space="preserve"> the natural logarithm (LN) of the market capital</w:t>
      </w:r>
      <w:r w:rsidR="002F56A8" w:rsidRPr="002C595D">
        <w:rPr>
          <w:rFonts w:ascii="Times New Roman" w:hAnsi="Times New Roman" w:cs="Times New Roman"/>
          <w:sz w:val="18"/>
          <w:szCs w:val="24"/>
          <w:lang w:val="en-US"/>
        </w:rPr>
        <w:t xml:space="preserve">ization as a percentage of GDP </w:t>
      </w:r>
    </w:p>
    <w:p w:rsidR="002F56A8" w:rsidRPr="002C595D" w:rsidRDefault="00975644" w:rsidP="00F51FB9">
      <w:pPr>
        <w:spacing w:line="240" w:lineRule="atLeast"/>
        <w:jc w:val="both"/>
        <w:rPr>
          <w:rFonts w:ascii="Times New Roman" w:hAnsi="Times New Roman" w:cs="Times New Roman"/>
          <w:sz w:val="18"/>
          <w:szCs w:val="24"/>
          <w:lang w:val="en-US"/>
        </w:rPr>
      </w:pPr>
      <w:r w:rsidRPr="002C595D">
        <w:rPr>
          <w:rFonts w:ascii="Times New Roman" w:hAnsi="Times New Roman" w:cs="Times New Roman"/>
          <w:sz w:val="18"/>
          <w:szCs w:val="24"/>
          <w:lang w:val="en-US"/>
        </w:rPr>
        <w:t xml:space="preserve">d) </w:t>
      </w:r>
      <w:r w:rsidR="005D4597" w:rsidRPr="002C595D">
        <w:rPr>
          <w:rFonts w:ascii="Times New Roman" w:hAnsi="Times New Roman" w:cs="Times New Roman"/>
          <w:sz w:val="18"/>
          <w:szCs w:val="24"/>
          <w:lang w:val="en-US"/>
        </w:rPr>
        <w:t>AGEDR</w:t>
      </w:r>
      <w:r w:rsidR="002F56A8" w:rsidRPr="002C595D">
        <w:rPr>
          <w:rFonts w:ascii="Times New Roman" w:hAnsi="Times New Roman" w:cs="Times New Roman"/>
          <w:sz w:val="18"/>
          <w:szCs w:val="24"/>
          <w:lang w:val="en-US"/>
        </w:rPr>
        <w:t xml:space="preserve"> is </w:t>
      </w:r>
      <w:r w:rsidRPr="002C595D">
        <w:rPr>
          <w:rFonts w:ascii="Times New Roman" w:hAnsi="Times New Roman" w:cs="Times New Roman"/>
          <w:sz w:val="18"/>
          <w:szCs w:val="24"/>
          <w:lang w:val="en-US"/>
        </w:rPr>
        <w:t>the age dependency ratio as a percentage of working-age popu</w:t>
      </w:r>
      <w:r w:rsidR="002F56A8" w:rsidRPr="002C595D">
        <w:rPr>
          <w:rFonts w:ascii="Times New Roman" w:hAnsi="Times New Roman" w:cs="Times New Roman"/>
          <w:sz w:val="18"/>
          <w:szCs w:val="24"/>
          <w:lang w:val="en-US"/>
        </w:rPr>
        <w:t>lation</w:t>
      </w:r>
    </w:p>
    <w:p w:rsidR="00D76DE9" w:rsidRPr="002C595D" w:rsidRDefault="00D76DE9" w:rsidP="00F51FB9">
      <w:pPr>
        <w:spacing w:line="240" w:lineRule="atLeast"/>
        <w:jc w:val="both"/>
        <w:rPr>
          <w:rFonts w:ascii="Times New Roman" w:hAnsi="Times New Roman" w:cs="Times New Roman"/>
          <w:sz w:val="18"/>
          <w:szCs w:val="24"/>
          <w:lang w:val="en-US"/>
        </w:rPr>
      </w:pPr>
      <w:r w:rsidRPr="002C595D">
        <w:rPr>
          <w:rFonts w:ascii="Times New Roman" w:hAnsi="Times New Roman" w:cs="Times New Roman"/>
          <w:sz w:val="18"/>
          <w:szCs w:val="24"/>
          <w:lang w:val="en-US"/>
        </w:rPr>
        <w:t xml:space="preserve">e) and </w:t>
      </w:r>
      <w:r w:rsidR="002B4A02" w:rsidRPr="002C595D">
        <w:rPr>
          <w:rFonts w:ascii="Times New Roman" w:hAnsi="Times New Roman" w:cs="Times New Roman"/>
          <w:sz w:val="18"/>
          <w:szCs w:val="24"/>
          <w:lang w:val="en-US"/>
        </w:rPr>
        <w:t xml:space="preserve">DB </w:t>
      </w:r>
      <w:r w:rsidRPr="002C595D">
        <w:rPr>
          <w:rFonts w:ascii="Times New Roman" w:hAnsi="Times New Roman" w:cs="Times New Roman"/>
          <w:sz w:val="18"/>
          <w:szCs w:val="24"/>
          <w:lang w:val="en-US"/>
        </w:rPr>
        <w:t>is the relative share of total assets held by Defined Benefit plans.</w:t>
      </w:r>
    </w:p>
    <w:p w:rsidR="002F56A8" w:rsidRPr="002C595D" w:rsidRDefault="00AF6B15" w:rsidP="002F56A8">
      <w:pPr>
        <w:spacing w:line="360" w:lineRule="auto"/>
        <w:ind w:firstLine="720"/>
        <w:jc w:val="both"/>
        <w:rPr>
          <w:rFonts w:ascii="Times New Roman" w:hAnsi="Times New Roman" w:cs="Times New Roman"/>
          <w:szCs w:val="24"/>
          <w:lang w:val="en-US"/>
        </w:rPr>
      </w:pPr>
      <w:r w:rsidRPr="00546A14">
        <w:rPr>
          <w:rFonts w:ascii="Times New Roman" w:hAnsi="Times New Roman" w:cs="Times New Roman"/>
          <w:sz w:val="24"/>
          <w:szCs w:val="24"/>
          <w:lang w:val="en-US"/>
        </w:rPr>
        <w:br/>
      </w:r>
      <w:r w:rsidRPr="002C595D">
        <w:rPr>
          <w:rFonts w:ascii="Times New Roman" w:hAnsi="Times New Roman" w:cs="Times New Roman"/>
          <w:szCs w:val="24"/>
          <w:lang w:val="en-US"/>
        </w:rPr>
        <w:t xml:space="preserve">The mean for the AGEDR variable is equal to 0.485 (SD=0.006), the mean of LEQINV is 0.616 (SD=0.36). The limits n equity can vary from 0% to 100% of total investments, indicating a variety in the strictness of the regulation.  Also the mean for the LNGDP variable is equal to 9.67 (SD=1.74) and the mean of LNMARCAP variable is 3.56 (SD=1.126). </w:t>
      </w:r>
      <w:r w:rsidR="00CE01CA" w:rsidRPr="002C595D">
        <w:rPr>
          <w:rFonts w:ascii="Times New Roman" w:hAnsi="Times New Roman" w:cs="Times New Roman"/>
          <w:szCs w:val="24"/>
          <w:lang w:val="en-US"/>
        </w:rPr>
        <w:t>The last control variable, the relative shares of Defined Benefit plans, can vary from zero to 100% of the total assets between the 49 countries under examination. This implies that our sample includes countries with different pension structure and risk appetite.</w:t>
      </w:r>
    </w:p>
    <w:p w:rsidR="00D76DE9" w:rsidRDefault="00D76DE9">
      <w:pPr>
        <w:rPr>
          <w:rFonts w:ascii="Arial" w:hAnsi="Arial" w:cs="Arial"/>
          <w:b/>
          <w:sz w:val="28"/>
          <w:szCs w:val="24"/>
          <w:lang w:val="en-US"/>
        </w:rPr>
      </w:pPr>
      <w:r>
        <w:rPr>
          <w:rFonts w:ascii="Arial" w:hAnsi="Arial" w:cs="Arial"/>
          <w:b/>
          <w:sz w:val="28"/>
          <w:szCs w:val="24"/>
          <w:lang w:val="en-US"/>
        </w:rPr>
        <w:br w:type="page"/>
      </w:r>
    </w:p>
    <w:p w:rsidR="005717B5" w:rsidRPr="000C576E" w:rsidRDefault="0096022B" w:rsidP="002F56A8">
      <w:pPr>
        <w:spacing w:line="360" w:lineRule="auto"/>
        <w:jc w:val="both"/>
        <w:rPr>
          <w:rFonts w:ascii="Arial" w:hAnsi="Arial" w:cs="Arial"/>
          <w:b/>
          <w:sz w:val="24"/>
          <w:szCs w:val="24"/>
          <w:lang w:val="en-US"/>
        </w:rPr>
      </w:pPr>
      <w:r w:rsidRPr="000C576E">
        <w:rPr>
          <w:rFonts w:ascii="Arial" w:hAnsi="Arial" w:cs="Arial"/>
          <w:b/>
          <w:sz w:val="28"/>
          <w:szCs w:val="24"/>
          <w:lang w:val="en-US"/>
        </w:rPr>
        <w:lastRenderedPageBreak/>
        <w:t xml:space="preserve">4. </w:t>
      </w:r>
      <w:r w:rsidR="005717B5" w:rsidRPr="000C576E">
        <w:rPr>
          <w:rFonts w:ascii="Arial" w:hAnsi="Arial" w:cs="Arial"/>
          <w:b/>
          <w:sz w:val="28"/>
          <w:szCs w:val="24"/>
          <w:lang w:val="en-US"/>
        </w:rPr>
        <w:t>Methodology</w:t>
      </w:r>
    </w:p>
    <w:p w:rsidR="00AF6B15" w:rsidRPr="00546A14" w:rsidRDefault="00AF6B15" w:rsidP="00AF6B15">
      <w:pPr>
        <w:tabs>
          <w:tab w:val="left" w:pos="2430"/>
        </w:tabs>
        <w:autoSpaceDE w:val="0"/>
        <w:autoSpaceDN w:val="0"/>
        <w:adjustRightInd w:val="0"/>
        <w:spacing w:after="0" w:line="360" w:lineRule="auto"/>
        <w:jc w:val="both"/>
        <w:rPr>
          <w:rFonts w:ascii="Times New Roman" w:hAnsi="Times New Roman" w:cs="Times New Roman"/>
          <w:sz w:val="24"/>
          <w:szCs w:val="24"/>
          <w:lang w:val="en-US"/>
        </w:rPr>
      </w:pPr>
      <w:r w:rsidRPr="002C595D">
        <w:rPr>
          <w:rFonts w:ascii="Times New Roman" w:hAnsi="Times New Roman" w:cs="Times New Roman"/>
          <w:szCs w:val="24"/>
          <w:lang w:val="en-US"/>
        </w:rPr>
        <w:t xml:space="preserve">The current econometric analysis consists of two parts, a theoretical and an empirical. The theoretical part includes each methodology that is used in the analysis while the empirical part presents the variables and the models that are </w:t>
      </w:r>
      <w:r w:rsidR="005D4597" w:rsidRPr="002C595D">
        <w:rPr>
          <w:rFonts w:ascii="Times New Roman" w:hAnsi="Times New Roman" w:cs="Times New Roman"/>
          <w:szCs w:val="24"/>
          <w:lang w:val="en-US"/>
        </w:rPr>
        <w:t>used in</w:t>
      </w:r>
      <w:r w:rsidRPr="002C595D">
        <w:rPr>
          <w:rFonts w:ascii="Times New Roman" w:hAnsi="Times New Roman" w:cs="Times New Roman"/>
          <w:szCs w:val="24"/>
          <w:lang w:val="en-US"/>
        </w:rPr>
        <w:t xml:space="preserve"> the regression analysis</w:t>
      </w:r>
      <w:r w:rsidRPr="00546A14">
        <w:rPr>
          <w:rFonts w:ascii="Times New Roman" w:hAnsi="Times New Roman" w:cs="Times New Roman"/>
          <w:sz w:val="24"/>
          <w:szCs w:val="24"/>
          <w:lang w:val="en-US"/>
        </w:rPr>
        <w:t xml:space="preserve">. </w:t>
      </w:r>
    </w:p>
    <w:p w:rsidR="00AF6B15" w:rsidRPr="00546A14" w:rsidRDefault="00AF6B15" w:rsidP="00AF6B15">
      <w:pPr>
        <w:tabs>
          <w:tab w:val="left" w:pos="2430"/>
        </w:tabs>
        <w:autoSpaceDE w:val="0"/>
        <w:autoSpaceDN w:val="0"/>
        <w:adjustRightInd w:val="0"/>
        <w:spacing w:after="0" w:line="360" w:lineRule="auto"/>
        <w:jc w:val="both"/>
        <w:rPr>
          <w:rFonts w:ascii="Times New Roman" w:hAnsi="Times New Roman" w:cs="Times New Roman"/>
          <w:sz w:val="24"/>
          <w:szCs w:val="24"/>
          <w:lang w:val="en-US"/>
        </w:rPr>
      </w:pPr>
    </w:p>
    <w:p w:rsidR="00AF6B15" w:rsidRPr="00546A14" w:rsidRDefault="000C576E" w:rsidP="000C576E">
      <w:pPr>
        <w:spacing w:line="360" w:lineRule="auto"/>
        <w:jc w:val="both"/>
        <w:rPr>
          <w:rFonts w:ascii="Times New Roman" w:hAnsi="Times New Roman" w:cs="Times New Roman"/>
          <w:sz w:val="24"/>
          <w:szCs w:val="24"/>
          <w:lang w:val="en-US"/>
        </w:rPr>
      </w:pPr>
      <w:r>
        <w:rPr>
          <w:rFonts w:ascii="Arial" w:hAnsi="Arial" w:cs="Arial"/>
          <w:b/>
          <w:i/>
          <w:lang w:val="en-US"/>
        </w:rPr>
        <w:t xml:space="preserve">4.1 </w:t>
      </w:r>
      <w:r w:rsidR="005D4597" w:rsidRPr="000C576E">
        <w:rPr>
          <w:rFonts w:ascii="Arial" w:hAnsi="Arial" w:cs="Arial"/>
          <w:b/>
          <w:i/>
          <w:lang w:val="en-US"/>
        </w:rPr>
        <w:t>Theoretical</w:t>
      </w:r>
      <w:r w:rsidR="00AF6B15" w:rsidRPr="000C576E">
        <w:rPr>
          <w:rFonts w:ascii="Arial" w:hAnsi="Arial" w:cs="Arial"/>
          <w:b/>
          <w:i/>
          <w:lang w:val="en-US"/>
        </w:rPr>
        <w:t xml:space="preserve"> Part</w:t>
      </w:r>
      <w:r w:rsidR="00AF6B15" w:rsidRPr="000C576E">
        <w:rPr>
          <w:rFonts w:ascii="Arial" w:hAnsi="Arial" w:cs="Arial"/>
          <w:b/>
          <w:i/>
          <w:lang w:val="en-US"/>
        </w:rPr>
        <w:tab/>
      </w:r>
    </w:p>
    <w:p w:rsidR="00AF6B15" w:rsidRPr="000C576E" w:rsidRDefault="00151CB9" w:rsidP="000C576E">
      <w:pPr>
        <w:spacing w:line="360" w:lineRule="auto"/>
        <w:jc w:val="both"/>
        <w:rPr>
          <w:rFonts w:ascii="Arial" w:hAnsi="Arial" w:cs="Arial"/>
          <w:b/>
          <w:i/>
          <w:lang w:val="en-US"/>
        </w:rPr>
      </w:pPr>
      <w:r w:rsidRPr="000C576E">
        <w:rPr>
          <w:rFonts w:ascii="Arial" w:hAnsi="Arial" w:cs="Arial"/>
          <w:b/>
          <w:i/>
          <w:lang w:val="en-US"/>
        </w:rPr>
        <w:t xml:space="preserve">4.1.1 </w:t>
      </w:r>
      <w:r w:rsidR="00AF6B15" w:rsidRPr="000C576E">
        <w:rPr>
          <w:rFonts w:ascii="Arial" w:hAnsi="Arial" w:cs="Arial"/>
          <w:b/>
          <w:i/>
          <w:lang w:val="en-US"/>
        </w:rPr>
        <w:t>Regression Analysis</w:t>
      </w:r>
    </w:p>
    <w:p w:rsidR="005717B5" w:rsidRPr="002C595D" w:rsidRDefault="005717B5" w:rsidP="00AF6B15">
      <w:pPr>
        <w:pStyle w:val="ListParagraph"/>
        <w:tabs>
          <w:tab w:val="left" w:pos="6480"/>
        </w:tabs>
        <w:spacing w:line="360" w:lineRule="auto"/>
        <w:ind w:left="0"/>
        <w:jc w:val="both"/>
        <w:rPr>
          <w:rFonts w:ascii="Times New Roman" w:hAnsi="Times New Roman" w:cs="Times New Roman"/>
          <w:b/>
          <w:lang w:val="en-US"/>
        </w:rPr>
      </w:pPr>
      <w:r w:rsidRPr="002C595D">
        <w:rPr>
          <w:rFonts w:ascii="Times New Roman" w:hAnsi="Times New Roman" w:cs="Times New Roman"/>
          <w:lang w:val="en-US"/>
        </w:rPr>
        <w:t xml:space="preserve">In order to examine the relationship between our variables, we are going to run </w:t>
      </w:r>
      <w:r w:rsidR="005D4597" w:rsidRPr="002C595D">
        <w:rPr>
          <w:rFonts w:ascii="Times New Roman" w:hAnsi="Times New Roman" w:cs="Times New Roman"/>
          <w:lang w:val="en-US"/>
        </w:rPr>
        <w:t>both Simple</w:t>
      </w:r>
      <w:r w:rsidRPr="002C595D">
        <w:rPr>
          <w:rFonts w:ascii="Times New Roman" w:hAnsi="Times New Roman" w:cs="Times New Roman"/>
          <w:lang w:val="en-US"/>
        </w:rPr>
        <w:t xml:space="preserve"> Regression Analysis and a multiple Regression Analysis. This method is usually chosen when the researcher is looking for the existence of a casual effect of one variable upon another. In our case, we are examining the impact of cultural differences on the risk appetite of pension funds among different countries. </w:t>
      </w:r>
    </w:p>
    <w:p w:rsidR="005717B5" w:rsidRPr="002C595D" w:rsidRDefault="005717B5" w:rsidP="005717B5">
      <w:pPr>
        <w:tabs>
          <w:tab w:val="left" w:pos="6480"/>
        </w:tabs>
        <w:spacing w:line="360" w:lineRule="auto"/>
        <w:jc w:val="both"/>
        <w:rPr>
          <w:rFonts w:ascii="Times New Roman" w:hAnsi="Times New Roman" w:cs="Times New Roman"/>
          <w:lang w:val="en-US"/>
        </w:rPr>
      </w:pPr>
      <w:r w:rsidRPr="002C595D">
        <w:rPr>
          <w:rFonts w:ascii="Times New Roman" w:hAnsi="Times New Roman" w:cs="Times New Roman"/>
          <w:lang w:val="en-US"/>
        </w:rPr>
        <w:t xml:space="preserve">The first step for this analysis is the collection of data for the underlying variables and the implementation of the regression in order to approximate this casual effect. Next, the researcher must examine the level of statistical significance for the results that were found, or in other words, the degree of confidence </w:t>
      </w:r>
      <w:r w:rsidR="005D4597" w:rsidRPr="002C595D">
        <w:rPr>
          <w:rFonts w:ascii="Times New Roman" w:hAnsi="Times New Roman" w:cs="Times New Roman"/>
          <w:lang w:val="en-US"/>
        </w:rPr>
        <w:t>that the</w:t>
      </w:r>
      <w:r w:rsidRPr="002C595D">
        <w:rPr>
          <w:rFonts w:ascii="Times New Roman" w:hAnsi="Times New Roman" w:cs="Times New Roman"/>
          <w:lang w:val="en-US"/>
        </w:rPr>
        <w:t xml:space="preserve"> estimated relationship actually exists. </w:t>
      </w:r>
    </w:p>
    <w:p w:rsidR="005717B5" w:rsidRPr="002C595D" w:rsidRDefault="005717B5" w:rsidP="005717B5">
      <w:pPr>
        <w:tabs>
          <w:tab w:val="left" w:pos="6480"/>
        </w:tabs>
        <w:spacing w:line="360" w:lineRule="auto"/>
        <w:jc w:val="both"/>
        <w:rPr>
          <w:rFonts w:ascii="Times New Roman" w:hAnsi="Times New Roman" w:cs="Times New Roman"/>
          <w:lang w:val="en-US"/>
        </w:rPr>
      </w:pPr>
      <w:r w:rsidRPr="002C595D">
        <w:rPr>
          <w:rFonts w:ascii="Times New Roman" w:hAnsi="Times New Roman" w:cs="Times New Roman"/>
          <w:lang w:val="en-US"/>
        </w:rPr>
        <w:t>A typical Simple Linear Regression model could be presented as:</w:t>
      </w:r>
    </w:p>
    <w:p w:rsidR="005717B5" w:rsidRPr="002C595D" w:rsidRDefault="005717B5" w:rsidP="005717B5">
      <w:pPr>
        <w:spacing w:line="360" w:lineRule="auto"/>
        <w:jc w:val="both"/>
        <w:rPr>
          <w:rFonts w:ascii="Times New Roman" w:hAnsi="Times New Roman" w:cs="Times New Roman"/>
          <w:b/>
          <w:i/>
          <w:lang w:val="en-US"/>
        </w:rPr>
      </w:pPr>
      <w:r w:rsidRPr="002C595D">
        <w:rPr>
          <w:rFonts w:ascii="Times New Roman" w:hAnsi="Times New Roman" w:cs="Times New Roman"/>
          <w:b/>
          <w:i/>
          <w:lang w:val="en-US"/>
        </w:rPr>
        <w:tab/>
      </w:r>
      <w:r w:rsidRPr="002C595D">
        <w:rPr>
          <w:rFonts w:ascii="Times New Roman" w:hAnsi="Times New Roman" w:cs="Times New Roman"/>
          <w:b/>
          <w:i/>
          <w:lang w:val="en-US"/>
        </w:rPr>
        <w:tab/>
      </w:r>
      <w:r w:rsidRPr="002C595D">
        <w:rPr>
          <w:rFonts w:ascii="Times New Roman" w:hAnsi="Times New Roman" w:cs="Times New Roman"/>
          <w:b/>
          <w:i/>
          <w:lang w:val="en-US"/>
        </w:rPr>
        <w:tab/>
      </w:r>
      <w:r w:rsidRPr="002C595D">
        <w:rPr>
          <w:rFonts w:ascii="Times New Roman" w:hAnsi="Times New Roman" w:cs="Times New Roman"/>
          <w:b/>
          <w:i/>
          <w:lang w:val="en-US"/>
        </w:rPr>
        <w:tab/>
      </w:r>
      <w:r w:rsidRPr="002C595D">
        <w:rPr>
          <w:rFonts w:ascii="Times New Roman" w:hAnsi="Times New Roman" w:cs="Times New Roman"/>
          <w:b/>
          <w:i/>
        </w:rPr>
        <w:t>Υ</w:t>
      </w:r>
      <w:r w:rsidRPr="002C595D">
        <w:rPr>
          <w:rFonts w:ascii="Times New Roman" w:hAnsi="Times New Roman" w:cs="Times New Roman"/>
          <w:b/>
          <w:i/>
          <w:vertAlign w:val="subscript"/>
          <w:lang w:val="en-US"/>
        </w:rPr>
        <w:t xml:space="preserve">i </w:t>
      </w:r>
      <w:r w:rsidRPr="002C595D">
        <w:rPr>
          <w:rFonts w:ascii="Times New Roman" w:hAnsi="Times New Roman" w:cs="Times New Roman"/>
          <w:b/>
          <w:i/>
          <w:lang w:val="en-US"/>
        </w:rPr>
        <w:t xml:space="preserve">= </w:t>
      </w:r>
      <w:r w:rsidRPr="002C595D">
        <w:rPr>
          <w:rFonts w:ascii="Times New Roman" w:hAnsi="Times New Roman" w:cs="Times New Roman"/>
          <w:b/>
          <w:i/>
        </w:rPr>
        <w:t>β</w:t>
      </w:r>
      <w:r w:rsidRPr="002C595D">
        <w:rPr>
          <w:rFonts w:ascii="Times New Roman" w:hAnsi="Times New Roman" w:cs="Times New Roman"/>
          <w:b/>
          <w:i/>
          <w:vertAlign w:val="subscript"/>
          <w:lang w:val="en-US"/>
        </w:rPr>
        <w:t>0</w:t>
      </w:r>
      <w:r w:rsidRPr="002C595D">
        <w:rPr>
          <w:rFonts w:ascii="Times New Roman" w:hAnsi="Times New Roman" w:cs="Times New Roman"/>
          <w:b/>
          <w:i/>
          <w:lang w:val="en-US"/>
        </w:rPr>
        <w:t xml:space="preserve"> + </w:t>
      </w:r>
      <w:r w:rsidRPr="002C595D">
        <w:rPr>
          <w:rFonts w:ascii="Times New Roman" w:hAnsi="Times New Roman" w:cs="Times New Roman"/>
          <w:b/>
          <w:i/>
        </w:rPr>
        <w:t>β</w:t>
      </w:r>
      <w:r w:rsidRPr="002C595D">
        <w:rPr>
          <w:rFonts w:ascii="Times New Roman" w:hAnsi="Times New Roman" w:cs="Times New Roman"/>
          <w:b/>
          <w:i/>
          <w:vertAlign w:val="subscript"/>
          <w:lang w:val="en-US"/>
        </w:rPr>
        <w:t>1</w:t>
      </w:r>
      <w:r w:rsidRPr="002C595D">
        <w:rPr>
          <w:rFonts w:ascii="Times New Roman" w:hAnsi="Times New Roman" w:cs="Times New Roman"/>
          <w:b/>
          <w:i/>
        </w:rPr>
        <w:t>Χ</w:t>
      </w:r>
      <w:r w:rsidRPr="002C595D">
        <w:rPr>
          <w:rFonts w:ascii="Times New Roman" w:hAnsi="Times New Roman" w:cs="Times New Roman"/>
          <w:b/>
          <w:i/>
          <w:vertAlign w:val="subscript"/>
          <w:lang w:val="en-US"/>
        </w:rPr>
        <w:t xml:space="preserve">i </w:t>
      </w:r>
      <w:r w:rsidRPr="002C595D">
        <w:rPr>
          <w:rFonts w:ascii="Times New Roman" w:hAnsi="Times New Roman" w:cs="Times New Roman"/>
          <w:b/>
          <w:i/>
          <w:lang w:val="en-US"/>
        </w:rPr>
        <w:t xml:space="preserve">+ </w:t>
      </w:r>
      <w:r w:rsidRPr="002C595D">
        <w:rPr>
          <w:rFonts w:ascii="Times New Roman" w:hAnsi="Times New Roman" w:cs="Times New Roman"/>
          <w:b/>
          <w:i/>
        </w:rPr>
        <w:t>ε</w:t>
      </w:r>
      <w:r w:rsidRPr="002C595D">
        <w:rPr>
          <w:rFonts w:ascii="Times New Roman" w:hAnsi="Times New Roman" w:cs="Times New Roman"/>
          <w:b/>
          <w:i/>
          <w:vertAlign w:val="subscript"/>
          <w:lang w:val="en-US"/>
        </w:rPr>
        <w:t>i,</w:t>
      </w:r>
    </w:p>
    <w:p w:rsidR="005717B5" w:rsidRPr="002C595D" w:rsidRDefault="005717B5" w:rsidP="005717B5">
      <w:pPr>
        <w:tabs>
          <w:tab w:val="left" w:pos="6480"/>
        </w:tabs>
        <w:spacing w:line="360" w:lineRule="auto"/>
        <w:jc w:val="both"/>
        <w:rPr>
          <w:rFonts w:ascii="Times New Roman" w:hAnsi="Times New Roman" w:cs="Times New Roman"/>
          <w:lang w:val="en-US"/>
        </w:rPr>
      </w:pPr>
      <w:r w:rsidRPr="002C595D">
        <w:rPr>
          <w:rFonts w:ascii="Times New Roman" w:hAnsi="Times New Roman" w:cs="Times New Roman"/>
          <w:lang w:val="en-US"/>
        </w:rPr>
        <w:t xml:space="preserve">Where Y is the dependent variable, </w:t>
      </w:r>
      <w:r w:rsidRPr="002C595D">
        <w:rPr>
          <w:rFonts w:ascii="Times New Roman" w:hAnsi="Times New Roman" w:cs="Times New Roman"/>
        </w:rPr>
        <w:t>βο</w:t>
      </w:r>
      <w:r w:rsidRPr="002C595D">
        <w:rPr>
          <w:rFonts w:ascii="Times New Roman" w:hAnsi="Times New Roman" w:cs="Times New Roman"/>
          <w:lang w:val="en-US"/>
        </w:rPr>
        <w:t xml:space="preserve"> is the constant of the model, </w:t>
      </w:r>
      <w:r w:rsidRPr="002C595D">
        <w:rPr>
          <w:rFonts w:ascii="Times New Roman" w:hAnsi="Times New Roman" w:cs="Times New Roman"/>
        </w:rPr>
        <w:t>β</w:t>
      </w:r>
      <w:r w:rsidRPr="002C595D">
        <w:rPr>
          <w:rFonts w:ascii="Times New Roman" w:hAnsi="Times New Roman" w:cs="Times New Roman"/>
          <w:lang w:val="en-US"/>
        </w:rPr>
        <w:t xml:space="preserve">1 is the coefficient of the independent variable X, X is the independent variable and </w:t>
      </w:r>
      <w:r w:rsidRPr="002C595D">
        <w:rPr>
          <w:rFonts w:ascii="Times New Roman" w:hAnsi="Times New Roman" w:cs="Times New Roman"/>
        </w:rPr>
        <w:t>ε</w:t>
      </w:r>
      <w:r w:rsidRPr="002C595D">
        <w:rPr>
          <w:rFonts w:ascii="Times New Roman" w:hAnsi="Times New Roman" w:cs="Times New Roman"/>
          <w:lang w:val="en-US"/>
        </w:rPr>
        <w:t xml:space="preserve"> is the error term. </w:t>
      </w:r>
    </w:p>
    <w:p w:rsidR="00151CB9" w:rsidRPr="002F5D13" w:rsidRDefault="00151CB9" w:rsidP="00151CB9">
      <w:pPr>
        <w:rPr>
          <w:b/>
          <w:lang w:val="en-US"/>
        </w:rPr>
      </w:pPr>
    </w:p>
    <w:p w:rsidR="005717B5" w:rsidRPr="002C595D" w:rsidRDefault="00151CB9" w:rsidP="000C576E">
      <w:pPr>
        <w:spacing w:line="360" w:lineRule="auto"/>
        <w:jc w:val="both"/>
        <w:rPr>
          <w:rFonts w:ascii="Arial" w:hAnsi="Arial" w:cs="Arial"/>
          <w:b/>
          <w:i/>
          <w:lang w:val="en-US"/>
        </w:rPr>
      </w:pPr>
      <w:r w:rsidRPr="002C595D">
        <w:rPr>
          <w:rFonts w:ascii="Arial" w:hAnsi="Arial" w:cs="Arial"/>
          <w:b/>
          <w:i/>
          <w:lang w:val="en-US"/>
        </w:rPr>
        <w:t xml:space="preserve">4.1.2 </w:t>
      </w:r>
      <w:r w:rsidR="005717B5" w:rsidRPr="002C595D">
        <w:rPr>
          <w:rFonts w:ascii="Arial" w:hAnsi="Arial" w:cs="Arial"/>
          <w:b/>
          <w:i/>
          <w:lang w:val="en-US"/>
        </w:rPr>
        <w:t>Test for asymmetry, autocorrelation, heteroscedasticit</w:t>
      </w:r>
      <w:r w:rsidR="0096022B" w:rsidRPr="002C595D">
        <w:rPr>
          <w:rFonts w:ascii="Arial" w:hAnsi="Arial" w:cs="Arial"/>
          <w:b/>
          <w:i/>
          <w:lang w:val="en-US"/>
        </w:rPr>
        <w:t>y and</w:t>
      </w:r>
      <w:r w:rsidR="000C576E" w:rsidRPr="002C595D">
        <w:rPr>
          <w:rFonts w:ascii="Arial" w:hAnsi="Arial" w:cs="Arial"/>
          <w:b/>
          <w:i/>
          <w:lang w:val="en-US"/>
        </w:rPr>
        <w:t xml:space="preserve"> </w:t>
      </w:r>
      <w:r w:rsidRPr="002C595D">
        <w:rPr>
          <w:rFonts w:ascii="Arial" w:hAnsi="Arial" w:cs="Arial"/>
          <w:b/>
          <w:i/>
          <w:lang w:val="en-US"/>
        </w:rPr>
        <w:t>multicollinearity</w:t>
      </w:r>
    </w:p>
    <w:p w:rsidR="005717B5" w:rsidRPr="002C595D" w:rsidRDefault="005717B5" w:rsidP="000C576E">
      <w:pPr>
        <w:spacing w:line="360" w:lineRule="auto"/>
        <w:jc w:val="both"/>
        <w:rPr>
          <w:b/>
          <w:lang w:val="en-GB"/>
        </w:rPr>
      </w:pPr>
      <w:r w:rsidRPr="002C595D">
        <w:rPr>
          <w:rFonts w:ascii="Arial" w:hAnsi="Arial" w:cs="Arial"/>
          <w:b/>
          <w:i/>
          <w:lang w:val="en-US"/>
        </w:rPr>
        <w:t>Jarque-Bera test for Asymmetry</w:t>
      </w:r>
    </w:p>
    <w:p w:rsidR="005717B5" w:rsidRPr="002C595D" w:rsidRDefault="005717B5" w:rsidP="005717B5">
      <w:pPr>
        <w:pStyle w:val="ListParagraph"/>
        <w:tabs>
          <w:tab w:val="left" w:pos="6480"/>
        </w:tabs>
        <w:spacing w:after="160" w:line="360" w:lineRule="auto"/>
        <w:ind w:left="0"/>
        <w:jc w:val="both"/>
        <w:rPr>
          <w:rFonts w:ascii="Times New Roman" w:hAnsi="Times New Roman" w:cs="Times New Roman"/>
          <w:lang w:val="en-US"/>
        </w:rPr>
      </w:pPr>
      <w:r w:rsidRPr="002C595D">
        <w:rPr>
          <w:rFonts w:ascii="Times New Roman" w:hAnsi="Times New Roman" w:cs="Times New Roman"/>
          <w:lang w:val="en-US"/>
        </w:rPr>
        <w:t xml:space="preserve">The </w:t>
      </w:r>
      <w:r w:rsidRPr="002C595D">
        <w:rPr>
          <w:rFonts w:ascii="Times New Roman" w:hAnsi="Times New Roman" w:cs="Times New Roman"/>
          <w:b/>
          <w:lang w:val="en-US"/>
        </w:rPr>
        <w:t>Jarque-Bera</w:t>
      </w:r>
      <w:r w:rsidRPr="002C595D">
        <w:rPr>
          <w:rFonts w:ascii="Times New Roman" w:hAnsi="Times New Roman" w:cs="Times New Roman"/>
          <w:lang w:val="en-US"/>
        </w:rPr>
        <w:t xml:space="preserve"> test is a normality distribution test. This test examines the difference of asymmetry and </w:t>
      </w:r>
      <w:r w:rsidR="005D4597" w:rsidRPr="002C595D">
        <w:rPr>
          <w:rFonts w:ascii="Times New Roman" w:hAnsi="Times New Roman" w:cs="Times New Roman"/>
          <w:lang w:val="en-US"/>
        </w:rPr>
        <w:t>kurtosis between</w:t>
      </w:r>
      <w:r w:rsidRPr="002C595D">
        <w:rPr>
          <w:rFonts w:ascii="Times New Roman" w:hAnsi="Times New Roman" w:cs="Times New Roman"/>
          <w:lang w:val="en-US"/>
        </w:rPr>
        <w:t xml:space="preserve"> the examined distribution and a normal distribution. This is estimated through the following test:</w:t>
      </w:r>
    </w:p>
    <w:p w:rsidR="005717B5" w:rsidRPr="002C595D" w:rsidRDefault="005717B5" w:rsidP="005717B5">
      <w:pPr>
        <w:autoSpaceDE w:val="0"/>
        <w:autoSpaceDN w:val="0"/>
        <w:adjustRightInd w:val="0"/>
        <w:spacing w:after="0" w:line="360" w:lineRule="auto"/>
        <w:jc w:val="both"/>
        <w:rPr>
          <w:rFonts w:ascii="Times New Roman" w:hAnsi="Times New Roman" w:cs="Times New Roman"/>
        </w:rPr>
      </w:pPr>
      <w:r w:rsidRPr="002C595D">
        <w:rPr>
          <w:rFonts w:ascii="Times New Roman" w:hAnsi="Times New Roman" w:cs="Times New Roman"/>
          <w:noProof/>
          <w:lang w:val="en-US" w:eastAsia="en-US"/>
        </w:rPr>
        <w:drawing>
          <wp:inline distT="0" distB="0" distL="0" distR="0">
            <wp:extent cx="1304925" cy="523875"/>
            <wp:effectExtent l="0" t="0" r="9525" b="9525"/>
            <wp:docPr id="4" name="Εικόνα 1" descr="http://www.mathworks.com/help/stats/eqn11510682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thworks.com/help/stats/eqn11510682102.png"/>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04925" cy="523875"/>
                    </a:xfrm>
                    <a:prstGeom prst="rect">
                      <a:avLst/>
                    </a:prstGeom>
                    <a:noFill/>
                    <a:ln>
                      <a:noFill/>
                    </a:ln>
                  </pic:spPr>
                </pic:pic>
              </a:graphicData>
            </a:graphic>
          </wp:inline>
        </w:drawing>
      </w:r>
    </w:p>
    <w:p w:rsidR="005717B5" w:rsidRPr="002C595D" w:rsidRDefault="005717B5" w:rsidP="005717B5">
      <w:pPr>
        <w:pStyle w:val="ListParagraph"/>
        <w:tabs>
          <w:tab w:val="left" w:pos="6480"/>
        </w:tabs>
        <w:spacing w:after="160" w:line="360" w:lineRule="auto"/>
        <w:ind w:left="0"/>
        <w:jc w:val="both"/>
        <w:rPr>
          <w:rFonts w:ascii="Times New Roman" w:hAnsi="Times New Roman" w:cs="Times New Roman"/>
          <w:b/>
          <w:lang w:val="en-US"/>
        </w:rPr>
      </w:pPr>
      <w:r w:rsidRPr="002C595D">
        <w:rPr>
          <w:rFonts w:ascii="Times New Roman" w:hAnsi="Times New Roman" w:cs="Times New Roman"/>
          <w:lang w:val="en-US"/>
        </w:rPr>
        <w:t>The null hypothesis of the test assumes that there is normal distribution. The alternative hypothesis implicates that there is not a normal distribution. The null hypothesis is rejected when the probability is below 5% (confidence interval 95%).</w:t>
      </w:r>
    </w:p>
    <w:p w:rsidR="005717B5" w:rsidRPr="002C595D" w:rsidRDefault="005717B5" w:rsidP="005717B5">
      <w:pPr>
        <w:autoSpaceDE w:val="0"/>
        <w:autoSpaceDN w:val="0"/>
        <w:adjustRightInd w:val="0"/>
        <w:spacing w:after="0" w:line="360" w:lineRule="auto"/>
        <w:jc w:val="both"/>
        <w:rPr>
          <w:b/>
          <w:lang w:val="en-GB"/>
        </w:rPr>
      </w:pPr>
    </w:p>
    <w:p w:rsidR="005717B5" w:rsidRPr="002C595D" w:rsidRDefault="00151CB9" w:rsidP="000C576E">
      <w:pPr>
        <w:spacing w:line="360" w:lineRule="auto"/>
        <w:jc w:val="both"/>
        <w:rPr>
          <w:rFonts w:ascii="Arial" w:hAnsi="Arial" w:cs="Arial"/>
          <w:b/>
          <w:i/>
          <w:lang w:val="en-US"/>
        </w:rPr>
      </w:pPr>
      <w:r w:rsidRPr="002C595D">
        <w:rPr>
          <w:rFonts w:ascii="Arial" w:hAnsi="Arial" w:cs="Arial"/>
          <w:b/>
          <w:i/>
          <w:lang w:val="en-US"/>
        </w:rPr>
        <w:t xml:space="preserve">4.1.3 </w:t>
      </w:r>
      <w:r w:rsidR="005717B5" w:rsidRPr="002C595D">
        <w:rPr>
          <w:rFonts w:ascii="Arial" w:hAnsi="Arial" w:cs="Arial"/>
          <w:b/>
          <w:i/>
          <w:lang w:val="en-US"/>
        </w:rPr>
        <w:t>Autocorrelation</w:t>
      </w:r>
    </w:p>
    <w:p w:rsidR="00151CB9" w:rsidRPr="002C595D" w:rsidRDefault="005717B5" w:rsidP="00151CB9">
      <w:pPr>
        <w:autoSpaceDE w:val="0"/>
        <w:autoSpaceDN w:val="0"/>
        <w:adjustRightInd w:val="0"/>
        <w:spacing w:after="0" w:line="360" w:lineRule="auto"/>
        <w:jc w:val="both"/>
        <w:rPr>
          <w:rFonts w:ascii="Times New Roman" w:hAnsi="Times New Roman" w:cs="Times New Roman"/>
          <w:color w:val="333333"/>
          <w:lang w:val="en-US"/>
        </w:rPr>
      </w:pPr>
      <w:r w:rsidRPr="002C595D">
        <w:rPr>
          <w:rFonts w:ascii="Times New Roman" w:hAnsi="Times New Roman" w:cs="Times New Roman"/>
          <w:lang w:val="en-US"/>
        </w:rPr>
        <w:t>Autocorrelation refers to the correlation of a time series with its own past and future values. (</w:t>
      </w:r>
      <w:r w:rsidR="008C6A39" w:rsidRPr="002C595D">
        <w:rPr>
          <w:rFonts w:ascii="Times New Roman" w:hAnsi="Times New Roman" w:cs="Times New Roman"/>
          <w:lang w:val="en-US"/>
        </w:rPr>
        <w:t>Dawdy, Matalas (1964)</w:t>
      </w:r>
      <w:r w:rsidRPr="002C595D">
        <w:rPr>
          <w:rFonts w:ascii="Times New Roman" w:hAnsi="Times New Roman" w:cs="Times New Roman"/>
          <w:lang w:val="en-US"/>
        </w:rPr>
        <w:t>) It is also referred to as “lagged correlation” or “serial correlation”. With this mathematical tool, we examine the existence or non-existence of a repeating pattern</w:t>
      </w:r>
      <w:r w:rsidRPr="002C595D">
        <w:rPr>
          <w:rFonts w:ascii="Times New Roman" w:hAnsi="Times New Roman" w:cs="Times New Roman"/>
          <w:color w:val="000000"/>
          <w:shd w:val="clear" w:color="auto" w:fill="FFFFFF"/>
          <w:lang w:val="en-US"/>
        </w:rPr>
        <w:t xml:space="preserve"> at different points in time.</w:t>
      </w:r>
      <w:r w:rsidRPr="002C595D">
        <w:rPr>
          <w:rFonts w:ascii="Times New Roman" w:hAnsi="Times New Roman" w:cs="Times New Roman"/>
          <w:lang w:val="en-US"/>
        </w:rPr>
        <w:t xml:space="preserve"> Positive autocorrelation would suggest a sign of “persistence”, a trend for the same outcome from the one observation to the next.  An autocorrelated model, has incorrect parameter estimates and overrated </w:t>
      </w:r>
      <w:r w:rsidRPr="002C595D">
        <w:rPr>
          <w:rFonts w:ascii="Times New Roman" w:hAnsi="Times New Roman" w:cs="Times New Roman"/>
          <w:color w:val="333333"/>
          <w:lang w:val="en-US"/>
        </w:rPr>
        <w:t>R</w:t>
      </w:r>
      <w:r w:rsidRPr="002C595D">
        <w:rPr>
          <w:rFonts w:ascii="Times New Roman" w:hAnsi="Times New Roman" w:cs="Times New Roman"/>
          <w:color w:val="333333"/>
          <w:vertAlign w:val="superscript"/>
          <w:lang w:val="en-US"/>
        </w:rPr>
        <w:t>2</w:t>
      </w:r>
      <w:r w:rsidRPr="002C595D">
        <w:rPr>
          <w:rFonts w:ascii="Times New Roman" w:hAnsi="Times New Roman" w:cs="Times New Roman"/>
          <w:color w:val="333333"/>
          <w:lang w:val="en-US"/>
        </w:rPr>
        <w:t>values, making our model being also overrated when it comes to credibil</w:t>
      </w:r>
      <w:r w:rsidR="00151CB9" w:rsidRPr="002C595D">
        <w:rPr>
          <w:rFonts w:ascii="Times New Roman" w:hAnsi="Times New Roman" w:cs="Times New Roman"/>
          <w:color w:val="333333"/>
          <w:lang w:val="en-US"/>
        </w:rPr>
        <w:t xml:space="preserve">ity, and most likely mistaken. </w:t>
      </w:r>
    </w:p>
    <w:p w:rsidR="00151CB9" w:rsidRPr="002C595D" w:rsidRDefault="00151CB9" w:rsidP="00151CB9">
      <w:pPr>
        <w:autoSpaceDE w:val="0"/>
        <w:autoSpaceDN w:val="0"/>
        <w:adjustRightInd w:val="0"/>
        <w:spacing w:after="0" w:line="360" w:lineRule="auto"/>
        <w:jc w:val="both"/>
        <w:rPr>
          <w:rFonts w:ascii="Times New Roman" w:hAnsi="Times New Roman" w:cs="Times New Roman"/>
          <w:color w:val="333333"/>
          <w:lang w:val="en-US"/>
        </w:rPr>
      </w:pPr>
    </w:p>
    <w:p w:rsidR="005717B5" w:rsidRPr="002C595D" w:rsidRDefault="00151CB9" w:rsidP="000C576E">
      <w:pPr>
        <w:spacing w:line="360" w:lineRule="auto"/>
        <w:jc w:val="both"/>
        <w:rPr>
          <w:rFonts w:ascii="Arial" w:hAnsi="Arial" w:cs="Arial"/>
          <w:b/>
          <w:i/>
          <w:lang w:val="en-US"/>
        </w:rPr>
      </w:pPr>
      <w:r w:rsidRPr="002C595D">
        <w:rPr>
          <w:rFonts w:ascii="Arial" w:hAnsi="Arial" w:cs="Arial"/>
          <w:b/>
          <w:i/>
          <w:lang w:val="en-US"/>
        </w:rPr>
        <w:t xml:space="preserve">4.1.4 </w:t>
      </w:r>
      <w:r w:rsidR="005717B5" w:rsidRPr="002C595D">
        <w:rPr>
          <w:rFonts w:ascii="Arial" w:hAnsi="Arial" w:cs="Arial"/>
          <w:b/>
          <w:i/>
          <w:lang w:val="en-US"/>
        </w:rPr>
        <w:t>Heteroscedasticity</w:t>
      </w:r>
    </w:p>
    <w:p w:rsidR="005717B5" w:rsidRPr="002C595D" w:rsidRDefault="005717B5" w:rsidP="005717B5">
      <w:pPr>
        <w:autoSpaceDE w:val="0"/>
        <w:autoSpaceDN w:val="0"/>
        <w:adjustRightInd w:val="0"/>
        <w:spacing w:after="0" w:line="360" w:lineRule="auto"/>
        <w:jc w:val="both"/>
        <w:rPr>
          <w:rFonts w:ascii="Times New Roman" w:hAnsi="Times New Roman" w:cs="Times New Roman"/>
          <w:color w:val="000000"/>
          <w:lang w:val="en-US"/>
        </w:rPr>
      </w:pPr>
      <w:r w:rsidRPr="002C595D">
        <w:rPr>
          <w:rFonts w:ascii="Times New Roman" w:hAnsi="Times New Roman" w:cs="Times New Roman"/>
          <w:color w:val="000000"/>
          <w:lang w:val="en-US"/>
        </w:rPr>
        <w:t xml:space="preserve">We are also going to check for the existence of Heteroscedasticity. In case that our error terms vary across our observations, we are facing the problem of heteroscedasticity, which can once again cancel the validity of our statistical tests of significance. </w:t>
      </w:r>
    </w:p>
    <w:p w:rsidR="005717B5" w:rsidRPr="002C595D" w:rsidRDefault="005717B5" w:rsidP="000C576E">
      <w:pPr>
        <w:spacing w:line="360" w:lineRule="auto"/>
        <w:jc w:val="both"/>
        <w:rPr>
          <w:rFonts w:ascii="Arial" w:hAnsi="Arial" w:cs="Arial"/>
          <w:b/>
          <w:i/>
          <w:lang w:val="en-US"/>
        </w:rPr>
      </w:pPr>
    </w:p>
    <w:p w:rsidR="005717B5" w:rsidRPr="002C595D" w:rsidRDefault="00151CB9" w:rsidP="000C576E">
      <w:pPr>
        <w:spacing w:line="360" w:lineRule="auto"/>
        <w:jc w:val="both"/>
        <w:rPr>
          <w:rFonts w:ascii="Arial" w:hAnsi="Arial" w:cs="Arial"/>
          <w:b/>
          <w:i/>
          <w:lang w:val="en-US"/>
        </w:rPr>
      </w:pPr>
      <w:r w:rsidRPr="002C595D">
        <w:rPr>
          <w:rFonts w:ascii="Arial" w:hAnsi="Arial" w:cs="Arial"/>
          <w:b/>
          <w:i/>
          <w:lang w:val="en-US"/>
        </w:rPr>
        <w:t xml:space="preserve">4.1.5 </w:t>
      </w:r>
      <w:r w:rsidR="005717B5" w:rsidRPr="002C595D">
        <w:rPr>
          <w:rFonts w:ascii="Arial" w:hAnsi="Arial" w:cs="Arial"/>
          <w:b/>
          <w:i/>
          <w:lang w:val="en-US"/>
        </w:rPr>
        <w:t>Multicollinearity</w:t>
      </w:r>
    </w:p>
    <w:p w:rsidR="00550826" w:rsidRPr="002C595D" w:rsidRDefault="005717B5" w:rsidP="004011A1">
      <w:pPr>
        <w:autoSpaceDE w:val="0"/>
        <w:autoSpaceDN w:val="0"/>
        <w:adjustRightInd w:val="0"/>
        <w:spacing w:after="0" w:line="360" w:lineRule="auto"/>
        <w:jc w:val="both"/>
        <w:rPr>
          <w:rFonts w:ascii="Times New Roman" w:hAnsi="Times New Roman" w:cs="Times New Roman"/>
          <w:color w:val="111111"/>
          <w:shd w:val="clear" w:color="auto" w:fill="FFFFFF"/>
          <w:lang w:val="en-US"/>
        </w:rPr>
      </w:pPr>
      <w:r w:rsidRPr="002C595D">
        <w:rPr>
          <w:rFonts w:ascii="Times New Roman" w:hAnsi="Times New Roman" w:cs="Times New Roman"/>
          <w:color w:val="111111"/>
          <w:shd w:val="clear" w:color="auto" w:fill="FFFFFF"/>
          <w:lang w:val="en-US"/>
        </w:rPr>
        <w:t xml:space="preserve">Last, we are going to test for Multicollinearity, which implies that more than one of the independent variables </w:t>
      </w:r>
      <w:r w:rsidR="005D4597" w:rsidRPr="002C595D">
        <w:rPr>
          <w:rFonts w:ascii="Times New Roman" w:hAnsi="Times New Roman" w:cs="Times New Roman"/>
          <w:color w:val="111111"/>
          <w:shd w:val="clear" w:color="auto" w:fill="FFFFFF"/>
          <w:lang w:val="en-US"/>
        </w:rPr>
        <w:t>is</w:t>
      </w:r>
      <w:r w:rsidRPr="002C595D">
        <w:rPr>
          <w:rFonts w:ascii="Times New Roman" w:hAnsi="Times New Roman" w:cs="Times New Roman"/>
          <w:color w:val="111111"/>
          <w:shd w:val="clear" w:color="auto" w:fill="FFFFFF"/>
          <w:lang w:val="en-US"/>
        </w:rPr>
        <w:t xml:space="preserve"> highly correlated. Although the existence of multicollinearity does not affect the reliability of the model itself, it does affect the individual predictors of the model, making it hard to examine how the individual independent variables contribute to the understanding of the dependen</w:t>
      </w:r>
      <w:r w:rsidR="004011A1" w:rsidRPr="002C595D">
        <w:rPr>
          <w:rFonts w:ascii="Times New Roman" w:hAnsi="Times New Roman" w:cs="Times New Roman"/>
          <w:color w:val="111111"/>
          <w:shd w:val="clear" w:color="auto" w:fill="FFFFFF"/>
          <w:lang w:val="en-US"/>
        </w:rPr>
        <w:t>t variable</w:t>
      </w:r>
      <w:r w:rsidR="005D4597" w:rsidRPr="002C595D">
        <w:rPr>
          <w:rFonts w:ascii="Times New Roman" w:hAnsi="Times New Roman" w:cs="Times New Roman"/>
          <w:color w:val="111111"/>
          <w:shd w:val="clear" w:color="auto" w:fill="FFFFFF"/>
          <w:lang w:val="en-US"/>
        </w:rPr>
        <w:t>. (</w:t>
      </w:r>
      <w:r w:rsidR="004011A1" w:rsidRPr="002C595D">
        <w:rPr>
          <w:rFonts w:ascii="Times New Roman" w:hAnsi="Times New Roman" w:cs="Times New Roman"/>
          <w:color w:val="111111"/>
          <w:shd w:val="clear" w:color="auto" w:fill="FFFFFF"/>
          <w:lang w:val="en-US"/>
        </w:rPr>
        <w:t>investopedia)</w:t>
      </w:r>
    </w:p>
    <w:p w:rsidR="00550826" w:rsidRPr="004011A1" w:rsidRDefault="00550826" w:rsidP="004011A1">
      <w:pPr>
        <w:spacing w:line="360" w:lineRule="auto"/>
        <w:jc w:val="both"/>
        <w:rPr>
          <w:rFonts w:ascii="Arial" w:hAnsi="Arial" w:cs="Arial"/>
          <w:b/>
          <w:i/>
          <w:lang w:val="en-US"/>
        </w:rPr>
      </w:pPr>
    </w:p>
    <w:p w:rsidR="00320CFB" w:rsidRDefault="00320CFB">
      <w:pPr>
        <w:rPr>
          <w:rFonts w:ascii="Arial" w:hAnsi="Arial" w:cs="Arial"/>
          <w:b/>
          <w:i/>
          <w:lang w:val="en-US"/>
        </w:rPr>
      </w:pPr>
      <w:r>
        <w:rPr>
          <w:rFonts w:ascii="Arial" w:hAnsi="Arial" w:cs="Arial"/>
          <w:b/>
          <w:i/>
          <w:lang w:val="en-US"/>
        </w:rPr>
        <w:br w:type="page"/>
      </w:r>
    </w:p>
    <w:p w:rsidR="00AF6B15" w:rsidRPr="004011A1" w:rsidRDefault="004011A1" w:rsidP="004011A1">
      <w:pPr>
        <w:spacing w:line="360" w:lineRule="auto"/>
        <w:jc w:val="both"/>
        <w:rPr>
          <w:rFonts w:ascii="Arial" w:hAnsi="Arial" w:cs="Arial"/>
          <w:b/>
          <w:i/>
          <w:lang w:val="en-US"/>
        </w:rPr>
      </w:pPr>
      <w:r>
        <w:rPr>
          <w:rFonts w:ascii="Arial" w:hAnsi="Arial" w:cs="Arial"/>
          <w:b/>
          <w:i/>
          <w:lang w:val="en-US"/>
        </w:rPr>
        <w:lastRenderedPageBreak/>
        <w:t xml:space="preserve">4.2 </w:t>
      </w:r>
      <w:r w:rsidR="005717B5" w:rsidRPr="004011A1">
        <w:rPr>
          <w:rFonts w:ascii="Arial" w:hAnsi="Arial" w:cs="Arial"/>
          <w:b/>
          <w:i/>
          <w:lang w:val="en-US"/>
        </w:rPr>
        <w:t>Empirical Part</w:t>
      </w:r>
    </w:p>
    <w:p w:rsidR="005717B5" w:rsidRPr="002C595D" w:rsidRDefault="00151CB9" w:rsidP="004011A1">
      <w:pPr>
        <w:spacing w:line="360" w:lineRule="auto"/>
        <w:jc w:val="both"/>
        <w:rPr>
          <w:rFonts w:ascii="Arial" w:hAnsi="Arial" w:cs="Arial"/>
          <w:b/>
          <w:i/>
          <w:lang w:val="en-US"/>
        </w:rPr>
      </w:pPr>
      <w:r w:rsidRPr="002C595D">
        <w:rPr>
          <w:rFonts w:ascii="Arial" w:hAnsi="Arial" w:cs="Arial"/>
          <w:b/>
          <w:i/>
          <w:lang w:val="en-US"/>
        </w:rPr>
        <w:t xml:space="preserve">4.2.1 </w:t>
      </w:r>
      <w:r w:rsidR="005717B5" w:rsidRPr="002C595D">
        <w:rPr>
          <w:rFonts w:ascii="Arial" w:hAnsi="Arial" w:cs="Arial"/>
          <w:b/>
          <w:i/>
          <w:lang w:val="en-US"/>
        </w:rPr>
        <w:t>Regression</w:t>
      </w:r>
    </w:p>
    <w:p w:rsidR="005717B5" w:rsidRPr="002C595D" w:rsidRDefault="005717B5" w:rsidP="005717B5">
      <w:pPr>
        <w:spacing w:line="360" w:lineRule="auto"/>
        <w:jc w:val="both"/>
        <w:rPr>
          <w:rFonts w:ascii="Times New Roman" w:hAnsi="Times New Roman" w:cs="Times New Roman"/>
          <w:lang w:val="en-US"/>
        </w:rPr>
      </w:pPr>
      <w:r w:rsidRPr="002C595D">
        <w:rPr>
          <w:rFonts w:ascii="Times New Roman" w:hAnsi="Times New Roman" w:cs="Times New Roman"/>
          <w:lang w:val="en-US"/>
        </w:rPr>
        <w:t xml:space="preserve">Moving forward with our empirical analysis, we are going to present the five regressions that have been executed (one multiple and four simple). </w:t>
      </w:r>
    </w:p>
    <w:p w:rsidR="005717B5" w:rsidRPr="002C595D" w:rsidRDefault="005717B5" w:rsidP="005717B5">
      <w:pPr>
        <w:spacing w:line="360" w:lineRule="auto"/>
        <w:jc w:val="both"/>
        <w:rPr>
          <w:rFonts w:ascii="Times New Roman" w:hAnsi="Times New Roman" w:cs="Times New Roman"/>
          <w:lang w:val="en-US"/>
        </w:rPr>
      </w:pPr>
      <w:r w:rsidRPr="002C595D">
        <w:rPr>
          <w:rFonts w:ascii="Times New Roman" w:hAnsi="Times New Roman" w:cs="Times New Roman"/>
          <w:lang w:val="en-US"/>
        </w:rPr>
        <w:t>The first multiple regression contains the four independent variables we are examining. In particular:</w:t>
      </w:r>
    </w:p>
    <w:p w:rsidR="005717B5" w:rsidRPr="000119AB" w:rsidRDefault="00F51FB9" w:rsidP="005717B5">
      <w:pPr>
        <w:spacing w:line="360" w:lineRule="auto"/>
        <w:jc w:val="both"/>
        <w:rPr>
          <w:rFonts w:ascii="Times New Roman" w:hAnsi="Times New Roman" w:cs="Times New Roman"/>
          <w:sz w:val="24"/>
          <w:szCs w:val="24"/>
          <w:lang w:val="en-US"/>
        </w:rPr>
      </w:pPr>
      <w:r>
        <w:rPr>
          <w:rFonts w:ascii="Times New Roman" w:hAnsi="Times New Roman" w:cs="Times New Roman"/>
          <w:b/>
          <w:i/>
          <w:sz w:val="24"/>
          <w:szCs w:val="24"/>
          <w:lang w:val="en-US"/>
        </w:rPr>
        <w:t>EqAll</w:t>
      </w:r>
      <w:r w:rsidRPr="000119AB">
        <w:rPr>
          <w:rFonts w:ascii="Times New Roman" w:hAnsi="Times New Roman" w:cs="Times New Roman"/>
          <w:b/>
          <w:i/>
          <w:sz w:val="24"/>
          <w:szCs w:val="24"/>
          <w:vertAlign w:val="subscript"/>
          <w:lang w:val="en-US"/>
        </w:rPr>
        <w:t xml:space="preserve"> </w:t>
      </w:r>
      <w:r w:rsidR="005717B5" w:rsidRPr="000119AB">
        <w:rPr>
          <w:rFonts w:ascii="Times New Roman" w:hAnsi="Times New Roman" w:cs="Times New Roman"/>
          <w:b/>
          <w:i/>
          <w:sz w:val="24"/>
          <w:szCs w:val="24"/>
          <w:lang w:val="en-US"/>
        </w:rPr>
        <w:t xml:space="preserve">= </w:t>
      </w:r>
      <w:r w:rsidR="005717B5">
        <w:rPr>
          <w:rFonts w:ascii="Times New Roman" w:hAnsi="Times New Roman" w:cs="Times New Roman"/>
          <w:b/>
          <w:i/>
          <w:sz w:val="24"/>
          <w:szCs w:val="24"/>
          <w:lang w:val="en-US"/>
        </w:rPr>
        <w:t>C</w:t>
      </w:r>
      <w:r w:rsidR="005717B5" w:rsidRPr="000119AB">
        <w:rPr>
          <w:rFonts w:ascii="Times New Roman" w:hAnsi="Times New Roman" w:cs="Times New Roman"/>
          <w:b/>
          <w:i/>
          <w:sz w:val="24"/>
          <w:szCs w:val="24"/>
          <w:lang w:val="en-US"/>
        </w:rPr>
        <w:t xml:space="preserve"> + </w:t>
      </w:r>
      <w:r w:rsidR="005717B5" w:rsidRPr="000119AB">
        <w:rPr>
          <w:rFonts w:ascii="Times New Roman" w:hAnsi="Times New Roman" w:cs="Times New Roman"/>
          <w:b/>
          <w:i/>
          <w:sz w:val="24"/>
          <w:szCs w:val="24"/>
        </w:rPr>
        <w:t>β</w:t>
      </w:r>
      <w:r w:rsidR="005717B5" w:rsidRPr="000119AB">
        <w:rPr>
          <w:rFonts w:ascii="Times New Roman" w:hAnsi="Times New Roman" w:cs="Times New Roman"/>
          <w:b/>
          <w:i/>
          <w:sz w:val="24"/>
          <w:szCs w:val="24"/>
          <w:vertAlign w:val="subscript"/>
          <w:lang w:val="en-US"/>
        </w:rPr>
        <w:t xml:space="preserve">1 </w:t>
      </w:r>
      <w:r w:rsidR="005717B5" w:rsidRPr="000119AB">
        <w:rPr>
          <w:rFonts w:ascii="Times New Roman" w:hAnsi="Times New Roman" w:cs="Times New Roman"/>
          <w:b/>
          <w:i/>
          <w:sz w:val="24"/>
          <w:szCs w:val="24"/>
          <w:lang w:val="en-US"/>
        </w:rPr>
        <w:t>PDI + β</w:t>
      </w:r>
      <w:r w:rsidR="005717B5" w:rsidRPr="000119AB">
        <w:rPr>
          <w:rFonts w:ascii="Times New Roman" w:hAnsi="Times New Roman" w:cs="Times New Roman"/>
          <w:b/>
          <w:i/>
          <w:sz w:val="24"/>
          <w:szCs w:val="24"/>
          <w:vertAlign w:val="subscript"/>
          <w:lang w:val="en-US"/>
        </w:rPr>
        <w:t xml:space="preserve">2 </w:t>
      </w:r>
      <w:r w:rsidR="005717B5" w:rsidRPr="000119AB">
        <w:rPr>
          <w:rFonts w:ascii="Times New Roman" w:hAnsi="Times New Roman" w:cs="Times New Roman"/>
          <w:b/>
          <w:i/>
          <w:sz w:val="24"/>
          <w:szCs w:val="24"/>
          <w:lang w:val="en-US"/>
        </w:rPr>
        <w:t xml:space="preserve">IDV + </w:t>
      </w:r>
      <w:r w:rsidR="005717B5" w:rsidRPr="000119AB">
        <w:rPr>
          <w:rFonts w:ascii="Times New Roman" w:hAnsi="Times New Roman" w:cs="Times New Roman"/>
          <w:b/>
          <w:i/>
          <w:sz w:val="24"/>
          <w:szCs w:val="24"/>
        </w:rPr>
        <w:t>β</w:t>
      </w:r>
      <w:r w:rsidR="005717B5" w:rsidRPr="000119AB">
        <w:rPr>
          <w:rFonts w:ascii="Times New Roman" w:hAnsi="Times New Roman" w:cs="Times New Roman"/>
          <w:b/>
          <w:i/>
          <w:sz w:val="24"/>
          <w:szCs w:val="24"/>
          <w:vertAlign w:val="subscript"/>
          <w:lang w:val="en-US"/>
        </w:rPr>
        <w:t xml:space="preserve">3 </w:t>
      </w:r>
      <w:r w:rsidR="005717B5" w:rsidRPr="000119AB">
        <w:rPr>
          <w:rFonts w:ascii="Times New Roman" w:hAnsi="Times New Roman" w:cs="Times New Roman"/>
          <w:b/>
          <w:i/>
          <w:sz w:val="24"/>
          <w:szCs w:val="24"/>
          <w:lang w:val="en-US"/>
        </w:rPr>
        <w:t xml:space="preserve">UAI + </w:t>
      </w:r>
      <w:r w:rsidR="005717B5" w:rsidRPr="000119AB">
        <w:rPr>
          <w:rFonts w:ascii="Times New Roman" w:hAnsi="Times New Roman" w:cs="Times New Roman"/>
          <w:b/>
          <w:i/>
          <w:sz w:val="24"/>
          <w:szCs w:val="24"/>
        </w:rPr>
        <w:t>β</w:t>
      </w:r>
      <w:r w:rsidR="005717B5" w:rsidRPr="000119AB">
        <w:rPr>
          <w:rFonts w:ascii="Times New Roman" w:hAnsi="Times New Roman" w:cs="Times New Roman"/>
          <w:b/>
          <w:i/>
          <w:sz w:val="24"/>
          <w:szCs w:val="24"/>
          <w:vertAlign w:val="subscript"/>
          <w:lang w:val="en-US"/>
        </w:rPr>
        <w:t xml:space="preserve">4 </w:t>
      </w:r>
      <w:r w:rsidR="005717B5" w:rsidRPr="000119AB">
        <w:rPr>
          <w:rFonts w:ascii="Times New Roman" w:hAnsi="Times New Roman" w:cs="Times New Roman"/>
          <w:b/>
          <w:i/>
          <w:sz w:val="24"/>
          <w:szCs w:val="24"/>
          <w:lang w:val="en-US"/>
        </w:rPr>
        <w:t>MASC</w:t>
      </w:r>
      <w:r w:rsidR="005717B5" w:rsidRPr="000119AB">
        <w:rPr>
          <w:rFonts w:ascii="Times New Roman" w:hAnsi="Times New Roman" w:cs="Times New Roman"/>
          <w:b/>
          <w:i/>
          <w:sz w:val="24"/>
          <w:szCs w:val="24"/>
          <w:vertAlign w:val="subscript"/>
          <w:lang w:val="en-US"/>
        </w:rPr>
        <w:t xml:space="preserve"> </w:t>
      </w:r>
      <w:r w:rsidR="005717B5" w:rsidRPr="000119AB">
        <w:rPr>
          <w:rFonts w:ascii="Times New Roman" w:hAnsi="Times New Roman" w:cs="Times New Roman"/>
          <w:b/>
          <w:i/>
          <w:sz w:val="24"/>
          <w:szCs w:val="24"/>
          <w:lang w:val="en-US"/>
        </w:rPr>
        <w:t xml:space="preserve">+ </w:t>
      </w:r>
      <w:r w:rsidR="005717B5" w:rsidRPr="000119AB">
        <w:rPr>
          <w:rFonts w:ascii="Times New Roman" w:hAnsi="Times New Roman" w:cs="Times New Roman"/>
          <w:b/>
          <w:i/>
          <w:sz w:val="24"/>
          <w:szCs w:val="24"/>
        </w:rPr>
        <w:t>ε</w:t>
      </w:r>
      <w:r w:rsidR="005717B5" w:rsidRPr="000119AB">
        <w:rPr>
          <w:rFonts w:ascii="Times New Roman" w:hAnsi="Times New Roman" w:cs="Times New Roman"/>
          <w:b/>
          <w:i/>
          <w:sz w:val="24"/>
          <w:szCs w:val="24"/>
          <w:vertAlign w:val="subscript"/>
          <w:lang w:val="en-US"/>
        </w:rPr>
        <w:t>i,</w:t>
      </w:r>
      <w:r w:rsidR="00472824">
        <w:rPr>
          <w:rFonts w:ascii="Times New Roman" w:hAnsi="Times New Roman" w:cs="Times New Roman"/>
          <w:b/>
          <w:i/>
          <w:sz w:val="24"/>
          <w:szCs w:val="24"/>
          <w:vertAlign w:val="subscript"/>
          <w:lang w:val="en-US"/>
        </w:rPr>
        <w:tab/>
      </w:r>
      <w:r w:rsidR="00472824">
        <w:rPr>
          <w:rFonts w:ascii="Times New Roman" w:hAnsi="Times New Roman" w:cs="Times New Roman"/>
          <w:b/>
          <w:i/>
          <w:sz w:val="24"/>
          <w:szCs w:val="24"/>
          <w:vertAlign w:val="subscript"/>
          <w:lang w:val="en-US"/>
        </w:rPr>
        <w:tab/>
      </w:r>
      <w:r w:rsidR="00472824">
        <w:rPr>
          <w:rFonts w:ascii="Times New Roman" w:hAnsi="Times New Roman" w:cs="Times New Roman"/>
          <w:b/>
          <w:i/>
          <w:sz w:val="24"/>
          <w:szCs w:val="24"/>
          <w:vertAlign w:val="subscript"/>
          <w:lang w:val="en-US"/>
        </w:rPr>
        <w:tab/>
      </w:r>
      <w:r w:rsidR="00472824" w:rsidRPr="00472824">
        <w:rPr>
          <w:rFonts w:ascii="Times New Roman" w:hAnsi="Times New Roman" w:cs="Times New Roman"/>
          <w:b/>
          <w:i/>
          <w:sz w:val="24"/>
          <w:szCs w:val="24"/>
          <w:lang w:val="en-US"/>
        </w:rPr>
        <w:t>(1)</w:t>
      </w:r>
    </w:p>
    <w:p w:rsidR="005717B5" w:rsidRPr="002C595D" w:rsidRDefault="005D4597" w:rsidP="005717B5">
      <w:pPr>
        <w:spacing w:line="360" w:lineRule="auto"/>
        <w:jc w:val="both"/>
        <w:rPr>
          <w:rFonts w:ascii="Times New Roman" w:hAnsi="Times New Roman" w:cs="Times New Roman"/>
          <w:szCs w:val="24"/>
          <w:lang w:val="en-US"/>
        </w:rPr>
      </w:pPr>
      <w:r w:rsidRPr="002C595D">
        <w:rPr>
          <w:rFonts w:ascii="Times New Roman" w:hAnsi="Times New Roman" w:cs="Times New Roman"/>
          <w:szCs w:val="24"/>
          <w:lang w:val="en-US"/>
        </w:rPr>
        <w:t>Where:</w:t>
      </w:r>
      <w:r w:rsidR="005717B5" w:rsidRPr="002C595D">
        <w:rPr>
          <w:rFonts w:ascii="Times New Roman" w:hAnsi="Times New Roman" w:cs="Times New Roman"/>
          <w:szCs w:val="24"/>
          <w:lang w:val="en-US"/>
        </w:rPr>
        <w:t xml:space="preserve">  </w:t>
      </w:r>
    </w:p>
    <w:p w:rsidR="005717B5" w:rsidRPr="002C595D" w:rsidRDefault="00F51FB9" w:rsidP="00F51FB9">
      <w:pPr>
        <w:pStyle w:val="ListParagraph"/>
        <w:numPr>
          <w:ilvl w:val="0"/>
          <w:numId w:val="8"/>
        </w:numPr>
        <w:spacing w:line="360" w:lineRule="auto"/>
        <w:jc w:val="both"/>
        <w:rPr>
          <w:rFonts w:ascii="Times New Roman" w:hAnsi="Times New Roman" w:cs="Times New Roman"/>
          <w:szCs w:val="24"/>
          <w:lang w:val="en-US"/>
        </w:rPr>
      </w:pPr>
      <w:r w:rsidRPr="002C595D">
        <w:rPr>
          <w:rFonts w:ascii="Times New Roman" w:hAnsi="Times New Roman" w:cs="Times New Roman"/>
          <w:szCs w:val="24"/>
          <w:lang w:val="en-US"/>
        </w:rPr>
        <w:t xml:space="preserve">EqAll </w:t>
      </w:r>
      <w:r w:rsidR="005717B5" w:rsidRPr="002C595D">
        <w:rPr>
          <w:rFonts w:ascii="Times New Roman" w:hAnsi="Times New Roman" w:cs="Times New Roman"/>
          <w:szCs w:val="24"/>
          <w:lang w:val="en-US"/>
        </w:rPr>
        <w:t>is the ratio of Equity to Total investments and  is the independent variable (Y</w:t>
      </w:r>
      <w:r w:rsidR="005717B5" w:rsidRPr="002C595D">
        <w:rPr>
          <w:rFonts w:ascii="Times New Roman" w:hAnsi="Times New Roman" w:cs="Times New Roman"/>
          <w:szCs w:val="24"/>
          <w:vertAlign w:val="subscript"/>
          <w:lang w:val="en-US"/>
        </w:rPr>
        <w:t>i</w:t>
      </w:r>
      <w:r w:rsidR="005717B5" w:rsidRPr="002C595D">
        <w:rPr>
          <w:rFonts w:ascii="Times New Roman" w:hAnsi="Times New Roman" w:cs="Times New Roman"/>
          <w:szCs w:val="24"/>
          <w:lang w:val="en-US"/>
        </w:rPr>
        <w:t>)</w:t>
      </w:r>
    </w:p>
    <w:p w:rsidR="005717B5" w:rsidRPr="002C595D" w:rsidRDefault="005717B5" w:rsidP="005717B5">
      <w:pPr>
        <w:pStyle w:val="ListParagraph"/>
        <w:numPr>
          <w:ilvl w:val="0"/>
          <w:numId w:val="8"/>
        </w:numPr>
        <w:spacing w:line="360" w:lineRule="auto"/>
        <w:jc w:val="both"/>
        <w:rPr>
          <w:rFonts w:ascii="Times New Roman" w:hAnsi="Times New Roman" w:cs="Times New Roman"/>
          <w:szCs w:val="24"/>
          <w:lang w:val="en-US"/>
        </w:rPr>
      </w:pPr>
      <w:r w:rsidRPr="002C595D">
        <w:rPr>
          <w:rFonts w:ascii="Times New Roman" w:hAnsi="Times New Roman" w:cs="Times New Roman"/>
          <w:szCs w:val="24"/>
          <w:lang w:val="en-US"/>
        </w:rPr>
        <w:t xml:space="preserve">PDI stands for the scores on  Power Distance </w:t>
      </w:r>
    </w:p>
    <w:p w:rsidR="005717B5" w:rsidRPr="002C595D" w:rsidRDefault="005717B5" w:rsidP="005717B5">
      <w:pPr>
        <w:pStyle w:val="ListParagraph"/>
        <w:numPr>
          <w:ilvl w:val="0"/>
          <w:numId w:val="8"/>
        </w:numPr>
        <w:spacing w:line="360" w:lineRule="auto"/>
        <w:jc w:val="both"/>
        <w:rPr>
          <w:rFonts w:ascii="Times New Roman" w:hAnsi="Times New Roman" w:cs="Times New Roman"/>
          <w:szCs w:val="24"/>
          <w:lang w:val="en-US"/>
        </w:rPr>
      </w:pPr>
      <w:r w:rsidRPr="002C595D">
        <w:rPr>
          <w:rFonts w:ascii="Times New Roman" w:hAnsi="Times New Roman" w:cs="Times New Roman"/>
          <w:szCs w:val="24"/>
          <w:lang w:val="en-US"/>
        </w:rPr>
        <w:t>IDV stands for scores in Individualism</w:t>
      </w:r>
    </w:p>
    <w:p w:rsidR="005717B5" w:rsidRPr="002C595D" w:rsidRDefault="005717B5" w:rsidP="005717B5">
      <w:pPr>
        <w:pStyle w:val="ListParagraph"/>
        <w:numPr>
          <w:ilvl w:val="0"/>
          <w:numId w:val="8"/>
        </w:numPr>
        <w:spacing w:line="360" w:lineRule="auto"/>
        <w:jc w:val="both"/>
        <w:rPr>
          <w:rFonts w:ascii="Times New Roman" w:hAnsi="Times New Roman" w:cs="Times New Roman"/>
          <w:szCs w:val="24"/>
          <w:lang w:val="en-US"/>
        </w:rPr>
      </w:pPr>
      <w:r w:rsidRPr="002C595D">
        <w:rPr>
          <w:rFonts w:ascii="Times New Roman" w:hAnsi="Times New Roman" w:cs="Times New Roman"/>
          <w:szCs w:val="24"/>
          <w:lang w:val="en-US"/>
        </w:rPr>
        <w:t>UAI stands for Uncertainty Avoidance scores</w:t>
      </w:r>
    </w:p>
    <w:p w:rsidR="005717B5" w:rsidRPr="002C595D" w:rsidRDefault="005717B5" w:rsidP="005717B5">
      <w:pPr>
        <w:pStyle w:val="ListParagraph"/>
        <w:numPr>
          <w:ilvl w:val="0"/>
          <w:numId w:val="8"/>
        </w:numPr>
        <w:spacing w:line="360" w:lineRule="auto"/>
        <w:jc w:val="both"/>
        <w:rPr>
          <w:rFonts w:ascii="Times New Roman" w:hAnsi="Times New Roman" w:cs="Times New Roman"/>
          <w:szCs w:val="24"/>
          <w:lang w:val="en-US"/>
        </w:rPr>
      </w:pPr>
      <w:r w:rsidRPr="002C595D">
        <w:rPr>
          <w:rFonts w:ascii="Times New Roman" w:hAnsi="Times New Roman" w:cs="Times New Roman"/>
          <w:szCs w:val="24"/>
          <w:lang w:val="en-US"/>
        </w:rPr>
        <w:t>MASC is the fourth cultural dimension, Masculinity</w:t>
      </w:r>
    </w:p>
    <w:p w:rsidR="005717B5" w:rsidRPr="002C595D" w:rsidRDefault="005717B5" w:rsidP="005717B5">
      <w:pPr>
        <w:pStyle w:val="ListParagraph"/>
        <w:numPr>
          <w:ilvl w:val="0"/>
          <w:numId w:val="8"/>
        </w:numPr>
        <w:spacing w:line="360" w:lineRule="auto"/>
        <w:jc w:val="both"/>
        <w:rPr>
          <w:rFonts w:ascii="Times New Roman" w:hAnsi="Times New Roman" w:cs="Times New Roman"/>
          <w:szCs w:val="24"/>
          <w:lang w:val="en-US"/>
        </w:rPr>
      </w:pPr>
      <w:r w:rsidRPr="002C595D">
        <w:rPr>
          <w:rFonts w:ascii="Times New Roman" w:hAnsi="Times New Roman" w:cs="Times New Roman"/>
          <w:szCs w:val="24"/>
        </w:rPr>
        <w:t>β</w:t>
      </w:r>
      <w:r w:rsidRPr="002C595D">
        <w:rPr>
          <w:rFonts w:ascii="Times New Roman" w:hAnsi="Times New Roman" w:cs="Times New Roman"/>
          <w:szCs w:val="24"/>
          <w:vertAlign w:val="subscript"/>
          <w:lang w:val="en-US"/>
        </w:rPr>
        <w:t xml:space="preserve">1, </w:t>
      </w:r>
      <w:r w:rsidRPr="002C595D">
        <w:rPr>
          <w:rFonts w:ascii="Times New Roman" w:hAnsi="Times New Roman" w:cs="Times New Roman"/>
          <w:szCs w:val="24"/>
        </w:rPr>
        <w:t>β</w:t>
      </w:r>
      <w:r w:rsidRPr="002C595D">
        <w:rPr>
          <w:rFonts w:ascii="Times New Roman" w:hAnsi="Times New Roman" w:cs="Times New Roman"/>
          <w:szCs w:val="24"/>
          <w:vertAlign w:val="subscript"/>
          <w:lang w:val="en-US"/>
        </w:rPr>
        <w:t xml:space="preserve">2, </w:t>
      </w:r>
      <w:r w:rsidRPr="002C595D">
        <w:rPr>
          <w:rFonts w:ascii="Times New Roman" w:hAnsi="Times New Roman" w:cs="Times New Roman"/>
          <w:szCs w:val="24"/>
        </w:rPr>
        <w:t>β</w:t>
      </w:r>
      <w:r w:rsidRPr="002C595D">
        <w:rPr>
          <w:rFonts w:ascii="Times New Roman" w:hAnsi="Times New Roman" w:cs="Times New Roman"/>
          <w:szCs w:val="24"/>
          <w:vertAlign w:val="subscript"/>
          <w:lang w:val="en-US"/>
        </w:rPr>
        <w:t xml:space="preserve">3 </w:t>
      </w:r>
      <w:r w:rsidRPr="002C595D">
        <w:rPr>
          <w:rFonts w:ascii="Times New Roman" w:hAnsi="Times New Roman" w:cs="Times New Roman"/>
          <w:szCs w:val="24"/>
          <w:lang w:val="en-US"/>
        </w:rPr>
        <w:t>and</w:t>
      </w:r>
      <w:r w:rsidRPr="002C595D">
        <w:rPr>
          <w:rFonts w:ascii="Times New Roman" w:hAnsi="Times New Roman" w:cs="Times New Roman"/>
          <w:szCs w:val="24"/>
          <w:vertAlign w:val="subscript"/>
          <w:lang w:val="en-US"/>
        </w:rPr>
        <w:t xml:space="preserve"> </w:t>
      </w:r>
      <w:r w:rsidRPr="002C595D">
        <w:rPr>
          <w:rFonts w:ascii="Times New Roman" w:hAnsi="Times New Roman" w:cs="Times New Roman"/>
          <w:szCs w:val="24"/>
        </w:rPr>
        <w:t>β</w:t>
      </w:r>
      <w:r w:rsidRPr="002C595D">
        <w:rPr>
          <w:rFonts w:ascii="Times New Roman" w:hAnsi="Times New Roman" w:cs="Times New Roman"/>
          <w:szCs w:val="24"/>
          <w:vertAlign w:val="subscript"/>
          <w:lang w:val="en-US"/>
        </w:rPr>
        <w:t xml:space="preserve">4 </w:t>
      </w:r>
      <w:r w:rsidRPr="002C595D">
        <w:rPr>
          <w:rFonts w:ascii="Times New Roman" w:hAnsi="Times New Roman" w:cs="Times New Roman"/>
          <w:szCs w:val="24"/>
          <w:lang w:val="en-US"/>
        </w:rPr>
        <w:t xml:space="preserve"> are the coefficients </w:t>
      </w:r>
    </w:p>
    <w:p w:rsidR="005717B5" w:rsidRPr="002C595D" w:rsidRDefault="005717B5" w:rsidP="005717B5">
      <w:pPr>
        <w:pStyle w:val="ListParagraph"/>
        <w:numPr>
          <w:ilvl w:val="0"/>
          <w:numId w:val="8"/>
        </w:numPr>
        <w:spacing w:line="360" w:lineRule="auto"/>
        <w:jc w:val="both"/>
        <w:rPr>
          <w:rFonts w:ascii="Times New Roman" w:hAnsi="Times New Roman" w:cs="Times New Roman"/>
          <w:szCs w:val="24"/>
          <w:lang w:val="en-US"/>
        </w:rPr>
      </w:pPr>
      <w:r w:rsidRPr="002C595D">
        <w:rPr>
          <w:rFonts w:ascii="Times New Roman" w:hAnsi="Times New Roman" w:cs="Times New Roman"/>
          <w:szCs w:val="24"/>
          <w:lang w:val="en-US"/>
        </w:rPr>
        <w:t>C is the constant</w:t>
      </w:r>
    </w:p>
    <w:p w:rsidR="005717B5" w:rsidRPr="002C595D" w:rsidRDefault="005717B5" w:rsidP="005717B5">
      <w:pPr>
        <w:pStyle w:val="ListParagraph"/>
        <w:numPr>
          <w:ilvl w:val="0"/>
          <w:numId w:val="8"/>
        </w:numPr>
        <w:spacing w:line="360" w:lineRule="auto"/>
        <w:jc w:val="both"/>
        <w:rPr>
          <w:rFonts w:ascii="Times New Roman" w:hAnsi="Times New Roman" w:cs="Times New Roman"/>
          <w:szCs w:val="24"/>
          <w:lang w:val="en-US"/>
        </w:rPr>
      </w:pPr>
      <w:r w:rsidRPr="002C595D">
        <w:rPr>
          <w:rFonts w:ascii="Times New Roman" w:hAnsi="Times New Roman" w:cs="Times New Roman"/>
          <w:szCs w:val="24"/>
        </w:rPr>
        <w:t>ε</w:t>
      </w:r>
      <w:r w:rsidRPr="002C595D">
        <w:rPr>
          <w:rFonts w:ascii="Times New Roman" w:hAnsi="Times New Roman" w:cs="Times New Roman"/>
          <w:szCs w:val="24"/>
          <w:vertAlign w:val="subscript"/>
        </w:rPr>
        <w:t>ι</w:t>
      </w:r>
      <w:r w:rsidRPr="002C595D">
        <w:rPr>
          <w:rFonts w:ascii="Times New Roman" w:hAnsi="Times New Roman" w:cs="Times New Roman"/>
          <w:szCs w:val="24"/>
          <w:vertAlign w:val="subscript"/>
          <w:lang w:val="en-US"/>
        </w:rPr>
        <w:t xml:space="preserve">  </w:t>
      </w:r>
      <w:r w:rsidRPr="002C595D">
        <w:rPr>
          <w:rFonts w:ascii="Times New Roman" w:hAnsi="Times New Roman" w:cs="Times New Roman"/>
          <w:szCs w:val="24"/>
          <w:lang w:val="en-US"/>
        </w:rPr>
        <w:t>the standard error</w:t>
      </w:r>
    </w:p>
    <w:p w:rsidR="005717B5" w:rsidRPr="002C595D" w:rsidRDefault="005717B5" w:rsidP="005717B5">
      <w:pPr>
        <w:spacing w:line="360" w:lineRule="auto"/>
        <w:jc w:val="both"/>
        <w:rPr>
          <w:rFonts w:ascii="Times New Roman" w:hAnsi="Times New Roman" w:cs="Times New Roman"/>
          <w:szCs w:val="24"/>
          <w:lang w:val="en-US"/>
        </w:rPr>
      </w:pPr>
      <w:r w:rsidRPr="002C595D">
        <w:rPr>
          <w:rFonts w:ascii="Times New Roman" w:hAnsi="Times New Roman" w:cs="Times New Roman"/>
          <w:szCs w:val="24"/>
          <w:lang w:val="en-US"/>
        </w:rPr>
        <w:t xml:space="preserve">We used the Ordinary Least Square (OLS) method in order to discover if there are any possible statistically significant relationships between the examined variables. We have already controlled for normality issues in our regression with the </w:t>
      </w:r>
      <w:r w:rsidRPr="002C595D">
        <w:rPr>
          <w:rFonts w:ascii="Times New Roman" w:hAnsi="Times New Roman" w:cs="Times New Roman"/>
          <w:color w:val="000000"/>
          <w:szCs w:val="24"/>
          <w:lang w:val="en-US"/>
        </w:rPr>
        <w:t>Jarque-Beta</w:t>
      </w:r>
      <w:r w:rsidRPr="002C595D">
        <w:rPr>
          <w:rFonts w:ascii="Times New Roman" w:hAnsi="Times New Roman" w:cs="Times New Roman"/>
          <w:szCs w:val="24"/>
          <w:lang w:val="en-US"/>
        </w:rPr>
        <w:t xml:space="preserve"> test before. Moreover, we should mention that we checked for autocorrelation, heteroscedasticity and multicollinearity. Using the Breusch-Godfrey Serial Correlation LM test, we found that all of our models had an autocorrelation problem. The autocorrelation problem </w:t>
      </w:r>
      <w:r w:rsidR="005D4597" w:rsidRPr="002C595D">
        <w:rPr>
          <w:rFonts w:ascii="Times New Roman" w:hAnsi="Times New Roman" w:cs="Times New Roman"/>
          <w:szCs w:val="24"/>
          <w:lang w:val="en-US"/>
        </w:rPr>
        <w:t>was eliminated</w:t>
      </w:r>
      <w:r w:rsidRPr="002C595D">
        <w:rPr>
          <w:rFonts w:ascii="Times New Roman" w:hAnsi="Times New Roman" w:cs="Times New Roman"/>
          <w:szCs w:val="24"/>
          <w:lang w:val="en-US"/>
        </w:rPr>
        <w:t xml:space="preserve"> by adding an AR(1) at the model. Moreover, heteroscedasticity problem was detected by using Breusch-Pagan-Godfrey heteroscedasticity test. The heteroscedasticity was solved using the White-Correction method. Last, we found  no multicollinearity problems occurred between the models. We used the following correlation matrix in order to discover it. (table below)</w:t>
      </w:r>
    </w:p>
    <w:p w:rsidR="00151CB9" w:rsidRPr="000119AB" w:rsidRDefault="00151CB9" w:rsidP="005717B5">
      <w:pPr>
        <w:spacing w:line="360" w:lineRule="auto"/>
        <w:jc w:val="both"/>
        <w:rPr>
          <w:rFonts w:ascii="Times New Roman" w:hAnsi="Times New Roman" w:cs="Times New Roman"/>
          <w:sz w:val="24"/>
          <w:szCs w:val="24"/>
          <w:lang w:val="en-US"/>
        </w:rPr>
      </w:pPr>
    </w:p>
    <w:p w:rsidR="00320CFB" w:rsidRDefault="00320CFB">
      <w:pPr>
        <w:rPr>
          <w:rFonts w:ascii="Arial" w:hAnsi="Arial" w:cs="Arial"/>
          <w:b/>
          <w:i/>
          <w:lang w:val="en-US"/>
        </w:rPr>
      </w:pPr>
      <w:r>
        <w:rPr>
          <w:rFonts w:ascii="Arial" w:hAnsi="Arial" w:cs="Arial"/>
          <w:b/>
          <w:i/>
          <w:lang w:val="en-US"/>
        </w:rPr>
        <w:br w:type="page"/>
      </w:r>
    </w:p>
    <w:p w:rsidR="005717B5" w:rsidRPr="004011A1" w:rsidRDefault="00151CB9" w:rsidP="004011A1">
      <w:pPr>
        <w:spacing w:line="360" w:lineRule="auto"/>
        <w:jc w:val="both"/>
        <w:rPr>
          <w:rFonts w:ascii="Arial" w:hAnsi="Arial" w:cs="Arial"/>
          <w:b/>
          <w:i/>
          <w:lang w:val="en-US"/>
        </w:rPr>
      </w:pPr>
      <w:r w:rsidRPr="004011A1">
        <w:rPr>
          <w:rFonts w:ascii="Arial" w:hAnsi="Arial" w:cs="Arial"/>
          <w:b/>
          <w:i/>
          <w:lang w:val="en-US"/>
        </w:rPr>
        <w:lastRenderedPageBreak/>
        <w:t xml:space="preserve">4.2.2 </w:t>
      </w:r>
      <w:r w:rsidR="005717B5" w:rsidRPr="004011A1">
        <w:rPr>
          <w:rFonts w:ascii="Arial" w:hAnsi="Arial" w:cs="Arial"/>
          <w:b/>
          <w:i/>
          <w:lang w:val="en-US"/>
        </w:rPr>
        <w:t>No multicollinearity problem- Correlation Matrix</w:t>
      </w:r>
    </w:p>
    <w:p w:rsidR="00151CB9" w:rsidRPr="00010AE6" w:rsidRDefault="00317759" w:rsidP="00151CB9">
      <w:pPr>
        <w:spacing w:line="360" w:lineRule="auto"/>
        <w:jc w:val="both"/>
        <w:rPr>
          <w:b/>
          <w:lang w:val="en-US"/>
        </w:rPr>
      </w:pPr>
      <w:r w:rsidRPr="00010AE6">
        <w:rPr>
          <w:b/>
          <w:lang w:val="en-US"/>
        </w:rPr>
        <w:t>Table 4.1</w:t>
      </w:r>
      <w:r w:rsidR="00151CB9" w:rsidRPr="00010AE6">
        <w:rPr>
          <w:b/>
          <w:lang w:val="en-US"/>
        </w:rPr>
        <w:t xml:space="preserve"> Correlation matrix for all variables in use. </w:t>
      </w:r>
    </w:p>
    <w:tbl>
      <w:tblPr>
        <w:tblStyle w:val="LightShading1"/>
        <w:tblW w:w="0" w:type="auto"/>
        <w:tblLayout w:type="fixed"/>
        <w:tblLook w:val="0600"/>
      </w:tblPr>
      <w:tblGrid>
        <w:gridCol w:w="1539"/>
        <w:gridCol w:w="1577"/>
        <w:gridCol w:w="1576"/>
        <w:gridCol w:w="1577"/>
        <w:gridCol w:w="1576"/>
        <w:gridCol w:w="1577"/>
      </w:tblGrid>
      <w:tr w:rsidR="00012720" w:rsidRPr="00317759" w:rsidTr="00D76DE9">
        <w:trPr>
          <w:trHeight w:val="351"/>
        </w:trPr>
        <w:tc>
          <w:tcPr>
            <w:tcW w:w="1539" w:type="dxa"/>
          </w:tcPr>
          <w:p w:rsidR="00012720" w:rsidRPr="00317759" w:rsidRDefault="00012720" w:rsidP="00012720">
            <w:pPr>
              <w:autoSpaceDE w:val="0"/>
              <w:autoSpaceDN w:val="0"/>
              <w:adjustRightInd w:val="0"/>
              <w:rPr>
                <w:rFonts w:ascii="Arial" w:hAnsi="Arial" w:cs="Arial"/>
                <w:b/>
                <w:color w:val="000000"/>
                <w:sz w:val="18"/>
                <w:szCs w:val="18"/>
                <w:lang w:val="en-US"/>
              </w:rPr>
            </w:pPr>
          </w:p>
        </w:tc>
        <w:tc>
          <w:tcPr>
            <w:tcW w:w="1577" w:type="dxa"/>
          </w:tcPr>
          <w:p w:rsidR="00012720" w:rsidRPr="00317759" w:rsidRDefault="00012720" w:rsidP="00D76DE9">
            <w:pPr>
              <w:autoSpaceDE w:val="0"/>
              <w:autoSpaceDN w:val="0"/>
              <w:adjustRightInd w:val="0"/>
              <w:jc w:val="center"/>
              <w:rPr>
                <w:rFonts w:ascii="Arial" w:hAnsi="Arial" w:cs="Arial"/>
                <w:b/>
                <w:color w:val="000000"/>
                <w:sz w:val="18"/>
                <w:szCs w:val="18"/>
                <w:lang w:val="en-GB"/>
              </w:rPr>
            </w:pPr>
            <w:r w:rsidRPr="00317759">
              <w:rPr>
                <w:rFonts w:ascii="Arial" w:hAnsi="Arial" w:cs="Arial"/>
                <w:b/>
                <w:color w:val="000000"/>
                <w:sz w:val="18"/>
                <w:szCs w:val="18"/>
                <w:lang w:val="en-GB"/>
              </w:rPr>
              <w:t>E</w:t>
            </w:r>
            <w:r w:rsidR="00D76DE9">
              <w:rPr>
                <w:rFonts w:ascii="Arial" w:hAnsi="Arial" w:cs="Arial"/>
                <w:b/>
                <w:color w:val="000000"/>
                <w:sz w:val="18"/>
                <w:szCs w:val="18"/>
                <w:lang w:val="en-GB"/>
              </w:rPr>
              <w:t>q</w:t>
            </w:r>
            <w:r w:rsidRPr="00317759">
              <w:rPr>
                <w:rFonts w:ascii="Arial" w:hAnsi="Arial" w:cs="Arial"/>
                <w:b/>
                <w:color w:val="000000"/>
                <w:sz w:val="18"/>
                <w:szCs w:val="18"/>
                <w:lang w:val="en-GB"/>
              </w:rPr>
              <w:t>A</w:t>
            </w:r>
            <w:r w:rsidR="00D76DE9">
              <w:rPr>
                <w:rFonts w:ascii="Arial" w:hAnsi="Arial" w:cs="Arial"/>
                <w:b/>
                <w:color w:val="000000"/>
                <w:sz w:val="18"/>
                <w:szCs w:val="18"/>
                <w:lang w:val="en-GB"/>
              </w:rPr>
              <w:t>ll</w:t>
            </w:r>
          </w:p>
        </w:tc>
        <w:tc>
          <w:tcPr>
            <w:tcW w:w="1576" w:type="dxa"/>
          </w:tcPr>
          <w:p w:rsidR="00012720" w:rsidRPr="00317759" w:rsidRDefault="00012720" w:rsidP="00012720">
            <w:pPr>
              <w:autoSpaceDE w:val="0"/>
              <w:autoSpaceDN w:val="0"/>
              <w:adjustRightInd w:val="0"/>
              <w:jc w:val="center"/>
              <w:rPr>
                <w:rFonts w:ascii="Arial" w:hAnsi="Arial" w:cs="Arial"/>
                <w:b/>
                <w:color w:val="000000"/>
                <w:sz w:val="18"/>
                <w:szCs w:val="18"/>
                <w:lang w:val="en-GB"/>
              </w:rPr>
            </w:pPr>
            <w:r w:rsidRPr="00317759">
              <w:rPr>
                <w:rFonts w:ascii="Arial" w:hAnsi="Arial" w:cs="Arial"/>
                <w:b/>
                <w:color w:val="000000"/>
                <w:sz w:val="18"/>
                <w:szCs w:val="18"/>
                <w:lang w:val="en-GB"/>
              </w:rPr>
              <w:t>IDV</w:t>
            </w:r>
          </w:p>
        </w:tc>
        <w:tc>
          <w:tcPr>
            <w:tcW w:w="1577" w:type="dxa"/>
          </w:tcPr>
          <w:p w:rsidR="00012720" w:rsidRPr="00317759" w:rsidRDefault="00012720" w:rsidP="00012720">
            <w:pPr>
              <w:autoSpaceDE w:val="0"/>
              <w:autoSpaceDN w:val="0"/>
              <w:adjustRightInd w:val="0"/>
              <w:jc w:val="center"/>
              <w:rPr>
                <w:rFonts w:ascii="Arial" w:hAnsi="Arial" w:cs="Arial"/>
                <w:b/>
                <w:color w:val="000000"/>
                <w:sz w:val="18"/>
                <w:szCs w:val="18"/>
                <w:lang w:val="en-GB"/>
              </w:rPr>
            </w:pPr>
            <w:r w:rsidRPr="00317759">
              <w:rPr>
                <w:rFonts w:ascii="Arial" w:hAnsi="Arial" w:cs="Arial"/>
                <w:b/>
                <w:color w:val="000000"/>
                <w:sz w:val="18"/>
                <w:szCs w:val="18"/>
                <w:lang w:val="en-GB"/>
              </w:rPr>
              <w:t>MASC</w:t>
            </w:r>
          </w:p>
        </w:tc>
        <w:tc>
          <w:tcPr>
            <w:tcW w:w="1576" w:type="dxa"/>
          </w:tcPr>
          <w:p w:rsidR="00012720" w:rsidRPr="00317759" w:rsidRDefault="00012720" w:rsidP="00012720">
            <w:pPr>
              <w:autoSpaceDE w:val="0"/>
              <w:autoSpaceDN w:val="0"/>
              <w:adjustRightInd w:val="0"/>
              <w:jc w:val="center"/>
              <w:rPr>
                <w:rFonts w:ascii="Arial" w:hAnsi="Arial" w:cs="Arial"/>
                <w:b/>
                <w:color w:val="000000"/>
                <w:sz w:val="18"/>
                <w:szCs w:val="18"/>
                <w:lang w:val="en-GB"/>
              </w:rPr>
            </w:pPr>
            <w:r w:rsidRPr="00317759">
              <w:rPr>
                <w:rFonts w:ascii="Arial" w:hAnsi="Arial" w:cs="Arial"/>
                <w:b/>
                <w:color w:val="000000"/>
                <w:sz w:val="18"/>
                <w:szCs w:val="18"/>
                <w:lang w:val="en-GB"/>
              </w:rPr>
              <w:t>PDI</w:t>
            </w:r>
          </w:p>
        </w:tc>
        <w:tc>
          <w:tcPr>
            <w:tcW w:w="1577" w:type="dxa"/>
          </w:tcPr>
          <w:p w:rsidR="00012720" w:rsidRPr="00317759" w:rsidRDefault="00012720" w:rsidP="00012720">
            <w:pPr>
              <w:autoSpaceDE w:val="0"/>
              <w:autoSpaceDN w:val="0"/>
              <w:adjustRightInd w:val="0"/>
              <w:jc w:val="center"/>
              <w:rPr>
                <w:rFonts w:ascii="Arial" w:hAnsi="Arial" w:cs="Arial"/>
                <w:b/>
                <w:color w:val="000000"/>
                <w:sz w:val="18"/>
                <w:szCs w:val="18"/>
                <w:lang w:val="en-GB"/>
              </w:rPr>
            </w:pPr>
            <w:r w:rsidRPr="00317759">
              <w:rPr>
                <w:rFonts w:ascii="Arial" w:hAnsi="Arial" w:cs="Arial"/>
                <w:b/>
                <w:color w:val="000000"/>
                <w:sz w:val="18"/>
                <w:szCs w:val="18"/>
                <w:lang w:val="en-GB"/>
              </w:rPr>
              <w:t>UAI</w:t>
            </w:r>
          </w:p>
        </w:tc>
      </w:tr>
      <w:tr w:rsidR="00012720" w:rsidRPr="00317759" w:rsidTr="00D76DE9">
        <w:trPr>
          <w:trHeight w:val="351"/>
        </w:trPr>
        <w:tc>
          <w:tcPr>
            <w:tcW w:w="1539" w:type="dxa"/>
          </w:tcPr>
          <w:p w:rsidR="00012720" w:rsidRPr="00317759" w:rsidRDefault="00F51FB9" w:rsidP="00012720">
            <w:pPr>
              <w:autoSpaceDE w:val="0"/>
              <w:autoSpaceDN w:val="0"/>
              <w:adjustRightInd w:val="0"/>
              <w:jc w:val="center"/>
              <w:rPr>
                <w:rFonts w:ascii="Arial" w:hAnsi="Arial" w:cs="Arial"/>
                <w:b/>
                <w:color w:val="000000"/>
                <w:sz w:val="18"/>
                <w:szCs w:val="18"/>
                <w:lang w:val="en-GB"/>
              </w:rPr>
            </w:pPr>
            <w:r w:rsidRPr="00F51FB9">
              <w:rPr>
                <w:rFonts w:ascii="Arial" w:hAnsi="Arial" w:cs="Arial"/>
                <w:b/>
                <w:color w:val="000000"/>
                <w:sz w:val="18"/>
                <w:szCs w:val="18"/>
                <w:lang w:val="en-GB"/>
              </w:rPr>
              <w:t>EqAll</w:t>
            </w:r>
          </w:p>
        </w:tc>
        <w:tc>
          <w:tcPr>
            <w:tcW w:w="1577" w:type="dxa"/>
          </w:tcPr>
          <w:p w:rsidR="00012720" w:rsidRPr="00317759" w:rsidRDefault="00012720" w:rsidP="00012720">
            <w:pPr>
              <w:autoSpaceDE w:val="0"/>
              <w:autoSpaceDN w:val="0"/>
              <w:adjustRightInd w:val="0"/>
              <w:jc w:val="center"/>
              <w:rPr>
                <w:rFonts w:ascii="Arial" w:hAnsi="Arial" w:cs="Arial"/>
                <w:color w:val="000000"/>
                <w:sz w:val="18"/>
                <w:szCs w:val="18"/>
                <w:lang w:val="en-GB"/>
              </w:rPr>
            </w:pPr>
            <w:r w:rsidRPr="00317759">
              <w:rPr>
                <w:rFonts w:ascii="Arial" w:hAnsi="Arial" w:cs="Arial"/>
                <w:color w:val="000000"/>
                <w:sz w:val="18"/>
                <w:szCs w:val="18"/>
                <w:lang w:val="en-GB"/>
              </w:rPr>
              <w:t> 1.000</w:t>
            </w:r>
          </w:p>
        </w:tc>
        <w:tc>
          <w:tcPr>
            <w:tcW w:w="1576" w:type="dxa"/>
          </w:tcPr>
          <w:p w:rsidR="00012720" w:rsidRPr="00317759" w:rsidRDefault="00012720" w:rsidP="00A00E69">
            <w:pPr>
              <w:autoSpaceDE w:val="0"/>
              <w:autoSpaceDN w:val="0"/>
              <w:adjustRightInd w:val="0"/>
              <w:jc w:val="center"/>
              <w:rPr>
                <w:rFonts w:ascii="Arial" w:hAnsi="Arial" w:cs="Arial"/>
                <w:color w:val="000000"/>
                <w:sz w:val="18"/>
                <w:szCs w:val="18"/>
                <w:lang w:val="en-GB"/>
              </w:rPr>
            </w:pPr>
            <w:r w:rsidRPr="00317759">
              <w:rPr>
                <w:rFonts w:ascii="Arial" w:hAnsi="Arial" w:cs="Arial"/>
                <w:color w:val="000000"/>
                <w:sz w:val="18"/>
                <w:szCs w:val="18"/>
                <w:lang w:val="en-GB"/>
              </w:rPr>
              <w:t> 0.085</w:t>
            </w:r>
          </w:p>
        </w:tc>
        <w:tc>
          <w:tcPr>
            <w:tcW w:w="1577" w:type="dxa"/>
          </w:tcPr>
          <w:p w:rsidR="00012720" w:rsidRPr="00317759" w:rsidRDefault="00012720" w:rsidP="00A00E69">
            <w:pPr>
              <w:autoSpaceDE w:val="0"/>
              <w:autoSpaceDN w:val="0"/>
              <w:adjustRightInd w:val="0"/>
              <w:jc w:val="center"/>
              <w:rPr>
                <w:rFonts w:ascii="Arial" w:hAnsi="Arial" w:cs="Arial"/>
                <w:color w:val="000000"/>
                <w:sz w:val="18"/>
                <w:szCs w:val="18"/>
                <w:lang w:val="en-GB"/>
              </w:rPr>
            </w:pPr>
            <w:r w:rsidRPr="00317759">
              <w:rPr>
                <w:rFonts w:ascii="Arial" w:hAnsi="Arial" w:cs="Arial"/>
                <w:color w:val="000000"/>
                <w:sz w:val="18"/>
                <w:szCs w:val="18"/>
                <w:lang w:val="en-GB"/>
              </w:rPr>
              <w:t>-0.05</w:t>
            </w:r>
            <w:r w:rsidR="00A00E69">
              <w:rPr>
                <w:rFonts w:ascii="Arial" w:hAnsi="Arial" w:cs="Arial"/>
                <w:color w:val="000000"/>
                <w:sz w:val="18"/>
                <w:szCs w:val="18"/>
                <w:lang w:val="en-GB"/>
              </w:rPr>
              <w:t>2</w:t>
            </w:r>
          </w:p>
        </w:tc>
        <w:tc>
          <w:tcPr>
            <w:tcW w:w="1576" w:type="dxa"/>
          </w:tcPr>
          <w:p w:rsidR="00012720" w:rsidRPr="00317759" w:rsidRDefault="00A00E69" w:rsidP="00A00E69">
            <w:pPr>
              <w:autoSpaceDE w:val="0"/>
              <w:autoSpaceDN w:val="0"/>
              <w:adjustRightInd w:val="0"/>
              <w:jc w:val="center"/>
              <w:rPr>
                <w:rFonts w:ascii="Arial" w:hAnsi="Arial" w:cs="Arial"/>
                <w:color w:val="000000"/>
                <w:sz w:val="18"/>
                <w:szCs w:val="18"/>
                <w:lang w:val="en-GB"/>
              </w:rPr>
            </w:pPr>
            <w:r>
              <w:rPr>
                <w:rFonts w:ascii="Arial" w:hAnsi="Arial" w:cs="Arial"/>
                <w:color w:val="000000"/>
                <w:sz w:val="18"/>
                <w:szCs w:val="18"/>
                <w:lang w:val="en-GB"/>
              </w:rPr>
              <w:t>-0.058</w:t>
            </w:r>
          </w:p>
        </w:tc>
        <w:tc>
          <w:tcPr>
            <w:tcW w:w="1577" w:type="dxa"/>
          </w:tcPr>
          <w:p w:rsidR="00012720" w:rsidRPr="00317759" w:rsidRDefault="00012720" w:rsidP="00A00E69">
            <w:pPr>
              <w:autoSpaceDE w:val="0"/>
              <w:autoSpaceDN w:val="0"/>
              <w:adjustRightInd w:val="0"/>
              <w:jc w:val="center"/>
              <w:rPr>
                <w:rFonts w:ascii="Arial" w:hAnsi="Arial" w:cs="Arial"/>
                <w:color w:val="000000"/>
                <w:sz w:val="18"/>
                <w:szCs w:val="18"/>
                <w:lang w:val="en-GB"/>
              </w:rPr>
            </w:pPr>
            <w:r w:rsidRPr="00317759">
              <w:rPr>
                <w:rFonts w:ascii="Arial" w:hAnsi="Arial" w:cs="Arial"/>
                <w:color w:val="000000"/>
                <w:sz w:val="18"/>
                <w:szCs w:val="18"/>
                <w:lang w:val="en-GB"/>
              </w:rPr>
              <w:t>-0.06</w:t>
            </w:r>
            <w:r w:rsidR="00A00E69">
              <w:rPr>
                <w:rFonts w:ascii="Arial" w:hAnsi="Arial" w:cs="Arial"/>
                <w:color w:val="000000"/>
                <w:sz w:val="18"/>
                <w:szCs w:val="18"/>
                <w:lang w:val="en-GB"/>
              </w:rPr>
              <w:t>6</w:t>
            </w:r>
          </w:p>
        </w:tc>
      </w:tr>
      <w:tr w:rsidR="00012720" w:rsidTr="00D76DE9">
        <w:trPr>
          <w:trHeight w:val="351"/>
        </w:trPr>
        <w:tc>
          <w:tcPr>
            <w:tcW w:w="1539" w:type="dxa"/>
          </w:tcPr>
          <w:p w:rsidR="00012720" w:rsidRPr="00317759" w:rsidRDefault="00012720" w:rsidP="00012720">
            <w:pPr>
              <w:autoSpaceDE w:val="0"/>
              <w:autoSpaceDN w:val="0"/>
              <w:adjustRightInd w:val="0"/>
              <w:jc w:val="center"/>
              <w:rPr>
                <w:rFonts w:ascii="Arial" w:hAnsi="Arial" w:cs="Arial"/>
                <w:b/>
                <w:color w:val="000000"/>
                <w:sz w:val="18"/>
                <w:szCs w:val="18"/>
                <w:lang w:val="en-GB"/>
              </w:rPr>
            </w:pPr>
            <w:r w:rsidRPr="00317759">
              <w:rPr>
                <w:rFonts w:ascii="Arial" w:hAnsi="Arial" w:cs="Arial"/>
                <w:b/>
                <w:color w:val="000000"/>
                <w:sz w:val="18"/>
                <w:szCs w:val="18"/>
                <w:lang w:val="en-GB"/>
              </w:rPr>
              <w:t>IDV</w:t>
            </w:r>
          </w:p>
        </w:tc>
        <w:tc>
          <w:tcPr>
            <w:tcW w:w="1577" w:type="dxa"/>
          </w:tcPr>
          <w:p w:rsidR="00012720" w:rsidRPr="00317759" w:rsidRDefault="00012720" w:rsidP="00A00E69">
            <w:pPr>
              <w:autoSpaceDE w:val="0"/>
              <w:autoSpaceDN w:val="0"/>
              <w:adjustRightInd w:val="0"/>
              <w:jc w:val="center"/>
              <w:rPr>
                <w:rFonts w:ascii="Arial" w:hAnsi="Arial" w:cs="Arial"/>
                <w:color w:val="000000"/>
                <w:sz w:val="18"/>
                <w:szCs w:val="18"/>
                <w:lang w:val="en-GB"/>
              </w:rPr>
            </w:pPr>
            <w:r w:rsidRPr="00317759">
              <w:rPr>
                <w:rFonts w:ascii="Arial" w:hAnsi="Arial" w:cs="Arial"/>
                <w:color w:val="000000"/>
                <w:sz w:val="18"/>
                <w:szCs w:val="18"/>
                <w:lang w:val="en-GB"/>
              </w:rPr>
              <w:t> 0.085</w:t>
            </w:r>
          </w:p>
        </w:tc>
        <w:tc>
          <w:tcPr>
            <w:tcW w:w="1576" w:type="dxa"/>
          </w:tcPr>
          <w:p w:rsidR="00012720" w:rsidRPr="00317759" w:rsidRDefault="00012720" w:rsidP="00A00E69">
            <w:pPr>
              <w:autoSpaceDE w:val="0"/>
              <w:autoSpaceDN w:val="0"/>
              <w:adjustRightInd w:val="0"/>
              <w:jc w:val="center"/>
              <w:rPr>
                <w:rFonts w:ascii="Arial" w:hAnsi="Arial" w:cs="Arial"/>
                <w:color w:val="000000"/>
                <w:sz w:val="18"/>
                <w:szCs w:val="18"/>
                <w:lang w:val="en-GB"/>
              </w:rPr>
            </w:pPr>
            <w:r w:rsidRPr="00317759">
              <w:rPr>
                <w:rFonts w:ascii="Arial" w:hAnsi="Arial" w:cs="Arial"/>
                <w:color w:val="000000"/>
                <w:sz w:val="18"/>
                <w:szCs w:val="18"/>
                <w:lang w:val="en-GB"/>
              </w:rPr>
              <w:t> 1.000</w:t>
            </w:r>
          </w:p>
        </w:tc>
        <w:tc>
          <w:tcPr>
            <w:tcW w:w="1577" w:type="dxa"/>
          </w:tcPr>
          <w:p w:rsidR="00012720" w:rsidRPr="00317759" w:rsidRDefault="00A00E69" w:rsidP="00A00E69">
            <w:pPr>
              <w:autoSpaceDE w:val="0"/>
              <w:autoSpaceDN w:val="0"/>
              <w:adjustRightInd w:val="0"/>
              <w:jc w:val="center"/>
              <w:rPr>
                <w:rFonts w:ascii="Arial" w:hAnsi="Arial" w:cs="Arial"/>
                <w:color w:val="000000"/>
                <w:sz w:val="18"/>
                <w:szCs w:val="18"/>
                <w:lang w:val="en-GB"/>
              </w:rPr>
            </w:pPr>
            <w:r>
              <w:rPr>
                <w:rFonts w:ascii="Arial" w:hAnsi="Arial" w:cs="Arial"/>
                <w:color w:val="000000"/>
                <w:sz w:val="18"/>
                <w:szCs w:val="18"/>
                <w:lang w:val="en-GB"/>
              </w:rPr>
              <w:t> 0.111</w:t>
            </w:r>
          </w:p>
        </w:tc>
        <w:tc>
          <w:tcPr>
            <w:tcW w:w="1576" w:type="dxa"/>
          </w:tcPr>
          <w:p w:rsidR="00012720" w:rsidRDefault="00012720" w:rsidP="00A00E69">
            <w:pPr>
              <w:autoSpaceDE w:val="0"/>
              <w:autoSpaceDN w:val="0"/>
              <w:adjustRightInd w:val="0"/>
              <w:jc w:val="center"/>
              <w:rPr>
                <w:rFonts w:ascii="Arial" w:hAnsi="Arial" w:cs="Arial"/>
                <w:color w:val="000000"/>
                <w:sz w:val="18"/>
                <w:szCs w:val="18"/>
              </w:rPr>
            </w:pPr>
            <w:r w:rsidRPr="00317759">
              <w:rPr>
                <w:rFonts w:ascii="Arial" w:hAnsi="Arial" w:cs="Arial"/>
                <w:color w:val="000000"/>
                <w:sz w:val="18"/>
                <w:szCs w:val="18"/>
                <w:lang w:val="en-GB"/>
              </w:rPr>
              <w:t>-0.533</w:t>
            </w:r>
          </w:p>
        </w:tc>
        <w:tc>
          <w:tcPr>
            <w:tcW w:w="1577" w:type="dxa"/>
          </w:tcPr>
          <w:p w:rsidR="00012720" w:rsidRDefault="00A00E69" w:rsidP="00A00E69">
            <w:pPr>
              <w:autoSpaceDE w:val="0"/>
              <w:autoSpaceDN w:val="0"/>
              <w:adjustRightInd w:val="0"/>
              <w:jc w:val="center"/>
              <w:rPr>
                <w:rFonts w:ascii="Arial" w:hAnsi="Arial" w:cs="Arial"/>
                <w:color w:val="000000"/>
                <w:sz w:val="18"/>
                <w:szCs w:val="18"/>
              </w:rPr>
            </w:pPr>
            <w:r>
              <w:rPr>
                <w:rFonts w:ascii="Arial" w:hAnsi="Arial" w:cs="Arial"/>
                <w:color w:val="000000"/>
                <w:sz w:val="18"/>
                <w:szCs w:val="18"/>
              </w:rPr>
              <w:t>-0.375</w:t>
            </w:r>
          </w:p>
        </w:tc>
      </w:tr>
      <w:tr w:rsidR="00012720" w:rsidTr="00D76DE9">
        <w:trPr>
          <w:trHeight w:val="351"/>
        </w:trPr>
        <w:tc>
          <w:tcPr>
            <w:tcW w:w="1539" w:type="dxa"/>
          </w:tcPr>
          <w:p w:rsidR="00012720" w:rsidRPr="00012720" w:rsidRDefault="00012720" w:rsidP="00012720">
            <w:pPr>
              <w:autoSpaceDE w:val="0"/>
              <w:autoSpaceDN w:val="0"/>
              <w:adjustRightInd w:val="0"/>
              <w:jc w:val="center"/>
              <w:rPr>
                <w:rFonts w:ascii="Arial" w:hAnsi="Arial" w:cs="Arial"/>
                <w:b/>
                <w:color w:val="000000"/>
                <w:sz w:val="18"/>
                <w:szCs w:val="18"/>
              </w:rPr>
            </w:pPr>
            <w:r w:rsidRPr="00012720">
              <w:rPr>
                <w:rFonts w:ascii="Arial" w:hAnsi="Arial" w:cs="Arial"/>
                <w:b/>
                <w:color w:val="000000"/>
                <w:sz w:val="18"/>
                <w:szCs w:val="18"/>
              </w:rPr>
              <w:t>MASC</w:t>
            </w:r>
          </w:p>
        </w:tc>
        <w:tc>
          <w:tcPr>
            <w:tcW w:w="1577" w:type="dxa"/>
          </w:tcPr>
          <w:p w:rsidR="00012720" w:rsidRDefault="00A00E69" w:rsidP="00A00E69">
            <w:pPr>
              <w:autoSpaceDE w:val="0"/>
              <w:autoSpaceDN w:val="0"/>
              <w:adjustRightInd w:val="0"/>
              <w:jc w:val="center"/>
              <w:rPr>
                <w:rFonts w:ascii="Arial" w:hAnsi="Arial" w:cs="Arial"/>
                <w:color w:val="000000"/>
                <w:sz w:val="18"/>
                <w:szCs w:val="18"/>
              </w:rPr>
            </w:pPr>
            <w:r>
              <w:rPr>
                <w:rFonts w:ascii="Arial" w:hAnsi="Arial" w:cs="Arial"/>
                <w:color w:val="000000"/>
                <w:sz w:val="18"/>
                <w:szCs w:val="18"/>
              </w:rPr>
              <w:t>-0.052</w:t>
            </w:r>
          </w:p>
        </w:tc>
        <w:tc>
          <w:tcPr>
            <w:tcW w:w="1576" w:type="dxa"/>
          </w:tcPr>
          <w:p w:rsidR="00012720" w:rsidRDefault="00012720" w:rsidP="00A00E69">
            <w:pPr>
              <w:autoSpaceDE w:val="0"/>
              <w:autoSpaceDN w:val="0"/>
              <w:adjustRightInd w:val="0"/>
              <w:jc w:val="center"/>
              <w:rPr>
                <w:rFonts w:ascii="Arial" w:hAnsi="Arial" w:cs="Arial"/>
                <w:color w:val="000000"/>
                <w:sz w:val="18"/>
                <w:szCs w:val="18"/>
              </w:rPr>
            </w:pPr>
            <w:r>
              <w:rPr>
                <w:rFonts w:ascii="Arial" w:hAnsi="Arial" w:cs="Arial"/>
                <w:color w:val="000000"/>
                <w:sz w:val="18"/>
                <w:szCs w:val="18"/>
              </w:rPr>
              <w:t> 0.11</w:t>
            </w:r>
            <w:r w:rsidR="00A00E69">
              <w:rPr>
                <w:rFonts w:ascii="Arial" w:hAnsi="Arial" w:cs="Arial"/>
                <w:color w:val="000000"/>
                <w:sz w:val="18"/>
                <w:szCs w:val="18"/>
              </w:rPr>
              <w:t>1</w:t>
            </w:r>
          </w:p>
        </w:tc>
        <w:tc>
          <w:tcPr>
            <w:tcW w:w="1577" w:type="dxa"/>
          </w:tcPr>
          <w:p w:rsidR="00012720" w:rsidRDefault="00012720" w:rsidP="00A00E69">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1.000</w:t>
            </w:r>
          </w:p>
        </w:tc>
        <w:tc>
          <w:tcPr>
            <w:tcW w:w="1576" w:type="dxa"/>
          </w:tcPr>
          <w:p w:rsidR="00012720" w:rsidRDefault="00012720" w:rsidP="00A00E69">
            <w:pPr>
              <w:autoSpaceDE w:val="0"/>
              <w:autoSpaceDN w:val="0"/>
              <w:adjustRightInd w:val="0"/>
              <w:jc w:val="center"/>
              <w:rPr>
                <w:rFonts w:ascii="Arial" w:hAnsi="Arial" w:cs="Arial"/>
                <w:color w:val="000000"/>
                <w:sz w:val="18"/>
                <w:szCs w:val="18"/>
              </w:rPr>
            </w:pPr>
            <w:r>
              <w:rPr>
                <w:rFonts w:ascii="Arial" w:hAnsi="Arial" w:cs="Arial"/>
                <w:color w:val="000000"/>
                <w:sz w:val="18"/>
                <w:szCs w:val="18"/>
              </w:rPr>
              <w:t> 0.166</w:t>
            </w:r>
          </w:p>
        </w:tc>
        <w:tc>
          <w:tcPr>
            <w:tcW w:w="1577" w:type="dxa"/>
          </w:tcPr>
          <w:p w:rsidR="00012720" w:rsidRDefault="00012720" w:rsidP="00A00E69">
            <w:pPr>
              <w:autoSpaceDE w:val="0"/>
              <w:autoSpaceDN w:val="0"/>
              <w:adjustRightInd w:val="0"/>
              <w:jc w:val="center"/>
              <w:rPr>
                <w:rFonts w:ascii="Arial" w:hAnsi="Arial" w:cs="Arial"/>
                <w:color w:val="000000"/>
                <w:sz w:val="18"/>
                <w:szCs w:val="18"/>
              </w:rPr>
            </w:pPr>
            <w:r>
              <w:rPr>
                <w:rFonts w:ascii="Arial" w:hAnsi="Arial" w:cs="Arial"/>
                <w:color w:val="000000"/>
                <w:sz w:val="18"/>
                <w:szCs w:val="18"/>
              </w:rPr>
              <w:t>-0.002</w:t>
            </w:r>
          </w:p>
        </w:tc>
      </w:tr>
      <w:tr w:rsidR="00012720" w:rsidTr="00D76DE9">
        <w:trPr>
          <w:trHeight w:val="351"/>
        </w:trPr>
        <w:tc>
          <w:tcPr>
            <w:tcW w:w="1539" w:type="dxa"/>
          </w:tcPr>
          <w:p w:rsidR="00012720" w:rsidRPr="00012720" w:rsidRDefault="00012720" w:rsidP="00012720">
            <w:pPr>
              <w:autoSpaceDE w:val="0"/>
              <w:autoSpaceDN w:val="0"/>
              <w:adjustRightInd w:val="0"/>
              <w:jc w:val="center"/>
              <w:rPr>
                <w:rFonts w:ascii="Arial" w:hAnsi="Arial" w:cs="Arial"/>
                <w:b/>
                <w:color w:val="000000"/>
                <w:sz w:val="18"/>
                <w:szCs w:val="18"/>
              </w:rPr>
            </w:pPr>
            <w:r w:rsidRPr="00012720">
              <w:rPr>
                <w:rFonts w:ascii="Arial" w:hAnsi="Arial" w:cs="Arial"/>
                <w:b/>
                <w:color w:val="000000"/>
                <w:sz w:val="18"/>
                <w:szCs w:val="18"/>
              </w:rPr>
              <w:t>PDI</w:t>
            </w:r>
          </w:p>
        </w:tc>
        <w:tc>
          <w:tcPr>
            <w:tcW w:w="1577" w:type="dxa"/>
          </w:tcPr>
          <w:p w:rsidR="00012720" w:rsidRDefault="00012720" w:rsidP="00012720">
            <w:pPr>
              <w:autoSpaceDE w:val="0"/>
              <w:autoSpaceDN w:val="0"/>
              <w:adjustRightInd w:val="0"/>
              <w:jc w:val="center"/>
              <w:rPr>
                <w:rFonts w:ascii="Arial" w:hAnsi="Arial" w:cs="Arial"/>
                <w:color w:val="000000"/>
                <w:sz w:val="18"/>
                <w:szCs w:val="18"/>
              </w:rPr>
            </w:pPr>
            <w:r>
              <w:rPr>
                <w:rFonts w:ascii="Arial" w:hAnsi="Arial" w:cs="Arial"/>
                <w:color w:val="000000"/>
                <w:sz w:val="18"/>
                <w:szCs w:val="18"/>
              </w:rPr>
              <w:t>-0.05</w:t>
            </w:r>
            <w:r w:rsidR="00A00E69">
              <w:rPr>
                <w:rFonts w:ascii="Arial" w:hAnsi="Arial" w:cs="Arial"/>
                <w:color w:val="000000"/>
                <w:sz w:val="18"/>
                <w:szCs w:val="18"/>
              </w:rPr>
              <w:t>8</w:t>
            </w:r>
          </w:p>
        </w:tc>
        <w:tc>
          <w:tcPr>
            <w:tcW w:w="1576" w:type="dxa"/>
          </w:tcPr>
          <w:p w:rsidR="00012720" w:rsidRPr="00012720" w:rsidRDefault="00012720" w:rsidP="00012720">
            <w:pPr>
              <w:autoSpaceDE w:val="0"/>
              <w:autoSpaceDN w:val="0"/>
              <w:adjustRightInd w:val="0"/>
              <w:jc w:val="center"/>
              <w:rPr>
                <w:rFonts w:ascii="Arial" w:hAnsi="Arial" w:cs="Arial"/>
                <w:color w:val="000000"/>
                <w:sz w:val="18"/>
                <w:szCs w:val="18"/>
              </w:rPr>
            </w:pPr>
            <w:r w:rsidRPr="00012720">
              <w:rPr>
                <w:rFonts w:ascii="Arial" w:hAnsi="Arial" w:cs="Arial"/>
                <w:color w:val="000000"/>
                <w:sz w:val="18"/>
                <w:szCs w:val="18"/>
              </w:rPr>
              <w:t>-0.533</w:t>
            </w:r>
          </w:p>
        </w:tc>
        <w:tc>
          <w:tcPr>
            <w:tcW w:w="1577" w:type="dxa"/>
          </w:tcPr>
          <w:p w:rsidR="00012720" w:rsidRDefault="00012720" w:rsidP="00A00E69">
            <w:pPr>
              <w:autoSpaceDE w:val="0"/>
              <w:autoSpaceDN w:val="0"/>
              <w:adjustRightInd w:val="0"/>
              <w:jc w:val="center"/>
              <w:rPr>
                <w:rFonts w:ascii="Arial" w:hAnsi="Arial" w:cs="Arial"/>
                <w:color w:val="000000"/>
                <w:sz w:val="18"/>
                <w:szCs w:val="18"/>
              </w:rPr>
            </w:pPr>
            <w:r>
              <w:rPr>
                <w:rFonts w:ascii="Arial" w:hAnsi="Arial" w:cs="Arial"/>
                <w:color w:val="000000"/>
                <w:sz w:val="18"/>
                <w:szCs w:val="18"/>
              </w:rPr>
              <w:t> 0.166</w:t>
            </w:r>
          </w:p>
        </w:tc>
        <w:tc>
          <w:tcPr>
            <w:tcW w:w="1576" w:type="dxa"/>
          </w:tcPr>
          <w:p w:rsidR="00012720" w:rsidRDefault="00012720" w:rsidP="00A00E69">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1.000</w:t>
            </w:r>
          </w:p>
        </w:tc>
        <w:tc>
          <w:tcPr>
            <w:tcW w:w="1577" w:type="dxa"/>
          </w:tcPr>
          <w:p w:rsidR="00012720" w:rsidRDefault="00A00E69" w:rsidP="00012720">
            <w:pPr>
              <w:autoSpaceDE w:val="0"/>
              <w:autoSpaceDN w:val="0"/>
              <w:adjustRightInd w:val="0"/>
              <w:jc w:val="center"/>
              <w:rPr>
                <w:rFonts w:ascii="Arial" w:hAnsi="Arial" w:cs="Arial"/>
                <w:color w:val="000000"/>
                <w:sz w:val="18"/>
                <w:szCs w:val="18"/>
              </w:rPr>
            </w:pPr>
            <w:r>
              <w:rPr>
                <w:rFonts w:ascii="Arial" w:hAnsi="Arial" w:cs="Arial"/>
                <w:color w:val="000000"/>
                <w:sz w:val="18"/>
                <w:szCs w:val="18"/>
              </w:rPr>
              <w:t> 0.391</w:t>
            </w:r>
          </w:p>
        </w:tc>
      </w:tr>
      <w:tr w:rsidR="00012720" w:rsidTr="00D76DE9">
        <w:trPr>
          <w:trHeight w:val="351"/>
        </w:trPr>
        <w:tc>
          <w:tcPr>
            <w:tcW w:w="1539" w:type="dxa"/>
          </w:tcPr>
          <w:p w:rsidR="00012720" w:rsidRPr="00012720" w:rsidRDefault="00012720" w:rsidP="00012720">
            <w:pPr>
              <w:autoSpaceDE w:val="0"/>
              <w:autoSpaceDN w:val="0"/>
              <w:adjustRightInd w:val="0"/>
              <w:jc w:val="center"/>
              <w:rPr>
                <w:rFonts w:ascii="Arial" w:hAnsi="Arial" w:cs="Arial"/>
                <w:b/>
                <w:color w:val="000000"/>
                <w:sz w:val="18"/>
                <w:szCs w:val="18"/>
              </w:rPr>
            </w:pPr>
            <w:r w:rsidRPr="00012720">
              <w:rPr>
                <w:rFonts w:ascii="Arial" w:hAnsi="Arial" w:cs="Arial"/>
                <w:b/>
                <w:color w:val="000000"/>
                <w:sz w:val="18"/>
                <w:szCs w:val="18"/>
              </w:rPr>
              <w:t>UAI</w:t>
            </w:r>
          </w:p>
        </w:tc>
        <w:tc>
          <w:tcPr>
            <w:tcW w:w="1577" w:type="dxa"/>
          </w:tcPr>
          <w:p w:rsidR="00012720" w:rsidRDefault="00A00E69" w:rsidP="00A00E69">
            <w:pPr>
              <w:autoSpaceDE w:val="0"/>
              <w:autoSpaceDN w:val="0"/>
              <w:adjustRightInd w:val="0"/>
              <w:jc w:val="center"/>
              <w:rPr>
                <w:rFonts w:ascii="Arial" w:hAnsi="Arial" w:cs="Arial"/>
                <w:color w:val="000000"/>
                <w:sz w:val="18"/>
                <w:szCs w:val="18"/>
              </w:rPr>
            </w:pPr>
            <w:r>
              <w:rPr>
                <w:rFonts w:ascii="Arial" w:hAnsi="Arial" w:cs="Arial"/>
                <w:color w:val="000000"/>
                <w:sz w:val="18"/>
                <w:szCs w:val="18"/>
              </w:rPr>
              <w:t>-0.066</w:t>
            </w:r>
          </w:p>
        </w:tc>
        <w:tc>
          <w:tcPr>
            <w:tcW w:w="1576" w:type="dxa"/>
          </w:tcPr>
          <w:p w:rsidR="00012720" w:rsidRDefault="00012720" w:rsidP="00A00E69">
            <w:pPr>
              <w:autoSpaceDE w:val="0"/>
              <w:autoSpaceDN w:val="0"/>
              <w:adjustRightInd w:val="0"/>
              <w:jc w:val="center"/>
              <w:rPr>
                <w:rFonts w:ascii="Arial" w:hAnsi="Arial" w:cs="Arial"/>
                <w:color w:val="000000"/>
                <w:sz w:val="18"/>
                <w:szCs w:val="18"/>
              </w:rPr>
            </w:pPr>
            <w:r>
              <w:rPr>
                <w:rFonts w:ascii="Arial" w:hAnsi="Arial" w:cs="Arial"/>
                <w:color w:val="000000"/>
                <w:sz w:val="18"/>
                <w:szCs w:val="18"/>
              </w:rPr>
              <w:t>-0.37</w:t>
            </w:r>
            <w:r w:rsidR="00A00E69">
              <w:rPr>
                <w:rFonts w:ascii="Arial" w:hAnsi="Arial" w:cs="Arial"/>
                <w:color w:val="000000"/>
                <w:sz w:val="18"/>
                <w:szCs w:val="18"/>
              </w:rPr>
              <w:t>5</w:t>
            </w:r>
          </w:p>
        </w:tc>
        <w:tc>
          <w:tcPr>
            <w:tcW w:w="1577" w:type="dxa"/>
          </w:tcPr>
          <w:p w:rsidR="00012720" w:rsidRDefault="00012720" w:rsidP="00A00E69">
            <w:pPr>
              <w:autoSpaceDE w:val="0"/>
              <w:autoSpaceDN w:val="0"/>
              <w:adjustRightInd w:val="0"/>
              <w:jc w:val="center"/>
              <w:rPr>
                <w:rFonts w:ascii="Arial" w:hAnsi="Arial" w:cs="Arial"/>
                <w:color w:val="000000"/>
                <w:sz w:val="18"/>
                <w:szCs w:val="18"/>
              </w:rPr>
            </w:pPr>
            <w:r>
              <w:rPr>
                <w:rFonts w:ascii="Arial" w:hAnsi="Arial" w:cs="Arial"/>
                <w:color w:val="000000"/>
                <w:sz w:val="18"/>
                <w:szCs w:val="18"/>
              </w:rPr>
              <w:t>-0.002</w:t>
            </w:r>
          </w:p>
        </w:tc>
        <w:tc>
          <w:tcPr>
            <w:tcW w:w="1576" w:type="dxa"/>
          </w:tcPr>
          <w:p w:rsidR="00012720" w:rsidRDefault="00012720" w:rsidP="00A00E69">
            <w:pPr>
              <w:autoSpaceDE w:val="0"/>
              <w:autoSpaceDN w:val="0"/>
              <w:adjustRightInd w:val="0"/>
              <w:jc w:val="center"/>
              <w:rPr>
                <w:rFonts w:ascii="Arial" w:hAnsi="Arial" w:cs="Arial"/>
                <w:color w:val="000000"/>
                <w:sz w:val="18"/>
                <w:szCs w:val="18"/>
              </w:rPr>
            </w:pPr>
            <w:r>
              <w:rPr>
                <w:rFonts w:ascii="Arial" w:hAnsi="Arial" w:cs="Arial"/>
                <w:color w:val="000000"/>
                <w:sz w:val="18"/>
                <w:szCs w:val="18"/>
              </w:rPr>
              <w:t> 0.39</w:t>
            </w:r>
            <w:r w:rsidR="00A00E69">
              <w:rPr>
                <w:rFonts w:ascii="Arial" w:hAnsi="Arial" w:cs="Arial"/>
                <w:color w:val="000000"/>
                <w:sz w:val="18"/>
                <w:szCs w:val="18"/>
              </w:rPr>
              <w:t>1</w:t>
            </w:r>
          </w:p>
        </w:tc>
        <w:tc>
          <w:tcPr>
            <w:tcW w:w="1577" w:type="dxa"/>
          </w:tcPr>
          <w:p w:rsidR="00012720" w:rsidRDefault="00012720" w:rsidP="00A00E69">
            <w:pPr>
              <w:autoSpaceDE w:val="0"/>
              <w:autoSpaceDN w:val="0"/>
              <w:adjustRightInd w:val="0"/>
              <w:jc w:val="center"/>
              <w:rPr>
                <w:rFonts w:ascii="Arial" w:hAnsi="Arial" w:cs="Arial"/>
                <w:color w:val="000000"/>
                <w:sz w:val="18"/>
                <w:szCs w:val="18"/>
              </w:rPr>
            </w:pPr>
            <w:r>
              <w:rPr>
                <w:rFonts w:ascii="Arial" w:hAnsi="Arial" w:cs="Arial"/>
                <w:color w:val="000000"/>
                <w:sz w:val="18"/>
                <w:szCs w:val="18"/>
              </w:rPr>
              <w:t> 1.000</w:t>
            </w:r>
          </w:p>
        </w:tc>
      </w:tr>
    </w:tbl>
    <w:p w:rsidR="00D76DE9" w:rsidRPr="002C595D" w:rsidRDefault="00D76DE9" w:rsidP="00D76DE9">
      <w:pPr>
        <w:spacing w:line="360" w:lineRule="auto"/>
        <w:jc w:val="both"/>
        <w:rPr>
          <w:rFonts w:ascii="Times New Roman" w:hAnsi="Times New Roman" w:cs="Times New Roman"/>
          <w:sz w:val="20"/>
          <w:lang w:val="en-US"/>
        </w:rPr>
      </w:pPr>
      <w:r w:rsidRPr="002C595D">
        <w:rPr>
          <w:rFonts w:ascii="Times New Roman" w:hAnsi="Times New Roman" w:cs="Times New Roman"/>
          <w:sz w:val="20"/>
          <w:lang w:val="en-US"/>
        </w:rPr>
        <w:t xml:space="preserve">Correlation matrix for the four independent </w:t>
      </w:r>
      <w:r w:rsidR="00AB2316" w:rsidRPr="002C595D">
        <w:rPr>
          <w:rFonts w:ascii="Times New Roman" w:hAnsi="Times New Roman" w:cs="Times New Roman"/>
          <w:sz w:val="20"/>
          <w:lang w:val="en-US"/>
        </w:rPr>
        <w:t>variables</w:t>
      </w:r>
      <w:r w:rsidRPr="002C595D">
        <w:rPr>
          <w:rFonts w:ascii="Times New Roman" w:hAnsi="Times New Roman" w:cs="Times New Roman"/>
          <w:sz w:val="20"/>
          <w:lang w:val="en-US"/>
        </w:rPr>
        <w:t xml:space="preserve"> (The cultural dimensions: Power Distance (PDI), Individualism(IDV), Uncertainty avoidance (UAI) and Masculinity</w:t>
      </w:r>
      <w:r w:rsidRPr="002C595D">
        <w:rPr>
          <w:rFonts w:ascii="Times New Roman" w:hAnsi="Times New Roman" w:cs="Times New Roman"/>
          <w:sz w:val="20"/>
          <w:lang w:val="en-US"/>
        </w:rPr>
        <w:tab/>
        <w:t xml:space="preserve">(MASC)) and the dependent variable (Percentage of equity </w:t>
      </w:r>
      <w:r w:rsidR="00AB2316" w:rsidRPr="002C595D">
        <w:rPr>
          <w:rFonts w:ascii="Times New Roman" w:hAnsi="Times New Roman" w:cs="Times New Roman"/>
          <w:sz w:val="20"/>
          <w:lang w:val="en-US"/>
        </w:rPr>
        <w:t>investments</w:t>
      </w:r>
      <w:r w:rsidRPr="002C595D">
        <w:rPr>
          <w:rFonts w:ascii="Times New Roman" w:hAnsi="Times New Roman" w:cs="Times New Roman"/>
          <w:sz w:val="20"/>
          <w:lang w:val="en-US"/>
        </w:rPr>
        <w:t xml:space="preserve"> relatively to total investments held by pension funds (EqAll)).</w:t>
      </w:r>
    </w:p>
    <w:p w:rsidR="00D76DE9" w:rsidRDefault="00D76DE9" w:rsidP="005717B5">
      <w:pPr>
        <w:spacing w:line="360" w:lineRule="auto"/>
        <w:jc w:val="both"/>
        <w:rPr>
          <w:rFonts w:ascii="Times New Roman" w:hAnsi="Times New Roman" w:cs="Times New Roman"/>
          <w:sz w:val="24"/>
          <w:szCs w:val="24"/>
          <w:lang w:val="en-US"/>
        </w:rPr>
      </w:pPr>
    </w:p>
    <w:p w:rsidR="005717B5" w:rsidRPr="002C595D" w:rsidRDefault="005717B5" w:rsidP="005717B5">
      <w:pPr>
        <w:spacing w:line="360" w:lineRule="auto"/>
        <w:jc w:val="both"/>
        <w:rPr>
          <w:rFonts w:ascii="Times New Roman" w:hAnsi="Times New Roman" w:cs="Times New Roman"/>
          <w:lang w:val="en-US"/>
        </w:rPr>
      </w:pPr>
      <w:r w:rsidRPr="002C595D">
        <w:rPr>
          <w:rFonts w:ascii="Times New Roman" w:hAnsi="Times New Roman" w:cs="Times New Roman"/>
          <w:lang w:val="en-US"/>
        </w:rPr>
        <w:t>From the table above we can make the following conclusions: Our dependent variable, equity allocation of investments, is positively correlated with three of the four cultural dimensions, Masculinity, Power distance and Individualism, while it is negatively correlated with the Uncertainty avoidance. The strongest correlation is found between Equity allocation and Masculinity (0.194).</w:t>
      </w:r>
    </w:p>
    <w:p w:rsidR="005717B5" w:rsidRPr="002C595D" w:rsidRDefault="005717B5" w:rsidP="005717B5">
      <w:pPr>
        <w:spacing w:line="360" w:lineRule="auto"/>
        <w:jc w:val="both"/>
        <w:rPr>
          <w:rFonts w:ascii="Arial" w:hAnsi="Arial" w:cs="Arial"/>
          <w:b/>
          <w:i/>
          <w:lang w:val="en-US"/>
        </w:rPr>
      </w:pPr>
    </w:p>
    <w:p w:rsidR="005717B5" w:rsidRPr="002C595D" w:rsidRDefault="00151CB9" w:rsidP="004011A1">
      <w:pPr>
        <w:spacing w:line="360" w:lineRule="auto"/>
        <w:jc w:val="both"/>
        <w:rPr>
          <w:rFonts w:ascii="Arial" w:hAnsi="Arial" w:cs="Arial"/>
          <w:b/>
          <w:i/>
          <w:lang w:val="en-US"/>
        </w:rPr>
      </w:pPr>
      <w:r w:rsidRPr="002C595D">
        <w:rPr>
          <w:rFonts w:ascii="Arial" w:hAnsi="Arial" w:cs="Arial"/>
          <w:b/>
          <w:i/>
          <w:lang w:val="en-US"/>
        </w:rPr>
        <w:t xml:space="preserve">4.2.3 </w:t>
      </w:r>
      <w:r w:rsidR="005717B5" w:rsidRPr="002C595D">
        <w:rPr>
          <w:rFonts w:ascii="Arial" w:hAnsi="Arial" w:cs="Arial"/>
          <w:b/>
          <w:i/>
          <w:lang w:val="en-US"/>
        </w:rPr>
        <w:t>Multiple</w:t>
      </w:r>
      <w:r w:rsidR="00507616" w:rsidRPr="002C595D">
        <w:rPr>
          <w:rFonts w:ascii="Arial" w:hAnsi="Arial" w:cs="Arial"/>
          <w:b/>
          <w:i/>
          <w:lang w:val="en-US"/>
        </w:rPr>
        <w:t xml:space="preserve"> and sing</w:t>
      </w:r>
      <w:r w:rsidRPr="002C595D">
        <w:rPr>
          <w:rFonts w:ascii="Arial" w:hAnsi="Arial" w:cs="Arial"/>
          <w:b/>
          <w:i/>
          <w:lang w:val="en-US"/>
        </w:rPr>
        <w:t>le regressions.</w:t>
      </w:r>
    </w:p>
    <w:p w:rsidR="005717B5" w:rsidRPr="002C595D" w:rsidRDefault="005717B5" w:rsidP="005717B5">
      <w:pPr>
        <w:spacing w:line="360" w:lineRule="auto"/>
        <w:jc w:val="both"/>
        <w:rPr>
          <w:rFonts w:ascii="Times New Roman" w:hAnsi="Times New Roman" w:cs="Times New Roman"/>
          <w:lang w:val="en-US"/>
        </w:rPr>
      </w:pPr>
      <w:r w:rsidRPr="002C595D">
        <w:rPr>
          <w:rFonts w:ascii="Times New Roman" w:hAnsi="Times New Roman" w:cs="Times New Roman"/>
          <w:lang w:val="en-US"/>
        </w:rPr>
        <w:t xml:space="preserve">After correcting for the above problems, we continued with our first regression, which includes the following variables: Equity to Total Investments as </w:t>
      </w:r>
      <w:r w:rsidR="005D4597" w:rsidRPr="002C595D">
        <w:rPr>
          <w:rFonts w:ascii="Times New Roman" w:hAnsi="Times New Roman" w:cs="Times New Roman"/>
          <w:lang w:val="en-US"/>
        </w:rPr>
        <w:t>a</w:t>
      </w:r>
      <w:r w:rsidRPr="002C595D">
        <w:rPr>
          <w:rFonts w:ascii="Times New Roman" w:hAnsi="Times New Roman" w:cs="Times New Roman"/>
          <w:lang w:val="en-US"/>
        </w:rPr>
        <w:t xml:space="preserve"> dependent variable, and Individualism (IDV), Masculinity (MASC), Power Distance (PDI) and Uncertainty Avoidance (UAI) as independent variables. The results are presented below.</w:t>
      </w:r>
    </w:p>
    <w:p w:rsidR="00A401BB" w:rsidRDefault="00A401BB" w:rsidP="005717B5">
      <w:pPr>
        <w:spacing w:line="360" w:lineRule="auto"/>
        <w:jc w:val="both"/>
        <w:rPr>
          <w:rFonts w:ascii="Times New Roman" w:hAnsi="Times New Roman" w:cs="Times New Roman"/>
          <w:sz w:val="24"/>
          <w:szCs w:val="24"/>
          <w:lang w:val="en-US"/>
        </w:rPr>
        <w:sectPr w:rsidR="00A401BB" w:rsidSect="001D2711">
          <w:headerReference w:type="default" r:id="rId21"/>
          <w:footerReference w:type="default" r:id="rId22"/>
          <w:pgSz w:w="11906" w:h="16838"/>
          <w:pgMar w:top="1418" w:right="1134" w:bottom="1418" w:left="1418" w:header="708" w:footer="113" w:gutter="0"/>
          <w:cols w:space="708"/>
          <w:docGrid w:linePitch="360"/>
        </w:sectPr>
      </w:pPr>
    </w:p>
    <w:p w:rsidR="00A401BB" w:rsidRPr="0077105E" w:rsidRDefault="00377963" w:rsidP="0077105E">
      <w:pPr>
        <w:spacing w:line="360" w:lineRule="auto"/>
        <w:jc w:val="both"/>
        <w:rPr>
          <w:b/>
          <w:lang w:val="en-US"/>
        </w:rPr>
      </w:pPr>
      <w:r w:rsidRPr="0077105E">
        <w:rPr>
          <w:b/>
          <w:lang w:val="en-US"/>
        </w:rPr>
        <w:lastRenderedPageBreak/>
        <w:t>Table</w:t>
      </w:r>
      <w:r w:rsidR="002B4A02" w:rsidRPr="0077105E">
        <w:rPr>
          <w:b/>
          <w:lang w:val="en-US"/>
        </w:rPr>
        <w:t xml:space="preserve"> 4.2 </w:t>
      </w:r>
      <w:r w:rsidRPr="0077105E">
        <w:rPr>
          <w:b/>
          <w:lang w:val="en-US"/>
        </w:rPr>
        <w:t xml:space="preserve"> Regression results for the multiple and </w:t>
      </w:r>
      <w:r w:rsidR="002F5D13" w:rsidRPr="002F5D13">
        <w:rPr>
          <w:b/>
          <w:lang w:val="en-US"/>
        </w:rPr>
        <w:t xml:space="preserve">Single </w:t>
      </w:r>
      <w:r w:rsidRPr="0077105E">
        <w:rPr>
          <w:b/>
          <w:lang w:val="en-US"/>
        </w:rPr>
        <w:t>models.</w:t>
      </w:r>
    </w:p>
    <w:tbl>
      <w:tblPr>
        <w:tblStyle w:val="LightShading2"/>
        <w:tblW w:w="0" w:type="auto"/>
        <w:tblLook w:val="06A0"/>
      </w:tblPr>
      <w:tblGrid>
        <w:gridCol w:w="2376"/>
        <w:gridCol w:w="1377"/>
        <w:gridCol w:w="1823"/>
        <w:gridCol w:w="1771"/>
        <w:gridCol w:w="1771"/>
        <w:gridCol w:w="1771"/>
        <w:gridCol w:w="1771"/>
        <w:gridCol w:w="1528"/>
      </w:tblGrid>
      <w:tr w:rsidR="00377963" w:rsidRPr="002B4A02" w:rsidTr="00377963">
        <w:trPr>
          <w:cnfStyle w:val="100000000000"/>
          <w:trHeight w:val="251"/>
        </w:trPr>
        <w:tc>
          <w:tcPr>
            <w:cnfStyle w:val="001000000000"/>
            <w:tcW w:w="2376" w:type="dxa"/>
          </w:tcPr>
          <w:p w:rsidR="00377963" w:rsidRPr="00D76DE9" w:rsidRDefault="00377963" w:rsidP="003D1F7C">
            <w:pPr>
              <w:jc w:val="both"/>
              <w:rPr>
                <w:rFonts w:ascii="Arial" w:hAnsi="Arial" w:cs="Arial"/>
                <w:lang w:val="en-US"/>
              </w:rPr>
            </w:pPr>
            <w:r w:rsidRPr="00D76DE9">
              <w:rPr>
                <w:rFonts w:ascii="Arial" w:hAnsi="Arial" w:cs="Arial"/>
                <w:lang w:val="en-US"/>
              </w:rPr>
              <w:t>Data</w:t>
            </w:r>
          </w:p>
        </w:tc>
        <w:tc>
          <w:tcPr>
            <w:tcW w:w="1377" w:type="dxa"/>
          </w:tcPr>
          <w:p w:rsidR="00377963" w:rsidRPr="00D76DE9" w:rsidRDefault="00377963" w:rsidP="003D1F7C">
            <w:pPr>
              <w:jc w:val="both"/>
              <w:cnfStyle w:val="100000000000"/>
              <w:rPr>
                <w:rFonts w:ascii="Arial" w:hAnsi="Arial" w:cs="Arial"/>
                <w:lang w:val="en-US"/>
              </w:rPr>
            </w:pPr>
          </w:p>
        </w:tc>
        <w:tc>
          <w:tcPr>
            <w:tcW w:w="10435" w:type="dxa"/>
            <w:gridSpan w:val="6"/>
          </w:tcPr>
          <w:p w:rsidR="00377963" w:rsidRPr="00D76DE9" w:rsidRDefault="00377963" w:rsidP="00D76DE9">
            <w:pPr>
              <w:jc w:val="center"/>
              <w:cnfStyle w:val="100000000000"/>
              <w:rPr>
                <w:rFonts w:ascii="Arial" w:hAnsi="Arial" w:cs="Arial"/>
                <w:lang w:val="en-US"/>
              </w:rPr>
            </w:pPr>
            <w:r w:rsidRPr="00D76DE9">
              <w:rPr>
                <w:rFonts w:ascii="Arial" w:hAnsi="Arial" w:cs="Arial"/>
                <w:lang w:val="en-US"/>
              </w:rPr>
              <w:t>Regression models</w:t>
            </w:r>
          </w:p>
        </w:tc>
      </w:tr>
      <w:tr w:rsidR="00377963" w:rsidTr="00377963">
        <w:trPr>
          <w:trHeight w:val="770"/>
        </w:trPr>
        <w:tc>
          <w:tcPr>
            <w:cnfStyle w:val="001000000000"/>
            <w:tcW w:w="2376" w:type="dxa"/>
            <w:tcBorders>
              <w:bottom w:val="single" w:sz="4" w:space="0" w:color="auto"/>
            </w:tcBorders>
          </w:tcPr>
          <w:p w:rsidR="00377963" w:rsidRDefault="00377963" w:rsidP="003D1F7C">
            <w:pPr>
              <w:jc w:val="both"/>
              <w:rPr>
                <w:rFonts w:ascii="Arial" w:hAnsi="Arial" w:cs="Arial"/>
                <w:b w:val="0"/>
                <w:i/>
                <w:lang w:val="en-US"/>
              </w:rPr>
            </w:pPr>
            <w:r>
              <w:rPr>
                <w:rFonts w:ascii="Arial" w:hAnsi="Arial" w:cs="Arial"/>
                <w:b w:val="0"/>
                <w:i/>
                <w:lang w:val="en-US"/>
              </w:rPr>
              <w:t>Variables</w:t>
            </w:r>
          </w:p>
        </w:tc>
        <w:tc>
          <w:tcPr>
            <w:tcW w:w="1377" w:type="dxa"/>
            <w:tcBorders>
              <w:bottom w:val="single" w:sz="4" w:space="0" w:color="auto"/>
            </w:tcBorders>
          </w:tcPr>
          <w:p w:rsidR="00377963" w:rsidRDefault="00377963" w:rsidP="003D1F7C">
            <w:pPr>
              <w:jc w:val="both"/>
              <w:cnfStyle w:val="000000000000"/>
              <w:rPr>
                <w:rFonts w:ascii="Arial" w:hAnsi="Arial" w:cs="Arial"/>
                <w:b/>
                <w:i/>
                <w:lang w:val="en-US"/>
              </w:rPr>
            </w:pPr>
            <w:r>
              <w:rPr>
                <w:rFonts w:ascii="Arial" w:hAnsi="Arial" w:cs="Arial"/>
                <w:b/>
                <w:i/>
                <w:lang w:val="en-US"/>
              </w:rPr>
              <w:t>Expected sign</w:t>
            </w:r>
          </w:p>
        </w:tc>
        <w:tc>
          <w:tcPr>
            <w:tcW w:w="1823" w:type="dxa"/>
            <w:tcBorders>
              <w:bottom w:val="single" w:sz="4" w:space="0" w:color="auto"/>
            </w:tcBorders>
          </w:tcPr>
          <w:p w:rsidR="00377963" w:rsidRDefault="00377963" w:rsidP="00E12025">
            <w:pPr>
              <w:jc w:val="both"/>
              <w:cnfStyle w:val="000000000000"/>
              <w:rPr>
                <w:rFonts w:ascii="Arial" w:hAnsi="Arial" w:cs="Arial"/>
                <w:b/>
                <w:i/>
                <w:lang w:val="en-US"/>
              </w:rPr>
            </w:pPr>
            <w:r>
              <w:rPr>
                <w:rFonts w:ascii="Arial" w:hAnsi="Arial" w:cs="Arial"/>
                <w:b/>
                <w:i/>
                <w:lang w:val="en-US"/>
              </w:rPr>
              <w:t>Multiple regression</w:t>
            </w:r>
            <w:r w:rsidR="00342069">
              <w:rPr>
                <w:rFonts w:ascii="Arial" w:hAnsi="Arial" w:cs="Arial"/>
                <w:b/>
                <w:i/>
                <w:lang w:val="en-US"/>
              </w:rPr>
              <w:t xml:space="preserve"> (1)</w:t>
            </w:r>
          </w:p>
        </w:tc>
        <w:tc>
          <w:tcPr>
            <w:tcW w:w="1771" w:type="dxa"/>
            <w:tcBorders>
              <w:bottom w:val="single" w:sz="4" w:space="0" w:color="auto"/>
            </w:tcBorders>
          </w:tcPr>
          <w:p w:rsidR="00377963" w:rsidRDefault="00342069" w:rsidP="002F5D13">
            <w:pPr>
              <w:jc w:val="center"/>
              <w:cnfStyle w:val="000000000000"/>
              <w:rPr>
                <w:rFonts w:ascii="Arial" w:hAnsi="Arial" w:cs="Arial"/>
                <w:b/>
                <w:i/>
                <w:lang w:val="en-US"/>
              </w:rPr>
            </w:pPr>
            <w:r>
              <w:rPr>
                <w:rFonts w:ascii="Arial" w:hAnsi="Arial" w:cs="Arial"/>
                <w:b/>
                <w:i/>
                <w:lang w:val="en-US"/>
              </w:rPr>
              <w:t>S</w:t>
            </w:r>
            <w:r w:rsidR="00377963">
              <w:rPr>
                <w:rFonts w:ascii="Arial" w:hAnsi="Arial" w:cs="Arial"/>
                <w:b/>
                <w:i/>
                <w:lang w:val="en-US"/>
              </w:rPr>
              <w:t>i</w:t>
            </w:r>
            <w:r w:rsidR="002F5D13">
              <w:rPr>
                <w:rFonts w:ascii="Arial" w:hAnsi="Arial" w:cs="Arial"/>
                <w:b/>
                <w:i/>
                <w:lang w:val="en-US"/>
              </w:rPr>
              <w:t>ngle</w:t>
            </w:r>
            <w:r w:rsidR="00377963">
              <w:rPr>
                <w:rFonts w:ascii="Arial" w:hAnsi="Arial" w:cs="Arial"/>
                <w:b/>
                <w:i/>
                <w:lang w:val="en-US"/>
              </w:rPr>
              <w:t xml:space="preserve"> regression </w:t>
            </w:r>
            <w:r>
              <w:rPr>
                <w:rFonts w:ascii="Arial" w:hAnsi="Arial" w:cs="Arial"/>
                <w:b/>
                <w:i/>
                <w:lang w:val="en-US"/>
              </w:rPr>
              <w:t>(2)</w:t>
            </w:r>
          </w:p>
        </w:tc>
        <w:tc>
          <w:tcPr>
            <w:tcW w:w="1771" w:type="dxa"/>
            <w:tcBorders>
              <w:bottom w:val="single" w:sz="4" w:space="0" w:color="auto"/>
            </w:tcBorders>
          </w:tcPr>
          <w:p w:rsidR="00377963" w:rsidRDefault="002F5D13" w:rsidP="00342069">
            <w:pPr>
              <w:jc w:val="center"/>
              <w:cnfStyle w:val="000000000000"/>
              <w:rPr>
                <w:rFonts w:ascii="Arial" w:hAnsi="Arial" w:cs="Arial"/>
                <w:b/>
                <w:i/>
                <w:lang w:val="en-US"/>
              </w:rPr>
            </w:pPr>
            <w:r>
              <w:rPr>
                <w:rFonts w:ascii="Arial" w:hAnsi="Arial" w:cs="Arial"/>
                <w:b/>
                <w:i/>
                <w:lang w:val="en-US"/>
              </w:rPr>
              <w:t xml:space="preserve">Single </w:t>
            </w:r>
            <w:r w:rsidR="00377963">
              <w:rPr>
                <w:rFonts w:ascii="Arial" w:hAnsi="Arial" w:cs="Arial"/>
                <w:b/>
                <w:i/>
                <w:lang w:val="en-US"/>
              </w:rPr>
              <w:t xml:space="preserve">regression </w:t>
            </w:r>
            <w:r w:rsidR="00342069">
              <w:rPr>
                <w:rFonts w:ascii="Arial" w:hAnsi="Arial" w:cs="Arial"/>
                <w:b/>
                <w:i/>
                <w:lang w:val="en-US"/>
              </w:rPr>
              <w:t>(3)</w:t>
            </w:r>
          </w:p>
        </w:tc>
        <w:tc>
          <w:tcPr>
            <w:tcW w:w="1771" w:type="dxa"/>
            <w:tcBorders>
              <w:bottom w:val="single" w:sz="4" w:space="0" w:color="auto"/>
            </w:tcBorders>
          </w:tcPr>
          <w:p w:rsidR="00377963" w:rsidRDefault="002F5D13" w:rsidP="00342069">
            <w:pPr>
              <w:jc w:val="center"/>
              <w:cnfStyle w:val="000000000000"/>
              <w:rPr>
                <w:rFonts w:ascii="Arial" w:hAnsi="Arial" w:cs="Arial"/>
                <w:b/>
                <w:i/>
                <w:lang w:val="en-US"/>
              </w:rPr>
            </w:pPr>
            <w:r>
              <w:rPr>
                <w:rFonts w:ascii="Arial" w:hAnsi="Arial" w:cs="Arial"/>
                <w:b/>
                <w:i/>
                <w:lang w:val="en-US"/>
              </w:rPr>
              <w:t xml:space="preserve">Single </w:t>
            </w:r>
            <w:r w:rsidR="00377963">
              <w:rPr>
                <w:rFonts w:ascii="Arial" w:hAnsi="Arial" w:cs="Arial"/>
                <w:b/>
                <w:i/>
                <w:lang w:val="en-US"/>
              </w:rPr>
              <w:t xml:space="preserve">regression </w:t>
            </w:r>
            <w:r w:rsidR="00342069">
              <w:rPr>
                <w:rFonts w:ascii="Arial" w:hAnsi="Arial" w:cs="Arial"/>
                <w:b/>
                <w:i/>
                <w:lang w:val="en-US"/>
              </w:rPr>
              <w:t>(4)</w:t>
            </w:r>
          </w:p>
        </w:tc>
        <w:tc>
          <w:tcPr>
            <w:tcW w:w="1771" w:type="dxa"/>
            <w:tcBorders>
              <w:bottom w:val="single" w:sz="4" w:space="0" w:color="auto"/>
            </w:tcBorders>
          </w:tcPr>
          <w:p w:rsidR="00377963" w:rsidRDefault="002F5D13" w:rsidP="00342069">
            <w:pPr>
              <w:jc w:val="center"/>
              <w:cnfStyle w:val="000000000000"/>
              <w:rPr>
                <w:rFonts w:ascii="Arial" w:hAnsi="Arial" w:cs="Arial"/>
                <w:b/>
                <w:i/>
                <w:lang w:val="en-US"/>
              </w:rPr>
            </w:pPr>
            <w:r>
              <w:rPr>
                <w:rFonts w:ascii="Arial" w:hAnsi="Arial" w:cs="Arial"/>
                <w:b/>
                <w:i/>
                <w:lang w:val="en-US"/>
              </w:rPr>
              <w:t xml:space="preserve">Single </w:t>
            </w:r>
            <w:r w:rsidR="00377963">
              <w:rPr>
                <w:rFonts w:ascii="Arial" w:hAnsi="Arial" w:cs="Arial"/>
                <w:b/>
                <w:i/>
                <w:lang w:val="en-US"/>
              </w:rPr>
              <w:t xml:space="preserve">regression </w:t>
            </w:r>
            <w:r w:rsidR="00342069">
              <w:rPr>
                <w:rFonts w:ascii="Arial" w:hAnsi="Arial" w:cs="Arial"/>
                <w:b/>
                <w:i/>
                <w:lang w:val="en-US"/>
              </w:rPr>
              <w:t>(5)</w:t>
            </w:r>
          </w:p>
        </w:tc>
        <w:tc>
          <w:tcPr>
            <w:tcW w:w="1528" w:type="dxa"/>
            <w:tcBorders>
              <w:bottom w:val="single" w:sz="4" w:space="0" w:color="auto"/>
            </w:tcBorders>
          </w:tcPr>
          <w:p w:rsidR="00377963" w:rsidRDefault="00377963" w:rsidP="003D1F7C">
            <w:pPr>
              <w:cnfStyle w:val="000000000000"/>
              <w:rPr>
                <w:rFonts w:ascii="Arial" w:hAnsi="Arial" w:cs="Arial"/>
                <w:b/>
                <w:i/>
                <w:lang w:val="en-US"/>
              </w:rPr>
            </w:pPr>
          </w:p>
        </w:tc>
      </w:tr>
      <w:tr w:rsidR="00377963" w:rsidTr="00377963">
        <w:trPr>
          <w:trHeight w:val="251"/>
        </w:trPr>
        <w:tc>
          <w:tcPr>
            <w:cnfStyle w:val="001000000000"/>
            <w:tcW w:w="2376" w:type="dxa"/>
            <w:tcBorders>
              <w:top w:val="single" w:sz="4" w:space="0" w:color="auto"/>
            </w:tcBorders>
          </w:tcPr>
          <w:p w:rsidR="00377963" w:rsidRDefault="00377963" w:rsidP="003D1F7C">
            <w:pPr>
              <w:jc w:val="both"/>
              <w:rPr>
                <w:rFonts w:ascii="Arial" w:hAnsi="Arial" w:cs="Arial"/>
                <w:b w:val="0"/>
                <w:i/>
                <w:lang w:val="en-US"/>
              </w:rPr>
            </w:pPr>
          </w:p>
        </w:tc>
        <w:tc>
          <w:tcPr>
            <w:tcW w:w="1377" w:type="dxa"/>
            <w:tcBorders>
              <w:top w:val="single" w:sz="4" w:space="0" w:color="auto"/>
            </w:tcBorders>
          </w:tcPr>
          <w:p w:rsidR="00377963" w:rsidRDefault="00377963" w:rsidP="003D1F7C">
            <w:pPr>
              <w:jc w:val="both"/>
              <w:cnfStyle w:val="000000000000"/>
              <w:rPr>
                <w:rFonts w:ascii="Arial" w:hAnsi="Arial" w:cs="Arial"/>
                <w:b/>
                <w:i/>
                <w:lang w:val="en-US"/>
              </w:rPr>
            </w:pPr>
          </w:p>
        </w:tc>
        <w:tc>
          <w:tcPr>
            <w:tcW w:w="1823" w:type="dxa"/>
            <w:tcBorders>
              <w:top w:val="single" w:sz="4" w:space="0" w:color="auto"/>
            </w:tcBorders>
          </w:tcPr>
          <w:p w:rsidR="00377963" w:rsidRDefault="00377963" w:rsidP="003D1F7C">
            <w:pPr>
              <w:jc w:val="both"/>
              <w:cnfStyle w:val="000000000000"/>
              <w:rPr>
                <w:rFonts w:ascii="Arial" w:hAnsi="Arial" w:cs="Arial"/>
                <w:b/>
                <w:i/>
                <w:lang w:val="en-US"/>
              </w:rPr>
            </w:pPr>
          </w:p>
        </w:tc>
        <w:tc>
          <w:tcPr>
            <w:tcW w:w="1771" w:type="dxa"/>
            <w:tcBorders>
              <w:top w:val="single" w:sz="4" w:space="0" w:color="auto"/>
            </w:tcBorders>
          </w:tcPr>
          <w:p w:rsidR="00377963" w:rsidRDefault="00377963" w:rsidP="003D1F7C">
            <w:pPr>
              <w:jc w:val="center"/>
              <w:cnfStyle w:val="000000000000"/>
              <w:rPr>
                <w:rFonts w:ascii="Arial" w:hAnsi="Arial" w:cs="Arial"/>
                <w:b/>
                <w:i/>
                <w:lang w:val="en-US"/>
              </w:rPr>
            </w:pPr>
          </w:p>
        </w:tc>
        <w:tc>
          <w:tcPr>
            <w:tcW w:w="1771" w:type="dxa"/>
            <w:tcBorders>
              <w:top w:val="single" w:sz="4" w:space="0" w:color="auto"/>
            </w:tcBorders>
          </w:tcPr>
          <w:p w:rsidR="00377963" w:rsidRDefault="00377963" w:rsidP="003D1F7C">
            <w:pPr>
              <w:jc w:val="center"/>
              <w:cnfStyle w:val="000000000000"/>
              <w:rPr>
                <w:rFonts w:ascii="Arial" w:hAnsi="Arial" w:cs="Arial"/>
                <w:b/>
                <w:i/>
                <w:lang w:val="en-US"/>
              </w:rPr>
            </w:pPr>
          </w:p>
        </w:tc>
        <w:tc>
          <w:tcPr>
            <w:tcW w:w="1771" w:type="dxa"/>
            <w:tcBorders>
              <w:top w:val="single" w:sz="4" w:space="0" w:color="auto"/>
            </w:tcBorders>
          </w:tcPr>
          <w:p w:rsidR="00377963" w:rsidRDefault="00377963" w:rsidP="003D1F7C">
            <w:pPr>
              <w:jc w:val="center"/>
              <w:cnfStyle w:val="000000000000"/>
              <w:rPr>
                <w:rFonts w:ascii="Arial" w:hAnsi="Arial" w:cs="Arial"/>
                <w:b/>
                <w:i/>
                <w:lang w:val="en-US"/>
              </w:rPr>
            </w:pPr>
          </w:p>
        </w:tc>
        <w:tc>
          <w:tcPr>
            <w:tcW w:w="1771" w:type="dxa"/>
            <w:tcBorders>
              <w:top w:val="single" w:sz="4" w:space="0" w:color="auto"/>
            </w:tcBorders>
          </w:tcPr>
          <w:p w:rsidR="00377963" w:rsidRDefault="00377963" w:rsidP="003D1F7C">
            <w:pPr>
              <w:jc w:val="center"/>
              <w:cnfStyle w:val="000000000000"/>
              <w:rPr>
                <w:rFonts w:ascii="Arial" w:hAnsi="Arial" w:cs="Arial"/>
                <w:b/>
                <w:i/>
                <w:lang w:val="en-US"/>
              </w:rPr>
            </w:pPr>
          </w:p>
        </w:tc>
        <w:tc>
          <w:tcPr>
            <w:tcW w:w="1528" w:type="dxa"/>
            <w:tcBorders>
              <w:top w:val="single" w:sz="4" w:space="0" w:color="auto"/>
            </w:tcBorders>
          </w:tcPr>
          <w:p w:rsidR="00377963" w:rsidRDefault="00377963" w:rsidP="003D1F7C">
            <w:pPr>
              <w:cnfStyle w:val="000000000000"/>
              <w:rPr>
                <w:rFonts w:ascii="Arial" w:hAnsi="Arial" w:cs="Arial"/>
                <w:b/>
                <w:i/>
                <w:lang w:val="en-US"/>
              </w:rPr>
            </w:pPr>
          </w:p>
        </w:tc>
      </w:tr>
      <w:tr w:rsidR="00377963" w:rsidTr="00377963">
        <w:trPr>
          <w:trHeight w:val="251"/>
        </w:trPr>
        <w:tc>
          <w:tcPr>
            <w:cnfStyle w:val="001000000000"/>
            <w:tcW w:w="2376" w:type="dxa"/>
          </w:tcPr>
          <w:p w:rsidR="00377963" w:rsidRPr="00472824" w:rsidRDefault="00377963" w:rsidP="003D1F7C">
            <w:pPr>
              <w:autoSpaceDE w:val="0"/>
              <w:autoSpaceDN w:val="0"/>
              <w:adjustRightInd w:val="0"/>
              <w:jc w:val="both"/>
              <w:rPr>
                <w:rFonts w:ascii="Arial" w:hAnsi="Arial" w:cs="Arial"/>
                <w:color w:val="000000"/>
                <w:sz w:val="20"/>
                <w:szCs w:val="18"/>
                <w:lang w:val="en-GB"/>
              </w:rPr>
            </w:pPr>
            <w:r w:rsidRPr="00472824">
              <w:rPr>
                <w:rFonts w:ascii="Arial" w:hAnsi="Arial" w:cs="Arial"/>
                <w:color w:val="000000"/>
                <w:sz w:val="20"/>
                <w:szCs w:val="18"/>
                <w:lang w:val="en-GB"/>
              </w:rPr>
              <w:t>IDV</w:t>
            </w:r>
          </w:p>
        </w:tc>
        <w:tc>
          <w:tcPr>
            <w:tcW w:w="1377" w:type="dxa"/>
          </w:tcPr>
          <w:p w:rsidR="00377963" w:rsidRPr="00472824" w:rsidRDefault="00377963" w:rsidP="003D1F7C">
            <w:pPr>
              <w:autoSpaceDE w:val="0"/>
              <w:autoSpaceDN w:val="0"/>
              <w:adjustRightInd w:val="0"/>
              <w:ind w:right="10"/>
              <w:jc w:val="both"/>
              <w:cnfStyle w:val="000000000000"/>
              <w:rPr>
                <w:rFonts w:ascii="Arial" w:hAnsi="Arial" w:cs="Arial"/>
                <w:color w:val="000000"/>
                <w:sz w:val="20"/>
                <w:szCs w:val="18"/>
                <w:lang w:val="en-GB"/>
              </w:rPr>
            </w:pPr>
            <w:r>
              <w:rPr>
                <w:rFonts w:ascii="Arial" w:hAnsi="Arial" w:cs="Arial"/>
                <w:color w:val="000000"/>
                <w:sz w:val="20"/>
                <w:szCs w:val="18"/>
                <w:lang w:val="en-GB"/>
              </w:rPr>
              <w:t>+</w:t>
            </w:r>
          </w:p>
        </w:tc>
        <w:tc>
          <w:tcPr>
            <w:tcW w:w="1823" w:type="dxa"/>
          </w:tcPr>
          <w:p w:rsidR="00377963" w:rsidRPr="00563413" w:rsidRDefault="00377963" w:rsidP="003D1F7C">
            <w:pPr>
              <w:autoSpaceDE w:val="0"/>
              <w:autoSpaceDN w:val="0"/>
              <w:adjustRightInd w:val="0"/>
              <w:ind w:right="10"/>
              <w:jc w:val="both"/>
              <w:cnfStyle w:val="000000000000"/>
              <w:rPr>
                <w:rFonts w:ascii="Arial" w:hAnsi="Arial" w:cs="Arial"/>
                <w:color w:val="000000"/>
                <w:sz w:val="20"/>
                <w:szCs w:val="18"/>
                <w:lang w:val="en-GB"/>
              </w:rPr>
            </w:pPr>
            <w:r w:rsidRPr="00563413">
              <w:rPr>
                <w:rFonts w:ascii="Arial" w:hAnsi="Arial" w:cs="Arial"/>
                <w:color w:val="000000"/>
                <w:sz w:val="20"/>
                <w:szCs w:val="18"/>
                <w:lang w:val="en-GB"/>
              </w:rPr>
              <w:t>0.08</w:t>
            </w:r>
            <w:r w:rsidR="00A00E69">
              <w:rPr>
                <w:rFonts w:ascii="Arial" w:hAnsi="Arial" w:cs="Arial"/>
                <w:color w:val="000000"/>
                <w:sz w:val="20"/>
                <w:szCs w:val="18"/>
                <w:lang w:val="en-GB"/>
              </w:rPr>
              <w:t>4</w:t>
            </w:r>
          </w:p>
        </w:tc>
        <w:tc>
          <w:tcPr>
            <w:tcW w:w="1771" w:type="dxa"/>
          </w:tcPr>
          <w:p w:rsidR="00377963" w:rsidRPr="00563413" w:rsidRDefault="00A00E69" w:rsidP="00A00E69">
            <w:pPr>
              <w:autoSpaceDE w:val="0"/>
              <w:autoSpaceDN w:val="0"/>
              <w:adjustRightInd w:val="0"/>
              <w:ind w:right="10"/>
              <w:jc w:val="center"/>
              <w:cnfStyle w:val="000000000000"/>
              <w:rPr>
                <w:rFonts w:ascii="Arial" w:hAnsi="Arial" w:cs="Arial"/>
                <w:color w:val="000000"/>
                <w:sz w:val="20"/>
                <w:szCs w:val="18"/>
              </w:rPr>
            </w:pPr>
            <w:r>
              <w:rPr>
                <w:rFonts w:ascii="Arial" w:hAnsi="Arial" w:cs="Arial"/>
                <w:color w:val="000000"/>
                <w:sz w:val="20"/>
                <w:szCs w:val="18"/>
              </w:rPr>
              <w:t>0.084</w:t>
            </w:r>
          </w:p>
        </w:tc>
        <w:tc>
          <w:tcPr>
            <w:tcW w:w="1771" w:type="dxa"/>
          </w:tcPr>
          <w:p w:rsidR="00377963" w:rsidRPr="00563413" w:rsidRDefault="00377963" w:rsidP="003D1F7C">
            <w:pPr>
              <w:jc w:val="center"/>
              <w:cnfStyle w:val="000000000000"/>
              <w:rPr>
                <w:rFonts w:ascii="Arial" w:hAnsi="Arial" w:cs="Arial"/>
                <w:b/>
                <w:i/>
                <w:lang w:val="en-US"/>
              </w:rPr>
            </w:pPr>
          </w:p>
        </w:tc>
        <w:tc>
          <w:tcPr>
            <w:tcW w:w="1771" w:type="dxa"/>
          </w:tcPr>
          <w:p w:rsidR="00377963" w:rsidRPr="00563413" w:rsidRDefault="00377963" w:rsidP="003D1F7C">
            <w:pPr>
              <w:jc w:val="center"/>
              <w:cnfStyle w:val="000000000000"/>
              <w:rPr>
                <w:rFonts w:ascii="Arial" w:hAnsi="Arial" w:cs="Arial"/>
                <w:b/>
                <w:i/>
                <w:lang w:val="en-US"/>
              </w:rPr>
            </w:pPr>
          </w:p>
        </w:tc>
        <w:tc>
          <w:tcPr>
            <w:tcW w:w="1771" w:type="dxa"/>
          </w:tcPr>
          <w:p w:rsidR="00377963" w:rsidRPr="00563413" w:rsidRDefault="00377963" w:rsidP="003D1F7C">
            <w:pPr>
              <w:jc w:val="center"/>
              <w:cnfStyle w:val="000000000000"/>
              <w:rPr>
                <w:rFonts w:ascii="Arial" w:hAnsi="Arial" w:cs="Arial"/>
                <w:b/>
                <w:i/>
                <w:lang w:val="en-US"/>
              </w:rPr>
            </w:pPr>
          </w:p>
        </w:tc>
        <w:tc>
          <w:tcPr>
            <w:tcW w:w="1528" w:type="dxa"/>
          </w:tcPr>
          <w:p w:rsidR="00377963" w:rsidRDefault="00377963" w:rsidP="003D1F7C">
            <w:pPr>
              <w:cnfStyle w:val="000000000000"/>
              <w:rPr>
                <w:rFonts w:ascii="Arial" w:hAnsi="Arial" w:cs="Arial"/>
                <w:b/>
                <w:i/>
                <w:lang w:val="en-US"/>
              </w:rPr>
            </w:pPr>
          </w:p>
        </w:tc>
      </w:tr>
      <w:tr w:rsidR="00377963" w:rsidTr="00377963">
        <w:trPr>
          <w:trHeight w:val="410"/>
        </w:trPr>
        <w:tc>
          <w:tcPr>
            <w:cnfStyle w:val="001000000000"/>
            <w:tcW w:w="2376" w:type="dxa"/>
          </w:tcPr>
          <w:p w:rsidR="00377963" w:rsidRPr="00C24C9D" w:rsidRDefault="00377963" w:rsidP="003D1F7C">
            <w:pPr>
              <w:autoSpaceDE w:val="0"/>
              <w:autoSpaceDN w:val="0"/>
              <w:adjustRightInd w:val="0"/>
              <w:jc w:val="both"/>
              <w:rPr>
                <w:rFonts w:ascii="Arial" w:hAnsi="Arial" w:cs="Arial"/>
                <w:color w:val="000000"/>
                <w:sz w:val="20"/>
                <w:szCs w:val="18"/>
              </w:rPr>
            </w:pPr>
          </w:p>
        </w:tc>
        <w:tc>
          <w:tcPr>
            <w:tcW w:w="1377" w:type="dxa"/>
          </w:tcPr>
          <w:p w:rsidR="00377963" w:rsidRDefault="00377963" w:rsidP="003D1F7C">
            <w:pPr>
              <w:autoSpaceDE w:val="0"/>
              <w:autoSpaceDN w:val="0"/>
              <w:adjustRightInd w:val="0"/>
              <w:ind w:right="10"/>
              <w:jc w:val="both"/>
              <w:cnfStyle w:val="000000000000"/>
              <w:rPr>
                <w:rFonts w:ascii="Arial" w:hAnsi="Arial" w:cs="Arial"/>
                <w:color w:val="000000"/>
                <w:sz w:val="20"/>
                <w:szCs w:val="18"/>
                <w:lang w:val="en-GB"/>
              </w:rPr>
            </w:pPr>
          </w:p>
        </w:tc>
        <w:tc>
          <w:tcPr>
            <w:tcW w:w="1823" w:type="dxa"/>
          </w:tcPr>
          <w:p w:rsidR="00377963" w:rsidRPr="00563413" w:rsidRDefault="00377963" w:rsidP="00A00E69">
            <w:pPr>
              <w:autoSpaceDE w:val="0"/>
              <w:autoSpaceDN w:val="0"/>
              <w:adjustRightInd w:val="0"/>
              <w:ind w:right="10"/>
              <w:jc w:val="both"/>
              <w:cnfStyle w:val="000000000000"/>
              <w:rPr>
                <w:rFonts w:ascii="Arial" w:hAnsi="Arial" w:cs="Arial"/>
                <w:color w:val="000000"/>
                <w:sz w:val="20"/>
                <w:szCs w:val="18"/>
                <w:lang w:val="en-GB"/>
              </w:rPr>
            </w:pPr>
            <w:r w:rsidRPr="00563413">
              <w:rPr>
                <w:rFonts w:ascii="Arial" w:hAnsi="Arial" w:cs="Arial"/>
                <w:color w:val="000000"/>
                <w:sz w:val="20"/>
                <w:szCs w:val="18"/>
                <w:lang w:val="en-GB"/>
              </w:rPr>
              <w:t>(0.133)</w:t>
            </w:r>
          </w:p>
        </w:tc>
        <w:tc>
          <w:tcPr>
            <w:tcW w:w="1771" w:type="dxa"/>
          </w:tcPr>
          <w:p w:rsidR="00377963" w:rsidRPr="00563413" w:rsidRDefault="00377963" w:rsidP="00A00E69">
            <w:pPr>
              <w:autoSpaceDE w:val="0"/>
              <w:autoSpaceDN w:val="0"/>
              <w:adjustRightInd w:val="0"/>
              <w:ind w:right="10"/>
              <w:jc w:val="center"/>
              <w:cnfStyle w:val="000000000000"/>
              <w:rPr>
                <w:rFonts w:ascii="Arial" w:hAnsi="Arial" w:cs="Arial"/>
                <w:color w:val="000000"/>
                <w:sz w:val="20"/>
                <w:szCs w:val="18"/>
              </w:rPr>
            </w:pPr>
            <w:r>
              <w:rPr>
                <w:rFonts w:ascii="Arial" w:hAnsi="Arial" w:cs="Arial"/>
                <w:color w:val="000000"/>
                <w:sz w:val="20"/>
                <w:szCs w:val="18"/>
              </w:rPr>
              <w:t>(</w:t>
            </w:r>
            <w:r w:rsidRPr="00563413">
              <w:rPr>
                <w:rFonts w:ascii="Arial" w:hAnsi="Arial" w:cs="Arial"/>
                <w:color w:val="000000"/>
                <w:sz w:val="20"/>
                <w:szCs w:val="18"/>
              </w:rPr>
              <w:t>0.116</w:t>
            </w:r>
            <w:r>
              <w:rPr>
                <w:rFonts w:ascii="Arial" w:hAnsi="Arial" w:cs="Arial"/>
                <w:color w:val="000000"/>
                <w:sz w:val="20"/>
                <w:szCs w:val="18"/>
              </w:rPr>
              <w:t>)</w:t>
            </w:r>
          </w:p>
        </w:tc>
        <w:tc>
          <w:tcPr>
            <w:tcW w:w="1771" w:type="dxa"/>
          </w:tcPr>
          <w:p w:rsidR="00377963" w:rsidRPr="00563413" w:rsidRDefault="00377963" w:rsidP="003D1F7C">
            <w:pPr>
              <w:autoSpaceDE w:val="0"/>
              <w:autoSpaceDN w:val="0"/>
              <w:adjustRightInd w:val="0"/>
              <w:ind w:right="10"/>
              <w:jc w:val="center"/>
              <w:cnfStyle w:val="000000000000"/>
              <w:rPr>
                <w:rFonts w:ascii="Arial" w:hAnsi="Arial" w:cs="Arial"/>
                <w:color w:val="000000"/>
                <w:sz w:val="20"/>
                <w:szCs w:val="18"/>
                <w:lang w:val="en-GB"/>
              </w:rPr>
            </w:pPr>
          </w:p>
        </w:tc>
        <w:tc>
          <w:tcPr>
            <w:tcW w:w="1771" w:type="dxa"/>
          </w:tcPr>
          <w:p w:rsidR="00377963" w:rsidRPr="00563413" w:rsidRDefault="00377963" w:rsidP="003D1F7C">
            <w:pPr>
              <w:jc w:val="center"/>
              <w:cnfStyle w:val="000000000000"/>
              <w:rPr>
                <w:rFonts w:ascii="Arial" w:hAnsi="Arial" w:cs="Arial"/>
                <w:b/>
                <w:i/>
                <w:lang w:val="en-US"/>
              </w:rPr>
            </w:pPr>
          </w:p>
        </w:tc>
        <w:tc>
          <w:tcPr>
            <w:tcW w:w="1771" w:type="dxa"/>
          </w:tcPr>
          <w:p w:rsidR="00377963" w:rsidRPr="00563413" w:rsidRDefault="00377963" w:rsidP="003D1F7C">
            <w:pPr>
              <w:jc w:val="center"/>
              <w:cnfStyle w:val="000000000000"/>
              <w:rPr>
                <w:rFonts w:ascii="Arial" w:hAnsi="Arial" w:cs="Arial"/>
                <w:b/>
                <w:i/>
                <w:lang w:val="en-US"/>
              </w:rPr>
            </w:pPr>
          </w:p>
        </w:tc>
        <w:tc>
          <w:tcPr>
            <w:tcW w:w="1528" w:type="dxa"/>
          </w:tcPr>
          <w:p w:rsidR="00377963" w:rsidRDefault="00377963" w:rsidP="003D1F7C">
            <w:pPr>
              <w:cnfStyle w:val="000000000000"/>
              <w:rPr>
                <w:rFonts w:ascii="Arial" w:hAnsi="Arial" w:cs="Arial"/>
                <w:b/>
                <w:i/>
                <w:lang w:val="en-US"/>
              </w:rPr>
            </w:pPr>
          </w:p>
        </w:tc>
      </w:tr>
      <w:tr w:rsidR="00377963" w:rsidTr="00377963">
        <w:trPr>
          <w:trHeight w:val="251"/>
        </w:trPr>
        <w:tc>
          <w:tcPr>
            <w:cnfStyle w:val="001000000000"/>
            <w:tcW w:w="2376" w:type="dxa"/>
          </w:tcPr>
          <w:p w:rsidR="00377963" w:rsidRPr="00C24C9D" w:rsidRDefault="00377963" w:rsidP="003D1F7C">
            <w:pPr>
              <w:autoSpaceDE w:val="0"/>
              <w:autoSpaceDN w:val="0"/>
              <w:adjustRightInd w:val="0"/>
              <w:jc w:val="both"/>
              <w:rPr>
                <w:rFonts w:ascii="Arial" w:hAnsi="Arial" w:cs="Arial"/>
                <w:color w:val="000000"/>
                <w:sz w:val="20"/>
                <w:szCs w:val="18"/>
              </w:rPr>
            </w:pPr>
            <w:r w:rsidRPr="00C24C9D">
              <w:rPr>
                <w:rFonts w:ascii="Arial" w:hAnsi="Arial" w:cs="Arial"/>
                <w:color w:val="000000"/>
                <w:sz w:val="20"/>
                <w:szCs w:val="18"/>
              </w:rPr>
              <w:t>PDI</w:t>
            </w:r>
          </w:p>
        </w:tc>
        <w:tc>
          <w:tcPr>
            <w:tcW w:w="1377" w:type="dxa"/>
          </w:tcPr>
          <w:p w:rsidR="00377963" w:rsidRPr="00C24C9D" w:rsidRDefault="00377963" w:rsidP="003D1F7C">
            <w:pPr>
              <w:autoSpaceDE w:val="0"/>
              <w:autoSpaceDN w:val="0"/>
              <w:adjustRightInd w:val="0"/>
              <w:ind w:right="10"/>
              <w:jc w:val="both"/>
              <w:cnfStyle w:val="000000000000"/>
              <w:rPr>
                <w:rFonts w:ascii="Arial" w:hAnsi="Arial" w:cs="Arial"/>
                <w:color w:val="000000"/>
                <w:sz w:val="20"/>
                <w:szCs w:val="18"/>
              </w:rPr>
            </w:pPr>
            <w:r>
              <w:rPr>
                <w:rFonts w:ascii="Arial" w:hAnsi="Arial" w:cs="Arial"/>
                <w:color w:val="000000"/>
                <w:sz w:val="20"/>
                <w:szCs w:val="18"/>
              </w:rPr>
              <w:t>+</w:t>
            </w:r>
          </w:p>
        </w:tc>
        <w:tc>
          <w:tcPr>
            <w:tcW w:w="1823" w:type="dxa"/>
          </w:tcPr>
          <w:p w:rsidR="00377963" w:rsidRPr="00563413" w:rsidRDefault="00377963" w:rsidP="00A00E69">
            <w:pPr>
              <w:autoSpaceDE w:val="0"/>
              <w:autoSpaceDN w:val="0"/>
              <w:adjustRightInd w:val="0"/>
              <w:ind w:right="10"/>
              <w:jc w:val="both"/>
              <w:cnfStyle w:val="000000000000"/>
              <w:rPr>
                <w:rFonts w:ascii="Arial" w:hAnsi="Arial" w:cs="Arial"/>
                <w:color w:val="000000"/>
                <w:sz w:val="20"/>
                <w:szCs w:val="18"/>
              </w:rPr>
            </w:pPr>
            <w:r w:rsidRPr="00563413">
              <w:rPr>
                <w:rFonts w:ascii="Arial" w:hAnsi="Arial" w:cs="Arial"/>
                <w:color w:val="000000"/>
                <w:sz w:val="20"/>
                <w:szCs w:val="18"/>
              </w:rPr>
              <w:t>0.060</w:t>
            </w:r>
          </w:p>
        </w:tc>
        <w:tc>
          <w:tcPr>
            <w:tcW w:w="1771" w:type="dxa"/>
          </w:tcPr>
          <w:p w:rsidR="00377963" w:rsidRPr="00563413" w:rsidRDefault="00377963" w:rsidP="003D1F7C">
            <w:pPr>
              <w:autoSpaceDE w:val="0"/>
              <w:autoSpaceDN w:val="0"/>
              <w:adjustRightInd w:val="0"/>
              <w:ind w:right="10"/>
              <w:jc w:val="center"/>
              <w:cnfStyle w:val="000000000000"/>
              <w:rPr>
                <w:rFonts w:ascii="Arial" w:hAnsi="Arial" w:cs="Arial"/>
                <w:color w:val="000000"/>
                <w:sz w:val="20"/>
                <w:szCs w:val="18"/>
              </w:rPr>
            </w:pPr>
          </w:p>
        </w:tc>
        <w:tc>
          <w:tcPr>
            <w:tcW w:w="1771" w:type="dxa"/>
          </w:tcPr>
          <w:p w:rsidR="00377963" w:rsidRPr="00563413" w:rsidRDefault="00377963" w:rsidP="00A00E69">
            <w:pPr>
              <w:autoSpaceDE w:val="0"/>
              <w:autoSpaceDN w:val="0"/>
              <w:adjustRightInd w:val="0"/>
              <w:ind w:right="10"/>
              <w:jc w:val="center"/>
              <w:cnfStyle w:val="000000000000"/>
              <w:rPr>
                <w:rFonts w:ascii="Arial" w:hAnsi="Arial" w:cs="Arial"/>
                <w:color w:val="000000"/>
                <w:sz w:val="20"/>
                <w:szCs w:val="18"/>
                <w:lang w:val="en-GB"/>
              </w:rPr>
            </w:pPr>
            <w:r w:rsidRPr="00563413">
              <w:rPr>
                <w:rFonts w:ascii="Arial" w:hAnsi="Arial" w:cs="Arial"/>
                <w:color w:val="000000"/>
                <w:sz w:val="20"/>
                <w:szCs w:val="18"/>
              </w:rPr>
              <w:t>-0.028</w:t>
            </w:r>
          </w:p>
        </w:tc>
        <w:tc>
          <w:tcPr>
            <w:tcW w:w="1771" w:type="dxa"/>
          </w:tcPr>
          <w:p w:rsidR="00377963" w:rsidRPr="00563413" w:rsidRDefault="00377963" w:rsidP="003D1F7C">
            <w:pPr>
              <w:jc w:val="center"/>
              <w:cnfStyle w:val="000000000000"/>
              <w:rPr>
                <w:rFonts w:ascii="Arial" w:hAnsi="Arial" w:cs="Arial"/>
                <w:b/>
                <w:i/>
                <w:lang w:val="en-US"/>
              </w:rPr>
            </w:pPr>
          </w:p>
        </w:tc>
        <w:tc>
          <w:tcPr>
            <w:tcW w:w="1771" w:type="dxa"/>
          </w:tcPr>
          <w:p w:rsidR="00377963" w:rsidRPr="00563413" w:rsidRDefault="00377963" w:rsidP="003D1F7C">
            <w:pPr>
              <w:jc w:val="center"/>
              <w:cnfStyle w:val="000000000000"/>
              <w:rPr>
                <w:rFonts w:ascii="Arial" w:hAnsi="Arial" w:cs="Arial"/>
                <w:b/>
                <w:i/>
                <w:lang w:val="en-US"/>
              </w:rPr>
            </w:pPr>
          </w:p>
        </w:tc>
        <w:tc>
          <w:tcPr>
            <w:tcW w:w="1528" w:type="dxa"/>
          </w:tcPr>
          <w:p w:rsidR="00377963" w:rsidRDefault="00377963" w:rsidP="003D1F7C">
            <w:pPr>
              <w:cnfStyle w:val="000000000000"/>
              <w:rPr>
                <w:rFonts w:ascii="Arial" w:hAnsi="Arial" w:cs="Arial"/>
                <w:b/>
                <w:i/>
                <w:lang w:val="en-US"/>
              </w:rPr>
            </w:pPr>
          </w:p>
        </w:tc>
      </w:tr>
      <w:tr w:rsidR="00377963" w:rsidTr="00377963">
        <w:trPr>
          <w:trHeight w:val="460"/>
        </w:trPr>
        <w:tc>
          <w:tcPr>
            <w:cnfStyle w:val="001000000000"/>
            <w:tcW w:w="2376" w:type="dxa"/>
          </w:tcPr>
          <w:p w:rsidR="00377963" w:rsidRPr="00C24C9D" w:rsidRDefault="00377963" w:rsidP="003D1F7C">
            <w:pPr>
              <w:autoSpaceDE w:val="0"/>
              <w:autoSpaceDN w:val="0"/>
              <w:adjustRightInd w:val="0"/>
              <w:jc w:val="both"/>
              <w:rPr>
                <w:rFonts w:ascii="Arial" w:hAnsi="Arial" w:cs="Arial"/>
                <w:color w:val="000000"/>
                <w:sz w:val="20"/>
                <w:szCs w:val="18"/>
              </w:rPr>
            </w:pPr>
          </w:p>
        </w:tc>
        <w:tc>
          <w:tcPr>
            <w:tcW w:w="1377" w:type="dxa"/>
          </w:tcPr>
          <w:p w:rsidR="00377963" w:rsidRDefault="00377963" w:rsidP="003D1F7C">
            <w:pPr>
              <w:autoSpaceDE w:val="0"/>
              <w:autoSpaceDN w:val="0"/>
              <w:adjustRightInd w:val="0"/>
              <w:ind w:right="10"/>
              <w:jc w:val="both"/>
              <w:cnfStyle w:val="000000000000"/>
              <w:rPr>
                <w:rFonts w:ascii="Arial" w:hAnsi="Arial" w:cs="Arial"/>
                <w:color w:val="000000"/>
                <w:sz w:val="20"/>
                <w:szCs w:val="18"/>
              </w:rPr>
            </w:pPr>
          </w:p>
        </w:tc>
        <w:tc>
          <w:tcPr>
            <w:tcW w:w="1823" w:type="dxa"/>
          </w:tcPr>
          <w:p w:rsidR="00377963" w:rsidRPr="00563413" w:rsidRDefault="00A00E69" w:rsidP="00A00E69">
            <w:pPr>
              <w:autoSpaceDE w:val="0"/>
              <w:autoSpaceDN w:val="0"/>
              <w:adjustRightInd w:val="0"/>
              <w:ind w:right="10"/>
              <w:jc w:val="both"/>
              <w:cnfStyle w:val="000000000000"/>
              <w:rPr>
                <w:rFonts w:ascii="Arial" w:hAnsi="Arial" w:cs="Arial"/>
                <w:color w:val="000000"/>
                <w:sz w:val="20"/>
                <w:szCs w:val="18"/>
              </w:rPr>
            </w:pPr>
            <w:r>
              <w:rPr>
                <w:rFonts w:ascii="Arial" w:hAnsi="Arial" w:cs="Arial"/>
                <w:color w:val="000000"/>
                <w:sz w:val="20"/>
                <w:szCs w:val="18"/>
              </w:rPr>
              <w:t>(0.146</w:t>
            </w:r>
            <w:r w:rsidR="00377963" w:rsidRPr="00563413">
              <w:rPr>
                <w:rFonts w:ascii="Arial" w:hAnsi="Arial" w:cs="Arial"/>
                <w:color w:val="000000"/>
                <w:sz w:val="20"/>
                <w:szCs w:val="18"/>
              </w:rPr>
              <w:t>)</w:t>
            </w:r>
          </w:p>
        </w:tc>
        <w:tc>
          <w:tcPr>
            <w:tcW w:w="1771" w:type="dxa"/>
          </w:tcPr>
          <w:p w:rsidR="00377963" w:rsidRPr="00563413" w:rsidRDefault="00377963" w:rsidP="003D1F7C">
            <w:pPr>
              <w:autoSpaceDE w:val="0"/>
              <w:autoSpaceDN w:val="0"/>
              <w:adjustRightInd w:val="0"/>
              <w:ind w:right="10"/>
              <w:jc w:val="center"/>
              <w:cnfStyle w:val="000000000000"/>
              <w:rPr>
                <w:rFonts w:ascii="Arial" w:hAnsi="Arial" w:cs="Arial"/>
                <w:color w:val="000000"/>
                <w:sz w:val="20"/>
                <w:szCs w:val="18"/>
              </w:rPr>
            </w:pPr>
          </w:p>
        </w:tc>
        <w:tc>
          <w:tcPr>
            <w:tcW w:w="1771" w:type="dxa"/>
          </w:tcPr>
          <w:p w:rsidR="00377963" w:rsidRPr="00563413" w:rsidRDefault="00377963" w:rsidP="00A00E69">
            <w:pPr>
              <w:autoSpaceDE w:val="0"/>
              <w:autoSpaceDN w:val="0"/>
              <w:adjustRightInd w:val="0"/>
              <w:ind w:right="10"/>
              <w:jc w:val="center"/>
              <w:cnfStyle w:val="000000000000"/>
              <w:rPr>
                <w:rFonts w:ascii="Arial" w:hAnsi="Arial" w:cs="Arial"/>
                <w:color w:val="000000"/>
                <w:sz w:val="20"/>
                <w:szCs w:val="18"/>
              </w:rPr>
            </w:pPr>
            <w:r>
              <w:rPr>
                <w:rFonts w:ascii="Arial" w:hAnsi="Arial" w:cs="Arial"/>
                <w:color w:val="000000"/>
                <w:sz w:val="20"/>
                <w:szCs w:val="18"/>
              </w:rPr>
              <w:t>(</w:t>
            </w:r>
            <w:r w:rsidR="00A00E69">
              <w:rPr>
                <w:rFonts w:ascii="Arial" w:hAnsi="Arial" w:cs="Arial"/>
                <w:color w:val="000000"/>
                <w:sz w:val="20"/>
                <w:szCs w:val="18"/>
              </w:rPr>
              <w:t>0.111</w:t>
            </w:r>
            <w:r>
              <w:rPr>
                <w:rFonts w:ascii="Arial" w:hAnsi="Arial" w:cs="Arial"/>
                <w:color w:val="000000"/>
                <w:sz w:val="20"/>
                <w:szCs w:val="18"/>
              </w:rPr>
              <w:t>)</w:t>
            </w:r>
          </w:p>
        </w:tc>
        <w:tc>
          <w:tcPr>
            <w:tcW w:w="1771" w:type="dxa"/>
          </w:tcPr>
          <w:p w:rsidR="00377963" w:rsidRPr="00563413" w:rsidRDefault="00377963" w:rsidP="003D1F7C">
            <w:pPr>
              <w:jc w:val="center"/>
              <w:cnfStyle w:val="000000000000"/>
              <w:rPr>
                <w:rFonts w:ascii="Arial" w:hAnsi="Arial" w:cs="Arial"/>
                <w:b/>
                <w:i/>
                <w:lang w:val="en-US"/>
              </w:rPr>
            </w:pPr>
          </w:p>
        </w:tc>
        <w:tc>
          <w:tcPr>
            <w:tcW w:w="1771" w:type="dxa"/>
          </w:tcPr>
          <w:p w:rsidR="00377963" w:rsidRPr="00563413" w:rsidRDefault="00377963" w:rsidP="003D1F7C">
            <w:pPr>
              <w:jc w:val="center"/>
              <w:cnfStyle w:val="000000000000"/>
              <w:rPr>
                <w:rFonts w:ascii="Arial" w:hAnsi="Arial" w:cs="Arial"/>
                <w:b/>
                <w:i/>
                <w:lang w:val="en-US"/>
              </w:rPr>
            </w:pPr>
          </w:p>
        </w:tc>
        <w:tc>
          <w:tcPr>
            <w:tcW w:w="1528" w:type="dxa"/>
          </w:tcPr>
          <w:p w:rsidR="00377963" w:rsidRPr="00563413" w:rsidRDefault="00377963" w:rsidP="003D1F7C">
            <w:pPr>
              <w:autoSpaceDE w:val="0"/>
              <w:autoSpaceDN w:val="0"/>
              <w:adjustRightInd w:val="0"/>
              <w:ind w:right="10"/>
              <w:jc w:val="center"/>
              <w:cnfStyle w:val="000000000000"/>
              <w:rPr>
                <w:rFonts w:ascii="Arial" w:hAnsi="Arial" w:cs="Arial"/>
                <w:color w:val="000000"/>
                <w:sz w:val="20"/>
                <w:szCs w:val="18"/>
              </w:rPr>
            </w:pPr>
          </w:p>
        </w:tc>
      </w:tr>
      <w:tr w:rsidR="00377963" w:rsidTr="00377963">
        <w:trPr>
          <w:trHeight w:val="251"/>
        </w:trPr>
        <w:tc>
          <w:tcPr>
            <w:cnfStyle w:val="001000000000"/>
            <w:tcW w:w="2376" w:type="dxa"/>
          </w:tcPr>
          <w:p w:rsidR="00377963" w:rsidRPr="00C24C9D" w:rsidRDefault="00377963" w:rsidP="003D1F7C">
            <w:pPr>
              <w:autoSpaceDE w:val="0"/>
              <w:autoSpaceDN w:val="0"/>
              <w:adjustRightInd w:val="0"/>
              <w:jc w:val="both"/>
              <w:rPr>
                <w:rFonts w:ascii="Arial" w:hAnsi="Arial" w:cs="Arial"/>
                <w:color w:val="000000"/>
                <w:sz w:val="20"/>
                <w:szCs w:val="18"/>
              </w:rPr>
            </w:pPr>
            <w:r w:rsidRPr="00C24C9D">
              <w:rPr>
                <w:rFonts w:ascii="Arial" w:hAnsi="Arial" w:cs="Arial"/>
                <w:color w:val="000000"/>
                <w:sz w:val="20"/>
                <w:szCs w:val="18"/>
              </w:rPr>
              <w:t>MASC</w:t>
            </w:r>
          </w:p>
        </w:tc>
        <w:tc>
          <w:tcPr>
            <w:tcW w:w="1377" w:type="dxa"/>
          </w:tcPr>
          <w:p w:rsidR="00377963" w:rsidRPr="00C24C9D" w:rsidRDefault="00377963" w:rsidP="003D1F7C">
            <w:pPr>
              <w:autoSpaceDE w:val="0"/>
              <w:autoSpaceDN w:val="0"/>
              <w:adjustRightInd w:val="0"/>
              <w:ind w:right="10"/>
              <w:jc w:val="both"/>
              <w:cnfStyle w:val="000000000000"/>
              <w:rPr>
                <w:rFonts w:ascii="Arial" w:hAnsi="Arial" w:cs="Arial"/>
                <w:color w:val="000000"/>
                <w:sz w:val="20"/>
                <w:szCs w:val="18"/>
              </w:rPr>
            </w:pPr>
            <w:r>
              <w:rPr>
                <w:rFonts w:ascii="Arial" w:hAnsi="Arial" w:cs="Arial"/>
                <w:color w:val="000000"/>
                <w:sz w:val="20"/>
                <w:szCs w:val="18"/>
              </w:rPr>
              <w:t>+</w:t>
            </w:r>
          </w:p>
        </w:tc>
        <w:tc>
          <w:tcPr>
            <w:tcW w:w="1823" w:type="dxa"/>
          </w:tcPr>
          <w:p w:rsidR="00377963" w:rsidRPr="00563413" w:rsidRDefault="00A00E69" w:rsidP="00A00E69">
            <w:pPr>
              <w:autoSpaceDE w:val="0"/>
              <w:autoSpaceDN w:val="0"/>
              <w:adjustRightInd w:val="0"/>
              <w:ind w:right="10"/>
              <w:jc w:val="both"/>
              <w:cnfStyle w:val="000000000000"/>
              <w:rPr>
                <w:rFonts w:ascii="Arial" w:hAnsi="Arial" w:cs="Arial"/>
                <w:color w:val="000000"/>
                <w:sz w:val="20"/>
                <w:szCs w:val="18"/>
              </w:rPr>
            </w:pPr>
            <w:r>
              <w:rPr>
                <w:rFonts w:ascii="Arial" w:hAnsi="Arial" w:cs="Arial"/>
                <w:color w:val="000000"/>
                <w:sz w:val="20"/>
                <w:szCs w:val="18"/>
              </w:rPr>
              <w:t>-0.020</w:t>
            </w:r>
          </w:p>
        </w:tc>
        <w:tc>
          <w:tcPr>
            <w:tcW w:w="1771" w:type="dxa"/>
          </w:tcPr>
          <w:p w:rsidR="00377963" w:rsidRPr="00563413" w:rsidRDefault="00377963" w:rsidP="003D1F7C">
            <w:pPr>
              <w:autoSpaceDE w:val="0"/>
              <w:autoSpaceDN w:val="0"/>
              <w:adjustRightInd w:val="0"/>
              <w:jc w:val="center"/>
              <w:cnfStyle w:val="000000000000"/>
              <w:rPr>
                <w:rFonts w:ascii="Arial" w:hAnsi="Arial" w:cs="Arial"/>
                <w:color w:val="000000"/>
                <w:sz w:val="20"/>
                <w:szCs w:val="18"/>
              </w:rPr>
            </w:pPr>
          </w:p>
        </w:tc>
        <w:tc>
          <w:tcPr>
            <w:tcW w:w="1771" w:type="dxa"/>
          </w:tcPr>
          <w:p w:rsidR="00377963" w:rsidRPr="00563413" w:rsidRDefault="00377963" w:rsidP="003D1F7C">
            <w:pPr>
              <w:autoSpaceDE w:val="0"/>
              <w:autoSpaceDN w:val="0"/>
              <w:adjustRightInd w:val="0"/>
              <w:ind w:right="10"/>
              <w:jc w:val="center"/>
              <w:cnfStyle w:val="000000000000"/>
              <w:rPr>
                <w:rFonts w:ascii="Arial" w:hAnsi="Arial" w:cs="Arial"/>
                <w:color w:val="000000"/>
                <w:sz w:val="20"/>
                <w:szCs w:val="18"/>
              </w:rPr>
            </w:pPr>
          </w:p>
        </w:tc>
        <w:tc>
          <w:tcPr>
            <w:tcW w:w="1771" w:type="dxa"/>
          </w:tcPr>
          <w:p w:rsidR="00377963" w:rsidRPr="00563413" w:rsidRDefault="00A00E69" w:rsidP="00A00E69">
            <w:pPr>
              <w:jc w:val="center"/>
              <w:cnfStyle w:val="000000000000"/>
              <w:rPr>
                <w:rFonts w:ascii="Arial" w:hAnsi="Arial" w:cs="Arial"/>
                <w:b/>
                <w:i/>
                <w:lang w:val="en-US"/>
              </w:rPr>
            </w:pPr>
            <w:r>
              <w:rPr>
                <w:rFonts w:ascii="Arial" w:hAnsi="Arial" w:cs="Arial"/>
                <w:color w:val="000000"/>
                <w:sz w:val="20"/>
                <w:szCs w:val="18"/>
              </w:rPr>
              <w:t>-0.008</w:t>
            </w:r>
          </w:p>
        </w:tc>
        <w:tc>
          <w:tcPr>
            <w:tcW w:w="1771" w:type="dxa"/>
          </w:tcPr>
          <w:p w:rsidR="00377963" w:rsidRPr="00563413" w:rsidRDefault="00377963" w:rsidP="003D1F7C">
            <w:pPr>
              <w:jc w:val="center"/>
              <w:cnfStyle w:val="000000000000"/>
              <w:rPr>
                <w:rFonts w:ascii="Arial" w:hAnsi="Arial" w:cs="Arial"/>
                <w:b/>
                <w:i/>
                <w:lang w:val="en-US"/>
              </w:rPr>
            </w:pPr>
          </w:p>
        </w:tc>
        <w:tc>
          <w:tcPr>
            <w:tcW w:w="1528" w:type="dxa"/>
          </w:tcPr>
          <w:p w:rsidR="00377963" w:rsidRPr="00563413" w:rsidRDefault="00377963" w:rsidP="003D1F7C">
            <w:pPr>
              <w:autoSpaceDE w:val="0"/>
              <w:autoSpaceDN w:val="0"/>
              <w:adjustRightInd w:val="0"/>
              <w:jc w:val="center"/>
              <w:cnfStyle w:val="000000000000"/>
              <w:rPr>
                <w:rFonts w:ascii="Arial" w:hAnsi="Arial" w:cs="Arial"/>
                <w:color w:val="000000"/>
                <w:sz w:val="20"/>
                <w:szCs w:val="18"/>
              </w:rPr>
            </w:pPr>
          </w:p>
        </w:tc>
      </w:tr>
      <w:tr w:rsidR="00377963" w:rsidTr="00377963">
        <w:trPr>
          <w:trHeight w:val="454"/>
        </w:trPr>
        <w:tc>
          <w:tcPr>
            <w:cnfStyle w:val="001000000000"/>
            <w:tcW w:w="2376" w:type="dxa"/>
          </w:tcPr>
          <w:p w:rsidR="00377963" w:rsidRPr="00C24C9D" w:rsidRDefault="00377963" w:rsidP="003D1F7C">
            <w:pPr>
              <w:autoSpaceDE w:val="0"/>
              <w:autoSpaceDN w:val="0"/>
              <w:adjustRightInd w:val="0"/>
              <w:jc w:val="both"/>
              <w:rPr>
                <w:rFonts w:ascii="Arial" w:hAnsi="Arial" w:cs="Arial"/>
                <w:color w:val="000000"/>
                <w:sz w:val="20"/>
                <w:szCs w:val="18"/>
              </w:rPr>
            </w:pPr>
          </w:p>
        </w:tc>
        <w:tc>
          <w:tcPr>
            <w:tcW w:w="1377" w:type="dxa"/>
          </w:tcPr>
          <w:p w:rsidR="00377963" w:rsidRDefault="00377963" w:rsidP="003D1F7C">
            <w:pPr>
              <w:autoSpaceDE w:val="0"/>
              <w:autoSpaceDN w:val="0"/>
              <w:adjustRightInd w:val="0"/>
              <w:ind w:right="10"/>
              <w:jc w:val="both"/>
              <w:cnfStyle w:val="000000000000"/>
              <w:rPr>
                <w:rFonts w:ascii="Arial" w:hAnsi="Arial" w:cs="Arial"/>
                <w:color w:val="000000"/>
                <w:sz w:val="20"/>
                <w:szCs w:val="18"/>
              </w:rPr>
            </w:pPr>
          </w:p>
        </w:tc>
        <w:tc>
          <w:tcPr>
            <w:tcW w:w="1823" w:type="dxa"/>
          </w:tcPr>
          <w:p w:rsidR="00377963" w:rsidRPr="00563413" w:rsidRDefault="00377963" w:rsidP="00A00E69">
            <w:pPr>
              <w:autoSpaceDE w:val="0"/>
              <w:autoSpaceDN w:val="0"/>
              <w:adjustRightInd w:val="0"/>
              <w:ind w:right="10"/>
              <w:jc w:val="both"/>
              <w:cnfStyle w:val="000000000000"/>
              <w:rPr>
                <w:rFonts w:ascii="Arial" w:hAnsi="Arial" w:cs="Arial"/>
                <w:color w:val="000000"/>
                <w:sz w:val="20"/>
                <w:szCs w:val="18"/>
              </w:rPr>
            </w:pPr>
            <w:r w:rsidRPr="00563413">
              <w:rPr>
                <w:rFonts w:ascii="Arial" w:hAnsi="Arial" w:cs="Arial"/>
                <w:color w:val="000000"/>
                <w:sz w:val="20"/>
                <w:szCs w:val="18"/>
              </w:rPr>
              <w:t>(0.093)</w:t>
            </w:r>
          </w:p>
        </w:tc>
        <w:tc>
          <w:tcPr>
            <w:tcW w:w="1771" w:type="dxa"/>
          </w:tcPr>
          <w:p w:rsidR="00377963" w:rsidRPr="00563413" w:rsidRDefault="00377963" w:rsidP="003D1F7C">
            <w:pPr>
              <w:autoSpaceDE w:val="0"/>
              <w:autoSpaceDN w:val="0"/>
              <w:adjustRightInd w:val="0"/>
              <w:jc w:val="center"/>
              <w:cnfStyle w:val="000000000000"/>
              <w:rPr>
                <w:rFonts w:ascii="Arial" w:hAnsi="Arial" w:cs="Arial"/>
                <w:color w:val="000000"/>
                <w:sz w:val="20"/>
                <w:szCs w:val="18"/>
              </w:rPr>
            </w:pPr>
          </w:p>
        </w:tc>
        <w:tc>
          <w:tcPr>
            <w:tcW w:w="1771" w:type="dxa"/>
          </w:tcPr>
          <w:p w:rsidR="00377963" w:rsidRPr="00563413" w:rsidRDefault="00377963" w:rsidP="003D1F7C">
            <w:pPr>
              <w:autoSpaceDE w:val="0"/>
              <w:autoSpaceDN w:val="0"/>
              <w:adjustRightInd w:val="0"/>
              <w:ind w:right="10"/>
              <w:jc w:val="center"/>
              <w:cnfStyle w:val="000000000000"/>
              <w:rPr>
                <w:rFonts w:ascii="Arial" w:hAnsi="Arial" w:cs="Arial"/>
                <w:color w:val="000000"/>
                <w:sz w:val="20"/>
                <w:szCs w:val="18"/>
              </w:rPr>
            </w:pPr>
          </w:p>
        </w:tc>
        <w:tc>
          <w:tcPr>
            <w:tcW w:w="1771" w:type="dxa"/>
          </w:tcPr>
          <w:p w:rsidR="00377963" w:rsidRPr="00563413" w:rsidRDefault="00377963" w:rsidP="00A00E69">
            <w:pPr>
              <w:autoSpaceDE w:val="0"/>
              <w:autoSpaceDN w:val="0"/>
              <w:adjustRightInd w:val="0"/>
              <w:ind w:right="10"/>
              <w:jc w:val="center"/>
              <w:cnfStyle w:val="000000000000"/>
              <w:rPr>
                <w:rFonts w:ascii="Arial" w:hAnsi="Arial" w:cs="Arial"/>
                <w:color w:val="000000"/>
                <w:sz w:val="20"/>
                <w:szCs w:val="18"/>
              </w:rPr>
            </w:pPr>
            <w:r>
              <w:rPr>
                <w:rFonts w:ascii="Arial" w:hAnsi="Arial" w:cs="Arial"/>
                <w:color w:val="000000"/>
                <w:sz w:val="20"/>
                <w:szCs w:val="18"/>
              </w:rPr>
              <w:t>(</w:t>
            </w:r>
            <w:r w:rsidRPr="00563413">
              <w:rPr>
                <w:rFonts w:ascii="Arial" w:hAnsi="Arial" w:cs="Arial"/>
                <w:color w:val="000000"/>
                <w:sz w:val="20"/>
                <w:szCs w:val="18"/>
              </w:rPr>
              <w:t>0.088</w:t>
            </w:r>
            <w:r>
              <w:rPr>
                <w:rFonts w:ascii="Arial" w:hAnsi="Arial" w:cs="Arial"/>
                <w:color w:val="000000"/>
                <w:sz w:val="20"/>
                <w:szCs w:val="18"/>
              </w:rPr>
              <w:t>)</w:t>
            </w:r>
          </w:p>
        </w:tc>
        <w:tc>
          <w:tcPr>
            <w:tcW w:w="1771" w:type="dxa"/>
          </w:tcPr>
          <w:p w:rsidR="00377963" w:rsidRPr="00563413" w:rsidRDefault="00377963" w:rsidP="003D1F7C">
            <w:pPr>
              <w:jc w:val="center"/>
              <w:cnfStyle w:val="000000000000"/>
              <w:rPr>
                <w:rFonts w:ascii="Arial" w:hAnsi="Arial" w:cs="Arial"/>
                <w:b/>
                <w:i/>
                <w:lang w:val="en-US"/>
              </w:rPr>
            </w:pPr>
          </w:p>
        </w:tc>
        <w:tc>
          <w:tcPr>
            <w:tcW w:w="1528" w:type="dxa"/>
          </w:tcPr>
          <w:p w:rsidR="00377963" w:rsidRPr="00563413" w:rsidRDefault="00377963" w:rsidP="003D1F7C">
            <w:pPr>
              <w:autoSpaceDE w:val="0"/>
              <w:autoSpaceDN w:val="0"/>
              <w:adjustRightInd w:val="0"/>
              <w:ind w:right="10"/>
              <w:jc w:val="center"/>
              <w:cnfStyle w:val="000000000000"/>
              <w:rPr>
                <w:rFonts w:ascii="Arial" w:hAnsi="Arial" w:cs="Arial"/>
                <w:color w:val="000000"/>
                <w:sz w:val="20"/>
                <w:szCs w:val="18"/>
              </w:rPr>
            </w:pPr>
          </w:p>
        </w:tc>
      </w:tr>
      <w:tr w:rsidR="00377963" w:rsidTr="00377963">
        <w:trPr>
          <w:trHeight w:val="251"/>
        </w:trPr>
        <w:tc>
          <w:tcPr>
            <w:cnfStyle w:val="001000000000"/>
            <w:tcW w:w="2376" w:type="dxa"/>
          </w:tcPr>
          <w:p w:rsidR="00377963" w:rsidRPr="00C24C9D" w:rsidRDefault="00377963" w:rsidP="003D1F7C">
            <w:pPr>
              <w:autoSpaceDE w:val="0"/>
              <w:autoSpaceDN w:val="0"/>
              <w:adjustRightInd w:val="0"/>
              <w:jc w:val="both"/>
              <w:rPr>
                <w:rFonts w:ascii="Arial" w:hAnsi="Arial" w:cs="Arial"/>
                <w:color w:val="000000"/>
                <w:sz w:val="20"/>
                <w:szCs w:val="18"/>
              </w:rPr>
            </w:pPr>
            <w:r w:rsidRPr="00C24C9D">
              <w:rPr>
                <w:rFonts w:ascii="Arial" w:hAnsi="Arial" w:cs="Arial"/>
                <w:color w:val="000000"/>
                <w:sz w:val="20"/>
                <w:szCs w:val="18"/>
              </w:rPr>
              <w:t>UAI</w:t>
            </w:r>
          </w:p>
        </w:tc>
        <w:tc>
          <w:tcPr>
            <w:tcW w:w="1377" w:type="dxa"/>
          </w:tcPr>
          <w:p w:rsidR="00377963" w:rsidRPr="00C24C9D" w:rsidRDefault="00377963" w:rsidP="003D1F7C">
            <w:pPr>
              <w:autoSpaceDE w:val="0"/>
              <w:autoSpaceDN w:val="0"/>
              <w:adjustRightInd w:val="0"/>
              <w:ind w:right="10"/>
              <w:jc w:val="both"/>
              <w:cnfStyle w:val="000000000000"/>
              <w:rPr>
                <w:rFonts w:ascii="Arial" w:hAnsi="Arial" w:cs="Arial"/>
                <w:color w:val="000000"/>
                <w:sz w:val="20"/>
                <w:szCs w:val="18"/>
              </w:rPr>
            </w:pPr>
            <w:r>
              <w:rPr>
                <w:rFonts w:ascii="Arial" w:hAnsi="Arial" w:cs="Arial"/>
                <w:color w:val="000000"/>
                <w:sz w:val="20"/>
                <w:szCs w:val="18"/>
              </w:rPr>
              <w:t>-</w:t>
            </w:r>
          </w:p>
        </w:tc>
        <w:tc>
          <w:tcPr>
            <w:tcW w:w="1823" w:type="dxa"/>
          </w:tcPr>
          <w:p w:rsidR="00377963" w:rsidRPr="00563413" w:rsidRDefault="00A00E69" w:rsidP="00A00E69">
            <w:pPr>
              <w:autoSpaceDE w:val="0"/>
              <w:autoSpaceDN w:val="0"/>
              <w:adjustRightInd w:val="0"/>
              <w:ind w:right="10"/>
              <w:jc w:val="both"/>
              <w:cnfStyle w:val="000000000000"/>
              <w:rPr>
                <w:rFonts w:ascii="Arial" w:hAnsi="Arial" w:cs="Arial"/>
                <w:color w:val="000000"/>
                <w:sz w:val="20"/>
                <w:szCs w:val="18"/>
              </w:rPr>
            </w:pPr>
            <w:r>
              <w:rPr>
                <w:rFonts w:ascii="Arial" w:hAnsi="Arial" w:cs="Arial"/>
                <w:color w:val="000000"/>
                <w:sz w:val="20"/>
                <w:szCs w:val="18"/>
              </w:rPr>
              <w:t>-0.074</w:t>
            </w:r>
          </w:p>
        </w:tc>
        <w:tc>
          <w:tcPr>
            <w:tcW w:w="1771" w:type="dxa"/>
          </w:tcPr>
          <w:p w:rsidR="00377963" w:rsidRPr="00563413" w:rsidRDefault="00377963" w:rsidP="003D1F7C">
            <w:pPr>
              <w:autoSpaceDE w:val="0"/>
              <w:autoSpaceDN w:val="0"/>
              <w:adjustRightInd w:val="0"/>
              <w:ind w:right="10"/>
              <w:jc w:val="center"/>
              <w:cnfStyle w:val="000000000000"/>
              <w:rPr>
                <w:rFonts w:ascii="Arial" w:hAnsi="Arial" w:cs="Arial"/>
                <w:color w:val="000000"/>
                <w:sz w:val="20"/>
                <w:szCs w:val="18"/>
              </w:rPr>
            </w:pPr>
          </w:p>
        </w:tc>
        <w:tc>
          <w:tcPr>
            <w:tcW w:w="1771" w:type="dxa"/>
          </w:tcPr>
          <w:p w:rsidR="00377963" w:rsidRPr="00563413" w:rsidRDefault="00377963" w:rsidP="003D1F7C">
            <w:pPr>
              <w:autoSpaceDE w:val="0"/>
              <w:autoSpaceDN w:val="0"/>
              <w:adjustRightInd w:val="0"/>
              <w:ind w:right="10"/>
              <w:jc w:val="center"/>
              <w:cnfStyle w:val="000000000000"/>
              <w:rPr>
                <w:rFonts w:ascii="Arial" w:hAnsi="Arial" w:cs="Arial"/>
                <w:color w:val="000000"/>
                <w:sz w:val="20"/>
                <w:szCs w:val="18"/>
              </w:rPr>
            </w:pPr>
          </w:p>
        </w:tc>
        <w:tc>
          <w:tcPr>
            <w:tcW w:w="1771" w:type="dxa"/>
          </w:tcPr>
          <w:p w:rsidR="00377963" w:rsidRPr="00563413" w:rsidRDefault="00377963" w:rsidP="003D1F7C">
            <w:pPr>
              <w:jc w:val="center"/>
              <w:cnfStyle w:val="000000000000"/>
              <w:rPr>
                <w:rFonts w:ascii="Arial" w:hAnsi="Arial" w:cs="Arial"/>
                <w:b/>
                <w:i/>
                <w:lang w:val="en-US"/>
              </w:rPr>
            </w:pPr>
          </w:p>
        </w:tc>
        <w:tc>
          <w:tcPr>
            <w:tcW w:w="1771" w:type="dxa"/>
          </w:tcPr>
          <w:p w:rsidR="00377963" w:rsidRPr="00563413" w:rsidRDefault="00377963" w:rsidP="00A00E69">
            <w:pPr>
              <w:autoSpaceDE w:val="0"/>
              <w:autoSpaceDN w:val="0"/>
              <w:adjustRightInd w:val="0"/>
              <w:ind w:right="10"/>
              <w:jc w:val="center"/>
              <w:cnfStyle w:val="000000000000"/>
              <w:rPr>
                <w:rFonts w:ascii="Arial" w:hAnsi="Arial" w:cs="Arial"/>
                <w:color w:val="000000"/>
                <w:sz w:val="20"/>
                <w:szCs w:val="18"/>
              </w:rPr>
            </w:pPr>
            <w:r w:rsidRPr="00563413">
              <w:rPr>
                <w:rFonts w:ascii="Arial" w:hAnsi="Arial" w:cs="Arial"/>
                <w:color w:val="000000"/>
                <w:sz w:val="20"/>
                <w:szCs w:val="18"/>
              </w:rPr>
              <w:t>-0.08</w:t>
            </w:r>
            <w:r w:rsidR="00A00E69">
              <w:rPr>
                <w:rFonts w:ascii="Arial" w:hAnsi="Arial" w:cs="Arial"/>
                <w:color w:val="000000"/>
                <w:sz w:val="20"/>
                <w:szCs w:val="18"/>
              </w:rPr>
              <w:t>3</w:t>
            </w:r>
          </w:p>
        </w:tc>
        <w:tc>
          <w:tcPr>
            <w:tcW w:w="1528" w:type="dxa"/>
          </w:tcPr>
          <w:p w:rsidR="00377963" w:rsidRPr="00563413" w:rsidRDefault="00377963" w:rsidP="003D1F7C">
            <w:pPr>
              <w:autoSpaceDE w:val="0"/>
              <w:autoSpaceDN w:val="0"/>
              <w:adjustRightInd w:val="0"/>
              <w:ind w:right="10"/>
              <w:jc w:val="center"/>
              <w:cnfStyle w:val="000000000000"/>
              <w:rPr>
                <w:rFonts w:ascii="Arial" w:hAnsi="Arial" w:cs="Arial"/>
                <w:color w:val="000000"/>
                <w:sz w:val="20"/>
                <w:szCs w:val="18"/>
              </w:rPr>
            </w:pPr>
          </w:p>
        </w:tc>
      </w:tr>
      <w:tr w:rsidR="00377963" w:rsidTr="00377963">
        <w:trPr>
          <w:trHeight w:val="251"/>
        </w:trPr>
        <w:tc>
          <w:tcPr>
            <w:cnfStyle w:val="001000000000"/>
            <w:tcW w:w="2376" w:type="dxa"/>
          </w:tcPr>
          <w:p w:rsidR="00377963" w:rsidRDefault="00377963" w:rsidP="003D1F7C">
            <w:pPr>
              <w:jc w:val="both"/>
              <w:rPr>
                <w:rFonts w:ascii="Arial" w:hAnsi="Arial" w:cs="Arial"/>
                <w:b w:val="0"/>
                <w:i/>
                <w:lang w:val="en-US"/>
              </w:rPr>
            </w:pPr>
          </w:p>
        </w:tc>
        <w:tc>
          <w:tcPr>
            <w:tcW w:w="1377" w:type="dxa"/>
          </w:tcPr>
          <w:p w:rsidR="00377963" w:rsidRDefault="00377963" w:rsidP="003D1F7C">
            <w:pPr>
              <w:autoSpaceDE w:val="0"/>
              <w:autoSpaceDN w:val="0"/>
              <w:adjustRightInd w:val="0"/>
              <w:ind w:right="10"/>
              <w:jc w:val="both"/>
              <w:cnfStyle w:val="000000000000"/>
              <w:rPr>
                <w:rFonts w:ascii="Arial" w:hAnsi="Arial" w:cs="Arial"/>
                <w:color w:val="000000"/>
                <w:sz w:val="20"/>
                <w:szCs w:val="18"/>
              </w:rPr>
            </w:pPr>
          </w:p>
        </w:tc>
        <w:tc>
          <w:tcPr>
            <w:tcW w:w="1823" w:type="dxa"/>
          </w:tcPr>
          <w:p w:rsidR="00377963" w:rsidRPr="00563413" w:rsidRDefault="00A00E69" w:rsidP="00A00E69">
            <w:pPr>
              <w:autoSpaceDE w:val="0"/>
              <w:autoSpaceDN w:val="0"/>
              <w:adjustRightInd w:val="0"/>
              <w:ind w:right="10"/>
              <w:jc w:val="both"/>
              <w:cnfStyle w:val="000000000000"/>
              <w:rPr>
                <w:rFonts w:ascii="Arial" w:hAnsi="Arial" w:cs="Arial"/>
                <w:color w:val="000000"/>
                <w:sz w:val="20"/>
                <w:szCs w:val="18"/>
              </w:rPr>
            </w:pPr>
            <w:r>
              <w:rPr>
                <w:rFonts w:ascii="Arial" w:hAnsi="Arial" w:cs="Arial"/>
                <w:color w:val="000000"/>
                <w:sz w:val="20"/>
                <w:szCs w:val="18"/>
              </w:rPr>
              <w:t>(0.131</w:t>
            </w:r>
            <w:r w:rsidR="00377963" w:rsidRPr="00563413">
              <w:rPr>
                <w:rFonts w:ascii="Arial" w:hAnsi="Arial" w:cs="Arial"/>
                <w:color w:val="000000"/>
                <w:sz w:val="20"/>
                <w:szCs w:val="18"/>
              </w:rPr>
              <w:t>)</w:t>
            </w:r>
          </w:p>
        </w:tc>
        <w:tc>
          <w:tcPr>
            <w:tcW w:w="1771" w:type="dxa"/>
          </w:tcPr>
          <w:p w:rsidR="00377963" w:rsidRPr="00563413" w:rsidRDefault="00377963" w:rsidP="003D1F7C">
            <w:pPr>
              <w:autoSpaceDE w:val="0"/>
              <w:autoSpaceDN w:val="0"/>
              <w:adjustRightInd w:val="0"/>
              <w:jc w:val="center"/>
              <w:cnfStyle w:val="000000000000"/>
              <w:rPr>
                <w:rFonts w:ascii="Arial" w:hAnsi="Arial" w:cs="Arial"/>
                <w:color w:val="000000"/>
                <w:sz w:val="20"/>
                <w:szCs w:val="18"/>
              </w:rPr>
            </w:pPr>
          </w:p>
        </w:tc>
        <w:tc>
          <w:tcPr>
            <w:tcW w:w="1771" w:type="dxa"/>
          </w:tcPr>
          <w:p w:rsidR="00377963" w:rsidRPr="00563413" w:rsidRDefault="00377963" w:rsidP="003D1F7C">
            <w:pPr>
              <w:autoSpaceDE w:val="0"/>
              <w:autoSpaceDN w:val="0"/>
              <w:adjustRightInd w:val="0"/>
              <w:ind w:right="10"/>
              <w:jc w:val="center"/>
              <w:cnfStyle w:val="000000000000"/>
              <w:rPr>
                <w:rFonts w:ascii="Arial" w:hAnsi="Arial" w:cs="Arial"/>
                <w:color w:val="000000"/>
                <w:sz w:val="20"/>
                <w:szCs w:val="18"/>
              </w:rPr>
            </w:pPr>
          </w:p>
        </w:tc>
        <w:tc>
          <w:tcPr>
            <w:tcW w:w="1771" w:type="dxa"/>
          </w:tcPr>
          <w:p w:rsidR="00377963" w:rsidRPr="00563413" w:rsidRDefault="00377963" w:rsidP="003D1F7C">
            <w:pPr>
              <w:jc w:val="center"/>
              <w:cnfStyle w:val="000000000000"/>
              <w:rPr>
                <w:rFonts w:ascii="Arial" w:hAnsi="Arial" w:cs="Arial"/>
                <w:b/>
                <w:i/>
                <w:lang w:val="en-US"/>
              </w:rPr>
            </w:pPr>
          </w:p>
        </w:tc>
        <w:tc>
          <w:tcPr>
            <w:tcW w:w="1771" w:type="dxa"/>
          </w:tcPr>
          <w:p w:rsidR="00377963" w:rsidRPr="00563413" w:rsidRDefault="00377963" w:rsidP="00A00E69">
            <w:pPr>
              <w:jc w:val="center"/>
              <w:cnfStyle w:val="000000000000"/>
              <w:rPr>
                <w:rFonts w:ascii="Arial" w:hAnsi="Arial" w:cs="Arial"/>
                <w:b/>
                <w:i/>
                <w:lang w:val="en-US"/>
              </w:rPr>
            </w:pPr>
            <w:r>
              <w:rPr>
                <w:rFonts w:ascii="Arial" w:hAnsi="Arial" w:cs="Arial"/>
                <w:color w:val="000000"/>
                <w:sz w:val="20"/>
                <w:szCs w:val="18"/>
              </w:rPr>
              <w:t>(</w:t>
            </w:r>
            <w:r w:rsidR="00A00E69">
              <w:rPr>
                <w:rFonts w:ascii="Arial" w:hAnsi="Arial" w:cs="Arial"/>
                <w:color w:val="000000"/>
                <w:sz w:val="20"/>
                <w:szCs w:val="18"/>
              </w:rPr>
              <w:t>0.104</w:t>
            </w:r>
            <w:r>
              <w:rPr>
                <w:rFonts w:ascii="Arial" w:hAnsi="Arial" w:cs="Arial"/>
                <w:color w:val="000000"/>
                <w:sz w:val="20"/>
                <w:szCs w:val="18"/>
              </w:rPr>
              <w:t>)</w:t>
            </w:r>
          </w:p>
        </w:tc>
        <w:tc>
          <w:tcPr>
            <w:tcW w:w="1528" w:type="dxa"/>
          </w:tcPr>
          <w:p w:rsidR="00377963" w:rsidRDefault="00377963" w:rsidP="003D1F7C">
            <w:pPr>
              <w:cnfStyle w:val="000000000000"/>
              <w:rPr>
                <w:rFonts w:ascii="Arial" w:hAnsi="Arial" w:cs="Arial"/>
                <w:b/>
                <w:i/>
                <w:lang w:val="en-US"/>
              </w:rPr>
            </w:pPr>
          </w:p>
        </w:tc>
      </w:tr>
      <w:tr w:rsidR="00377963" w:rsidTr="00377963">
        <w:trPr>
          <w:trHeight w:val="251"/>
        </w:trPr>
        <w:tc>
          <w:tcPr>
            <w:cnfStyle w:val="001000000000"/>
            <w:tcW w:w="2376" w:type="dxa"/>
          </w:tcPr>
          <w:p w:rsidR="00377963" w:rsidRDefault="00377963" w:rsidP="003D1F7C">
            <w:pPr>
              <w:jc w:val="both"/>
              <w:rPr>
                <w:rFonts w:ascii="Arial" w:hAnsi="Arial" w:cs="Arial"/>
                <w:b w:val="0"/>
                <w:i/>
                <w:lang w:val="en-US"/>
              </w:rPr>
            </w:pPr>
          </w:p>
        </w:tc>
        <w:tc>
          <w:tcPr>
            <w:tcW w:w="1377" w:type="dxa"/>
          </w:tcPr>
          <w:p w:rsidR="00377963" w:rsidRDefault="00377963" w:rsidP="003D1F7C">
            <w:pPr>
              <w:jc w:val="both"/>
              <w:cnfStyle w:val="000000000000"/>
              <w:rPr>
                <w:rFonts w:ascii="Arial" w:hAnsi="Arial" w:cs="Arial"/>
                <w:b/>
                <w:i/>
                <w:lang w:val="en-US"/>
              </w:rPr>
            </w:pPr>
          </w:p>
        </w:tc>
        <w:tc>
          <w:tcPr>
            <w:tcW w:w="1823" w:type="dxa"/>
          </w:tcPr>
          <w:p w:rsidR="00377963" w:rsidRDefault="00377963" w:rsidP="003D1F7C">
            <w:pPr>
              <w:jc w:val="both"/>
              <w:cnfStyle w:val="000000000000"/>
              <w:rPr>
                <w:rFonts w:ascii="Arial" w:hAnsi="Arial" w:cs="Arial"/>
                <w:b/>
                <w:i/>
                <w:lang w:val="en-US"/>
              </w:rPr>
            </w:pPr>
          </w:p>
        </w:tc>
        <w:tc>
          <w:tcPr>
            <w:tcW w:w="1771" w:type="dxa"/>
          </w:tcPr>
          <w:p w:rsidR="00377963" w:rsidRDefault="00377963" w:rsidP="003D1F7C">
            <w:pPr>
              <w:jc w:val="center"/>
              <w:cnfStyle w:val="000000000000"/>
              <w:rPr>
                <w:rFonts w:ascii="Arial" w:hAnsi="Arial" w:cs="Arial"/>
                <w:b/>
                <w:i/>
                <w:lang w:val="en-US"/>
              </w:rPr>
            </w:pPr>
          </w:p>
        </w:tc>
        <w:tc>
          <w:tcPr>
            <w:tcW w:w="1771" w:type="dxa"/>
          </w:tcPr>
          <w:p w:rsidR="00377963" w:rsidRDefault="00377963" w:rsidP="003D1F7C">
            <w:pPr>
              <w:jc w:val="center"/>
              <w:cnfStyle w:val="000000000000"/>
              <w:rPr>
                <w:rFonts w:ascii="Arial" w:hAnsi="Arial" w:cs="Arial"/>
                <w:b/>
                <w:i/>
                <w:lang w:val="en-US"/>
              </w:rPr>
            </w:pPr>
          </w:p>
        </w:tc>
        <w:tc>
          <w:tcPr>
            <w:tcW w:w="1771" w:type="dxa"/>
          </w:tcPr>
          <w:p w:rsidR="00377963" w:rsidRDefault="00377963" w:rsidP="003D1F7C">
            <w:pPr>
              <w:jc w:val="center"/>
              <w:cnfStyle w:val="000000000000"/>
              <w:rPr>
                <w:rFonts w:ascii="Arial" w:hAnsi="Arial" w:cs="Arial"/>
                <w:b/>
                <w:i/>
                <w:lang w:val="en-US"/>
              </w:rPr>
            </w:pPr>
          </w:p>
        </w:tc>
        <w:tc>
          <w:tcPr>
            <w:tcW w:w="1771" w:type="dxa"/>
          </w:tcPr>
          <w:p w:rsidR="00377963" w:rsidRDefault="00377963" w:rsidP="003D1F7C">
            <w:pPr>
              <w:jc w:val="center"/>
              <w:cnfStyle w:val="000000000000"/>
              <w:rPr>
                <w:rFonts w:ascii="Arial" w:hAnsi="Arial" w:cs="Arial"/>
                <w:b/>
                <w:i/>
                <w:lang w:val="en-US"/>
              </w:rPr>
            </w:pPr>
          </w:p>
        </w:tc>
        <w:tc>
          <w:tcPr>
            <w:tcW w:w="1528" w:type="dxa"/>
          </w:tcPr>
          <w:p w:rsidR="00377963" w:rsidRDefault="00377963" w:rsidP="003D1F7C">
            <w:pPr>
              <w:cnfStyle w:val="000000000000"/>
              <w:rPr>
                <w:rFonts w:ascii="Arial" w:hAnsi="Arial" w:cs="Arial"/>
                <w:b/>
                <w:i/>
                <w:lang w:val="en-US"/>
              </w:rPr>
            </w:pPr>
          </w:p>
        </w:tc>
      </w:tr>
      <w:tr w:rsidR="00377963" w:rsidTr="00377963">
        <w:trPr>
          <w:trHeight w:val="251"/>
        </w:trPr>
        <w:tc>
          <w:tcPr>
            <w:cnfStyle w:val="001000000000"/>
            <w:tcW w:w="2376" w:type="dxa"/>
          </w:tcPr>
          <w:p w:rsidR="00377963" w:rsidRPr="00377963" w:rsidRDefault="00377963" w:rsidP="003D1F7C">
            <w:pPr>
              <w:jc w:val="both"/>
              <w:rPr>
                <w:rFonts w:ascii="Arial" w:hAnsi="Arial" w:cs="Arial"/>
                <w:vertAlign w:val="superscript"/>
                <w:lang w:val="en-US"/>
              </w:rPr>
            </w:pPr>
            <w:r w:rsidRPr="00377963">
              <w:rPr>
                <w:rFonts w:ascii="Arial" w:hAnsi="Arial" w:cs="Arial"/>
                <w:lang w:val="en-US"/>
              </w:rPr>
              <w:t>R</w:t>
            </w:r>
            <w:r w:rsidRPr="00377963">
              <w:rPr>
                <w:rFonts w:ascii="Arial" w:hAnsi="Arial" w:cs="Arial"/>
                <w:vertAlign w:val="superscript"/>
                <w:lang w:val="en-US"/>
              </w:rPr>
              <w:t>2</w:t>
            </w:r>
          </w:p>
        </w:tc>
        <w:tc>
          <w:tcPr>
            <w:tcW w:w="1377" w:type="dxa"/>
          </w:tcPr>
          <w:p w:rsidR="00377963" w:rsidRPr="00563413" w:rsidRDefault="00377963" w:rsidP="003D1F7C">
            <w:pPr>
              <w:autoSpaceDE w:val="0"/>
              <w:autoSpaceDN w:val="0"/>
              <w:adjustRightInd w:val="0"/>
              <w:ind w:right="10"/>
              <w:jc w:val="both"/>
              <w:cnfStyle w:val="000000000000"/>
              <w:rPr>
                <w:rFonts w:ascii="Arial" w:hAnsi="Arial" w:cs="Arial"/>
                <w:color w:val="000000"/>
                <w:sz w:val="20"/>
                <w:szCs w:val="18"/>
                <w:lang w:val="en-GB"/>
              </w:rPr>
            </w:pPr>
          </w:p>
        </w:tc>
        <w:tc>
          <w:tcPr>
            <w:tcW w:w="1823" w:type="dxa"/>
          </w:tcPr>
          <w:p w:rsidR="00377963" w:rsidRPr="00563413" w:rsidRDefault="00A00E69" w:rsidP="00A00E69">
            <w:pPr>
              <w:autoSpaceDE w:val="0"/>
              <w:autoSpaceDN w:val="0"/>
              <w:adjustRightInd w:val="0"/>
              <w:ind w:right="10"/>
              <w:jc w:val="both"/>
              <w:cnfStyle w:val="000000000000"/>
              <w:rPr>
                <w:rFonts w:ascii="Arial" w:hAnsi="Arial" w:cs="Arial"/>
                <w:color w:val="000000"/>
                <w:sz w:val="20"/>
                <w:szCs w:val="18"/>
                <w:highlight w:val="yellow"/>
                <w:lang w:val="en-GB"/>
              </w:rPr>
            </w:pPr>
            <w:r>
              <w:rPr>
                <w:rFonts w:ascii="Arial" w:hAnsi="Arial" w:cs="Arial"/>
                <w:color w:val="000000"/>
                <w:sz w:val="20"/>
                <w:szCs w:val="18"/>
                <w:lang w:val="en-GB"/>
              </w:rPr>
              <w:t>0.042</w:t>
            </w:r>
          </w:p>
        </w:tc>
        <w:tc>
          <w:tcPr>
            <w:tcW w:w="1771" w:type="dxa"/>
          </w:tcPr>
          <w:p w:rsidR="00377963" w:rsidRDefault="00A00E69" w:rsidP="00A00E69">
            <w:pPr>
              <w:jc w:val="center"/>
              <w:cnfStyle w:val="000000000000"/>
              <w:rPr>
                <w:rFonts w:ascii="Arial" w:hAnsi="Arial" w:cs="Arial"/>
                <w:b/>
                <w:i/>
                <w:lang w:val="en-US"/>
              </w:rPr>
            </w:pPr>
            <w:r>
              <w:rPr>
                <w:rFonts w:ascii="Arial" w:hAnsi="Arial" w:cs="Arial"/>
                <w:color w:val="000000"/>
                <w:sz w:val="20"/>
                <w:szCs w:val="18"/>
              </w:rPr>
              <w:t>0.032</w:t>
            </w:r>
          </w:p>
        </w:tc>
        <w:tc>
          <w:tcPr>
            <w:tcW w:w="1771" w:type="dxa"/>
          </w:tcPr>
          <w:p w:rsidR="00377963" w:rsidRPr="00563413" w:rsidRDefault="00A00E69" w:rsidP="00A00E69">
            <w:pPr>
              <w:autoSpaceDE w:val="0"/>
              <w:autoSpaceDN w:val="0"/>
              <w:adjustRightInd w:val="0"/>
              <w:jc w:val="center"/>
              <w:cnfStyle w:val="000000000000"/>
              <w:rPr>
                <w:rFonts w:ascii="Arial" w:hAnsi="Arial" w:cs="Arial"/>
                <w:color w:val="000000"/>
                <w:sz w:val="20"/>
                <w:szCs w:val="18"/>
              </w:rPr>
            </w:pPr>
            <w:r>
              <w:rPr>
                <w:rFonts w:ascii="Arial" w:hAnsi="Arial" w:cs="Arial"/>
                <w:color w:val="000000"/>
                <w:sz w:val="20"/>
                <w:szCs w:val="18"/>
              </w:rPr>
              <w:t>0.019</w:t>
            </w:r>
          </w:p>
        </w:tc>
        <w:tc>
          <w:tcPr>
            <w:tcW w:w="1771" w:type="dxa"/>
          </w:tcPr>
          <w:p w:rsidR="00377963" w:rsidRPr="00563413" w:rsidRDefault="00377963" w:rsidP="00A00E69">
            <w:pPr>
              <w:autoSpaceDE w:val="0"/>
              <w:autoSpaceDN w:val="0"/>
              <w:adjustRightInd w:val="0"/>
              <w:ind w:right="10"/>
              <w:jc w:val="center"/>
              <w:cnfStyle w:val="000000000000"/>
              <w:rPr>
                <w:rFonts w:ascii="Arial" w:hAnsi="Arial" w:cs="Arial"/>
                <w:color w:val="000000"/>
                <w:sz w:val="20"/>
                <w:szCs w:val="18"/>
              </w:rPr>
            </w:pPr>
            <w:r w:rsidRPr="00563413">
              <w:rPr>
                <w:rFonts w:ascii="Arial" w:hAnsi="Arial" w:cs="Arial"/>
                <w:color w:val="000000"/>
                <w:sz w:val="20"/>
                <w:szCs w:val="18"/>
              </w:rPr>
              <w:t>0.01</w:t>
            </w:r>
            <w:r w:rsidR="00A00E69">
              <w:rPr>
                <w:rFonts w:ascii="Arial" w:hAnsi="Arial" w:cs="Arial"/>
                <w:color w:val="000000"/>
                <w:sz w:val="20"/>
                <w:szCs w:val="18"/>
              </w:rPr>
              <w:t>8</w:t>
            </w:r>
          </w:p>
        </w:tc>
        <w:tc>
          <w:tcPr>
            <w:tcW w:w="1771" w:type="dxa"/>
          </w:tcPr>
          <w:p w:rsidR="00377963" w:rsidRPr="00563413" w:rsidRDefault="00A00E69" w:rsidP="00A00E69">
            <w:pPr>
              <w:autoSpaceDE w:val="0"/>
              <w:autoSpaceDN w:val="0"/>
              <w:adjustRightInd w:val="0"/>
              <w:ind w:right="10"/>
              <w:jc w:val="center"/>
              <w:cnfStyle w:val="000000000000"/>
              <w:rPr>
                <w:rFonts w:ascii="Arial" w:hAnsi="Arial" w:cs="Arial"/>
                <w:color w:val="000000"/>
                <w:sz w:val="20"/>
                <w:szCs w:val="18"/>
              </w:rPr>
            </w:pPr>
            <w:r>
              <w:rPr>
                <w:rFonts w:ascii="Arial" w:hAnsi="Arial" w:cs="Arial"/>
                <w:color w:val="000000"/>
                <w:sz w:val="20"/>
                <w:szCs w:val="18"/>
              </w:rPr>
              <w:t>0.032</w:t>
            </w:r>
          </w:p>
        </w:tc>
        <w:tc>
          <w:tcPr>
            <w:tcW w:w="1528" w:type="dxa"/>
          </w:tcPr>
          <w:p w:rsidR="00377963" w:rsidRDefault="00377963" w:rsidP="003D1F7C">
            <w:pPr>
              <w:cnfStyle w:val="000000000000"/>
              <w:rPr>
                <w:rFonts w:ascii="Arial" w:hAnsi="Arial" w:cs="Arial"/>
                <w:b/>
                <w:i/>
                <w:lang w:val="en-US"/>
              </w:rPr>
            </w:pPr>
          </w:p>
        </w:tc>
      </w:tr>
      <w:tr w:rsidR="00377963" w:rsidTr="00377963">
        <w:trPr>
          <w:trHeight w:val="251"/>
        </w:trPr>
        <w:tc>
          <w:tcPr>
            <w:cnfStyle w:val="001000000000"/>
            <w:tcW w:w="2376" w:type="dxa"/>
          </w:tcPr>
          <w:p w:rsidR="00377963" w:rsidRPr="00377963" w:rsidRDefault="00377963" w:rsidP="003D1F7C">
            <w:pPr>
              <w:jc w:val="both"/>
              <w:rPr>
                <w:rFonts w:ascii="Arial" w:hAnsi="Arial" w:cs="Arial"/>
                <w:lang w:val="en-US"/>
              </w:rPr>
            </w:pPr>
          </w:p>
        </w:tc>
        <w:tc>
          <w:tcPr>
            <w:tcW w:w="1377" w:type="dxa"/>
          </w:tcPr>
          <w:p w:rsidR="00377963" w:rsidRPr="00563413" w:rsidRDefault="00377963" w:rsidP="003D1F7C">
            <w:pPr>
              <w:autoSpaceDE w:val="0"/>
              <w:autoSpaceDN w:val="0"/>
              <w:adjustRightInd w:val="0"/>
              <w:ind w:right="10"/>
              <w:jc w:val="both"/>
              <w:cnfStyle w:val="000000000000"/>
              <w:rPr>
                <w:rFonts w:ascii="Arial" w:hAnsi="Arial" w:cs="Arial"/>
                <w:color w:val="000000"/>
                <w:sz w:val="20"/>
                <w:szCs w:val="18"/>
                <w:lang w:val="en-GB"/>
              </w:rPr>
            </w:pPr>
          </w:p>
        </w:tc>
        <w:tc>
          <w:tcPr>
            <w:tcW w:w="1823" w:type="dxa"/>
          </w:tcPr>
          <w:p w:rsidR="00377963" w:rsidRPr="00563413" w:rsidRDefault="00377963" w:rsidP="003D1F7C">
            <w:pPr>
              <w:autoSpaceDE w:val="0"/>
              <w:autoSpaceDN w:val="0"/>
              <w:adjustRightInd w:val="0"/>
              <w:ind w:right="10"/>
              <w:jc w:val="both"/>
              <w:cnfStyle w:val="000000000000"/>
              <w:rPr>
                <w:rFonts w:ascii="Arial" w:hAnsi="Arial" w:cs="Arial"/>
                <w:color w:val="000000"/>
                <w:sz w:val="20"/>
                <w:szCs w:val="18"/>
                <w:lang w:val="en-GB"/>
              </w:rPr>
            </w:pPr>
          </w:p>
        </w:tc>
        <w:tc>
          <w:tcPr>
            <w:tcW w:w="1771" w:type="dxa"/>
          </w:tcPr>
          <w:p w:rsidR="00377963" w:rsidRPr="00563413" w:rsidRDefault="00377963" w:rsidP="003D1F7C">
            <w:pPr>
              <w:jc w:val="center"/>
              <w:cnfStyle w:val="000000000000"/>
              <w:rPr>
                <w:rFonts w:ascii="Arial" w:hAnsi="Arial" w:cs="Arial"/>
                <w:color w:val="000000"/>
                <w:sz w:val="20"/>
                <w:szCs w:val="18"/>
              </w:rPr>
            </w:pPr>
          </w:p>
        </w:tc>
        <w:tc>
          <w:tcPr>
            <w:tcW w:w="1771" w:type="dxa"/>
          </w:tcPr>
          <w:p w:rsidR="00377963" w:rsidRPr="00563413" w:rsidRDefault="00377963" w:rsidP="003D1F7C">
            <w:pPr>
              <w:autoSpaceDE w:val="0"/>
              <w:autoSpaceDN w:val="0"/>
              <w:adjustRightInd w:val="0"/>
              <w:jc w:val="center"/>
              <w:cnfStyle w:val="000000000000"/>
              <w:rPr>
                <w:rFonts w:ascii="Arial" w:hAnsi="Arial" w:cs="Arial"/>
                <w:color w:val="000000"/>
                <w:sz w:val="20"/>
                <w:szCs w:val="18"/>
              </w:rPr>
            </w:pPr>
          </w:p>
        </w:tc>
        <w:tc>
          <w:tcPr>
            <w:tcW w:w="1771" w:type="dxa"/>
          </w:tcPr>
          <w:p w:rsidR="00377963" w:rsidRPr="00563413" w:rsidRDefault="00377963" w:rsidP="003D1F7C">
            <w:pPr>
              <w:autoSpaceDE w:val="0"/>
              <w:autoSpaceDN w:val="0"/>
              <w:adjustRightInd w:val="0"/>
              <w:ind w:right="10"/>
              <w:jc w:val="center"/>
              <w:cnfStyle w:val="000000000000"/>
              <w:rPr>
                <w:rFonts w:ascii="Arial" w:hAnsi="Arial" w:cs="Arial"/>
                <w:color w:val="000000"/>
                <w:sz w:val="20"/>
                <w:szCs w:val="18"/>
              </w:rPr>
            </w:pPr>
          </w:p>
        </w:tc>
        <w:tc>
          <w:tcPr>
            <w:tcW w:w="1771" w:type="dxa"/>
          </w:tcPr>
          <w:p w:rsidR="00377963" w:rsidRPr="00563413" w:rsidRDefault="00377963" w:rsidP="003D1F7C">
            <w:pPr>
              <w:autoSpaceDE w:val="0"/>
              <w:autoSpaceDN w:val="0"/>
              <w:adjustRightInd w:val="0"/>
              <w:ind w:right="10"/>
              <w:jc w:val="center"/>
              <w:cnfStyle w:val="000000000000"/>
              <w:rPr>
                <w:rFonts w:ascii="Arial" w:hAnsi="Arial" w:cs="Arial"/>
                <w:color w:val="000000"/>
                <w:sz w:val="20"/>
                <w:szCs w:val="18"/>
              </w:rPr>
            </w:pPr>
          </w:p>
        </w:tc>
        <w:tc>
          <w:tcPr>
            <w:tcW w:w="1528" w:type="dxa"/>
          </w:tcPr>
          <w:p w:rsidR="00377963" w:rsidRDefault="00377963" w:rsidP="003D1F7C">
            <w:pPr>
              <w:cnfStyle w:val="000000000000"/>
              <w:rPr>
                <w:rFonts w:ascii="Arial" w:hAnsi="Arial" w:cs="Arial"/>
                <w:b/>
                <w:i/>
                <w:lang w:val="en-US"/>
              </w:rPr>
            </w:pPr>
          </w:p>
        </w:tc>
      </w:tr>
      <w:tr w:rsidR="00377963" w:rsidTr="00377963">
        <w:trPr>
          <w:trHeight w:val="519"/>
        </w:trPr>
        <w:tc>
          <w:tcPr>
            <w:cnfStyle w:val="001000000000"/>
            <w:tcW w:w="2376" w:type="dxa"/>
          </w:tcPr>
          <w:p w:rsidR="00377963" w:rsidRPr="00377963" w:rsidRDefault="00377963" w:rsidP="00377963">
            <w:pPr>
              <w:rPr>
                <w:rFonts w:ascii="Arial" w:hAnsi="Arial" w:cs="Arial"/>
                <w:lang w:val="en-US"/>
              </w:rPr>
            </w:pPr>
            <w:r w:rsidRPr="00377963">
              <w:rPr>
                <w:rFonts w:ascii="Arial" w:hAnsi="Arial" w:cs="Arial"/>
                <w:lang w:val="en-US"/>
              </w:rPr>
              <w:t xml:space="preserve">Number of </w:t>
            </w:r>
            <w:r>
              <w:rPr>
                <w:rFonts w:ascii="Arial" w:hAnsi="Arial" w:cs="Arial"/>
                <w:lang w:val="en-US"/>
              </w:rPr>
              <w:t>o</w:t>
            </w:r>
            <w:r w:rsidRPr="00377963">
              <w:rPr>
                <w:rFonts w:ascii="Arial" w:hAnsi="Arial" w:cs="Arial"/>
                <w:lang w:val="en-US"/>
              </w:rPr>
              <w:t>bservations</w:t>
            </w:r>
          </w:p>
        </w:tc>
        <w:tc>
          <w:tcPr>
            <w:tcW w:w="1377" w:type="dxa"/>
          </w:tcPr>
          <w:p w:rsidR="00377963" w:rsidRPr="00563413" w:rsidRDefault="00377963" w:rsidP="003D1F7C">
            <w:pPr>
              <w:autoSpaceDE w:val="0"/>
              <w:autoSpaceDN w:val="0"/>
              <w:adjustRightInd w:val="0"/>
              <w:ind w:right="10"/>
              <w:jc w:val="both"/>
              <w:cnfStyle w:val="000000000000"/>
              <w:rPr>
                <w:rFonts w:ascii="Arial" w:hAnsi="Arial" w:cs="Arial"/>
                <w:color w:val="000000"/>
                <w:sz w:val="20"/>
                <w:szCs w:val="18"/>
                <w:lang w:val="en-GB"/>
              </w:rPr>
            </w:pPr>
          </w:p>
        </w:tc>
        <w:tc>
          <w:tcPr>
            <w:tcW w:w="1823" w:type="dxa"/>
          </w:tcPr>
          <w:p w:rsidR="00377963" w:rsidRPr="00563413" w:rsidRDefault="00AB2316" w:rsidP="003D1F7C">
            <w:pPr>
              <w:autoSpaceDE w:val="0"/>
              <w:autoSpaceDN w:val="0"/>
              <w:adjustRightInd w:val="0"/>
              <w:ind w:right="10"/>
              <w:jc w:val="both"/>
              <w:cnfStyle w:val="000000000000"/>
              <w:rPr>
                <w:rFonts w:ascii="Arial" w:hAnsi="Arial" w:cs="Arial"/>
                <w:color w:val="000000"/>
                <w:sz w:val="20"/>
                <w:szCs w:val="18"/>
                <w:lang w:val="en-GB"/>
              </w:rPr>
            </w:pPr>
            <w:r>
              <w:rPr>
                <w:rFonts w:ascii="Arial" w:hAnsi="Arial" w:cs="Arial"/>
                <w:color w:val="000000"/>
                <w:sz w:val="20"/>
                <w:szCs w:val="18"/>
                <w:lang w:val="en-GB"/>
              </w:rPr>
              <w:t>49</w:t>
            </w:r>
          </w:p>
        </w:tc>
        <w:tc>
          <w:tcPr>
            <w:tcW w:w="1771" w:type="dxa"/>
          </w:tcPr>
          <w:p w:rsidR="00377963" w:rsidRPr="00563413" w:rsidRDefault="00AB2316" w:rsidP="003D1F7C">
            <w:pPr>
              <w:jc w:val="center"/>
              <w:cnfStyle w:val="000000000000"/>
              <w:rPr>
                <w:rFonts w:ascii="Arial" w:hAnsi="Arial" w:cs="Arial"/>
                <w:color w:val="000000"/>
                <w:sz w:val="20"/>
                <w:szCs w:val="18"/>
              </w:rPr>
            </w:pPr>
            <w:r>
              <w:rPr>
                <w:rFonts w:ascii="Arial" w:hAnsi="Arial" w:cs="Arial"/>
                <w:color w:val="000000"/>
                <w:sz w:val="20"/>
                <w:szCs w:val="18"/>
              </w:rPr>
              <w:t>48</w:t>
            </w:r>
          </w:p>
        </w:tc>
        <w:tc>
          <w:tcPr>
            <w:tcW w:w="1771" w:type="dxa"/>
          </w:tcPr>
          <w:p w:rsidR="00377963" w:rsidRPr="00563413" w:rsidRDefault="00AB2316" w:rsidP="003D1F7C">
            <w:pPr>
              <w:autoSpaceDE w:val="0"/>
              <w:autoSpaceDN w:val="0"/>
              <w:adjustRightInd w:val="0"/>
              <w:jc w:val="center"/>
              <w:cnfStyle w:val="000000000000"/>
              <w:rPr>
                <w:rFonts w:ascii="Arial" w:hAnsi="Arial" w:cs="Arial"/>
                <w:color w:val="000000"/>
                <w:sz w:val="20"/>
                <w:szCs w:val="18"/>
              </w:rPr>
            </w:pPr>
            <w:r>
              <w:rPr>
                <w:rFonts w:ascii="Arial" w:hAnsi="Arial" w:cs="Arial"/>
                <w:color w:val="000000"/>
                <w:sz w:val="20"/>
                <w:szCs w:val="18"/>
              </w:rPr>
              <w:t>48</w:t>
            </w:r>
          </w:p>
        </w:tc>
        <w:tc>
          <w:tcPr>
            <w:tcW w:w="1771" w:type="dxa"/>
          </w:tcPr>
          <w:p w:rsidR="00377963" w:rsidRPr="00563413" w:rsidRDefault="00AB2316" w:rsidP="003D1F7C">
            <w:pPr>
              <w:autoSpaceDE w:val="0"/>
              <w:autoSpaceDN w:val="0"/>
              <w:adjustRightInd w:val="0"/>
              <w:ind w:right="10"/>
              <w:jc w:val="center"/>
              <w:cnfStyle w:val="000000000000"/>
              <w:rPr>
                <w:rFonts w:ascii="Arial" w:hAnsi="Arial" w:cs="Arial"/>
                <w:color w:val="000000"/>
                <w:sz w:val="20"/>
                <w:szCs w:val="18"/>
              </w:rPr>
            </w:pPr>
            <w:r>
              <w:rPr>
                <w:rFonts w:ascii="Arial" w:hAnsi="Arial" w:cs="Arial"/>
                <w:color w:val="000000"/>
                <w:sz w:val="20"/>
                <w:szCs w:val="18"/>
              </w:rPr>
              <w:t>48</w:t>
            </w:r>
          </w:p>
        </w:tc>
        <w:tc>
          <w:tcPr>
            <w:tcW w:w="1771" w:type="dxa"/>
          </w:tcPr>
          <w:p w:rsidR="00377963" w:rsidRPr="00563413" w:rsidRDefault="00AB2316" w:rsidP="003D1F7C">
            <w:pPr>
              <w:autoSpaceDE w:val="0"/>
              <w:autoSpaceDN w:val="0"/>
              <w:adjustRightInd w:val="0"/>
              <w:ind w:right="10"/>
              <w:jc w:val="center"/>
              <w:cnfStyle w:val="000000000000"/>
              <w:rPr>
                <w:rFonts w:ascii="Arial" w:hAnsi="Arial" w:cs="Arial"/>
                <w:color w:val="000000"/>
                <w:sz w:val="20"/>
                <w:szCs w:val="18"/>
              </w:rPr>
            </w:pPr>
            <w:r>
              <w:rPr>
                <w:rFonts w:ascii="Arial" w:hAnsi="Arial" w:cs="Arial"/>
                <w:color w:val="000000"/>
                <w:sz w:val="20"/>
                <w:szCs w:val="18"/>
              </w:rPr>
              <w:t>48</w:t>
            </w:r>
          </w:p>
        </w:tc>
        <w:tc>
          <w:tcPr>
            <w:tcW w:w="1528" w:type="dxa"/>
          </w:tcPr>
          <w:p w:rsidR="00377963" w:rsidRDefault="00377963" w:rsidP="003D1F7C">
            <w:pPr>
              <w:cnfStyle w:val="000000000000"/>
              <w:rPr>
                <w:rFonts w:ascii="Arial" w:hAnsi="Arial" w:cs="Arial"/>
                <w:b/>
                <w:i/>
                <w:lang w:val="en-US"/>
              </w:rPr>
            </w:pPr>
          </w:p>
        </w:tc>
      </w:tr>
    </w:tbl>
    <w:p w:rsidR="00377963" w:rsidRPr="002C595D" w:rsidRDefault="00377963" w:rsidP="00377963">
      <w:pPr>
        <w:spacing w:line="360" w:lineRule="auto"/>
        <w:jc w:val="both"/>
        <w:rPr>
          <w:rFonts w:ascii="Times New Roman" w:hAnsi="Times New Roman" w:cs="Times New Roman"/>
          <w:sz w:val="20"/>
          <w:szCs w:val="20"/>
          <w:lang w:val="en-US"/>
        </w:rPr>
      </w:pPr>
      <w:r w:rsidRPr="002C595D">
        <w:rPr>
          <w:rFonts w:ascii="Times New Roman" w:hAnsi="Times New Roman" w:cs="Times New Roman"/>
          <w:sz w:val="20"/>
          <w:szCs w:val="20"/>
          <w:lang w:val="en-US"/>
        </w:rPr>
        <w:t>Regression results for the multiple and four single models, where the independent variables are the following: Power Distance (PDI), Individualism(IDV), Uncertainty avoidance (UAI) and Masculinity (MASC)) .</w:t>
      </w:r>
    </w:p>
    <w:p w:rsidR="00A401BB" w:rsidRPr="000119AB" w:rsidRDefault="00A401BB" w:rsidP="00A401BB">
      <w:pPr>
        <w:spacing w:line="360" w:lineRule="auto"/>
        <w:jc w:val="both"/>
        <w:rPr>
          <w:rFonts w:ascii="Times New Roman" w:hAnsi="Times New Roman" w:cs="Times New Roman"/>
          <w:i/>
          <w:sz w:val="24"/>
          <w:szCs w:val="24"/>
          <w:lang w:val="en-US"/>
        </w:rPr>
      </w:pPr>
      <w:r w:rsidRPr="002C595D">
        <w:rPr>
          <w:rFonts w:ascii="Times New Roman" w:hAnsi="Times New Roman" w:cs="Times New Roman"/>
          <w:i/>
          <w:sz w:val="20"/>
          <w:szCs w:val="20"/>
          <w:lang w:val="en-US"/>
        </w:rPr>
        <w:t>*95% confidence interval</w:t>
      </w:r>
    </w:p>
    <w:p w:rsidR="00A401BB" w:rsidRDefault="00A401BB" w:rsidP="005717B5">
      <w:pPr>
        <w:spacing w:line="360" w:lineRule="auto"/>
        <w:jc w:val="both"/>
        <w:rPr>
          <w:rFonts w:ascii="Times New Roman" w:hAnsi="Times New Roman" w:cs="Times New Roman"/>
          <w:sz w:val="24"/>
          <w:szCs w:val="24"/>
          <w:lang w:val="en-US"/>
        </w:rPr>
        <w:sectPr w:rsidR="00A401BB" w:rsidSect="00A401BB">
          <w:pgSz w:w="16838" w:h="11906" w:orient="landscape"/>
          <w:pgMar w:top="1418" w:right="1418" w:bottom="1134" w:left="1418" w:header="708" w:footer="113" w:gutter="0"/>
          <w:cols w:space="708"/>
          <w:docGrid w:linePitch="360"/>
        </w:sectPr>
      </w:pPr>
    </w:p>
    <w:p w:rsidR="005717B5" w:rsidRPr="002C595D" w:rsidRDefault="005717B5" w:rsidP="00320CFB">
      <w:pPr>
        <w:spacing w:line="360" w:lineRule="auto"/>
        <w:jc w:val="both"/>
        <w:rPr>
          <w:rFonts w:ascii="Times New Roman" w:hAnsi="Times New Roman" w:cs="Times New Roman"/>
          <w:szCs w:val="24"/>
          <w:lang w:val="en-US"/>
        </w:rPr>
      </w:pPr>
      <w:r w:rsidRPr="002C595D">
        <w:rPr>
          <w:rFonts w:ascii="Times New Roman" w:hAnsi="Times New Roman" w:cs="Times New Roman"/>
          <w:szCs w:val="24"/>
          <w:lang w:val="en-US"/>
        </w:rPr>
        <w:lastRenderedPageBreak/>
        <w:t xml:space="preserve">The results of the regression analysis show that there is no relationship between the dependent and the independent variables. A coefficient is not statistically significant when the probability of the variable is above 5% (95% confidence interval), which is the case for all the above variables.  Therefore, we may claim that the dependent variable is not influenced by any of the independent variables. Also, the value of the R-square is </w:t>
      </w:r>
      <w:r w:rsidR="00C24C9D" w:rsidRPr="002C595D">
        <w:rPr>
          <w:rFonts w:ascii="Times New Roman" w:hAnsi="Times New Roman" w:cs="Times New Roman"/>
          <w:szCs w:val="24"/>
          <w:lang w:val="en-US"/>
        </w:rPr>
        <w:t>4</w:t>
      </w:r>
      <w:r w:rsidR="005D4597" w:rsidRPr="002C595D">
        <w:rPr>
          <w:rFonts w:ascii="Times New Roman" w:hAnsi="Times New Roman" w:cs="Times New Roman"/>
          <w:szCs w:val="24"/>
          <w:lang w:val="en-US"/>
        </w:rPr>
        <w:t>, 2</w:t>
      </w:r>
      <w:r w:rsidRPr="002C595D">
        <w:rPr>
          <w:rFonts w:ascii="Times New Roman" w:hAnsi="Times New Roman" w:cs="Times New Roman"/>
          <w:szCs w:val="24"/>
          <w:lang w:val="en-US"/>
        </w:rPr>
        <w:t xml:space="preserve">%. Thus, our regression may be considered as low successful.  </w:t>
      </w:r>
    </w:p>
    <w:p w:rsidR="00C24C9D" w:rsidRPr="002C595D" w:rsidRDefault="00C24C9D" w:rsidP="005717B5">
      <w:pPr>
        <w:spacing w:line="360" w:lineRule="auto"/>
        <w:jc w:val="both"/>
        <w:rPr>
          <w:rFonts w:ascii="Times New Roman" w:hAnsi="Times New Roman" w:cs="Times New Roman"/>
          <w:szCs w:val="24"/>
          <w:lang w:val="en-US"/>
        </w:rPr>
      </w:pPr>
      <w:r w:rsidRPr="002C595D">
        <w:rPr>
          <w:rFonts w:ascii="Times New Roman" w:hAnsi="Times New Roman" w:cs="Times New Roman"/>
          <w:szCs w:val="24"/>
          <w:lang w:val="en-US"/>
        </w:rPr>
        <w:t xml:space="preserve">Because we were unsuccessful in </w:t>
      </w:r>
      <w:r w:rsidR="00367A04" w:rsidRPr="002C595D">
        <w:rPr>
          <w:rFonts w:ascii="Times New Roman" w:hAnsi="Times New Roman" w:cs="Times New Roman"/>
          <w:szCs w:val="24"/>
          <w:lang w:val="en-US"/>
        </w:rPr>
        <w:t xml:space="preserve">proving a relationship with the </w:t>
      </w:r>
      <w:r w:rsidR="005D4597" w:rsidRPr="002C595D">
        <w:rPr>
          <w:rFonts w:ascii="Times New Roman" w:hAnsi="Times New Roman" w:cs="Times New Roman"/>
          <w:szCs w:val="24"/>
          <w:lang w:val="en-US"/>
        </w:rPr>
        <w:t>above regression</w:t>
      </w:r>
      <w:r w:rsidR="00367A04" w:rsidRPr="002C595D">
        <w:rPr>
          <w:rFonts w:ascii="Times New Roman" w:hAnsi="Times New Roman" w:cs="Times New Roman"/>
          <w:szCs w:val="24"/>
          <w:lang w:val="en-US"/>
        </w:rPr>
        <w:t xml:space="preserve">, we also tried to examine the relationship between our dependent variable and the cultural dimensions one by one, separately. </w:t>
      </w:r>
      <w:r w:rsidR="00472824" w:rsidRPr="002C595D">
        <w:rPr>
          <w:rFonts w:ascii="Times New Roman" w:hAnsi="Times New Roman" w:cs="Times New Roman"/>
          <w:szCs w:val="24"/>
          <w:lang w:val="en-US"/>
        </w:rPr>
        <w:t>In particular:</w:t>
      </w:r>
    </w:p>
    <w:p w:rsidR="00472824" w:rsidRPr="00472824" w:rsidRDefault="00F51FB9" w:rsidP="00472824">
      <w:pPr>
        <w:spacing w:line="360" w:lineRule="auto"/>
        <w:jc w:val="both"/>
        <w:rPr>
          <w:rFonts w:ascii="Times New Roman" w:hAnsi="Times New Roman" w:cs="Times New Roman"/>
          <w:sz w:val="24"/>
          <w:szCs w:val="24"/>
          <w:lang w:val="en-US"/>
        </w:rPr>
      </w:pPr>
      <w:r>
        <w:rPr>
          <w:rFonts w:ascii="Times New Roman" w:hAnsi="Times New Roman" w:cs="Times New Roman"/>
          <w:b/>
          <w:i/>
          <w:sz w:val="24"/>
          <w:szCs w:val="24"/>
          <w:lang w:val="en-US"/>
        </w:rPr>
        <w:t>EqAll</w:t>
      </w:r>
      <w:r w:rsidR="00472824" w:rsidRPr="000119AB">
        <w:rPr>
          <w:rFonts w:ascii="Times New Roman" w:hAnsi="Times New Roman" w:cs="Times New Roman"/>
          <w:b/>
          <w:i/>
          <w:sz w:val="24"/>
          <w:szCs w:val="24"/>
          <w:vertAlign w:val="subscript"/>
          <w:lang w:val="en-US"/>
        </w:rPr>
        <w:t xml:space="preserve"> </w:t>
      </w:r>
      <w:r w:rsidR="00472824" w:rsidRPr="000119AB">
        <w:rPr>
          <w:rFonts w:ascii="Times New Roman" w:hAnsi="Times New Roman" w:cs="Times New Roman"/>
          <w:b/>
          <w:i/>
          <w:sz w:val="24"/>
          <w:szCs w:val="24"/>
          <w:lang w:val="en-US"/>
        </w:rPr>
        <w:t xml:space="preserve">= </w:t>
      </w:r>
      <w:r w:rsidR="00472824">
        <w:rPr>
          <w:rFonts w:ascii="Times New Roman" w:hAnsi="Times New Roman" w:cs="Times New Roman"/>
          <w:b/>
          <w:i/>
          <w:sz w:val="24"/>
          <w:szCs w:val="24"/>
          <w:lang w:val="en-US"/>
        </w:rPr>
        <w:t>C</w:t>
      </w:r>
      <w:r w:rsidR="00472824" w:rsidRPr="000119AB">
        <w:rPr>
          <w:rFonts w:ascii="Times New Roman" w:hAnsi="Times New Roman" w:cs="Times New Roman"/>
          <w:b/>
          <w:i/>
          <w:sz w:val="24"/>
          <w:szCs w:val="24"/>
          <w:lang w:val="en-US"/>
        </w:rPr>
        <w:t xml:space="preserve"> + </w:t>
      </w:r>
      <w:r w:rsidR="00472824" w:rsidRPr="000119AB">
        <w:rPr>
          <w:rFonts w:ascii="Times New Roman" w:hAnsi="Times New Roman" w:cs="Times New Roman"/>
          <w:b/>
          <w:i/>
          <w:sz w:val="24"/>
          <w:szCs w:val="24"/>
        </w:rPr>
        <w:t>β</w:t>
      </w:r>
      <w:r w:rsidR="00472824" w:rsidRPr="000119AB">
        <w:rPr>
          <w:rFonts w:ascii="Times New Roman" w:hAnsi="Times New Roman" w:cs="Times New Roman"/>
          <w:b/>
          <w:i/>
          <w:sz w:val="24"/>
          <w:szCs w:val="24"/>
          <w:vertAlign w:val="subscript"/>
          <w:lang w:val="en-US"/>
        </w:rPr>
        <w:t xml:space="preserve">1 </w:t>
      </w:r>
      <w:r w:rsidR="00472824" w:rsidRPr="000119AB">
        <w:rPr>
          <w:rFonts w:ascii="Times New Roman" w:hAnsi="Times New Roman" w:cs="Times New Roman"/>
          <w:b/>
          <w:i/>
          <w:sz w:val="24"/>
          <w:szCs w:val="24"/>
          <w:lang w:val="en-US"/>
        </w:rPr>
        <w:t xml:space="preserve">PDI + </w:t>
      </w:r>
      <w:r w:rsidR="00472824" w:rsidRPr="000119AB">
        <w:rPr>
          <w:rFonts w:ascii="Times New Roman" w:hAnsi="Times New Roman" w:cs="Times New Roman"/>
          <w:b/>
          <w:i/>
          <w:sz w:val="24"/>
          <w:szCs w:val="24"/>
        </w:rPr>
        <w:t>ε</w:t>
      </w:r>
      <w:r w:rsidR="00472824" w:rsidRPr="000119AB">
        <w:rPr>
          <w:rFonts w:ascii="Times New Roman" w:hAnsi="Times New Roman" w:cs="Times New Roman"/>
          <w:b/>
          <w:i/>
          <w:sz w:val="24"/>
          <w:szCs w:val="24"/>
          <w:vertAlign w:val="subscript"/>
          <w:lang w:val="en-US"/>
        </w:rPr>
        <w:t>i,</w:t>
      </w:r>
      <w:r w:rsidR="00472824">
        <w:rPr>
          <w:rFonts w:ascii="Times New Roman" w:hAnsi="Times New Roman" w:cs="Times New Roman"/>
          <w:b/>
          <w:i/>
          <w:sz w:val="24"/>
          <w:szCs w:val="24"/>
          <w:vertAlign w:val="subscript"/>
          <w:lang w:val="en-US"/>
        </w:rPr>
        <w:tab/>
      </w:r>
      <w:r w:rsidR="00472824">
        <w:rPr>
          <w:rFonts w:ascii="Times New Roman" w:hAnsi="Times New Roman" w:cs="Times New Roman"/>
          <w:b/>
          <w:i/>
          <w:sz w:val="24"/>
          <w:szCs w:val="24"/>
          <w:vertAlign w:val="subscript"/>
          <w:lang w:val="en-US"/>
        </w:rPr>
        <w:tab/>
      </w:r>
      <w:r w:rsidR="00472824">
        <w:rPr>
          <w:rFonts w:ascii="Times New Roman" w:hAnsi="Times New Roman" w:cs="Times New Roman"/>
          <w:b/>
          <w:i/>
          <w:sz w:val="24"/>
          <w:szCs w:val="24"/>
          <w:vertAlign w:val="subscript"/>
          <w:lang w:val="en-US"/>
        </w:rPr>
        <w:tab/>
      </w:r>
      <w:r w:rsidR="00472824">
        <w:rPr>
          <w:rFonts w:ascii="Times New Roman" w:hAnsi="Times New Roman" w:cs="Times New Roman"/>
          <w:b/>
          <w:i/>
          <w:sz w:val="24"/>
          <w:szCs w:val="24"/>
          <w:vertAlign w:val="subscript"/>
          <w:lang w:val="en-US"/>
        </w:rPr>
        <w:tab/>
      </w:r>
      <w:r w:rsidR="00472824">
        <w:rPr>
          <w:rFonts w:ascii="Times New Roman" w:hAnsi="Times New Roman" w:cs="Times New Roman"/>
          <w:b/>
          <w:i/>
          <w:sz w:val="24"/>
          <w:szCs w:val="24"/>
          <w:vertAlign w:val="subscript"/>
          <w:lang w:val="en-US"/>
        </w:rPr>
        <w:tab/>
      </w:r>
      <w:r w:rsidR="00472824">
        <w:rPr>
          <w:rFonts w:ascii="Times New Roman" w:hAnsi="Times New Roman" w:cs="Times New Roman"/>
          <w:b/>
          <w:i/>
          <w:sz w:val="24"/>
          <w:szCs w:val="24"/>
          <w:lang w:val="en-US"/>
        </w:rPr>
        <w:t>(2)</w:t>
      </w:r>
    </w:p>
    <w:p w:rsidR="00472824" w:rsidRPr="00472824" w:rsidRDefault="00F51FB9" w:rsidP="00472824">
      <w:pPr>
        <w:spacing w:line="360" w:lineRule="auto"/>
        <w:jc w:val="both"/>
        <w:rPr>
          <w:rFonts w:ascii="Times New Roman" w:hAnsi="Times New Roman" w:cs="Times New Roman"/>
          <w:sz w:val="24"/>
          <w:szCs w:val="24"/>
          <w:lang w:val="en-US"/>
        </w:rPr>
      </w:pPr>
      <w:r>
        <w:rPr>
          <w:rFonts w:ascii="Times New Roman" w:hAnsi="Times New Roman" w:cs="Times New Roman"/>
          <w:b/>
          <w:i/>
          <w:sz w:val="24"/>
          <w:szCs w:val="24"/>
          <w:lang w:val="en-US"/>
        </w:rPr>
        <w:t>EqAll</w:t>
      </w:r>
      <w:r w:rsidRPr="000119AB">
        <w:rPr>
          <w:rFonts w:ascii="Times New Roman" w:hAnsi="Times New Roman" w:cs="Times New Roman"/>
          <w:b/>
          <w:i/>
          <w:sz w:val="24"/>
          <w:szCs w:val="24"/>
          <w:vertAlign w:val="subscript"/>
          <w:lang w:val="en-US"/>
        </w:rPr>
        <w:t xml:space="preserve"> </w:t>
      </w:r>
      <w:r w:rsidR="00472824" w:rsidRPr="000119AB">
        <w:rPr>
          <w:rFonts w:ascii="Times New Roman" w:hAnsi="Times New Roman" w:cs="Times New Roman"/>
          <w:b/>
          <w:i/>
          <w:sz w:val="24"/>
          <w:szCs w:val="24"/>
          <w:lang w:val="en-US"/>
        </w:rPr>
        <w:t xml:space="preserve">= </w:t>
      </w:r>
      <w:r w:rsidR="00472824">
        <w:rPr>
          <w:rFonts w:ascii="Times New Roman" w:hAnsi="Times New Roman" w:cs="Times New Roman"/>
          <w:b/>
          <w:i/>
          <w:sz w:val="24"/>
          <w:szCs w:val="24"/>
          <w:lang w:val="en-US"/>
        </w:rPr>
        <w:t>C</w:t>
      </w:r>
      <w:r w:rsidR="00472824" w:rsidRPr="000119AB">
        <w:rPr>
          <w:rFonts w:ascii="Times New Roman" w:hAnsi="Times New Roman" w:cs="Times New Roman"/>
          <w:b/>
          <w:i/>
          <w:sz w:val="24"/>
          <w:szCs w:val="24"/>
          <w:lang w:val="en-US"/>
        </w:rPr>
        <w:t xml:space="preserve"> + β</w:t>
      </w:r>
      <w:r w:rsidR="00472824" w:rsidRPr="000119AB">
        <w:rPr>
          <w:rFonts w:ascii="Times New Roman" w:hAnsi="Times New Roman" w:cs="Times New Roman"/>
          <w:b/>
          <w:i/>
          <w:sz w:val="24"/>
          <w:szCs w:val="24"/>
          <w:vertAlign w:val="subscript"/>
          <w:lang w:val="en-US"/>
        </w:rPr>
        <w:t xml:space="preserve">2 </w:t>
      </w:r>
      <w:r w:rsidR="00472824" w:rsidRPr="000119AB">
        <w:rPr>
          <w:rFonts w:ascii="Times New Roman" w:hAnsi="Times New Roman" w:cs="Times New Roman"/>
          <w:b/>
          <w:i/>
          <w:sz w:val="24"/>
          <w:szCs w:val="24"/>
          <w:lang w:val="en-US"/>
        </w:rPr>
        <w:t xml:space="preserve">IDV + </w:t>
      </w:r>
      <w:r w:rsidR="00472824" w:rsidRPr="000119AB">
        <w:rPr>
          <w:rFonts w:ascii="Times New Roman" w:hAnsi="Times New Roman" w:cs="Times New Roman"/>
          <w:b/>
          <w:i/>
          <w:sz w:val="24"/>
          <w:szCs w:val="24"/>
        </w:rPr>
        <w:t>ε</w:t>
      </w:r>
      <w:r w:rsidR="00472824" w:rsidRPr="000119AB">
        <w:rPr>
          <w:rFonts w:ascii="Times New Roman" w:hAnsi="Times New Roman" w:cs="Times New Roman"/>
          <w:b/>
          <w:i/>
          <w:sz w:val="24"/>
          <w:szCs w:val="24"/>
          <w:vertAlign w:val="subscript"/>
          <w:lang w:val="en-US"/>
        </w:rPr>
        <w:t>i,</w:t>
      </w:r>
      <w:r w:rsidR="00472824">
        <w:rPr>
          <w:rFonts w:ascii="Times New Roman" w:hAnsi="Times New Roman" w:cs="Times New Roman"/>
          <w:b/>
          <w:i/>
          <w:sz w:val="24"/>
          <w:szCs w:val="24"/>
          <w:vertAlign w:val="subscript"/>
          <w:lang w:val="en-US"/>
        </w:rPr>
        <w:tab/>
      </w:r>
      <w:r w:rsidR="00472824">
        <w:rPr>
          <w:rFonts w:ascii="Times New Roman" w:hAnsi="Times New Roman" w:cs="Times New Roman"/>
          <w:b/>
          <w:i/>
          <w:sz w:val="24"/>
          <w:szCs w:val="24"/>
          <w:vertAlign w:val="subscript"/>
          <w:lang w:val="en-US"/>
        </w:rPr>
        <w:tab/>
      </w:r>
      <w:r w:rsidR="00472824">
        <w:rPr>
          <w:rFonts w:ascii="Times New Roman" w:hAnsi="Times New Roman" w:cs="Times New Roman"/>
          <w:b/>
          <w:i/>
          <w:sz w:val="24"/>
          <w:szCs w:val="24"/>
          <w:vertAlign w:val="subscript"/>
          <w:lang w:val="en-US"/>
        </w:rPr>
        <w:tab/>
      </w:r>
      <w:r w:rsidR="00472824">
        <w:rPr>
          <w:rFonts w:ascii="Times New Roman" w:hAnsi="Times New Roman" w:cs="Times New Roman"/>
          <w:b/>
          <w:i/>
          <w:sz w:val="24"/>
          <w:szCs w:val="24"/>
          <w:vertAlign w:val="subscript"/>
          <w:lang w:val="en-US"/>
        </w:rPr>
        <w:tab/>
      </w:r>
      <w:r w:rsidR="00472824">
        <w:rPr>
          <w:rFonts w:ascii="Times New Roman" w:hAnsi="Times New Roman" w:cs="Times New Roman"/>
          <w:b/>
          <w:i/>
          <w:sz w:val="24"/>
          <w:szCs w:val="24"/>
          <w:vertAlign w:val="subscript"/>
          <w:lang w:val="en-US"/>
        </w:rPr>
        <w:tab/>
      </w:r>
      <w:r w:rsidR="00472824" w:rsidRPr="00472824">
        <w:rPr>
          <w:rFonts w:ascii="Times New Roman" w:hAnsi="Times New Roman" w:cs="Times New Roman"/>
          <w:b/>
          <w:i/>
          <w:sz w:val="24"/>
          <w:szCs w:val="24"/>
          <w:lang w:val="en-US"/>
        </w:rPr>
        <w:t>(3)</w:t>
      </w:r>
    </w:p>
    <w:p w:rsidR="00472824" w:rsidRPr="000119AB" w:rsidRDefault="00F51FB9" w:rsidP="00472824">
      <w:pPr>
        <w:spacing w:line="360" w:lineRule="auto"/>
        <w:jc w:val="both"/>
        <w:rPr>
          <w:rFonts w:ascii="Times New Roman" w:hAnsi="Times New Roman" w:cs="Times New Roman"/>
          <w:sz w:val="24"/>
          <w:szCs w:val="24"/>
          <w:lang w:val="en-US"/>
        </w:rPr>
      </w:pPr>
      <w:r>
        <w:rPr>
          <w:rFonts w:ascii="Times New Roman" w:hAnsi="Times New Roman" w:cs="Times New Roman"/>
          <w:b/>
          <w:i/>
          <w:sz w:val="24"/>
          <w:szCs w:val="24"/>
          <w:lang w:val="en-US"/>
        </w:rPr>
        <w:t>EqAll</w:t>
      </w:r>
      <w:r w:rsidRPr="000119AB">
        <w:rPr>
          <w:rFonts w:ascii="Times New Roman" w:hAnsi="Times New Roman" w:cs="Times New Roman"/>
          <w:b/>
          <w:i/>
          <w:sz w:val="24"/>
          <w:szCs w:val="24"/>
          <w:vertAlign w:val="subscript"/>
          <w:lang w:val="en-US"/>
        </w:rPr>
        <w:t xml:space="preserve"> </w:t>
      </w:r>
      <w:r w:rsidR="00472824" w:rsidRPr="000119AB">
        <w:rPr>
          <w:rFonts w:ascii="Times New Roman" w:hAnsi="Times New Roman" w:cs="Times New Roman"/>
          <w:b/>
          <w:i/>
          <w:sz w:val="24"/>
          <w:szCs w:val="24"/>
          <w:lang w:val="en-US"/>
        </w:rPr>
        <w:t xml:space="preserve">= </w:t>
      </w:r>
      <w:r w:rsidR="00472824">
        <w:rPr>
          <w:rFonts w:ascii="Times New Roman" w:hAnsi="Times New Roman" w:cs="Times New Roman"/>
          <w:b/>
          <w:i/>
          <w:sz w:val="24"/>
          <w:szCs w:val="24"/>
          <w:lang w:val="en-US"/>
        </w:rPr>
        <w:t>C</w:t>
      </w:r>
      <w:r w:rsidR="00472824" w:rsidRPr="000119AB">
        <w:rPr>
          <w:rFonts w:ascii="Times New Roman" w:hAnsi="Times New Roman" w:cs="Times New Roman"/>
          <w:b/>
          <w:i/>
          <w:sz w:val="24"/>
          <w:szCs w:val="24"/>
          <w:lang w:val="en-US"/>
        </w:rPr>
        <w:t xml:space="preserve"> + </w:t>
      </w:r>
      <w:r w:rsidR="00472824" w:rsidRPr="000119AB">
        <w:rPr>
          <w:rFonts w:ascii="Times New Roman" w:hAnsi="Times New Roman" w:cs="Times New Roman"/>
          <w:b/>
          <w:i/>
          <w:sz w:val="24"/>
          <w:szCs w:val="24"/>
        </w:rPr>
        <w:t>β</w:t>
      </w:r>
      <w:r w:rsidR="00472824" w:rsidRPr="000119AB">
        <w:rPr>
          <w:rFonts w:ascii="Times New Roman" w:hAnsi="Times New Roman" w:cs="Times New Roman"/>
          <w:b/>
          <w:i/>
          <w:sz w:val="24"/>
          <w:szCs w:val="24"/>
          <w:vertAlign w:val="subscript"/>
          <w:lang w:val="en-US"/>
        </w:rPr>
        <w:t xml:space="preserve">3 </w:t>
      </w:r>
      <w:r w:rsidR="00472824">
        <w:rPr>
          <w:rFonts w:ascii="Times New Roman" w:hAnsi="Times New Roman" w:cs="Times New Roman"/>
          <w:b/>
          <w:i/>
          <w:sz w:val="24"/>
          <w:szCs w:val="24"/>
          <w:lang w:val="en-US"/>
        </w:rPr>
        <w:t xml:space="preserve">UAI </w:t>
      </w:r>
      <w:r w:rsidR="00472824" w:rsidRPr="000119AB">
        <w:rPr>
          <w:rFonts w:ascii="Times New Roman" w:hAnsi="Times New Roman" w:cs="Times New Roman"/>
          <w:b/>
          <w:i/>
          <w:sz w:val="24"/>
          <w:szCs w:val="24"/>
          <w:lang w:val="en-US"/>
        </w:rPr>
        <w:t xml:space="preserve">+ </w:t>
      </w:r>
      <w:r w:rsidR="00472824" w:rsidRPr="000119AB">
        <w:rPr>
          <w:rFonts w:ascii="Times New Roman" w:hAnsi="Times New Roman" w:cs="Times New Roman"/>
          <w:b/>
          <w:i/>
          <w:sz w:val="24"/>
          <w:szCs w:val="24"/>
        </w:rPr>
        <w:t>ε</w:t>
      </w:r>
      <w:r w:rsidR="00472824" w:rsidRPr="000119AB">
        <w:rPr>
          <w:rFonts w:ascii="Times New Roman" w:hAnsi="Times New Roman" w:cs="Times New Roman"/>
          <w:b/>
          <w:i/>
          <w:sz w:val="24"/>
          <w:szCs w:val="24"/>
          <w:vertAlign w:val="subscript"/>
          <w:lang w:val="en-US"/>
        </w:rPr>
        <w:t>i,</w:t>
      </w:r>
      <w:r w:rsidR="00472824">
        <w:rPr>
          <w:rFonts w:ascii="Times New Roman" w:hAnsi="Times New Roman" w:cs="Times New Roman"/>
          <w:b/>
          <w:i/>
          <w:sz w:val="24"/>
          <w:szCs w:val="24"/>
          <w:vertAlign w:val="subscript"/>
          <w:lang w:val="en-US"/>
        </w:rPr>
        <w:tab/>
      </w:r>
      <w:r w:rsidR="00472824">
        <w:rPr>
          <w:rFonts w:ascii="Times New Roman" w:hAnsi="Times New Roman" w:cs="Times New Roman"/>
          <w:b/>
          <w:i/>
          <w:sz w:val="24"/>
          <w:szCs w:val="24"/>
          <w:vertAlign w:val="subscript"/>
          <w:lang w:val="en-US"/>
        </w:rPr>
        <w:tab/>
      </w:r>
      <w:r w:rsidR="00472824">
        <w:rPr>
          <w:rFonts w:ascii="Times New Roman" w:hAnsi="Times New Roman" w:cs="Times New Roman"/>
          <w:b/>
          <w:i/>
          <w:sz w:val="24"/>
          <w:szCs w:val="24"/>
          <w:vertAlign w:val="subscript"/>
          <w:lang w:val="en-US"/>
        </w:rPr>
        <w:tab/>
      </w:r>
      <w:r w:rsidR="00472824">
        <w:rPr>
          <w:rFonts w:ascii="Times New Roman" w:hAnsi="Times New Roman" w:cs="Times New Roman"/>
          <w:b/>
          <w:i/>
          <w:sz w:val="24"/>
          <w:szCs w:val="24"/>
          <w:vertAlign w:val="subscript"/>
          <w:lang w:val="en-US"/>
        </w:rPr>
        <w:tab/>
      </w:r>
      <w:r w:rsidR="00472824">
        <w:rPr>
          <w:rFonts w:ascii="Times New Roman" w:hAnsi="Times New Roman" w:cs="Times New Roman"/>
          <w:b/>
          <w:i/>
          <w:sz w:val="24"/>
          <w:szCs w:val="24"/>
          <w:vertAlign w:val="subscript"/>
          <w:lang w:val="en-US"/>
        </w:rPr>
        <w:tab/>
      </w:r>
      <w:r w:rsidR="00472824" w:rsidRPr="00472824">
        <w:rPr>
          <w:rFonts w:ascii="Times New Roman" w:hAnsi="Times New Roman" w:cs="Times New Roman"/>
          <w:b/>
          <w:i/>
          <w:sz w:val="24"/>
          <w:szCs w:val="24"/>
          <w:lang w:val="en-US"/>
        </w:rPr>
        <w:t>(4)</w:t>
      </w:r>
    </w:p>
    <w:p w:rsidR="00472824" w:rsidRPr="00472824" w:rsidRDefault="00F51FB9" w:rsidP="00472824">
      <w:pPr>
        <w:spacing w:line="360" w:lineRule="auto"/>
        <w:jc w:val="both"/>
        <w:rPr>
          <w:rFonts w:ascii="Times New Roman" w:hAnsi="Times New Roman" w:cs="Times New Roman"/>
          <w:sz w:val="24"/>
          <w:szCs w:val="24"/>
          <w:lang w:val="en-US"/>
        </w:rPr>
      </w:pPr>
      <w:r>
        <w:rPr>
          <w:rFonts w:ascii="Times New Roman" w:hAnsi="Times New Roman" w:cs="Times New Roman"/>
          <w:b/>
          <w:i/>
          <w:sz w:val="24"/>
          <w:szCs w:val="24"/>
          <w:lang w:val="en-US"/>
        </w:rPr>
        <w:t>EqAll</w:t>
      </w:r>
      <w:r w:rsidRPr="000119AB">
        <w:rPr>
          <w:rFonts w:ascii="Times New Roman" w:hAnsi="Times New Roman" w:cs="Times New Roman"/>
          <w:b/>
          <w:i/>
          <w:sz w:val="24"/>
          <w:szCs w:val="24"/>
          <w:vertAlign w:val="subscript"/>
          <w:lang w:val="en-US"/>
        </w:rPr>
        <w:t xml:space="preserve"> </w:t>
      </w:r>
      <w:r w:rsidR="00472824" w:rsidRPr="000119AB">
        <w:rPr>
          <w:rFonts w:ascii="Times New Roman" w:hAnsi="Times New Roman" w:cs="Times New Roman"/>
          <w:b/>
          <w:i/>
          <w:sz w:val="24"/>
          <w:szCs w:val="24"/>
          <w:lang w:val="en-US"/>
        </w:rPr>
        <w:t xml:space="preserve">= </w:t>
      </w:r>
      <w:r w:rsidR="00472824">
        <w:rPr>
          <w:rFonts w:ascii="Times New Roman" w:hAnsi="Times New Roman" w:cs="Times New Roman"/>
          <w:b/>
          <w:i/>
          <w:sz w:val="24"/>
          <w:szCs w:val="24"/>
          <w:lang w:val="en-US"/>
        </w:rPr>
        <w:t>C</w:t>
      </w:r>
      <w:r w:rsidR="00472824" w:rsidRPr="000119AB">
        <w:rPr>
          <w:rFonts w:ascii="Times New Roman" w:hAnsi="Times New Roman" w:cs="Times New Roman"/>
          <w:b/>
          <w:i/>
          <w:sz w:val="24"/>
          <w:szCs w:val="24"/>
          <w:lang w:val="en-US"/>
        </w:rPr>
        <w:t xml:space="preserve"> + </w:t>
      </w:r>
      <w:r w:rsidR="00472824" w:rsidRPr="000119AB">
        <w:rPr>
          <w:rFonts w:ascii="Times New Roman" w:hAnsi="Times New Roman" w:cs="Times New Roman"/>
          <w:b/>
          <w:i/>
          <w:sz w:val="24"/>
          <w:szCs w:val="24"/>
        </w:rPr>
        <w:t>β</w:t>
      </w:r>
      <w:r w:rsidR="00472824" w:rsidRPr="000119AB">
        <w:rPr>
          <w:rFonts w:ascii="Times New Roman" w:hAnsi="Times New Roman" w:cs="Times New Roman"/>
          <w:b/>
          <w:i/>
          <w:sz w:val="24"/>
          <w:szCs w:val="24"/>
          <w:vertAlign w:val="subscript"/>
          <w:lang w:val="en-US"/>
        </w:rPr>
        <w:t xml:space="preserve">4 </w:t>
      </w:r>
      <w:r w:rsidR="00472824" w:rsidRPr="000119AB">
        <w:rPr>
          <w:rFonts w:ascii="Times New Roman" w:hAnsi="Times New Roman" w:cs="Times New Roman"/>
          <w:b/>
          <w:i/>
          <w:sz w:val="24"/>
          <w:szCs w:val="24"/>
          <w:lang w:val="en-US"/>
        </w:rPr>
        <w:t>MASC</w:t>
      </w:r>
      <w:r w:rsidR="00472824" w:rsidRPr="000119AB">
        <w:rPr>
          <w:rFonts w:ascii="Times New Roman" w:hAnsi="Times New Roman" w:cs="Times New Roman"/>
          <w:b/>
          <w:i/>
          <w:sz w:val="24"/>
          <w:szCs w:val="24"/>
          <w:vertAlign w:val="subscript"/>
          <w:lang w:val="en-US"/>
        </w:rPr>
        <w:t xml:space="preserve"> </w:t>
      </w:r>
      <w:r w:rsidR="00472824" w:rsidRPr="000119AB">
        <w:rPr>
          <w:rFonts w:ascii="Times New Roman" w:hAnsi="Times New Roman" w:cs="Times New Roman"/>
          <w:b/>
          <w:i/>
          <w:sz w:val="24"/>
          <w:szCs w:val="24"/>
          <w:lang w:val="en-US"/>
        </w:rPr>
        <w:t xml:space="preserve">+ </w:t>
      </w:r>
      <w:r w:rsidR="00472824" w:rsidRPr="000119AB">
        <w:rPr>
          <w:rFonts w:ascii="Times New Roman" w:hAnsi="Times New Roman" w:cs="Times New Roman"/>
          <w:b/>
          <w:i/>
          <w:sz w:val="24"/>
          <w:szCs w:val="24"/>
        </w:rPr>
        <w:t>ε</w:t>
      </w:r>
      <w:r w:rsidR="00472824" w:rsidRPr="000119AB">
        <w:rPr>
          <w:rFonts w:ascii="Times New Roman" w:hAnsi="Times New Roman" w:cs="Times New Roman"/>
          <w:b/>
          <w:i/>
          <w:sz w:val="24"/>
          <w:szCs w:val="24"/>
          <w:vertAlign w:val="subscript"/>
          <w:lang w:val="en-US"/>
        </w:rPr>
        <w:t>i,</w:t>
      </w:r>
      <w:r w:rsidR="00472824">
        <w:rPr>
          <w:rFonts w:ascii="Times New Roman" w:hAnsi="Times New Roman" w:cs="Times New Roman"/>
          <w:b/>
          <w:i/>
          <w:sz w:val="24"/>
          <w:szCs w:val="24"/>
          <w:vertAlign w:val="subscript"/>
          <w:lang w:val="en-US"/>
        </w:rPr>
        <w:tab/>
      </w:r>
      <w:r w:rsidR="00472824">
        <w:rPr>
          <w:rFonts w:ascii="Times New Roman" w:hAnsi="Times New Roman" w:cs="Times New Roman"/>
          <w:b/>
          <w:i/>
          <w:sz w:val="24"/>
          <w:szCs w:val="24"/>
          <w:vertAlign w:val="subscript"/>
          <w:lang w:val="en-US"/>
        </w:rPr>
        <w:tab/>
      </w:r>
      <w:r w:rsidR="00472824">
        <w:rPr>
          <w:rFonts w:ascii="Times New Roman" w:hAnsi="Times New Roman" w:cs="Times New Roman"/>
          <w:b/>
          <w:i/>
          <w:sz w:val="24"/>
          <w:szCs w:val="24"/>
          <w:vertAlign w:val="subscript"/>
          <w:lang w:val="en-US"/>
        </w:rPr>
        <w:tab/>
      </w:r>
      <w:r w:rsidR="00D52B25">
        <w:rPr>
          <w:rFonts w:ascii="Times New Roman" w:hAnsi="Times New Roman" w:cs="Times New Roman"/>
          <w:b/>
          <w:i/>
          <w:sz w:val="24"/>
          <w:szCs w:val="24"/>
          <w:vertAlign w:val="subscript"/>
          <w:lang w:val="en-US"/>
        </w:rPr>
        <w:t>`</w:t>
      </w:r>
      <w:r w:rsidR="00D52B25">
        <w:rPr>
          <w:rFonts w:ascii="Times New Roman" w:hAnsi="Times New Roman" w:cs="Times New Roman"/>
          <w:b/>
          <w:i/>
          <w:sz w:val="24"/>
          <w:szCs w:val="24"/>
          <w:vertAlign w:val="subscript"/>
          <w:lang w:val="en-US"/>
        </w:rPr>
        <w:tab/>
      </w:r>
      <w:r w:rsidR="00472824">
        <w:rPr>
          <w:rFonts w:ascii="Times New Roman" w:hAnsi="Times New Roman" w:cs="Times New Roman"/>
          <w:b/>
          <w:i/>
          <w:sz w:val="24"/>
          <w:szCs w:val="24"/>
          <w:vertAlign w:val="subscript"/>
          <w:lang w:val="en-US"/>
        </w:rPr>
        <w:tab/>
      </w:r>
      <w:r w:rsidR="00472824">
        <w:rPr>
          <w:rFonts w:ascii="Times New Roman" w:hAnsi="Times New Roman" w:cs="Times New Roman"/>
          <w:b/>
          <w:i/>
          <w:sz w:val="24"/>
          <w:szCs w:val="24"/>
          <w:lang w:val="en-US"/>
        </w:rPr>
        <w:t>(5)</w:t>
      </w:r>
    </w:p>
    <w:p w:rsidR="00472824" w:rsidRPr="002C595D" w:rsidRDefault="00472824" w:rsidP="00472824">
      <w:pPr>
        <w:spacing w:line="360" w:lineRule="auto"/>
        <w:jc w:val="both"/>
        <w:rPr>
          <w:rFonts w:ascii="Times New Roman" w:hAnsi="Times New Roman" w:cs="Times New Roman"/>
          <w:szCs w:val="24"/>
          <w:lang w:val="en-US"/>
        </w:rPr>
      </w:pPr>
      <w:r w:rsidRPr="002C595D">
        <w:rPr>
          <w:rFonts w:ascii="Times New Roman" w:hAnsi="Times New Roman" w:cs="Times New Roman"/>
          <w:szCs w:val="24"/>
          <w:lang w:val="en-US"/>
        </w:rPr>
        <w:t xml:space="preserve">Where once again:  </w:t>
      </w:r>
    </w:p>
    <w:p w:rsidR="00472824" w:rsidRPr="002C595D" w:rsidRDefault="00F51FB9" w:rsidP="00F51FB9">
      <w:pPr>
        <w:pStyle w:val="ListParagraph"/>
        <w:numPr>
          <w:ilvl w:val="0"/>
          <w:numId w:val="8"/>
        </w:numPr>
        <w:spacing w:line="360" w:lineRule="auto"/>
        <w:jc w:val="both"/>
        <w:rPr>
          <w:rFonts w:ascii="Times New Roman" w:hAnsi="Times New Roman" w:cs="Times New Roman"/>
          <w:szCs w:val="24"/>
          <w:lang w:val="en-US"/>
        </w:rPr>
      </w:pPr>
      <w:r w:rsidRPr="002C595D">
        <w:rPr>
          <w:rFonts w:ascii="Times New Roman" w:hAnsi="Times New Roman" w:cs="Times New Roman"/>
          <w:szCs w:val="24"/>
          <w:lang w:val="en-US"/>
        </w:rPr>
        <w:t xml:space="preserve">EqAll </w:t>
      </w:r>
      <w:r w:rsidR="00472824" w:rsidRPr="002C595D">
        <w:rPr>
          <w:rFonts w:ascii="Times New Roman" w:hAnsi="Times New Roman" w:cs="Times New Roman"/>
          <w:szCs w:val="24"/>
          <w:lang w:val="en-US"/>
        </w:rPr>
        <w:t>is the ratio of Equity to Total investments and  is the independent variable (Y</w:t>
      </w:r>
      <w:r w:rsidR="00472824" w:rsidRPr="002C595D">
        <w:rPr>
          <w:rFonts w:ascii="Times New Roman" w:hAnsi="Times New Roman" w:cs="Times New Roman"/>
          <w:szCs w:val="24"/>
          <w:vertAlign w:val="subscript"/>
          <w:lang w:val="en-US"/>
        </w:rPr>
        <w:t>i</w:t>
      </w:r>
      <w:r w:rsidR="00472824" w:rsidRPr="002C595D">
        <w:rPr>
          <w:rFonts w:ascii="Times New Roman" w:hAnsi="Times New Roman" w:cs="Times New Roman"/>
          <w:szCs w:val="24"/>
          <w:lang w:val="en-US"/>
        </w:rPr>
        <w:t>)</w:t>
      </w:r>
    </w:p>
    <w:p w:rsidR="00472824" w:rsidRPr="002C595D" w:rsidRDefault="00472824" w:rsidP="00472824">
      <w:pPr>
        <w:pStyle w:val="ListParagraph"/>
        <w:numPr>
          <w:ilvl w:val="0"/>
          <w:numId w:val="8"/>
        </w:numPr>
        <w:spacing w:line="360" w:lineRule="auto"/>
        <w:jc w:val="both"/>
        <w:rPr>
          <w:rFonts w:ascii="Times New Roman" w:hAnsi="Times New Roman" w:cs="Times New Roman"/>
          <w:szCs w:val="24"/>
          <w:lang w:val="en-US"/>
        </w:rPr>
      </w:pPr>
      <w:r w:rsidRPr="002C595D">
        <w:rPr>
          <w:rFonts w:ascii="Times New Roman" w:hAnsi="Times New Roman" w:cs="Times New Roman"/>
          <w:szCs w:val="24"/>
          <w:lang w:val="en-US"/>
        </w:rPr>
        <w:t xml:space="preserve">PDI stands for the scores on  Power Distance </w:t>
      </w:r>
    </w:p>
    <w:p w:rsidR="00472824" w:rsidRPr="002C595D" w:rsidRDefault="00472824" w:rsidP="00472824">
      <w:pPr>
        <w:pStyle w:val="ListParagraph"/>
        <w:numPr>
          <w:ilvl w:val="0"/>
          <w:numId w:val="8"/>
        </w:numPr>
        <w:spacing w:line="360" w:lineRule="auto"/>
        <w:jc w:val="both"/>
        <w:rPr>
          <w:rFonts w:ascii="Times New Roman" w:hAnsi="Times New Roman" w:cs="Times New Roman"/>
          <w:szCs w:val="24"/>
          <w:lang w:val="en-US"/>
        </w:rPr>
      </w:pPr>
      <w:r w:rsidRPr="002C595D">
        <w:rPr>
          <w:rFonts w:ascii="Times New Roman" w:hAnsi="Times New Roman" w:cs="Times New Roman"/>
          <w:szCs w:val="24"/>
          <w:lang w:val="en-US"/>
        </w:rPr>
        <w:t>IDV stands for scores in Individualism</w:t>
      </w:r>
    </w:p>
    <w:p w:rsidR="00472824" w:rsidRPr="002C595D" w:rsidRDefault="00472824" w:rsidP="00472824">
      <w:pPr>
        <w:pStyle w:val="ListParagraph"/>
        <w:numPr>
          <w:ilvl w:val="0"/>
          <w:numId w:val="8"/>
        </w:numPr>
        <w:spacing w:line="360" w:lineRule="auto"/>
        <w:jc w:val="both"/>
        <w:rPr>
          <w:rFonts w:ascii="Times New Roman" w:hAnsi="Times New Roman" w:cs="Times New Roman"/>
          <w:szCs w:val="24"/>
          <w:lang w:val="en-US"/>
        </w:rPr>
      </w:pPr>
      <w:r w:rsidRPr="002C595D">
        <w:rPr>
          <w:rFonts w:ascii="Times New Roman" w:hAnsi="Times New Roman" w:cs="Times New Roman"/>
          <w:szCs w:val="24"/>
          <w:lang w:val="en-US"/>
        </w:rPr>
        <w:t>UAI stands for Uncertainty Avoidance scores</w:t>
      </w:r>
    </w:p>
    <w:p w:rsidR="00472824" w:rsidRPr="002C595D" w:rsidRDefault="00472824" w:rsidP="00472824">
      <w:pPr>
        <w:pStyle w:val="ListParagraph"/>
        <w:numPr>
          <w:ilvl w:val="0"/>
          <w:numId w:val="8"/>
        </w:numPr>
        <w:spacing w:line="360" w:lineRule="auto"/>
        <w:jc w:val="both"/>
        <w:rPr>
          <w:rFonts w:ascii="Times New Roman" w:hAnsi="Times New Roman" w:cs="Times New Roman"/>
          <w:szCs w:val="24"/>
          <w:lang w:val="en-US"/>
        </w:rPr>
      </w:pPr>
      <w:r w:rsidRPr="002C595D">
        <w:rPr>
          <w:rFonts w:ascii="Times New Roman" w:hAnsi="Times New Roman" w:cs="Times New Roman"/>
          <w:szCs w:val="24"/>
          <w:lang w:val="en-US"/>
        </w:rPr>
        <w:t>MASC is the score for the fourth cultural dimension, Masculinity</w:t>
      </w:r>
    </w:p>
    <w:p w:rsidR="00472824" w:rsidRPr="002C595D" w:rsidRDefault="00472824" w:rsidP="00472824">
      <w:pPr>
        <w:pStyle w:val="ListParagraph"/>
        <w:numPr>
          <w:ilvl w:val="0"/>
          <w:numId w:val="8"/>
        </w:numPr>
        <w:spacing w:line="360" w:lineRule="auto"/>
        <w:jc w:val="both"/>
        <w:rPr>
          <w:rFonts w:ascii="Times New Roman" w:hAnsi="Times New Roman" w:cs="Times New Roman"/>
          <w:szCs w:val="24"/>
          <w:lang w:val="en-US"/>
        </w:rPr>
      </w:pPr>
      <w:r w:rsidRPr="002C595D">
        <w:rPr>
          <w:rFonts w:ascii="Times New Roman" w:hAnsi="Times New Roman" w:cs="Times New Roman"/>
          <w:szCs w:val="24"/>
        </w:rPr>
        <w:t>β</w:t>
      </w:r>
      <w:r w:rsidRPr="002C595D">
        <w:rPr>
          <w:rFonts w:ascii="Times New Roman" w:hAnsi="Times New Roman" w:cs="Times New Roman"/>
          <w:szCs w:val="24"/>
          <w:vertAlign w:val="subscript"/>
          <w:lang w:val="en-US"/>
        </w:rPr>
        <w:t xml:space="preserve">1, </w:t>
      </w:r>
      <w:r w:rsidRPr="002C595D">
        <w:rPr>
          <w:rFonts w:ascii="Times New Roman" w:hAnsi="Times New Roman" w:cs="Times New Roman"/>
          <w:szCs w:val="24"/>
        </w:rPr>
        <w:t>β</w:t>
      </w:r>
      <w:r w:rsidRPr="002C595D">
        <w:rPr>
          <w:rFonts w:ascii="Times New Roman" w:hAnsi="Times New Roman" w:cs="Times New Roman"/>
          <w:szCs w:val="24"/>
          <w:vertAlign w:val="subscript"/>
          <w:lang w:val="en-US"/>
        </w:rPr>
        <w:t xml:space="preserve">2, </w:t>
      </w:r>
      <w:r w:rsidRPr="002C595D">
        <w:rPr>
          <w:rFonts w:ascii="Times New Roman" w:hAnsi="Times New Roman" w:cs="Times New Roman"/>
          <w:szCs w:val="24"/>
        </w:rPr>
        <w:t>β</w:t>
      </w:r>
      <w:r w:rsidRPr="002C595D">
        <w:rPr>
          <w:rFonts w:ascii="Times New Roman" w:hAnsi="Times New Roman" w:cs="Times New Roman"/>
          <w:szCs w:val="24"/>
          <w:vertAlign w:val="subscript"/>
          <w:lang w:val="en-US"/>
        </w:rPr>
        <w:t xml:space="preserve">3 </w:t>
      </w:r>
      <w:r w:rsidRPr="002C595D">
        <w:rPr>
          <w:rFonts w:ascii="Times New Roman" w:hAnsi="Times New Roman" w:cs="Times New Roman"/>
          <w:szCs w:val="24"/>
          <w:lang w:val="en-US"/>
        </w:rPr>
        <w:t>and</w:t>
      </w:r>
      <w:r w:rsidRPr="002C595D">
        <w:rPr>
          <w:rFonts w:ascii="Times New Roman" w:hAnsi="Times New Roman" w:cs="Times New Roman"/>
          <w:szCs w:val="24"/>
          <w:vertAlign w:val="subscript"/>
          <w:lang w:val="en-US"/>
        </w:rPr>
        <w:t xml:space="preserve"> </w:t>
      </w:r>
      <w:r w:rsidRPr="002C595D">
        <w:rPr>
          <w:rFonts w:ascii="Times New Roman" w:hAnsi="Times New Roman" w:cs="Times New Roman"/>
          <w:szCs w:val="24"/>
        </w:rPr>
        <w:t>β</w:t>
      </w:r>
      <w:r w:rsidRPr="002C595D">
        <w:rPr>
          <w:rFonts w:ascii="Times New Roman" w:hAnsi="Times New Roman" w:cs="Times New Roman"/>
          <w:szCs w:val="24"/>
          <w:vertAlign w:val="subscript"/>
          <w:lang w:val="en-US"/>
        </w:rPr>
        <w:t xml:space="preserve">4 </w:t>
      </w:r>
      <w:r w:rsidRPr="002C595D">
        <w:rPr>
          <w:rFonts w:ascii="Times New Roman" w:hAnsi="Times New Roman" w:cs="Times New Roman"/>
          <w:szCs w:val="24"/>
          <w:lang w:val="en-US"/>
        </w:rPr>
        <w:t xml:space="preserve"> are the coefficients </w:t>
      </w:r>
    </w:p>
    <w:p w:rsidR="00472824" w:rsidRPr="002C595D" w:rsidRDefault="00472824" w:rsidP="00472824">
      <w:pPr>
        <w:pStyle w:val="ListParagraph"/>
        <w:numPr>
          <w:ilvl w:val="0"/>
          <w:numId w:val="8"/>
        </w:numPr>
        <w:spacing w:line="360" w:lineRule="auto"/>
        <w:jc w:val="both"/>
        <w:rPr>
          <w:rFonts w:ascii="Times New Roman" w:hAnsi="Times New Roman" w:cs="Times New Roman"/>
          <w:szCs w:val="24"/>
          <w:lang w:val="en-US"/>
        </w:rPr>
      </w:pPr>
      <w:r w:rsidRPr="002C595D">
        <w:rPr>
          <w:rFonts w:ascii="Times New Roman" w:hAnsi="Times New Roman" w:cs="Times New Roman"/>
          <w:szCs w:val="24"/>
          <w:lang w:val="en-US"/>
        </w:rPr>
        <w:t>C is the constant</w:t>
      </w:r>
    </w:p>
    <w:p w:rsidR="00472824" w:rsidRPr="002C595D" w:rsidRDefault="00472824" w:rsidP="005717B5">
      <w:pPr>
        <w:pStyle w:val="ListParagraph"/>
        <w:numPr>
          <w:ilvl w:val="0"/>
          <w:numId w:val="8"/>
        </w:numPr>
        <w:spacing w:line="360" w:lineRule="auto"/>
        <w:jc w:val="both"/>
        <w:rPr>
          <w:rFonts w:ascii="Times New Roman" w:hAnsi="Times New Roman" w:cs="Times New Roman"/>
          <w:szCs w:val="24"/>
          <w:lang w:val="en-US"/>
        </w:rPr>
      </w:pPr>
      <w:r w:rsidRPr="002C595D">
        <w:rPr>
          <w:rFonts w:ascii="Times New Roman" w:hAnsi="Times New Roman" w:cs="Times New Roman"/>
          <w:szCs w:val="24"/>
        </w:rPr>
        <w:t>ε</w:t>
      </w:r>
      <w:r w:rsidRPr="002C595D">
        <w:rPr>
          <w:rFonts w:ascii="Times New Roman" w:hAnsi="Times New Roman" w:cs="Times New Roman"/>
          <w:szCs w:val="24"/>
          <w:vertAlign w:val="subscript"/>
        </w:rPr>
        <w:t>ι</w:t>
      </w:r>
      <w:r w:rsidRPr="002C595D">
        <w:rPr>
          <w:rFonts w:ascii="Times New Roman" w:hAnsi="Times New Roman" w:cs="Times New Roman"/>
          <w:szCs w:val="24"/>
          <w:vertAlign w:val="subscript"/>
          <w:lang w:val="en-US"/>
        </w:rPr>
        <w:t xml:space="preserve">  </w:t>
      </w:r>
      <w:r w:rsidRPr="002C595D">
        <w:rPr>
          <w:rFonts w:ascii="Times New Roman" w:hAnsi="Times New Roman" w:cs="Times New Roman"/>
          <w:szCs w:val="24"/>
          <w:lang w:val="en-US"/>
        </w:rPr>
        <w:t>the standard error</w:t>
      </w:r>
    </w:p>
    <w:p w:rsidR="00320CFB" w:rsidRPr="002C595D" w:rsidRDefault="00320CFB" w:rsidP="00320CFB">
      <w:pPr>
        <w:pStyle w:val="ListParagraph"/>
        <w:spacing w:line="360" w:lineRule="auto"/>
        <w:jc w:val="both"/>
        <w:rPr>
          <w:rFonts w:ascii="Times New Roman" w:hAnsi="Times New Roman" w:cs="Times New Roman"/>
          <w:szCs w:val="24"/>
          <w:lang w:val="en-US"/>
        </w:rPr>
      </w:pPr>
    </w:p>
    <w:p w:rsidR="005A7664" w:rsidRPr="002C595D" w:rsidRDefault="00CE01CA" w:rsidP="005717B5">
      <w:pPr>
        <w:spacing w:line="360" w:lineRule="auto"/>
        <w:jc w:val="both"/>
        <w:rPr>
          <w:rFonts w:ascii="Times New Roman" w:hAnsi="Times New Roman" w:cs="Times New Roman"/>
          <w:szCs w:val="24"/>
          <w:lang w:val="en-US"/>
        </w:rPr>
      </w:pPr>
      <w:r w:rsidRPr="002C595D">
        <w:rPr>
          <w:rFonts w:ascii="Times New Roman" w:hAnsi="Times New Roman" w:cs="Times New Roman"/>
          <w:szCs w:val="24"/>
          <w:lang w:val="en-US"/>
        </w:rPr>
        <w:t xml:space="preserve">The results can also be found at the above table (Table 4.2 ). </w:t>
      </w:r>
      <w:r w:rsidR="005A7664" w:rsidRPr="002C595D">
        <w:rPr>
          <w:rFonts w:ascii="Times New Roman" w:hAnsi="Times New Roman" w:cs="Times New Roman"/>
          <w:szCs w:val="24"/>
          <w:lang w:val="en-US"/>
        </w:rPr>
        <w:t xml:space="preserve">We can see that once again we could not establish a relationship between the equity investments and the cultural dimensions. </w:t>
      </w:r>
    </w:p>
    <w:p w:rsidR="00617731" w:rsidRPr="002C595D" w:rsidRDefault="00617731" w:rsidP="00617731">
      <w:pPr>
        <w:spacing w:line="360" w:lineRule="auto"/>
        <w:jc w:val="both"/>
        <w:rPr>
          <w:rFonts w:ascii="Times New Roman" w:hAnsi="Times New Roman" w:cs="Times New Roman"/>
          <w:szCs w:val="24"/>
          <w:lang w:val="en-US"/>
        </w:rPr>
      </w:pPr>
      <w:r w:rsidRPr="002C595D">
        <w:rPr>
          <w:rFonts w:ascii="Times New Roman" w:hAnsi="Times New Roman" w:cs="Times New Roman"/>
          <w:szCs w:val="24"/>
          <w:lang w:val="en-US"/>
        </w:rPr>
        <w:t>Either testing the relationship between the cultural dimensions and the equity allocations one by one, or all in the same time, does not give us any statistically significant result. The probabilities are really high and the R</w:t>
      </w:r>
      <w:r w:rsidRPr="002C595D">
        <w:rPr>
          <w:rFonts w:ascii="Times New Roman" w:hAnsi="Times New Roman" w:cs="Times New Roman"/>
          <w:szCs w:val="24"/>
          <w:vertAlign w:val="subscript"/>
          <w:lang w:val="en-US"/>
        </w:rPr>
        <w:t>2</w:t>
      </w:r>
      <w:r w:rsidRPr="002C595D">
        <w:rPr>
          <w:rFonts w:ascii="Times New Roman" w:hAnsi="Times New Roman" w:cs="Times New Roman"/>
          <w:szCs w:val="24"/>
          <w:lang w:val="en-US"/>
        </w:rPr>
        <w:t xml:space="preserve"> indicate a very low success of the </w:t>
      </w:r>
      <w:r w:rsidR="005D4597" w:rsidRPr="002C595D">
        <w:rPr>
          <w:rFonts w:ascii="Times New Roman" w:hAnsi="Times New Roman" w:cs="Times New Roman"/>
          <w:szCs w:val="24"/>
          <w:lang w:val="en-US"/>
        </w:rPr>
        <w:t xml:space="preserve">models. </w:t>
      </w:r>
      <w:r w:rsidRPr="002C595D">
        <w:rPr>
          <w:rFonts w:ascii="Times New Roman" w:hAnsi="Times New Roman" w:cs="Times New Roman"/>
          <w:szCs w:val="24"/>
          <w:lang w:val="en-US"/>
        </w:rPr>
        <w:t xml:space="preserve">Even the coefficients have very small numbers suggesting that cultural differences do not play an important role in determining the risk appetite of pension funds. </w:t>
      </w:r>
    </w:p>
    <w:p w:rsidR="005A7664" w:rsidRPr="00617731" w:rsidRDefault="005A7664" w:rsidP="005717B5">
      <w:pPr>
        <w:spacing w:line="360" w:lineRule="auto"/>
        <w:jc w:val="both"/>
        <w:rPr>
          <w:rFonts w:ascii="Times New Roman" w:hAnsi="Times New Roman" w:cs="Times New Roman"/>
          <w:sz w:val="24"/>
          <w:szCs w:val="24"/>
          <w:lang w:val="en-GB"/>
        </w:rPr>
      </w:pPr>
    </w:p>
    <w:p w:rsidR="004803F7" w:rsidRPr="002C595D" w:rsidRDefault="00151CB9" w:rsidP="00D85F40">
      <w:pPr>
        <w:spacing w:line="360" w:lineRule="auto"/>
        <w:jc w:val="both"/>
        <w:rPr>
          <w:rFonts w:ascii="Arial" w:hAnsi="Arial" w:cs="Arial"/>
          <w:b/>
          <w:i/>
          <w:lang w:val="en-US"/>
        </w:rPr>
      </w:pPr>
      <w:r w:rsidRPr="002C595D">
        <w:rPr>
          <w:rFonts w:ascii="Arial" w:hAnsi="Arial" w:cs="Arial"/>
          <w:b/>
          <w:i/>
          <w:lang w:val="en-US"/>
        </w:rPr>
        <w:lastRenderedPageBreak/>
        <w:t xml:space="preserve">4.3 </w:t>
      </w:r>
      <w:r w:rsidR="00782D4B" w:rsidRPr="002C595D">
        <w:rPr>
          <w:rFonts w:ascii="Arial" w:hAnsi="Arial" w:cs="Arial"/>
          <w:b/>
          <w:i/>
          <w:lang w:val="en-US"/>
        </w:rPr>
        <w:t>Dividing our sample</w:t>
      </w:r>
    </w:p>
    <w:p w:rsidR="004803F7" w:rsidRPr="002C595D" w:rsidRDefault="004803F7" w:rsidP="00D85F40">
      <w:pPr>
        <w:spacing w:line="360" w:lineRule="auto"/>
        <w:jc w:val="both"/>
        <w:rPr>
          <w:rFonts w:ascii="Times New Roman" w:hAnsi="Times New Roman" w:cs="Times New Roman"/>
          <w:lang w:val="en-US"/>
        </w:rPr>
      </w:pPr>
      <w:r w:rsidRPr="002C595D">
        <w:rPr>
          <w:rFonts w:ascii="Times New Roman" w:hAnsi="Times New Roman" w:cs="Times New Roman"/>
          <w:lang w:val="en-US"/>
        </w:rPr>
        <w:t xml:space="preserve">Moving forward, we decided to make a distinction within our sample, and see how this will affect our results. Our sample is consisted from 49 countries, </w:t>
      </w:r>
      <w:r w:rsidR="006C74AD" w:rsidRPr="002C595D">
        <w:rPr>
          <w:rFonts w:ascii="Times New Roman" w:hAnsi="Times New Roman" w:cs="Times New Roman"/>
          <w:lang w:val="en-US"/>
        </w:rPr>
        <w:t xml:space="preserve">of which 30 are </w:t>
      </w:r>
      <w:r w:rsidRPr="002C595D">
        <w:rPr>
          <w:rFonts w:ascii="Times New Roman" w:hAnsi="Times New Roman" w:cs="Times New Roman"/>
          <w:lang w:val="en-US"/>
        </w:rPr>
        <w:t>members of OECD. We decided to divide them into Developing and Developed countries</w:t>
      </w:r>
      <w:r w:rsidR="00427807" w:rsidRPr="002C595D">
        <w:rPr>
          <w:rFonts w:ascii="Times New Roman" w:hAnsi="Times New Roman" w:cs="Times New Roman"/>
          <w:lang w:val="en-US"/>
        </w:rPr>
        <w:t xml:space="preserve">, and then </w:t>
      </w:r>
      <w:r w:rsidR="00782D4B" w:rsidRPr="002C595D">
        <w:rPr>
          <w:rFonts w:ascii="Times New Roman" w:hAnsi="Times New Roman" w:cs="Times New Roman"/>
          <w:lang w:val="en-US"/>
        </w:rPr>
        <w:t>follow</w:t>
      </w:r>
      <w:r w:rsidR="00427807" w:rsidRPr="002C595D">
        <w:rPr>
          <w:rFonts w:ascii="Times New Roman" w:hAnsi="Times New Roman" w:cs="Times New Roman"/>
          <w:lang w:val="en-US"/>
        </w:rPr>
        <w:t xml:space="preserve"> the same analysis as above for both samples. </w:t>
      </w:r>
    </w:p>
    <w:p w:rsidR="00427807" w:rsidRPr="002C595D" w:rsidRDefault="00427807" w:rsidP="00550826">
      <w:pPr>
        <w:spacing w:line="360" w:lineRule="auto"/>
        <w:jc w:val="both"/>
        <w:rPr>
          <w:rFonts w:ascii="Times New Roman" w:hAnsi="Times New Roman" w:cs="Times New Roman"/>
          <w:lang w:val="en-US"/>
        </w:rPr>
      </w:pPr>
      <w:r w:rsidRPr="002C595D">
        <w:rPr>
          <w:rFonts w:ascii="Times New Roman" w:hAnsi="Times New Roman" w:cs="Times New Roman"/>
          <w:lang w:val="en-US"/>
        </w:rPr>
        <w:t xml:space="preserve">The distinction between the two groups was made according to the International Trade Center, which provides a list with all the developing and developed countries, </w:t>
      </w:r>
      <w:r w:rsidR="00782D4B" w:rsidRPr="002C595D">
        <w:rPr>
          <w:rFonts w:ascii="Times New Roman" w:hAnsi="Times New Roman" w:cs="Times New Roman"/>
          <w:lang w:val="en-US"/>
        </w:rPr>
        <w:t xml:space="preserve">easily </w:t>
      </w:r>
      <w:r w:rsidRPr="002C595D">
        <w:rPr>
          <w:rFonts w:ascii="Times New Roman" w:hAnsi="Times New Roman" w:cs="Times New Roman"/>
          <w:lang w:val="en-US"/>
        </w:rPr>
        <w:t>accessible in their website. Our sample is now formed as follows:</w:t>
      </w:r>
    </w:p>
    <w:p w:rsidR="00427807" w:rsidRPr="00010AE6" w:rsidRDefault="00861B0D" w:rsidP="002C595D">
      <w:pPr>
        <w:rPr>
          <w:b/>
          <w:lang w:val="en-US"/>
        </w:rPr>
      </w:pPr>
      <w:r w:rsidRPr="00010AE6">
        <w:rPr>
          <w:b/>
          <w:lang w:val="en-US"/>
        </w:rPr>
        <w:t xml:space="preserve">Table </w:t>
      </w:r>
      <w:r w:rsidR="00317759" w:rsidRPr="00010AE6">
        <w:rPr>
          <w:b/>
          <w:lang w:val="en-US"/>
        </w:rPr>
        <w:t>4</w:t>
      </w:r>
      <w:r w:rsidRPr="00010AE6">
        <w:rPr>
          <w:b/>
          <w:lang w:val="en-US"/>
        </w:rPr>
        <w:t>.</w:t>
      </w:r>
      <w:r w:rsidR="002B4A02">
        <w:rPr>
          <w:b/>
          <w:lang w:val="en-US"/>
        </w:rPr>
        <w:t>3</w:t>
      </w:r>
      <w:r w:rsidRPr="00010AE6">
        <w:rPr>
          <w:b/>
          <w:lang w:val="en-US"/>
        </w:rPr>
        <w:t xml:space="preserve"> List of Developed and Developing countries.</w:t>
      </w:r>
    </w:p>
    <w:tbl>
      <w:tblPr>
        <w:tblStyle w:val="PlainTable1"/>
        <w:tblW w:w="0" w:type="auto"/>
        <w:tblLook w:val="0620"/>
      </w:tblPr>
      <w:tblGrid>
        <w:gridCol w:w="2522"/>
        <w:gridCol w:w="3358"/>
      </w:tblGrid>
      <w:tr w:rsidR="002E6978" w:rsidRPr="002B4A02" w:rsidTr="002C595D">
        <w:trPr>
          <w:cnfStyle w:val="100000000000"/>
          <w:trHeight w:val="255"/>
        </w:trPr>
        <w:tc>
          <w:tcPr>
            <w:tcW w:w="2520" w:type="dxa"/>
          </w:tcPr>
          <w:p w:rsidR="002E6978" w:rsidRDefault="002E6978" w:rsidP="00CD11B1">
            <w:pPr>
              <w:rPr>
                <w:rFonts w:ascii="Times New Roman" w:hAnsi="Times New Roman" w:cs="Times New Roman"/>
                <w:sz w:val="24"/>
                <w:szCs w:val="24"/>
                <w:lang w:val="en-US"/>
              </w:rPr>
            </w:pPr>
            <w:r>
              <w:rPr>
                <w:rFonts w:ascii="Times New Roman" w:hAnsi="Times New Roman" w:cs="Times New Roman"/>
                <w:sz w:val="24"/>
                <w:szCs w:val="24"/>
                <w:lang w:val="en-US"/>
              </w:rPr>
              <w:t>Developed countries</w:t>
            </w:r>
          </w:p>
        </w:tc>
        <w:tc>
          <w:tcPr>
            <w:tcW w:w="3358" w:type="dxa"/>
          </w:tcPr>
          <w:p w:rsidR="002E6978" w:rsidRDefault="002E6978">
            <w:pPr>
              <w:rPr>
                <w:rFonts w:ascii="Times New Roman" w:hAnsi="Times New Roman" w:cs="Times New Roman"/>
                <w:sz w:val="24"/>
                <w:szCs w:val="24"/>
                <w:lang w:val="en-US"/>
              </w:rPr>
            </w:pPr>
            <w:r>
              <w:rPr>
                <w:rFonts w:ascii="Times New Roman" w:hAnsi="Times New Roman" w:cs="Times New Roman"/>
                <w:sz w:val="24"/>
                <w:szCs w:val="24"/>
                <w:lang w:val="en-US"/>
              </w:rPr>
              <w:t>Developing countries</w:t>
            </w:r>
          </w:p>
        </w:tc>
      </w:tr>
      <w:tr w:rsidR="002E6978" w:rsidTr="002C595D">
        <w:trPr>
          <w:trHeight w:val="73"/>
        </w:trPr>
        <w:tc>
          <w:tcPr>
            <w:tcW w:w="2520" w:type="dxa"/>
          </w:tcPr>
          <w:tbl>
            <w:tblPr>
              <w:tblW w:w="2306" w:type="dxa"/>
              <w:tblLook w:val="04A0"/>
            </w:tblPr>
            <w:tblGrid>
              <w:gridCol w:w="748"/>
              <w:gridCol w:w="1304"/>
              <w:gridCol w:w="254"/>
            </w:tblGrid>
            <w:tr w:rsidR="002E6978" w:rsidRPr="002B4A02" w:rsidTr="002C595D">
              <w:trPr>
                <w:gridAfter w:val="1"/>
                <w:wAfter w:w="544" w:type="pct"/>
                <w:trHeight w:val="284"/>
              </w:trPr>
              <w:tc>
                <w:tcPr>
                  <w:tcW w:w="1665" w:type="pct"/>
                  <w:tcBorders>
                    <w:top w:val="nil"/>
                    <w:left w:val="nil"/>
                    <w:bottom w:val="nil"/>
                    <w:right w:val="nil"/>
                  </w:tcBorders>
                  <w:shd w:val="clear" w:color="auto" w:fill="auto"/>
                  <w:noWrap/>
                  <w:vAlign w:val="bottom"/>
                  <w:hideMark/>
                </w:tcPr>
                <w:p w:rsidR="002E6978" w:rsidRPr="002B4A02" w:rsidRDefault="002E6978" w:rsidP="002E6978">
                  <w:pPr>
                    <w:spacing w:after="0" w:line="240" w:lineRule="auto"/>
                    <w:jc w:val="right"/>
                    <w:rPr>
                      <w:rFonts w:ascii="Calibri" w:eastAsia="Times New Roman" w:hAnsi="Calibri" w:cs="Times New Roman"/>
                      <w:color w:val="000000"/>
                      <w:lang w:val="en-GB" w:eastAsia="el-GR"/>
                    </w:rPr>
                  </w:pPr>
                  <w:r w:rsidRPr="002B4A02">
                    <w:rPr>
                      <w:rFonts w:ascii="Calibri" w:eastAsia="Times New Roman" w:hAnsi="Calibri" w:cs="Times New Roman"/>
                      <w:color w:val="000000"/>
                      <w:lang w:val="en-GB" w:eastAsia="el-GR"/>
                    </w:rPr>
                    <w:t>1</w:t>
                  </w:r>
                </w:p>
              </w:tc>
              <w:tc>
                <w:tcPr>
                  <w:tcW w:w="2791" w:type="pct"/>
                  <w:tcBorders>
                    <w:top w:val="nil"/>
                    <w:left w:val="nil"/>
                    <w:bottom w:val="nil"/>
                    <w:right w:val="nil"/>
                  </w:tcBorders>
                  <w:shd w:val="clear" w:color="auto" w:fill="auto"/>
                  <w:noWrap/>
                  <w:vAlign w:val="bottom"/>
                  <w:hideMark/>
                </w:tcPr>
                <w:p w:rsidR="002E6978" w:rsidRPr="002B4A02" w:rsidRDefault="002E6978" w:rsidP="002E6978">
                  <w:pPr>
                    <w:spacing w:after="0" w:line="240" w:lineRule="auto"/>
                    <w:rPr>
                      <w:rFonts w:ascii="Calibri" w:eastAsia="Times New Roman" w:hAnsi="Calibri" w:cs="Times New Roman"/>
                      <w:color w:val="000000"/>
                      <w:lang w:val="en-GB" w:eastAsia="el-GR"/>
                    </w:rPr>
                  </w:pPr>
                  <w:r w:rsidRPr="002B4A02">
                    <w:rPr>
                      <w:rFonts w:ascii="Calibri" w:eastAsia="Times New Roman" w:hAnsi="Calibri" w:cs="Times New Roman"/>
                      <w:color w:val="000000"/>
                      <w:lang w:val="en-GB" w:eastAsia="el-GR"/>
                    </w:rPr>
                    <w:t>Australia</w:t>
                  </w:r>
                </w:p>
              </w:tc>
            </w:tr>
            <w:tr w:rsidR="002E6978" w:rsidRPr="002B4A02" w:rsidTr="002C595D">
              <w:trPr>
                <w:trHeight w:val="284"/>
              </w:trPr>
              <w:tc>
                <w:tcPr>
                  <w:tcW w:w="1665" w:type="pct"/>
                  <w:tcBorders>
                    <w:top w:val="nil"/>
                    <w:left w:val="nil"/>
                    <w:bottom w:val="nil"/>
                    <w:right w:val="nil"/>
                  </w:tcBorders>
                  <w:shd w:val="clear" w:color="auto" w:fill="auto"/>
                  <w:noWrap/>
                  <w:vAlign w:val="bottom"/>
                  <w:hideMark/>
                </w:tcPr>
                <w:p w:rsidR="002E6978" w:rsidRPr="002B4A02" w:rsidRDefault="002E6978" w:rsidP="002E6978">
                  <w:pPr>
                    <w:spacing w:after="0" w:line="240" w:lineRule="auto"/>
                    <w:jc w:val="right"/>
                    <w:rPr>
                      <w:rFonts w:ascii="Calibri" w:eastAsia="Times New Roman" w:hAnsi="Calibri" w:cs="Times New Roman"/>
                      <w:color w:val="000000"/>
                      <w:lang w:val="en-GB" w:eastAsia="el-GR"/>
                    </w:rPr>
                  </w:pPr>
                  <w:r w:rsidRPr="002B4A02">
                    <w:rPr>
                      <w:rFonts w:ascii="Calibri" w:eastAsia="Times New Roman" w:hAnsi="Calibri" w:cs="Times New Roman"/>
                      <w:color w:val="000000"/>
                      <w:lang w:val="en-GB" w:eastAsia="el-GR"/>
                    </w:rPr>
                    <w:t>2</w:t>
                  </w:r>
                </w:p>
              </w:tc>
              <w:tc>
                <w:tcPr>
                  <w:tcW w:w="3335" w:type="pct"/>
                  <w:gridSpan w:val="2"/>
                  <w:tcBorders>
                    <w:top w:val="nil"/>
                    <w:left w:val="nil"/>
                    <w:bottom w:val="nil"/>
                    <w:right w:val="nil"/>
                  </w:tcBorders>
                  <w:shd w:val="clear" w:color="auto" w:fill="auto"/>
                  <w:noWrap/>
                  <w:vAlign w:val="bottom"/>
                  <w:hideMark/>
                </w:tcPr>
                <w:p w:rsidR="002E6978" w:rsidRPr="002B4A02" w:rsidRDefault="002E6978" w:rsidP="002E6978">
                  <w:pPr>
                    <w:spacing w:after="0" w:line="240" w:lineRule="auto"/>
                    <w:rPr>
                      <w:rFonts w:ascii="Calibri" w:eastAsia="Times New Roman" w:hAnsi="Calibri" w:cs="Times New Roman"/>
                      <w:color w:val="000000"/>
                      <w:lang w:val="en-GB" w:eastAsia="el-GR"/>
                    </w:rPr>
                  </w:pPr>
                  <w:r w:rsidRPr="002B4A02">
                    <w:rPr>
                      <w:rFonts w:ascii="Calibri" w:eastAsia="Times New Roman" w:hAnsi="Calibri" w:cs="Times New Roman"/>
                      <w:color w:val="000000"/>
                      <w:lang w:val="en-GB" w:eastAsia="el-GR"/>
                    </w:rPr>
                    <w:t>Austria</w:t>
                  </w:r>
                </w:p>
              </w:tc>
            </w:tr>
            <w:tr w:rsidR="002E6978" w:rsidRPr="002B4A02" w:rsidTr="002C595D">
              <w:trPr>
                <w:trHeight w:val="284"/>
              </w:trPr>
              <w:tc>
                <w:tcPr>
                  <w:tcW w:w="1665" w:type="pct"/>
                  <w:tcBorders>
                    <w:top w:val="nil"/>
                    <w:left w:val="nil"/>
                    <w:bottom w:val="nil"/>
                    <w:right w:val="nil"/>
                  </w:tcBorders>
                  <w:shd w:val="clear" w:color="auto" w:fill="auto"/>
                  <w:noWrap/>
                  <w:vAlign w:val="bottom"/>
                  <w:hideMark/>
                </w:tcPr>
                <w:p w:rsidR="002E6978" w:rsidRPr="002B4A02" w:rsidRDefault="002E6978" w:rsidP="002E6978">
                  <w:pPr>
                    <w:spacing w:after="0" w:line="240" w:lineRule="auto"/>
                    <w:jc w:val="right"/>
                    <w:rPr>
                      <w:rFonts w:ascii="Calibri" w:eastAsia="Times New Roman" w:hAnsi="Calibri" w:cs="Times New Roman"/>
                      <w:color w:val="000000"/>
                      <w:lang w:val="en-GB" w:eastAsia="el-GR"/>
                    </w:rPr>
                  </w:pPr>
                  <w:r w:rsidRPr="002B4A02">
                    <w:rPr>
                      <w:rFonts w:ascii="Calibri" w:eastAsia="Times New Roman" w:hAnsi="Calibri" w:cs="Times New Roman"/>
                      <w:color w:val="000000"/>
                      <w:lang w:val="en-GB" w:eastAsia="el-GR"/>
                    </w:rPr>
                    <w:t>3</w:t>
                  </w:r>
                </w:p>
              </w:tc>
              <w:tc>
                <w:tcPr>
                  <w:tcW w:w="3335" w:type="pct"/>
                  <w:gridSpan w:val="2"/>
                  <w:tcBorders>
                    <w:top w:val="nil"/>
                    <w:left w:val="nil"/>
                    <w:bottom w:val="nil"/>
                    <w:right w:val="nil"/>
                  </w:tcBorders>
                  <w:shd w:val="clear" w:color="auto" w:fill="auto"/>
                  <w:noWrap/>
                  <w:vAlign w:val="bottom"/>
                  <w:hideMark/>
                </w:tcPr>
                <w:p w:rsidR="002E6978" w:rsidRPr="002B4A02" w:rsidRDefault="002E6978" w:rsidP="002E6978">
                  <w:pPr>
                    <w:spacing w:after="0" w:line="240" w:lineRule="auto"/>
                    <w:rPr>
                      <w:rFonts w:ascii="Calibri" w:eastAsia="Times New Roman" w:hAnsi="Calibri" w:cs="Times New Roman"/>
                      <w:color w:val="000000"/>
                      <w:lang w:val="en-GB" w:eastAsia="el-GR"/>
                    </w:rPr>
                  </w:pPr>
                  <w:r w:rsidRPr="002B4A02">
                    <w:rPr>
                      <w:rFonts w:ascii="Calibri" w:eastAsia="Times New Roman" w:hAnsi="Calibri" w:cs="Times New Roman"/>
                      <w:color w:val="000000"/>
                      <w:lang w:val="en-GB" w:eastAsia="el-GR"/>
                    </w:rPr>
                    <w:t>Belgium</w:t>
                  </w:r>
                </w:p>
              </w:tc>
            </w:tr>
            <w:tr w:rsidR="002E6978" w:rsidRPr="002B4A02" w:rsidTr="002C595D">
              <w:trPr>
                <w:trHeight w:val="284"/>
              </w:trPr>
              <w:tc>
                <w:tcPr>
                  <w:tcW w:w="1665" w:type="pct"/>
                  <w:tcBorders>
                    <w:top w:val="nil"/>
                    <w:left w:val="nil"/>
                    <w:bottom w:val="nil"/>
                    <w:right w:val="nil"/>
                  </w:tcBorders>
                  <w:shd w:val="clear" w:color="auto" w:fill="auto"/>
                  <w:noWrap/>
                  <w:vAlign w:val="bottom"/>
                  <w:hideMark/>
                </w:tcPr>
                <w:p w:rsidR="002E6978" w:rsidRPr="002B4A02" w:rsidRDefault="002E6978" w:rsidP="002E6978">
                  <w:pPr>
                    <w:spacing w:after="0" w:line="240" w:lineRule="auto"/>
                    <w:jc w:val="right"/>
                    <w:rPr>
                      <w:rFonts w:ascii="Calibri" w:eastAsia="Times New Roman" w:hAnsi="Calibri" w:cs="Times New Roman"/>
                      <w:color w:val="000000"/>
                      <w:lang w:val="en-GB" w:eastAsia="el-GR"/>
                    </w:rPr>
                  </w:pPr>
                  <w:r w:rsidRPr="002B4A02">
                    <w:rPr>
                      <w:rFonts w:ascii="Calibri" w:eastAsia="Times New Roman" w:hAnsi="Calibri" w:cs="Times New Roman"/>
                      <w:color w:val="000000"/>
                      <w:lang w:val="en-GB" w:eastAsia="el-GR"/>
                    </w:rPr>
                    <w:t>4</w:t>
                  </w:r>
                </w:p>
              </w:tc>
              <w:tc>
                <w:tcPr>
                  <w:tcW w:w="3335" w:type="pct"/>
                  <w:gridSpan w:val="2"/>
                  <w:tcBorders>
                    <w:top w:val="nil"/>
                    <w:left w:val="nil"/>
                    <w:bottom w:val="nil"/>
                    <w:right w:val="nil"/>
                  </w:tcBorders>
                  <w:shd w:val="clear" w:color="auto" w:fill="auto"/>
                  <w:noWrap/>
                  <w:vAlign w:val="bottom"/>
                  <w:hideMark/>
                </w:tcPr>
                <w:p w:rsidR="002E6978" w:rsidRPr="002B4A02" w:rsidRDefault="002E6978" w:rsidP="002E6978">
                  <w:pPr>
                    <w:spacing w:after="0" w:line="240" w:lineRule="auto"/>
                    <w:rPr>
                      <w:rFonts w:ascii="Calibri" w:eastAsia="Times New Roman" w:hAnsi="Calibri" w:cs="Times New Roman"/>
                      <w:color w:val="000000"/>
                      <w:lang w:val="en-GB" w:eastAsia="el-GR"/>
                    </w:rPr>
                  </w:pPr>
                  <w:r w:rsidRPr="002B4A02">
                    <w:rPr>
                      <w:rFonts w:ascii="Calibri" w:eastAsia="Times New Roman" w:hAnsi="Calibri" w:cs="Times New Roman"/>
                      <w:color w:val="000000"/>
                      <w:lang w:val="en-GB" w:eastAsia="el-GR"/>
                    </w:rPr>
                    <w:t>Bulgaria</w:t>
                  </w:r>
                </w:p>
              </w:tc>
            </w:tr>
            <w:tr w:rsidR="002E6978" w:rsidRPr="002B4A02" w:rsidTr="002C595D">
              <w:trPr>
                <w:trHeight w:val="284"/>
              </w:trPr>
              <w:tc>
                <w:tcPr>
                  <w:tcW w:w="1665" w:type="pct"/>
                  <w:tcBorders>
                    <w:top w:val="nil"/>
                    <w:left w:val="nil"/>
                    <w:bottom w:val="nil"/>
                    <w:right w:val="nil"/>
                  </w:tcBorders>
                  <w:shd w:val="clear" w:color="auto" w:fill="auto"/>
                  <w:noWrap/>
                  <w:vAlign w:val="bottom"/>
                  <w:hideMark/>
                </w:tcPr>
                <w:p w:rsidR="002E6978" w:rsidRPr="002B4A02" w:rsidRDefault="002E6978" w:rsidP="002E6978">
                  <w:pPr>
                    <w:spacing w:after="0" w:line="240" w:lineRule="auto"/>
                    <w:jc w:val="right"/>
                    <w:rPr>
                      <w:rFonts w:ascii="Calibri" w:eastAsia="Times New Roman" w:hAnsi="Calibri" w:cs="Times New Roman"/>
                      <w:color w:val="000000"/>
                      <w:lang w:val="en-GB" w:eastAsia="el-GR"/>
                    </w:rPr>
                  </w:pPr>
                  <w:r w:rsidRPr="002B4A02">
                    <w:rPr>
                      <w:rFonts w:ascii="Calibri" w:eastAsia="Times New Roman" w:hAnsi="Calibri" w:cs="Times New Roman"/>
                      <w:color w:val="000000"/>
                      <w:lang w:val="en-GB" w:eastAsia="el-GR"/>
                    </w:rPr>
                    <w:t>5</w:t>
                  </w:r>
                </w:p>
              </w:tc>
              <w:tc>
                <w:tcPr>
                  <w:tcW w:w="3335" w:type="pct"/>
                  <w:gridSpan w:val="2"/>
                  <w:tcBorders>
                    <w:top w:val="nil"/>
                    <w:left w:val="nil"/>
                    <w:bottom w:val="nil"/>
                    <w:right w:val="nil"/>
                  </w:tcBorders>
                  <w:shd w:val="clear" w:color="auto" w:fill="auto"/>
                  <w:noWrap/>
                  <w:vAlign w:val="bottom"/>
                  <w:hideMark/>
                </w:tcPr>
                <w:p w:rsidR="002E6978" w:rsidRPr="002B4A02" w:rsidRDefault="002E6978" w:rsidP="002E6978">
                  <w:pPr>
                    <w:spacing w:after="0" w:line="240" w:lineRule="auto"/>
                    <w:rPr>
                      <w:rFonts w:ascii="Calibri" w:eastAsia="Times New Roman" w:hAnsi="Calibri" w:cs="Times New Roman"/>
                      <w:color w:val="000000"/>
                      <w:lang w:val="en-GB" w:eastAsia="el-GR"/>
                    </w:rPr>
                  </w:pPr>
                  <w:r w:rsidRPr="002B4A02">
                    <w:rPr>
                      <w:rFonts w:ascii="Calibri" w:eastAsia="Times New Roman" w:hAnsi="Calibri" w:cs="Times New Roman"/>
                      <w:color w:val="000000"/>
                      <w:lang w:val="en-GB" w:eastAsia="el-GR"/>
                    </w:rPr>
                    <w:t>Canada</w:t>
                  </w:r>
                </w:p>
              </w:tc>
            </w:tr>
            <w:tr w:rsidR="002E6978" w:rsidRPr="002B4A02" w:rsidTr="002C595D">
              <w:trPr>
                <w:trHeight w:val="284"/>
              </w:trPr>
              <w:tc>
                <w:tcPr>
                  <w:tcW w:w="1665" w:type="pct"/>
                  <w:tcBorders>
                    <w:top w:val="nil"/>
                    <w:left w:val="nil"/>
                    <w:bottom w:val="nil"/>
                    <w:right w:val="nil"/>
                  </w:tcBorders>
                  <w:shd w:val="clear" w:color="auto" w:fill="auto"/>
                  <w:noWrap/>
                  <w:vAlign w:val="bottom"/>
                  <w:hideMark/>
                </w:tcPr>
                <w:p w:rsidR="002E6978" w:rsidRPr="002B4A02" w:rsidRDefault="002E6978" w:rsidP="002E6978">
                  <w:pPr>
                    <w:spacing w:after="0" w:line="240" w:lineRule="auto"/>
                    <w:jc w:val="right"/>
                    <w:rPr>
                      <w:rFonts w:ascii="Calibri" w:eastAsia="Times New Roman" w:hAnsi="Calibri" w:cs="Times New Roman"/>
                      <w:color w:val="000000"/>
                      <w:lang w:val="en-GB" w:eastAsia="el-GR"/>
                    </w:rPr>
                  </w:pPr>
                  <w:r w:rsidRPr="002B4A02">
                    <w:rPr>
                      <w:rFonts w:ascii="Calibri" w:eastAsia="Times New Roman" w:hAnsi="Calibri" w:cs="Times New Roman"/>
                      <w:color w:val="000000"/>
                      <w:lang w:val="en-GB" w:eastAsia="el-GR"/>
                    </w:rPr>
                    <w:t>6</w:t>
                  </w:r>
                </w:p>
              </w:tc>
              <w:tc>
                <w:tcPr>
                  <w:tcW w:w="3335" w:type="pct"/>
                  <w:gridSpan w:val="2"/>
                  <w:tcBorders>
                    <w:top w:val="nil"/>
                    <w:left w:val="nil"/>
                    <w:bottom w:val="nil"/>
                    <w:right w:val="nil"/>
                  </w:tcBorders>
                  <w:shd w:val="clear" w:color="auto" w:fill="auto"/>
                  <w:noWrap/>
                  <w:vAlign w:val="bottom"/>
                  <w:hideMark/>
                </w:tcPr>
                <w:p w:rsidR="002E6978" w:rsidRPr="002B4A02" w:rsidRDefault="002E6978" w:rsidP="002E6978">
                  <w:pPr>
                    <w:spacing w:after="0" w:line="240" w:lineRule="auto"/>
                    <w:rPr>
                      <w:rFonts w:ascii="Calibri" w:eastAsia="Times New Roman" w:hAnsi="Calibri" w:cs="Times New Roman"/>
                      <w:color w:val="000000"/>
                      <w:lang w:val="en-GB" w:eastAsia="el-GR"/>
                    </w:rPr>
                  </w:pPr>
                  <w:r w:rsidRPr="002B4A02">
                    <w:rPr>
                      <w:rFonts w:ascii="Calibri" w:eastAsia="Times New Roman" w:hAnsi="Calibri" w:cs="Times New Roman"/>
                      <w:color w:val="000000"/>
                      <w:lang w:val="en-GB" w:eastAsia="el-GR"/>
                    </w:rPr>
                    <w:t>Czech Republic</w:t>
                  </w:r>
                </w:p>
              </w:tc>
            </w:tr>
            <w:tr w:rsidR="002E6978" w:rsidRPr="002B4A02" w:rsidTr="002C595D">
              <w:trPr>
                <w:trHeight w:val="284"/>
              </w:trPr>
              <w:tc>
                <w:tcPr>
                  <w:tcW w:w="1665" w:type="pct"/>
                  <w:tcBorders>
                    <w:top w:val="nil"/>
                    <w:left w:val="nil"/>
                    <w:bottom w:val="nil"/>
                    <w:right w:val="nil"/>
                  </w:tcBorders>
                  <w:shd w:val="clear" w:color="auto" w:fill="auto"/>
                  <w:noWrap/>
                  <w:vAlign w:val="bottom"/>
                  <w:hideMark/>
                </w:tcPr>
                <w:p w:rsidR="002E6978" w:rsidRPr="002B4A02" w:rsidRDefault="002E6978" w:rsidP="002E6978">
                  <w:pPr>
                    <w:spacing w:after="0" w:line="240" w:lineRule="auto"/>
                    <w:jc w:val="right"/>
                    <w:rPr>
                      <w:rFonts w:ascii="Calibri" w:eastAsia="Times New Roman" w:hAnsi="Calibri" w:cs="Times New Roman"/>
                      <w:color w:val="000000"/>
                      <w:lang w:val="en-GB" w:eastAsia="el-GR"/>
                    </w:rPr>
                  </w:pPr>
                  <w:r w:rsidRPr="002B4A02">
                    <w:rPr>
                      <w:rFonts w:ascii="Calibri" w:eastAsia="Times New Roman" w:hAnsi="Calibri" w:cs="Times New Roman"/>
                      <w:color w:val="000000"/>
                      <w:lang w:val="en-GB" w:eastAsia="el-GR"/>
                    </w:rPr>
                    <w:t>7</w:t>
                  </w:r>
                </w:p>
              </w:tc>
              <w:tc>
                <w:tcPr>
                  <w:tcW w:w="3335" w:type="pct"/>
                  <w:gridSpan w:val="2"/>
                  <w:tcBorders>
                    <w:top w:val="nil"/>
                    <w:left w:val="nil"/>
                    <w:bottom w:val="nil"/>
                    <w:right w:val="nil"/>
                  </w:tcBorders>
                  <w:shd w:val="clear" w:color="auto" w:fill="auto"/>
                  <w:noWrap/>
                  <w:vAlign w:val="bottom"/>
                  <w:hideMark/>
                </w:tcPr>
                <w:p w:rsidR="002E6978" w:rsidRPr="002B4A02" w:rsidRDefault="002E6978" w:rsidP="002E6978">
                  <w:pPr>
                    <w:spacing w:after="0" w:line="240" w:lineRule="auto"/>
                    <w:rPr>
                      <w:rFonts w:ascii="Calibri" w:eastAsia="Times New Roman" w:hAnsi="Calibri" w:cs="Times New Roman"/>
                      <w:color w:val="000000"/>
                      <w:lang w:val="en-GB" w:eastAsia="el-GR"/>
                    </w:rPr>
                  </w:pPr>
                  <w:r w:rsidRPr="002B4A02">
                    <w:rPr>
                      <w:rFonts w:ascii="Calibri" w:eastAsia="Times New Roman" w:hAnsi="Calibri" w:cs="Times New Roman"/>
                      <w:color w:val="000000"/>
                      <w:lang w:val="en-GB" w:eastAsia="el-GR"/>
                    </w:rPr>
                    <w:t>Denmark</w:t>
                  </w:r>
                </w:p>
              </w:tc>
            </w:tr>
            <w:tr w:rsidR="002E6978" w:rsidRPr="002E6978" w:rsidTr="002C595D">
              <w:trPr>
                <w:trHeight w:val="284"/>
              </w:trPr>
              <w:tc>
                <w:tcPr>
                  <w:tcW w:w="1665" w:type="pct"/>
                  <w:tcBorders>
                    <w:top w:val="nil"/>
                    <w:left w:val="nil"/>
                    <w:bottom w:val="nil"/>
                    <w:right w:val="nil"/>
                  </w:tcBorders>
                  <w:shd w:val="clear" w:color="auto" w:fill="auto"/>
                  <w:noWrap/>
                  <w:vAlign w:val="bottom"/>
                  <w:hideMark/>
                </w:tcPr>
                <w:p w:rsidR="002E6978" w:rsidRPr="002E6978" w:rsidRDefault="002E6978" w:rsidP="002E6978">
                  <w:pPr>
                    <w:spacing w:after="0" w:line="240" w:lineRule="auto"/>
                    <w:jc w:val="right"/>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8</w:t>
                  </w:r>
                </w:p>
              </w:tc>
              <w:tc>
                <w:tcPr>
                  <w:tcW w:w="3335" w:type="pct"/>
                  <w:gridSpan w:val="2"/>
                  <w:tcBorders>
                    <w:top w:val="nil"/>
                    <w:left w:val="nil"/>
                    <w:bottom w:val="nil"/>
                    <w:right w:val="nil"/>
                  </w:tcBorders>
                  <w:shd w:val="clear" w:color="auto" w:fill="auto"/>
                  <w:noWrap/>
                  <w:vAlign w:val="bottom"/>
                  <w:hideMark/>
                </w:tcPr>
                <w:p w:rsidR="002E6978" w:rsidRPr="002E6978" w:rsidRDefault="002E6978" w:rsidP="002E6978">
                  <w:pPr>
                    <w:spacing w:after="0" w:line="240" w:lineRule="auto"/>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Estonia</w:t>
                  </w:r>
                </w:p>
              </w:tc>
            </w:tr>
            <w:tr w:rsidR="002E6978" w:rsidRPr="002E6978" w:rsidTr="002C595D">
              <w:trPr>
                <w:trHeight w:val="284"/>
              </w:trPr>
              <w:tc>
                <w:tcPr>
                  <w:tcW w:w="1665" w:type="pct"/>
                  <w:tcBorders>
                    <w:top w:val="nil"/>
                    <w:left w:val="nil"/>
                    <w:bottom w:val="nil"/>
                    <w:right w:val="nil"/>
                  </w:tcBorders>
                  <w:shd w:val="clear" w:color="auto" w:fill="auto"/>
                  <w:noWrap/>
                  <w:vAlign w:val="bottom"/>
                  <w:hideMark/>
                </w:tcPr>
                <w:p w:rsidR="002E6978" w:rsidRPr="002E6978" w:rsidRDefault="002E6978" w:rsidP="002E6978">
                  <w:pPr>
                    <w:spacing w:after="0" w:line="240" w:lineRule="auto"/>
                    <w:jc w:val="right"/>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9</w:t>
                  </w:r>
                </w:p>
              </w:tc>
              <w:tc>
                <w:tcPr>
                  <w:tcW w:w="3335" w:type="pct"/>
                  <w:gridSpan w:val="2"/>
                  <w:tcBorders>
                    <w:top w:val="nil"/>
                    <w:left w:val="nil"/>
                    <w:bottom w:val="nil"/>
                    <w:right w:val="nil"/>
                  </w:tcBorders>
                  <w:shd w:val="clear" w:color="auto" w:fill="auto"/>
                  <w:noWrap/>
                  <w:vAlign w:val="bottom"/>
                  <w:hideMark/>
                </w:tcPr>
                <w:p w:rsidR="002E6978" w:rsidRPr="002E6978" w:rsidRDefault="002E6978" w:rsidP="002E6978">
                  <w:pPr>
                    <w:spacing w:after="0" w:line="240" w:lineRule="auto"/>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Finland</w:t>
                  </w:r>
                </w:p>
              </w:tc>
            </w:tr>
            <w:tr w:rsidR="002E6978" w:rsidRPr="002E6978" w:rsidTr="002C595D">
              <w:trPr>
                <w:trHeight w:val="284"/>
              </w:trPr>
              <w:tc>
                <w:tcPr>
                  <w:tcW w:w="1665" w:type="pct"/>
                  <w:tcBorders>
                    <w:top w:val="nil"/>
                    <w:left w:val="nil"/>
                    <w:bottom w:val="nil"/>
                    <w:right w:val="nil"/>
                  </w:tcBorders>
                  <w:shd w:val="clear" w:color="auto" w:fill="auto"/>
                  <w:noWrap/>
                  <w:vAlign w:val="bottom"/>
                  <w:hideMark/>
                </w:tcPr>
                <w:p w:rsidR="002E6978" w:rsidRPr="002E6978" w:rsidRDefault="002E6978" w:rsidP="002E6978">
                  <w:pPr>
                    <w:spacing w:after="0" w:line="240" w:lineRule="auto"/>
                    <w:jc w:val="right"/>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10</w:t>
                  </w:r>
                </w:p>
              </w:tc>
              <w:tc>
                <w:tcPr>
                  <w:tcW w:w="3335" w:type="pct"/>
                  <w:gridSpan w:val="2"/>
                  <w:tcBorders>
                    <w:top w:val="nil"/>
                    <w:left w:val="nil"/>
                    <w:bottom w:val="nil"/>
                    <w:right w:val="nil"/>
                  </w:tcBorders>
                  <w:shd w:val="clear" w:color="auto" w:fill="auto"/>
                  <w:noWrap/>
                  <w:vAlign w:val="bottom"/>
                  <w:hideMark/>
                </w:tcPr>
                <w:p w:rsidR="002E6978" w:rsidRPr="002E6978" w:rsidRDefault="002E6978" w:rsidP="002E6978">
                  <w:pPr>
                    <w:spacing w:after="0" w:line="240" w:lineRule="auto"/>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Germany</w:t>
                  </w:r>
                </w:p>
              </w:tc>
            </w:tr>
            <w:tr w:rsidR="002E6978" w:rsidRPr="002E6978" w:rsidTr="002C595D">
              <w:trPr>
                <w:trHeight w:val="284"/>
              </w:trPr>
              <w:tc>
                <w:tcPr>
                  <w:tcW w:w="1665" w:type="pct"/>
                  <w:tcBorders>
                    <w:top w:val="nil"/>
                    <w:left w:val="nil"/>
                    <w:bottom w:val="nil"/>
                    <w:right w:val="nil"/>
                  </w:tcBorders>
                  <w:shd w:val="clear" w:color="auto" w:fill="auto"/>
                  <w:noWrap/>
                  <w:vAlign w:val="bottom"/>
                  <w:hideMark/>
                </w:tcPr>
                <w:p w:rsidR="002E6978" w:rsidRPr="002E6978" w:rsidRDefault="002E6978" w:rsidP="002E6978">
                  <w:pPr>
                    <w:spacing w:after="0" w:line="240" w:lineRule="auto"/>
                    <w:jc w:val="right"/>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11</w:t>
                  </w:r>
                </w:p>
              </w:tc>
              <w:tc>
                <w:tcPr>
                  <w:tcW w:w="3335" w:type="pct"/>
                  <w:gridSpan w:val="2"/>
                  <w:tcBorders>
                    <w:top w:val="nil"/>
                    <w:left w:val="nil"/>
                    <w:bottom w:val="nil"/>
                    <w:right w:val="nil"/>
                  </w:tcBorders>
                  <w:shd w:val="clear" w:color="auto" w:fill="auto"/>
                  <w:noWrap/>
                  <w:vAlign w:val="bottom"/>
                  <w:hideMark/>
                </w:tcPr>
                <w:p w:rsidR="002E6978" w:rsidRPr="002E6978" w:rsidRDefault="002E6978" w:rsidP="002E6978">
                  <w:pPr>
                    <w:spacing w:after="0" w:line="240" w:lineRule="auto"/>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Great Britain</w:t>
                  </w:r>
                </w:p>
              </w:tc>
            </w:tr>
            <w:tr w:rsidR="002E6978" w:rsidRPr="002E6978" w:rsidTr="002C595D">
              <w:trPr>
                <w:trHeight w:val="284"/>
              </w:trPr>
              <w:tc>
                <w:tcPr>
                  <w:tcW w:w="1665" w:type="pct"/>
                  <w:tcBorders>
                    <w:top w:val="nil"/>
                    <w:left w:val="nil"/>
                    <w:bottom w:val="nil"/>
                    <w:right w:val="nil"/>
                  </w:tcBorders>
                  <w:shd w:val="clear" w:color="auto" w:fill="auto"/>
                  <w:noWrap/>
                  <w:vAlign w:val="bottom"/>
                  <w:hideMark/>
                </w:tcPr>
                <w:p w:rsidR="002E6978" w:rsidRPr="002E6978" w:rsidRDefault="002E6978" w:rsidP="002E6978">
                  <w:pPr>
                    <w:spacing w:after="0" w:line="240" w:lineRule="auto"/>
                    <w:jc w:val="right"/>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12</w:t>
                  </w:r>
                </w:p>
              </w:tc>
              <w:tc>
                <w:tcPr>
                  <w:tcW w:w="3335" w:type="pct"/>
                  <w:gridSpan w:val="2"/>
                  <w:tcBorders>
                    <w:top w:val="nil"/>
                    <w:left w:val="nil"/>
                    <w:bottom w:val="nil"/>
                    <w:right w:val="nil"/>
                  </w:tcBorders>
                  <w:shd w:val="clear" w:color="auto" w:fill="auto"/>
                  <w:noWrap/>
                  <w:vAlign w:val="bottom"/>
                  <w:hideMark/>
                </w:tcPr>
                <w:p w:rsidR="002E6978" w:rsidRPr="002E6978" w:rsidRDefault="002E6978" w:rsidP="002E6978">
                  <w:pPr>
                    <w:spacing w:after="0" w:line="240" w:lineRule="auto"/>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Greece</w:t>
                  </w:r>
                </w:p>
              </w:tc>
            </w:tr>
            <w:tr w:rsidR="002E6978" w:rsidRPr="002E6978" w:rsidTr="002C595D">
              <w:trPr>
                <w:trHeight w:val="284"/>
              </w:trPr>
              <w:tc>
                <w:tcPr>
                  <w:tcW w:w="1665" w:type="pct"/>
                  <w:tcBorders>
                    <w:top w:val="nil"/>
                    <w:left w:val="nil"/>
                    <w:bottom w:val="nil"/>
                    <w:right w:val="nil"/>
                  </w:tcBorders>
                  <w:shd w:val="clear" w:color="auto" w:fill="auto"/>
                  <w:noWrap/>
                  <w:vAlign w:val="bottom"/>
                  <w:hideMark/>
                </w:tcPr>
                <w:p w:rsidR="002E6978" w:rsidRPr="002E6978" w:rsidRDefault="002E6978" w:rsidP="002E6978">
                  <w:pPr>
                    <w:spacing w:after="0" w:line="240" w:lineRule="auto"/>
                    <w:jc w:val="right"/>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13</w:t>
                  </w:r>
                </w:p>
              </w:tc>
              <w:tc>
                <w:tcPr>
                  <w:tcW w:w="3335" w:type="pct"/>
                  <w:gridSpan w:val="2"/>
                  <w:tcBorders>
                    <w:top w:val="nil"/>
                    <w:left w:val="nil"/>
                    <w:bottom w:val="nil"/>
                    <w:right w:val="nil"/>
                  </w:tcBorders>
                  <w:shd w:val="clear" w:color="auto" w:fill="auto"/>
                  <w:noWrap/>
                  <w:vAlign w:val="bottom"/>
                  <w:hideMark/>
                </w:tcPr>
                <w:p w:rsidR="002E6978" w:rsidRPr="002E6978" w:rsidRDefault="002E6978" w:rsidP="002E6978">
                  <w:pPr>
                    <w:spacing w:after="0" w:line="240" w:lineRule="auto"/>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Hungary</w:t>
                  </w:r>
                </w:p>
              </w:tc>
            </w:tr>
            <w:tr w:rsidR="002E6978" w:rsidRPr="002E6978" w:rsidTr="002C595D">
              <w:trPr>
                <w:trHeight w:val="284"/>
              </w:trPr>
              <w:tc>
                <w:tcPr>
                  <w:tcW w:w="1665" w:type="pct"/>
                  <w:tcBorders>
                    <w:top w:val="nil"/>
                    <w:left w:val="nil"/>
                    <w:bottom w:val="nil"/>
                    <w:right w:val="nil"/>
                  </w:tcBorders>
                  <w:shd w:val="clear" w:color="auto" w:fill="auto"/>
                  <w:noWrap/>
                  <w:vAlign w:val="bottom"/>
                  <w:hideMark/>
                </w:tcPr>
                <w:p w:rsidR="002E6978" w:rsidRPr="002E6978" w:rsidRDefault="002E6978" w:rsidP="002E6978">
                  <w:pPr>
                    <w:spacing w:after="0" w:line="240" w:lineRule="auto"/>
                    <w:jc w:val="right"/>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14</w:t>
                  </w:r>
                </w:p>
              </w:tc>
              <w:tc>
                <w:tcPr>
                  <w:tcW w:w="3335" w:type="pct"/>
                  <w:gridSpan w:val="2"/>
                  <w:tcBorders>
                    <w:top w:val="nil"/>
                    <w:left w:val="nil"/>
                    <w:bottom w:val="nil"/>
                    <w:right w:val="nil"/>
                  </w:tcBorders>
                  <w:shd w:val="clear" w:color="auto" w:fill="auto"/>
                  <w:noWrap/>
                  <w:vAlign w:val="bottom"/>
                  <w:hideMark/>
                </w:tcPr>
                <w:p w:rsidR="002E6978" w:rsidRPr="002E6978" w:rsidRDefault="002E6978" w:rsidP="002E6978">
                  <w:pPr>
                    <w:spacing w:after="0" w:line="240" w:lineRule="auto"/>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Ireland</w:t>
                  </w:r>
                </w:p>
              </w:tc>
            </w:tr>
            <w:tr w:rsidR="002E6978" w:rsidRPr="002E6978" w:rsidTr="002C595D">
              <w:trPr>
                <w:trHeight w:val="284"/>
              </w:trPr>
              <w:tc>
                <w:tcPr>
                  <w:tcW w:w="1665" w:type="pct"/>
                  <w:tcBorders>
                    <w:top w:val="nil"/>
                    <w:left w:val="nil"/>
                    <w:bottom w:val="nil"/>
                    <w:right w:val="nil"/>
                  </w:tcBorders>
                  <w:shd w:val="clear" w:color="auto" w:fill="auto"/>
                  <w:noWrap/>
                  <w:vAlign w:val="bottom"/>
                  <w:hideMark/>
                </w:tcPr>
                <w:p w:rsidR="002E6978" w:rsidRPr="002E6978" w:rsidRDefault="002E6978" w:rsidP="002E6978">
                  <w:pPr>
                    <w:spacing w:after="0" w:line="240" w:lineRule="auto"/>
                    <w:jc w:val="right"/>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15</w:t>
                  </w:r>
                </w:p>
              </w:tc>
              <w:tc>
                <w:tcPr>
                  <w:tcW w:w="3335" w:type="pct"/>
                  <w:gridSpan w:val="2"/>
                  <w:tcBorders>
                    <w:top w:val="nil"/>
                    <w:left w:val="nil"/>
                    <w:bottom w:val="nil"/>
                    <w:right w:val="nil"/>
                  </w:tcBorders>
                  <w:shd w:val="clear" w:color="auto" w:fill="auto"/>
                  <w:noWrap/>
                  <w:vAlign w:val="bottom"/>
                  <w:hideMark/>
                </w:tcPr>
                <w:p w:rsidR="002E6978" w:rsidRPr="002E6978" w:rsidRDefault="002E6978" w:rsidP="002E6978">
                  <w:pPr>
                    <w:spacing w:after="0" w:line="240" w:lineRule="auto"/>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Italy</w:t>
                  </w:r>
                </w:p>
              </w:tc>
            </w:tr>
            <w:tr w:rsidR="002E6978" w:rsidRPr="002E6978" w:rsidTr="002C595D">
              <w:trPr>
                <w:trHeight w:val="284"/>
              </w:trPr>
              <w:tc>
                <w:tcPr>
                  <w:tcW w:w="1665" w:type="pct"/>
                  <w:tcBorders>
                    <w:top w:val="nil"/>
                    <w:left w:val="nil"/>
                    <w:bottom w:val="nil"/>
                    <w:right w:val="nil"/>
                  </w:tcBorders>
                  <w:shd w:val="clear" w:color="auto" w:fill="auto"/>
                  <w:noWrap/>
                  <w:vAlign w:val="bottom"/>
                  <w:hideMark/>
                </w:tcPr>
                <w:p w:rsidR="002E6978" w:rsidRPr="002E6978" w:rsidRDefault="002E6978" w:rsidP="002E6978">
                  <w:pPr>
                    <w:spacing w:after="0" w:line="240" w:lineRule="auto"/>
                    <w:jc w:val="right"/>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16</w:t>
                  </w:r>
                </w:p>
              </w:tc>
              <w:tc>
                <w:tcPr>
                  <w:tcW w:w="3335" w:type="pct"/>
                  <w:gridSpan w:val="2"/>
                  <w:tcBorders>
                    <w:top w:val="nil"/>
                    <w:left w:val="nil"/>
                    <w:bottom w:val="nil"/>
                    <w:right w:val="nil"/>
                  </w:tcBorders>
                  <w:shd w:val="clear" w:color="auto" w:fill="auto"/>
                  <w:noWrap/>
                  <w:vAlign w:val="bottom"/>
                  <w:hideMark/>
                </w:tcPr>
                <w:p w:rsidR="002E6978" w:rsidRPr="002E6978" w:rsidRDefault="002E6978" w:rsidP="002E6978">
                  <w:pPr>
                    <w:spacing w:after="0" w:line="240" w:lineRule="auto"/>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Japan</w:t>
                  </w:r>
                </w:p>
              </w:tc>
            </w:tr>
            <w:tr w:rsidR="002E6978" w:rsidRPr="002E6978" w:rsidTr="002C595D">
              <w:trPr>
                <w:trHeight w:val="284"/>
              </w:trPr>
              <w:tc>
                <w:tcPr>
                  <w:tcW w:w="1665" w:type="pct"/>
                  <w:tcBorders>
                    <w:top w:val="nil"/>
                    <w:left w:val="nil"/>
                    <w:bottom w:val="nil"/>
                    <w:right w:val="nil"/>
                  </w:tcBorders>
                  <w:shd w:val="clear" w:color="auto" w:fill="auto"/>
                  <w:noWrap/>
                  <w:vAlign w:val="bottom"/>
                  <w:hideMark/>
                </w:tcPr>
                <w:p w:rsidR="002E6978" w:rsidRPr="002E6978" w:rsidRDefault="002E6978" w:rsidP="002E6978">
                  <w:pPr>
                    <w:spacing w:after="0" w:line="240" w:lineRule="auto"/>
                    <w:jc w:val="right"/>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17</w:t>
                  </w:r>
                </w:p>
              </w:tc>
              <w:tc>
                <w:tcPr>
                  <w:tcW w:w="3335" w:type="pct"/>
                  <w:gridSpan w:val="2"/>
                  <w:tcBorders>
                    <w:top w:val="nil"/>
                    <w:left w:val="nil"/>
                    <w:bottom w:val="nil"/>
                    <w:right w:val="nil"/>
                  </w:tcBorders>
                  <w:shd w:val="clear" w:color="auto" w:fill="auto"/>
                  <w:noWrap/>
                  <w:vAlign w:val="bottom"/>
                  <w:hideMark/>
                </w:tcPr>
                <w:p w:rsidR="002E6978" w:rsidRPr="002E6978" w:rsidRDefault="002E6978" w:rsidP="002E6978">
                  <w:pPr>
                    <w:spacing w:after="0" w:line="240" w:lineRule="auto"/>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Latvia</w:t>
                  </w:r>
                </w:p>
              </w:tc>
            </w:tr>
            <w:tr w:rsidR="002E6978" w:rsidRPr="002E6978" w:rsidTr="002C595D">
              <w:trPr>
                <w:trHeight w:val="284"/>
              </w:trPr>
              <w:tc>
                <w:tcPr>
                  <w:tcW w:w="1665" w:type="pct"/>
                  <w:tcBorders>
                    <w:top w:val="nil"/>
                    <w:left w:val="nil"/>
                    <w:bottom w:val="nil"/>
                    <w:right w:val="nil"/>
                  </w:tcBorders>
                  <w:shd w:val="clear" w:color="auto" w:fill="auto"/>
                  <w:noWrap/>
                  <w:vAlign w:val="bottom"/>
                  <w:hideMark/>
                </w:tcPr>
                <w:p w:rsidR="002E6978" w:rsidRPr="002E6978" w:rsidRDefault="002E6978" w:rsidP="002E6978">
                  <w:pPr>
                    <w:spacing w:after="0" w:line="240" w:lineRule="auto"/>
                    <w:jc w:val="right"/>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18</w:t>
                  </w:r>
                </w:p>
              </w:tc>
              <w:tc>
                <w:tcPr>
                  <w:tcW w:w="3335" w:type="pct"/>
                  <w:gridSpan w:val="2"/>
                  <w:tcBorders>
                    <w:top w:val="nil"/>
                    <w:left w:val="nil"/>
                    <w:bottom w:val="nil"/>
                    <w:right w:val="nil"/>
                  </w:tcBorders>
                  <w:shd w:val="clear" w:color="auto" w:fill="auto"/>
                  <w:noWrap/>
                  <w:vAlign w:val="bottom"/>
                  <w:hideMark/>
                </w:tcPr>
                <w:p w:rsidR="002E6978" w:rsidRPr="002E6978" w:rsidRDefault="002E6978" w:rsidP="002E6978">
                  <w:pPr>
                    <w:spacing w:after="0" w:line="240" w:lineRule="auto"/>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Luxembourg</w:t>
                  </w:r>
                </w:p>
              </w:tc>
            </w:tr>
            <w:tr w:rsidR="002E6978" w:rsidRPr="002E6978" w:rsidTr="002C595D">
              <w:trPr>
                <w:trHeight w:val="284"/>
              </w:trPr>
              <w:tc>
                <w:tcPr>
                  <w:tcW w:w="1665" w:type="pct"/>
                  <w:tcBorders>
                    <w:top w:val="nil"/>
                    <w:left w:val="nil"/>
                    <w:bottom w:val="nil"/>
                    <w:right w:val="nil"/>
                  </w:tcBorders>
                  <w:shd w:val="clear" w:color="auto" w:fill="auto"/>
                  <w:noWrap/>
                  <w:vAlign w:val="bottom"/>
                  <w:hideMark/>
                </w:tcPr>
                <w:p w:rsidR="002E6978" w:rsidRPr="002E6978" w:rsidRDefault="002E6978" w:rsidP="002E6978">
                  <w:pPr>
                    <w:spacing w:after="0" w:line="240" w:lineRule="auto"/>
                    <w:jc w:val="right"/>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19</w:t>
                  </w:r>
                </w:p>
              </w:tc>
              <w:tc>
                <w:tcPr>
                  <w:tcW w:w="3335" w:type="pct"/>
                  <w:gridSpan w:val="2"/>
                  <w:tcBorders>
                    <w:top w:val="nil"/>
                    <w:left w:val="nil"/>
                    <w:bottom w:val="nil"/>
                    <w:right w:val="nil"/>
                  </w:tcBorders>
                  <w:shd w:val="clear" w:color="auto" w:fill="auto"/>
                  <w:noWrap/>
                  <w:vAlign w:val="bottom"/>
                  <w:hideMark/>
                </w:tcPr>
                <w:p w:rsidR="002E6978" w:rsidRPr="002E6978" w:rsidRDefault="002E6978" w:rsidP="002E6978">
                  <w:pPr>
                    <w:spacing w:after="0" w:line="240" w:lineRule="auto"/>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Malta</w:t>
                  </w:r>
                </w:p>
              </w:tc>
            </w:tr>
            <w:tr w:rsidR="002E6978" w:rsidRPr="002E6978" w:rsidTr="002C595D">
              <w:trPr>
                <w:trHeight w:val="284"/>
              </w:trPr>
              <w:tc>
                <w:tcPr>
                  <w:tcW w:w="1665" w:type="pct"/>
                  <w:tcBorders>
                    <w:top w:val="nil"/>
                    <w:left w:val="nil"/>
                    <w:bottom w:val="nil"/>
                    <w:right w:val="nil"/>
                  </w:tcBorders>
                  <w:shd w:val="clear" w:color="auto" w:fill="auto"/>
                  <w:noWrap/>
                  <w:vAlign w:val="bottom"/>
                  <w:hideMark/>
                </w:tcPr>
                <w:p w:rsidR="002E6978" w:rsidRPr="002E6978" w:rsidRDefault="002E6978" w:rsidP="002E6978">
                  <w:pPr>
                    <w:spacing w:after="0" w:line="240" w:lineRule="auto"/>
                    <w:jc w:val="right"/>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20</w:t>
                  </w:r>
                </w:p>
              </w:tc>
              <w:tc>
                <w:tcPr>
                  <w:tcW w:w="3335" w:type="pct"/>
                  <w:gridSpan w:val="2"/>
                  <w:tcBorders>
                    <w:top w:val="nil"/>
                    <w:left w:val="nil"/>
                    <w:bottom w:val="nil"/>
                    <w:right w:val="nil"/>
                  </w:tcBorders>
                  <w:shd w:val="clear" w:color="auto" w:fill="auto"/>
                  <w:noWrap/>
                  <w:vAlign w:val="bottom"/>
                  <w:hideMark/>
                </w:tcPr>
                <w:p w:rsidR="002E6978" w:rsidRPr="002E6978" w:rsidRDefault="002E6978" w:rsidP="002E6978">
                  <w:pPr>
                    <w:spacing w:after="0" w:line="240" w:lineRule="auto"/>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Netherlands</w:t>
                  </w:r>
                </w:p>
              </w:tc>
            </w:tr>
            <w:tr w:rsidR="002E6978" w:rsidRPr="002E6978" w:rsidTr="002C595D">
              <w:trPr>
                <w:trHeight w:val="284"/>
              </w:trPr>
              <w:tc>
                <w:tcPr>
                  <w:tcW w:w="1665" w:type="pct"/>
                  <w:tcBorders>
                    <w:top w:val="nil"/>
                    <w:left w:val="nil"/>
                    <w:bottom w:val="nil"/>
                    <w:right w:val="nil"/>
                  </w:tcBorders>
                  <w:shd w:val="clear" w:color="auto" w:fill="auto"/>
                  <w:noWrap/>
                  <w:vAlign w:val="bottom"/>
                  <w:hideMark/>
                </w:tcPr>
                <w:p w:rsidR="002E6978" w:rsidRPr="002E6978" w:rsidRDefault="002E6978" w:rsidP="002E6978">
                  <w:pPr>
                    <w:spacing w:after="0" w:line="240" w:lineRule="auto"/>
                    <w:jc w:val="right"/>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21</w:t>
                  </w:r>
                </w:p>
              </w:tc>
              <w:tc>
                <w:tcPr>
                  <w:tcW w:w="3335" w:type="pct"/>
                  <w:gridSpan w:val="2"/>
                  <w:tcBorders>
                    <w:top w:val="nil"/>
                    <w:left w:val="nil"/>
                    <w:bottom w:val="nil"/>
                    <w:right w:val="nil"/>
                  </w:tcBorders>
                  <w:shd w:val="clear" w:color="auto" w:fill="auto"/>
                  <w:noWrap/>
                  <w:vAlign w:val="bottom"/>
                  <w:hideMark/>
                </w:tcPr>
                <w:p w:rsidR="002E6978" w:rsidRPr="002E6978" w:rsidRDefault="002E6978" w:rsidP="002E6978">
                  <w:pPr>
                    <w:spacing w:after="0" w:line="240" w:lineRule="auto"/>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Norway</w:t>
                  </w:r>
                </w:p>
              </w:tc>
            </w:tr>
            <w:tr w:rsidR="002E6978" w:rsidRPr="002E6978" w:rsidTr="002C595D">
              <w:trPr>
                <w:trHeight w:val="284"/>
              </w:trPr>
              <w:tc>
                <w:tcPr>
                  <w:tcW w:w="1665" w:type="pct"/>
                  <w:tcBorders>
                    <w:top w:val="nil"/>
                    <w:left w:val="nil"/>
                    <w:bottom w:val="nil"/>
                    <w:right w:val="nil"/>
                  </w:tcBorders>
                  <w:shd w:val="clear" w:color="auto" w:fill="auto"/>
                  <w:noWrap/>
                  <w:vAlign w:val="bottom"/>
                  <w:hideMark/>
                </w:tcPr>
                <w:p w:rsidR="002E6978" w:rsidRPr="002E6978" w:rsidRDefault="002E6978" w:rsidP="002E6978">
                  <w:pPr>
                    <w:spacing w:after="0" w:line="240" w:lineRule="auto"/>
                    <w:jc w:val="right"/>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22</w:t>
                  </w:r>
                </w:p>
              </w:tc>
              <w:tc>
                <w:tcPr>
                  <w:tcW w:w="3335" w:type="pct"/>
                  <w:gridSpan w:val="2"/>
                  <w:tcBorders>
                    <w:top w:val="nil"/>
                    <w:left w:val="nil"/>
                    <w:bottom w:val="nil"/>
                    <w:right w:val="nil"/>
                  </w:tcBorders>
                  <w:shd w:val="clear" w:color="auto" w:fill="auto"/>
                  <w:noWrap/>
                  <w:vAlign w:val="bottom"/>
                  <w:hideMark/>
                </w:tcPr>
                <w:p w:rsidR="002E6978" w:rsidRPr="002E6978" w:rsidRDefault="002E6978" w:rsidP="002E6978">
                  <w:pPr>
                    <w:spacing w:after="0" w:line="240" w:lineRule="auto"/>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Poland</w:t>
                  </w:r>
                </w:p>
              </w:tc>
            </w:tr>
            <w:tr w:rsidR="002E6978" w:rsidRPr="002E6978" w:rsidTr="002C595D">
              <w:trPr>
                <w:trHeight w:val="284"/>
              </w:trPr>
              <w:tc>
                <w:tcPr>
                  <w:tcW w:w="1665" w:type="pct"/>
                  <w:tcBorders>
                    <w:top w:val="nil"/>
                    <w:left w:val="nil"/>
                    <w:bottom w:val="nil"/>
                    <w:right w:val="nil"/>
                  </w:tcBorders>
                  <w:shd w:val="clear" w:color="auto" w:fill="auto"/>
                  <w:noWrap/>
                  <w:vAlign w:val="bottom"/>
                  <w:hideMark/>
                </w:tcPr>
                <w:p w:rsidR="002E6978" w:rsidRPr="002E6978" w:rsidRDefault="002E6978" w:rsidP="002E6978">
                  <w:pPr>
                    <w:spacing w:after="0" w:line="240" w:lineRule="auto"/>
                    <w:jc w:val="right"/>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23</w:t>
                  </w:r>
                </w:p>
              </w:tc>
              <w:tc>
                <w:tcPr>
                  <w:tcW w:w="3335" w:type="pct"/>
                  <w:gridSpan w:val="2"/>
                  <w:tcBorders>
                    <w:top w:val="nil"/>
                    <w:left w:val="nil"/>
                    <w:bottom w:val="nil"/>
                    <w:right w:val="nil"/>
                  </w:tcBorders>
                  <w:shd w:val="clear" w:color="auto" w:fill="auto"/>
                  <w:noWrap/>
                  <w:vAlign w:val="bottom"/>
                  <w:hideMark/>
                </w:tcPr>
                <w:p w:rsidR="002E6978" w:rsidRPr="002E6978" w:rsidRDefault="002E6978" w:rsidP="002E6978">
                  <w:pPr>
                    <w:spacing w:after="0" w:line="240" w:lineRule="auto"/>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Portugal</w:t>
                  </w:r>
                </w:p>
              </w:tc>
            </w:tr>
            <w:tr w:rsidR="002E6978" w:rsidRPr="002E6978" w:rsidTr="002C595D">
              <w:trPr>
                <w:trHeight w:val="284"/>
              </w:trPr>
              <w:tc>
                <w:tcPr>
                  <w:tcW w:w="1665" w:type="pct"/>
                  <w:tcBorders>
                    <w:top w:val="nil"/>
                    <w:left w:val="nil"/>
                    <w:bottom w:val="nil"/>
                    <w:right w:val="nil"/>
                  </w:tcBorders>
                  <w:shd w:val="clear" w:color="auto" w:fill="auto"/>
                  <w:noWrap/>
                  <w:vAlign w:val="bottom"/>
                  <w:hideMark/>
                </w:tcPr>
                <w:p w:rsidR="002E6978" w:rsidRPr="002E6978" w:rsidRDefault="002E6978" w:rsidP="002E6978">
                  <w:pPr>
                    <w:spacing w:after="0" w:line="240" w:lineRule="auto"/>
                    <w:jc w:val="right"/>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24</w:t>
                  </w:r>
                </w:p>
              </w:tc>
              <w:tc>
                <w:tcPr>
                  <w:tcW w:w="3335" w:type="pct"/>
                  <w:gridSpan w:val="2"/>
                  <w:tcBorders>
                    <w:top w:val="nil"/>
                    <w:left w:val="nil"/>
                    <w:bottom w:val="nil"/>
                    <w:right w:val="nil"/>
                  </w:tcBorders>
                  <w:shd w:val="clear" w:color="auto" w:fill="auto"/>
                  <w:noWrap/>
                  <w:vAlign w:val="bottom"/>
                  <w:hideMark/>
                </w:tcPr>
                <w:p w:rsidR="002E6978" w:rsidRPr="002E6978" w:rsidRDefault="002E6978" w:rsidP="002E6978">
                  <w:pPr>
                    <w:spacing w:after="0" w:line="240" w:lineRule="auto"/>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Romania</w:t>
                  </w:r>
                </w:p>
              </w:tc>
            </w:tr>
            <w:tr w:rsidR="002E6978" w:rsidRPr="002E6978" w:rsidTr="002C595D">
              <w:trPr>
                <w:trHeight w:val="284"/>
              </w:trPr>
              <w:tc>
                <w:tcPr>
                  <w:tcW w:w="1665" w:type="pct"/>
                  <w:tcBorders>
                    <w:top w:val="nil"/>
                    <w:left w:val="nil"/>
                    <w:bottom w:val="nil"/>
                    <w:right w:val="nil"/>
                  </w:tcBorders>
                  <w:shd w:val="clear" w:color="auto" w:fill="auto"/>
                  <w:noWrap/>
                  <w:vAlign w:val="bottom"/>
                  <w:hideMark/>
                </w:tcPr>
                <w:p w:rsidR="002E6978" w:rsidRPr="002E6978" w:rsidRDefault="002E6978" w:rsidP="002E6978">
                  <w:pPr>
                    <w:spacing w:after="0" w:line="240" w:lineRule="auto"/>
                    <w:jc w:val="right"/>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25</w:t>
                  </w:r>
                </w:p>
              </w:tc>
              <w:tc>
                <w:tcPr>
                  <w:tcW w:w="3335" w:type="pct"/>
                  <w:gridSpan w:val="2"/>
                  <w:tcBorders>
                    <w:top w:val="nil"/>
                    <w:left w:val="nil"/>
                    <w:bottom w:val="nil"/>
                    <w:right w:val="nil"/>
                  </w:tcBorders>
                  <w:shd w:val="clear" w:color="auto" w:fill="auto"/>
                  <w:noWrap/>
                  <w:vAlign w:val="bottom"/>
                  <w:hideMark/>
                </w:tcPr>
                <w:p w:rsidR="002E6978" w:rsidRPr="002E6978" w:rsidRDefault="002E6978" w:rsidP="002E6978">
                  <w:pPr>
                    <w:spacing w:after="0" w:line="240" w:lineRule="auto"/>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Slovakia</w:t>
                  </w:r>
                </w:p>
              </w:tc>
            </w:tr>
            <w:tr w:rsidR="002E6978" w:rsidRPr="002E6978" w:rsidTr="002C595D">
              <w:trPr>
                <w:trHeight w:val="284"/>
              </w:trPr>
              <w:tc>
                <w:tcPr>
                  <w:tcW w:w="1665" w:type="pct"/>
                  <w:tcBorders>
                    <w:top w:val="nil"/>
                    <w:left w:val="nil"/>
                    <w:bottom w:val="nil"/>
                    <w:right w:val="nil"/>
                  </w:tcBorders>
                  <w:shd w:val="clear" w:color="auto" w:fill="auto"/>
                  <w:noWrap/>
                  <w:vAlign w:val="bottom"/>
                  <w:hideMark/>
                </w:tcPr>
                <w:p w:rsidR="002E6978" w:rsidRPr="002E6978" w:rsidRDefault="002E6978" w:rsidP="002E6978">
                  <w:pPr>
                    <w:spacing w:after="0" w:line="240" w:lineRule="auto"/>
                    <w:jc w:val="right"/>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26</w:t>
                  </w:r>
                </w:p>
              </w:tc>
              <w:tc>
                <w:tcPr>
                  <w:tcW w:w="3335" w:type="pct"/>
                  <w:gridSpan w:val="2"/>
                  <w:tcBorders>
                    <w:top w:val="nil"/>
                    <w:left w:val="nil"/>
                    <w:bottom w:val="nil"/>
                    <w:right w:val="nil"/>
                  </w:tcBorders>
                  <w:shd w:val="clear" w:color="auto" w:fill="auto"/>
                  <w:noWrap/>
                  <w:vAlign w:val="bottom"/>
                  <w:hideMark/>
                </w:tcPr>
                <w:p w:rsidR="002E6978" w:rsidRPr="002E6978" w:rsidRDefault="002E6978" w:rsidP="002E6978">
                  <w:pPr>
                    <w:spacing w:after="0" w:line="240" w:lineRule="auto"/>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Slovenia</w:t>
                  </w:r>
                </w:p>
              </w:tc>
            </w:tr>
            <w:tr w:rsidR="002E6978" w:rsidRPr="002E6978" w:rsidTr="002C595D">
              <w:trPr>
                <w:trHeight w:val="284"/>
              </w:trPr>
              <w:tc>
                <w:tcPr>
                  <w:tcW w:w="1665" w:type="pct"/>
                  <w:tcBorders>
                    <w:top w:val="nil"/>
                    <w:left w:val="nil"/>
                    <w:bottom w:val="nil"/>
                    <w:right w:val="nil"/>
                  </w:tcBorders>
                  <w:shd w:val="clear" w:color="auto" w:fill="auto"/>
                  <w:noWrap/>
                  <w:vAlign w:val="bottom"/>
                  <w:hideMark/>
                </w:tcPr>
                <w:p w:rsidR="002E6978" w:rsidRPr="002E6978" w:rsidRDefault="002E6978" w:rsidP="002E6978">
                  <w:pPr>
                    <w:spacing w:after="0" w:line="240" w:lineRule="auto"/>
                    <w:jc w:val="right"/>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27</w:t>
                  </w:r>
                </w:p>
              </w:tc>
              <w:tc>
                <w:tcPr>
                  <w:tcW w:w="3335" w:type="pct"/>
                  <w:gridSpan w:val="2"/>
                  <w:tcBorders>
                    <w:top w:val="nil"/>
                    <w:left w:val="nil"/>
                    <w:bottom w:val="nil"/>
                    <w:right w:val="nil"/>
                  </w:tcBorders>
                  <w:shd w:val="clear" w:color="auto" w:fill="auto"/>
                  <w:noWrap/>
                  <w:vAlign w:val="bottom"/>
                  <w:hideMark/>
                </w:tcPr>
                <w:p w:rsidR="002E6978" w:rsidRPr="002E6978" w:rsidRDefault="002E6978" w:rsidP="002E6978">
                  <w:pPr>
                    <w:spacing w:after="0" w:line="240" w:lineRule="auto"/>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Spain</w:t>
                  </w:r>
                </w:p>
              </w:tc>
            </w:tr>
            <w:tr w:rsidR="002E6978" w:rsidRPr="002E6978" w:rsidTr="002C595D">
              <w:trPr>
                <w:trHeight w:val="284"/>
              </w:trPr>
              <w:tc>
                <w:tcPr>
                  <w:tcW w:w="1665" w:type="pct"/>
                  <w:tcBorders>
                    <w:top w:val="nil"/>
                    <w:left w:val="nil"/>
                    <w:bottom w:val="nil"/>
                    <w:right w:val="nil"/>
                  </w:tcBorders>
                  <w:shd w:val="clear" w:color="auto" w:fill="auto"/>
                  <w:noWrap/>
                  <w:vAlign w:val="bottom"/>
                  <w:hideMark/>
                </w:tcPr>
                <w:p w:rsidR="002E6978" w:rsidRPr="002E6978" w:rsidRDefault="002E6978" w:rsidP="002E6978">
                  <w:pPr>
                    <w:spacing w:after="0" w:line="240" w:lineRule="auto"/>
                    <w:jc w:val="right"/>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28</w:t>
                  </w:r>
                </w:p>
              </w:tc>
              <w:tc>
                <w:tcPr>
                  <w:tcW w:w="3335" w:type="pct"/>
                  <w:gridSpan w:val="2"/>
                  <w:tcBorders>
                    <w:top w:val="nil"/>
                    <w:left w:val="nil"/>
                    <w:bottom w:val="nil"/>
                    <w:right w:val="nil"/>
                  </w:tcBorders>
                  <w:shd w:val="clear" w:color="auto" w:fill="auto"/>
                  <w:noWrap/>
                  <w:vAlign w:val="bottom"/>
                  <w:hideMark/>
                </w:tcPr>
                <w:p w:rsidR="002E6978" w:rsidRPr="002E6978" w:rsidRDefault="002E6978" w:rsidP="002E6978">
                  <w:pPr>
                    <w:spacing w:after="0" w:line="240" w:lineRule="auto"/>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Sweden</w:t>
                  </w:r>
                </w:p>
              </w:tc>
            </w:tr>
            <w:tr w:rsidR="002E6978" w:rsidRPr="002E6978" w:rsidTr="002C595D">
              <w:trPr>
                <w:trHeight w:val="284"/>
              </w:trPr>
              <w:tc>
                <w:tcPr>
                  <w:tcW w:w="1665" w:type="pct"/>
                  <w:tcBorders>
                    <w:top w:val="nil"/>
                    <w:left w:val="nil"/>
                    <w:bottom w:val="nil"/>
                    <w:right w:val="nil"/>
                  </w:tcBorders>
                  <w:shd w:val="clear" w:color="auto" w:fill="auto"/>
                  <w:noWrap/>
                  <w:vAlign w:val="bottom"/>
                  <w:hideMark/>
                </w:tcPr>
                <w:p w:rsidR="002E6978" w:rsidRPr="002E6978" w:rsidRDefault="002E6978" w:rsidP="002E6978">
                  <w:pPr>
                    <w:spacing w:after="0" w:line="240" w:lineRule="auto"/>
                    <w:jc w:val="right"/>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29</w:t>
                  </w:r>
                </w:p>
              </w:tc>
              <w:tc>
                <w:tcPr>
                  <w:tcW w:w="3335" w:type="pct"/>
                  <w:gridSpan w:val="2"/>
                  <w:tcBorders>
                    <w:top w:val="nil"/>
                    <w:left w:val="nil"/>
                    <w:bottom w:val="nil"/>
                    <w:right w:val="nil"/>
                  </w:tcBorders>
                  <w:shd w:val="clear" w:color="auto" w:fill="auto"/>
                  <w:noWrap/>
                  <w:vAlign w:val="bottom"/>
                  <w:hideMark/>
                </w:tcPr>
                <w:p w:rsidR="002E6978" w:rsidRPr="002E6978" w:rsidRDefault="002E6978" w:rsidP="002E6978">
                  <w:pPr>
                    <w:spacing w:after="0" w:line="240" w:lineRule="auto"/>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Switzerland</w:t>
                  </w:r>
                </w:p>
              </w:tc>
            </w:tr>
            <w:tr w:rsidR="002E6978" w:rsidRPr="002E6978" w:rsidTr="002C595D">
              <w:trPr>
                <w:trHeight w:val="284"/>
              </w:trPr>
              <w:tc>
                <w:tcPr>
                  <w:tcW w:w="1665" w:type="pct"/>
                  <w:tcBorders>
                    <w:top w:val="nil"/>
                    <w:left w:val="nil"/>
                    <w:bottom w:val="nil"/>
                    <w:right w:val="nil"/>
                  </w:tcBorders>
                  <w:shd w:val="clear" w:color="auto" w:fill="auto"/>
                  <w:noWrap/>
                  <w:vAlign w:val="bottom"/>
                  <w:hideMark/>
                </w:tcPr>
                <w:p w:rsidR="002E6978" w:rsidRPr="002E6978" w:rsidRDefault="002E6978" w:rsidP="002E6978">
                  <w:pPr>
                    <w:spacing w:after="0" w:line="240" w:lineRule="auto"/>
                    <w:jc w:val="right"/>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30</w:t>
                  </w:r>
                </w:p>
              </w:tc>
              <w:tc>
                <w:tcPr>
                  <w:tcW w:w="3335" w:type="pct"/>
                  <w:gridSpan w:val="2"/>
                  <w:tcBorders>
                    <w:top w:val="nil"/>
                    <w:left w:val="nil"/>
                    <w:bottom w:val="nil"/>
                    <w:right w:val="nil"/>
                  </w:tcBorders>
                  <w:shd w:val="clear" w:color="auto" w:fill="auto"/>
                  <w:noWrap/>
                  <w:vAlign w:val="bottom"/>
                  <w:hideMark/>
                </w:tcPr>
                <w:p w:rsidR="002E6978" w:rsidRPr="002E6978" w:rsidRDefault="002E6978" w:rsidP="002E6978">
                  <w:pPr>
                    <w:spacing w:after="0" w:line="240" w:lineRule="auto"/>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United States</w:t>
                  </w:r>
                </w:p>
              </w:tc>
            </w:tr>
          </w:tbl>
          <w:p w:rsidR="002E6978" w:rsidRPr="000732E0" w:rsidRDefault="002E6978" w:rsidP="00427807">
            <w:pPr>
              <w:rPr>
                <w:rFonts w:ascii="Calibri" w:eastAsia="Times New Roman" w:hAnsi="Calibri" w:cs="Times New Roman"/>
                <w:color w:val="000000"/>
                <w:lang w:val="en-US" w:eastAsia="el-GR"/>
              </w:rPr>
            </w:pPr>
          </w:p>
        </w:tc>
        <w:tc>
          <w:tcPr>
            <w:tcW w:w="3358" w:type="dxa"/>
          </w:tcPr>
          <w:tbl>
            <w:tblPr>
              <w:tblW w:w="2380" w:type="dxa"/>
              <w:tblLook w:val="04A0"/>
            </w:tblPr>
            <w:tblGrid>
              <w:gridCol w:w="948"/>
              <w:gridCol w:w="1432"/>
            </w:tblGrid>
            <w:tr w:rsidR="002E6978" w:rsidRPr="002E6978" w:rsidTr="002C595D">
              <w:trPr>
                <w:trHeight w:val="284"/>
              </w:trPr>
              <w:tc>
                <w:tcPr>
                  <w:tcW w:w="948" w:type="dxa"/>
                  <w:tcBorders>
                    <w:top w:val="nil"/>
                    <w:left w:val="nil"/>
                    <w:bottom w:val="nil"/>
                    <w:right w:val="nil"/>
                  </w:tcBorders>
                  <w:shd w:val="clear" w:color="auto" w:fill="auto"/>
                  <w:noWrap/>
                  <w:vAlign w:val="bottom"/>
                  <w:hideMark/>
                </w:tcPr>
                <w:p w:rsidR="002E6978" w:rsidRPr="002E6978" w:rsidRDefault="002E6978" w:rsidP="002E6978">
                  <w:pPr>
                    <w:spacing w:after="0" w:line="240" w:lineRule="auto"/>
                    <w:jc w:val="right"/>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1</w:t>
                  </w:r>
                </w:p>
              </w:tc>
              <w:tc>
                <w:tcPr>
                  <w:tcW w:w="1432" w:type="dxa"/>
                  <w:tcBorders>
                    <w:top w:val="nil"/>
                    <w:left w:val="nil"/>
                    <w:bottom w:val="nil"/>
                    <w:right w:val="nil"/>
                  </w:tcBorders>
                  <w:shd w:val="clear" w:color="auto" w:fill="auto"/>
                  <w:noWrap/>
                  <w:vAlign w:val="bottom"/>
                  <w:hideMark/>
                </w:tcPr>
                <w:p w:rsidR="002E6978" w:rsidRPr="002E6978" w:rsidRDefault="002E6978" w:rsidP="002E6978">
                  <w:pPr>
                    <w:spacing w:after="0" w:line="240" w:lineRule="auto"/>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Africa S(wte)</w:t>
                  </w:r>
                </w:p>
              </w:tc>
            </w:tr>
            <w:tr w:rsidR="002E6978" w:rsidRPr="002E6978" w:rsidTr="002C595D">
              <w:trPr>
                <w:trHeight w:val="284"/>
              </w:trPr>
              <w:tc>
                <w:tcPr>
                  <w:tcW w:w="948" w:type="dxa"/>
                  <w:tcBorders>
                    <w:top w:val="nil"/>
                    <w:left w:val="nil"/>
                    <w:bottom w:val="nil"/>
                    <w:right w:val="nil"/>
                  </w:tcBorders>
                  <w:shd w:val="clear" w:color="auto" w:fill="auto"/>
                  <w:noWrap/>
                  <w:vAlign w:val="bottom"/>
                  <w:hideMark/>
                </w:tcPr>
                <w:p w:rsidR="002E6978" w:rsidRPr="002E6978" w:rsidRDefault="002E6978" w:rsidP="002E6978">
                  <w:pPr>
                    <w:spacing w:after="0" w:line="240" w:lineRule="auto"/>
                    <w:jc w:val="right"/>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2</w:t>
                  </w:r>
                </w:p>
              </w:tc>
              <w:tc>
                <w:tcPr>
                  <w:tcW w:w="1432" w:type="dxa"/>
                  <w:tcBorders>
                    <w:top w:val="nil"/>
                    <w:left w:val="nil"/>
                    <w:bottom w:val="nil"/>
                    <w:right w:val="nil"/>
                  </w:tcBorders>
                  <w:shd w:val="clear" w:color="auto" w:fill="auto"/>
                  <w:noWrap/>
                  <w:vAlign w:val="bottom"/>
                  <w:hideMark/>
                </w:tcPr>
                <w:p w:rsidR="002E6978" w:rsidRPr="002E6978" w:rsidRDefault="002E6978" w:rsidP="002E6978">
                  <w:pPr>
                    <w:spacing w:after="0" w:line="240" w:lineRule="auto"/>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Brazil</w:t>
                  </w:r>
                </w:p>
              </w:tc>
            </w:tr>
            <w:tr w:rsidR="002E6978" w:rsidRPr="002E6978" w:rsidTr="002C595D">
              <w:trPr>
                <w:trHeight w:val="284"/>
              </w:trPr>
              <w:tc>
                <w:tcPr>
                  <w:tcW w:w="948" w:type="dxa"/>
                  <w:tcBorders>
                    <w:top w:val="nil"/>
                    <w:left w:val="nil"/>
                    <w:bottom w:val="nil"/>
                    <w:right w:val="nil"/>
                  </w:tcBorders>
                  <w:shd w:val="clear" w:color="auto" w:fill="auto"/>
                  <w:noWrap/>
                  <w:vAlign w:val="bottom"/>
                  <w:hideMark/>
                </w:tcPr>
                <w:p w:rsidR="002E6978" w:rsidRPr="002E6978" w:rsidRDefault="002E6978" w:rsidP="002E6978">
                  <w:pPr>
                    <w:spacing w:after="0" w:line="240" w:lineRule="auto"/>
                    <w:jc w:val="right"/>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3</w:t>
                  </w:r>
                </w:p>
              </w:tc>
              <w:tc>
                <w:tcPr>
                  <w:tcW w:w="1432" w:type="dxa"/>
                  <w:tcBorders>
                    <w:top w:val="nil"/>
                    <w:left w:val="nil"/>
                    <w:bottom w:val="nil"/>
                    <w:right w:val="nil"/>
                  </w:tcBorders>
                  <w:shd w:val="clear" w:color="auto" w:fill="auto"/>
                  <w:noWrap/>
                  <w:vAlign w:val="bottom"/>
                  <w:hideMark/>
                </w:tcPr>
                <w:p w:rsidR="002E6978" w:rsidRPr="002E6978" w:rsidRDefault="002E6978" w:rsidP="002E6978">
                  <w:pPr>
                    <w:spacing w:after="0" w:line="240" w:lineRule="auto"/>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Chile</w:t>
                  </w:r>
                </w:p>
              </w:tc>
            </w:tr>
            <w:tr w:rsidR="002E6978" w:rsidRPr="002E6978" w:rsidTr="002C595D">
              <w:trPr>
                <w:trHeight w:val="284"/>
              </w:trPr>
              <w:tc>
                <w:tcPr>
                  <w:tcW w:w="948" w:type="dxa"/>
                  <w:tcBorders>
                    <w:top w:val="nil"/>
                    <w:left w:val="nil"/>
                    <w:bottom w:val="nil"/>
                    <w:right w:val="nil"/>
                  </w:tcBorders>
                  <w:shd w:val="clear" w:color="auto" w:fill="auto"/>
                  <w:noWrap/>
                  <w:vAlign w:val="bottom"/>
                  <w:hideMark/>
                </w:tcPr>
                <w:p w:rsidR="002E6978" w:rsidRPr="002E6978" w:rsidRDefault="002E6978" w:rsidP="002E6978">
                  <w:pPr>
                    <w:spacing w:after="0" w:line="240" w:lineRule="auto"/>
                    <w:jc w:val="right"/>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4</w:t>
                  </w:r>
                </w:p>
              </w:tc>
              <w:tc>
                <w:tcPr>
                  <w:tcW w:w="1432" w:type="dxa"/>
                  <w:tcBorders>
                    <w:top w:val="nil"/>
                    <w:left w:val="nil"/>
                    <w:bottom w:val="nil"/>
                    <w:right w:val="nil"/>
                  </w:tcBorders>
                  <w:shd w:val="clear" w:color="auto" w:fill="auto"/>
                  <w:noWrap/>
                  <w:vAlign w:val="bottom"/>
                  <w:hideMark/>
                </w:tcPr>
                <w:p w:rsidR="002E6978" w:rsidRPr="002E6978" w:rsidRDefault="002E6978" w:rsidP="002E6978">
                  <w:pPr>
                    <w:spacing w:after="0" w:line="240" w:lineRule="auto"/>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Colombia</w:t>
                  </w:r>
                </w:p>
              </w:tc>
            </w:tr>
            <w:tr w:rsidR="002E6978" w:rsidRPr="002E6978" w:rsidTr="002C595D">
              <w:trPr>
                <w:trHeight w:val="284"/>
              </w:trPr>
              <w:tc>
                <w:tcPr>
                  <w:tcW w:w="948" w:type="dxa"/>
                  <w:tcBorders>
                    <w:top w:val="nil"/>
                    <w:left w:val="nil"/>
                    <w:bottom w:val="nil"/>
                    <w:right w:val="nil"/>
                  </w:tcBorders>
                  <w:shd w:val="clear" w:color="auto" w:fill="auto"/>
                  <w:noWrap/>
                  <w:vAlign w:val="bottom"/>
                  <w:hideMark/>
                </w:tcPr>
                <w:p w:rsidR="002E6978" w:rsidRPr="002E6978" w:rsidRDefault="002E6978" w:rsidP="002E6978">
                  <w:pPr>
                    <w:spacing w:after="0" w:line="240" w:lineRule="auto"/>
                    <w:jc w:val="right"/>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5</w:t>
                  </w:r>
                </w:p>
              </w:tc>
              <w:tc>
                <w:tcPr>
                  <w:tcW w:w="1432" w:type="dxa"/>
                  <w:tcBorders>
                    <w:top w:val="nil"/>
                    <w:left w:val="nil"/>
                    <w:bottom w:val="nil"/>
                    <w:right w:val="nil"/>
                  </w:tcBorders>
                  <w:shd w:val="clear" w:color="auto" w:fill="auto"/>
                  <w:noWrap/>
                  <w:vAlign w:val="bottom"/>
                  <w:hideMark/>
                </w:tcPr>
                <w:p w:rsidR="002E6978" w:rsidRPr="002E6978" w:rsidRDefault="002E6978" w:rsidP="002E6978">
                  <w:pPr>
                    <w:spacing w:after="0" w:line="240" w:lineRule="auto"/>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Costa Rica</w:t>
                  </w:r>
                </w:p>
              </w:tc>
            </w:tr>
            <w:tr w:rsidR="002E6978" w:rsidRPr="002E6978" w:rsidTr="002C595D">
              <w:trPr>
                <w:trHeight w:val="284"/>
              </w:trPr>
              <w:tc>
                <w:tcPr>
                  <w:tcW w:w="948" w:type="dxa"/>
                  <w:tcBorders>
                    <w:top w:val="nil"/>
                    <w:left w:val="nil"/>
                    <w:bottom w:val="nil"/>
                    <w:right w:val="nil"/>
                  </w:tcBorders>
                  <w:shd w:val="clear" w:color="auto" w:fill="auto"/>
                  <w:noWrap/>
                  <w:vAlign w:val="bottom"/>
                  <w:hideMark/>
                </w:tcPr>
                <w:p w:rsidR="002E6978" w:rsidRPr="002E6978" w:rsidRDefault="002E6978" w:rsidP="002E6978">
                  <w:pPr>
                    <w:spacing w:after="0" w:line="240" w:lineRule="auto"/>
                    <w:jc w:val="right"/>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6</w:t>
                  </w:r>
                </w:p>
              </w:tc>
              <w:tc>
                <w:tcPr>
                  <w:tcW w:w="1432" w:type="dxa"/>
                  <w:tcBorders>
                    <w:top w:val="nil"/>
                    <w:left w:val="nil"/>
                    <w:bottom w:val="nil"/>
                    <w:right w:val="nil"/>
                  </w:tcBorders>
                  <w:shd w:val="clear" w:color="auto" w:fill="auto"/>
                  <w:noWrap/>
                  <w:vAlign w:val="bottom"/>
                  <w:hideMark/>
                </w:tcPr>
                <w:p w:rsidR="002E6978" w:rsidRPr="002E6978" w:rsidRDefault="002E6978" w:rsidP="002E6978">
                  <w:pPr>
                    <w:spacing w:after="0" w:line="240" w:lineRule="auto"/>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Hong kong</w:t>
                  </w:r>
                </w:p>
              </w:tc>
            </w:tr>
            <w:tr w:rsidR="002E6978" w:rsidRPr="002E6978" w:rsidTr="002C595D">
              <w:trPr>
                <w:trHeight w:val="284"/>
              </w:trPr>
              <w:tc>
                <w:tcPr>
                  <w:tcW w:w="948" w:type="dxa"/>
                  <w:tcBorders>
                    <w:top w:val="nil"/>
                    <w:left w:val="nil"/>
                    <w:bottom w:val="nil"/>
                    <w:right w:val="nil"/>
                  </w:tcBorders>
                  <w:shd w:val="clear" w:color="auto" w:fill="auto"/>
                  <w:noWrap/>
                  <w:vAlign w:val="bottom"/>
                  <w:hideMark/>
                </w:tcPr>
                <w:p w:rsidR="002E6978" w:rsidRPr="002E6978" w:rsidRDefault="002E6978" w:rsidP="002E6978">
                  <w:pPr>
                    <w:spacing w:after="0" w:line="240" w:lineRule="auto"/>
                    <w:jc w:val="right"/>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7</w:t>
                  </w:r>
                </w:p>
              </w:tc>
              <w:tc>
                <w:tcPr>
                  <w:tcW w:w="1432" w:type="dxa"/>
                  <w:tcBorders>
                    <w:top w:val="nil"/>
                    <w:left w:val="nil"/>
                    <w:bottom w:val="nil"/>
                    <w:right w:val="nil"/>
                  </w:tcBorders>
                  <w:shd w:val="clear" w:color="auto" w:fill="auto"/>
                  <w:noWrap/>
                  <w:vAlign w:val="bottom"/>
                  <w:hideMark/>
                </w:tcPr>
                <w:p w:rsidR="002E6978" w:rsidRPr="002E6978" w:rsidRDefault="002E6978" w:rsidP="002E6978">
                  <w:pPr>
                    <w:spacing w:after="0" w:line="240" w:lineRule="auto"/>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India</w:t>
                  </w:r>
                </w:p>
              </w:tc>
            </w:tr>
            <w:tr w:rsidR="002E6978" w:rsidRPr="002E6978" w:rsidTr="002C595D">
              <w:trPr>
                <w:trHeight w:val="284"/>
              </w:trPr>
              <w:tc>
                <w:tcPr>
                  <w:tcW w:w="948" w:type="dxa"/>
                  <w:tcBorders>
                    <w:top w:val="nil"/>
                    <w:left w:val="nil"/>
                    <w:bottom w:val="nil"/>
                    <w:right w:val="nil"/>
                  </w:tcBorders>
                  <w:shd w:val="clear" w:color="auto" w:fill="auto"/>
                  <w:noWrap/>
                  <w:vAlign w:val="bottom"/>
                  <w:hideMark/>
                </w:tcPr>
                <w:p w:rsidR="002E6978" w:rsidRPr="002E6978" w:rsidRDefault="002E6978" w:rsidP="002E6978">
                  <w:pPr>
                    <w:spacing w:after="0" w:line="240" w:lineRule="auto"/>
                    <w:jc w:val="right"/>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8</w:t>
                  </w:r>
                </w:p>
              </w:tc>
              <w:tc>
                <w:tcPr>
                  <w:tcW w:w="1432" w:type="dxa"/>
                  <w:tcBorders>
                    <w:top w:val="nil"/>
                    <w:left w:val="nil"/>
                    <w:bottom w:val="nil"/>
                    <w:right w:val="nil"/>
                  </w:tcBorders>
                  <w:shd w:val="clear" w:color="auto" w:fill="auto"/>
                  <w:noWrap/>
                  <w:vAlign w:val="bottom"/>
                  <w:hideMark/>
                </w:tcPr>
                <w:p w:rsidR="002E6978" w:rsidRPr="002E6978" w:rsidRDefault="002E6978" w:rsidP="002E6978">
                  <w:pPr>
                    <w:spacing w:after="0" w:line="240" w:lineRule="auto"/>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Indonesia</w:t>
                  </w:r>
                </w:p>
              </w:tc>
            </w:tr>
            <w:tr w:rsidR="002E6978" w:rsidRPr="002E6978" w:rsidTr="002C595D">
              <w:trPr>
                <w:trHeight w:val="284"/>
              </w:trPr>
              <w:tc>
                <w:tcPr>
                  <w:tcW w:w="948" w:type="dxa"/>
                  <w:tcBorders>
                    <w:top w:val="nil"/>
                    <w:left w:val="nil"/>
                    <w:bottom w:val="nil"/>
                    <w:right w:val="nil"/>
                  </w:tcBorders>
                  <w:shd w:val="clear" w:color="auto" w:fill="auto"/>
                  <w:noWrap/>
                  <w:vAlign w:val="bottom"/>
                  <w:hideMark/>
                </w:tcPr>
                <w:p w:rsidR="002E6978" w:rsidRPr="002E6978" w:rsidRDefault="002E6978" w:rsidP="002E6978">
                  <w:pPr>
                    <w:spacing w:after="0" w:line="240" w:lineRule="auto"/>
                    <w:jc w:val="right"/>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9</w:t>
                  </w:r>
                </w:p>
              </w:tc>
              <w:tc>
                <w:tcPr>
                  <w:tcW w:w="1432" w:type="dxa"/>
                  <w:tcBorders>
                    <w:top w:val="nil"/>
                    <w:left w:val="nil"/>
                    <w:bottom w:val="nil"/>
                    <w:right w:val="nil"/>
                  </w:tcBorders>
                  <w:shd w:val="clear" w:color="auto" w:fill="auto"/>
                  <w:noWrap/>
                  <w:vAlign w:val="bottom"/>
                  <w:hideMark/>
                </w:tcPr>
                <w:p w:rsidR="002E6978" w:rsidRPr="002E6978" w:rsidRDefault="002E6978" w:rsidP="002E6978">
                  <w:pPr>
                    <w:spacing w:after="0" w:line="240" w:lineRule="auto"/>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Israel</w:t>
                  </w:r>
                </w:p>
              </w:tc>
            </w:tr>
            <w:tr w:rsidR="002E6978" w:rsidRPr="002E6978" w:rsidTr="002C595D">
              <w:trPr>
                <w:trHeight w:val="284"/>
              </w:trPr>
              <w:tc>
                <w:tcPr>
                  <w:tcW w:w="948" w:type="dxa"/>
                  <w:tcBorders>
                    <w:top w:val="nil"/>
                    <w:left w:val="nil"/>
                    <w:bottom w:val="nil"/>
                    <w:right w:val="nil"/>
                  </w:tcBorders>
                  <w:shd w:val="clear" w:color="auto" w:fill="auto"/>
                  <w:noWrap/>
                  <w:vAlign w:val="bottom"/>
                  <w:hideMark/>
                </w:tcPr>
                <w:p w:rsidR="002E6978" w:rsidRPr="002E6978" w:rsidRDefault="002E6978" w:rsidP="002E6978">
                  <w:pPr>
                    <w:spacing w:after="0" w:line="240" w:lineRule="auto"/>
                    <w:jc w:val="right"/>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10</w:t>
                  </w:r>
                </w:p>
              </w:tc>
              <w:tc>
                <w:tcPr>
                  <w:tcW w:w="1432" w:type="dxa"/>
                  <w:tcBorders>
                    <w:top w:val="nil"/>
                    <w:left w:val="nil"/>
                    <w:bottom w:val="nil"/>
                    <w:right w:val="nil"/>
                  </w:tcBorders>
                  <w:shd w:val="clear" w:color="auto" w:fill="auto"/>
                  <w:noWrap/>
                  <w:vAlign w:val="bottom"/>
                  <w:hideMark/>
                </w:tcPr>
                <w:p w:rsidR="002E6978" w:rsidRPr="002E6978" w:rsidRDefault="002E6978" w:rsidP="002E6978">
                  <w:pPr>
                    <w:spacing w:after="0" w:line="240" w:lineRule="auto"/>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Jamaica</w:t>
                  </w:r>
                </w:p>
              </w:tc>
            </w:tr>
            <w:tr w:rsidR="002E6978" w:rsidRPr="002E6978" w:rsidTr="002C595D">
              <w:trPr>
                <w:trHeight w:val="284"/>
              </w:trPr>
              <w:tc>
                <w:tcPr>
                  <w:tcW w:w="948" w:type="dxa"/>
                  <w:tcBorders>
                    <w:top w:val="nil"/>
                    <w:left w:val="nil"/>
                    <w:bottom w:val="nil"/>
                    <w:right w:val="nil"/>
                  </w:tcBorders>
                  <w:shd w:val="clear" w:color="auto" w:fill="auto"/>
                  <w:noWrap/>
                  <w:vAlign w:val="bottom"/>
                  <w:hideMark/>
                </w:tcPr>
                <w:p w:rsidR="002E6978" w:rsidRPr="002E6978" w:rsidRDefault="002E6978" w:rsidP="002E6978">
                  <w:pPr>
                    <w:spacing w:after="0" w:line="240" w:lineRule="auto"/>
                    <w:jc w:val="right"/>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11</w:t>
                  </w:r>
                </w:p>
              </w:tc>
              <w:tc>
                <w:tcPr>
                  <w:tcW w:w="1432" w:type="dxa"/>
                  <w:tcBorders>
                    <w:top w:val="nil"/>
                    <w:left w:val="nil"/>
                    <w:bottom w:val="nil"/>
                    <w:right w:val="nil"/>
                  </w:tcBorders>
                  <w:shd w:val="clear" w:color="auto" w:fill="auto"/>
                  <w:noWrap/>
                  <w:vAlign w:val="bottom"/>
                  <w:hideMark/>
                </w:tcPr>
                <w:p w:rsidR="002E6978" w:rsidRPr="002E6978" w:rsidRDefault="002E6978" w:rsidP="002E6978">
                  <w:pPr>
                    <w:spacing w:after="0" w:line="240" w:lineRule="auto"/>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Mexico</w:t>
                  </w:r>
                </w:p>
              </w:tc>
            </w:tr>
            <w:tr w:rsidR="002E6978" w:rsidRPr="002E6978" w:rsidTr="002C595D">
              <w:trPr>
                <w:trHeight w:val="284"/>
              </w:trPr>
              <w:tc>
                <w:tcPr>
                  <w:tcW w:w="948" w:type="dxa"/>
                  <w:tcBorders>
                    <w:top w:val="nil"/>
                    <w:left w:val="nil"/>
                    <w:bottom w:val="nil"/>
                    <w:right w:val="nil"/>
                  </w:tcBorders>
                  <w:shd w:val="clear" w:color="auto" w:fill="auto"/>
                  <w:noWrap/>
                  <w:vAlign w:val="bottom"/>
                  <w:hideMark/>
                </w:tcPr>
                <w:p w:rsidR="002E6978" w:rsidRPr="002E6978" w:rsidRDefault="002E6978" w:rsidP="002E6978">
                  <w:pPr>
                    <w:spacing w:after="0" w:line="240" w:lineRule="auto"/>
                    <w:jc w:val="right"/>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12</w:t>
                  </w:r>
                </w:p>
              </w:tc>
              <w:tc>
                <w:tcPr>
                  <w:tcW w:w="1432" w:type="dxa"/>
                  <w:tcBorders>
                    <w:top w:val="nil"/>
                    <w:left w:val="nil"/>
                    <w:bottom w:val="nil"/>
                    <w:right w:val="nil"/>
                  </w:tcBorders>
                  <w:shd w:val="clear" w:color="auto" w:fill="auto"/>
                  <w:noWrap/>
                  <w:vAlign w:val="bottom"/>
                  <w:hideMark/>
                </w:tcPr>
                <w:p w:rsidR="002E6978" w:rsidRPr="002E6978" w:rsidRDefault="002E6978" w:rsidP="002E6978">
                  <w:pPr>
                    <w:spacing w:after="0" w:line="240" w:lineRule="auto"/>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Pakistan</w:t>
                  </w:r>
                </w:p>
              </w:tc>
            </w:tr>
            <w:tr w:rsidR="002E6978" w:rsidRPr="002E6978" w:rsidTr="002C595D">
              <w:trPr>
                <w:trHeight w:val="284"/>
              </w:trPr>
              <w:tc>
                <w:tcPr>
                  <w:tcW w:w="948" w:type="dxa"/>
                  <w:tcBorders>
                    <w:top w:val="nil"/>
                    <w:left w:val="nil"/>
                    <w:bottom w:val="nil"/>
                    <w:right w:val="nil"/>
                  </w:tcBorders>
                  <w:shd w:val="clear" w:color="auto" w:fill="auto"/>
                  <w:noWrap/>
                  <w:vAlign w:val="bottom"/>
                  <w:hideMark/>
                </w:tcPr>
                <w:p w:rsidR="002E6978" w:rsidRPr="002E6978" w:rsidRDefault="002E6978" w:rsidP="002E6978">
                  <w:pPr>
                    <w:spacing w:after="0" w:line="240" w:lineRule="auto"/>
                    <w:jc w:val="right"/>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13</w:t>
                  </w:r>
                </w:p>
              </w:tc>
              <w:tc>
                <w:tcPr>
                  <w:tcW w:w="1432" w:type="dxa"/>
                  <w:tcBorders>
                    <w:top w:val="nil"/>
                    <w:left w:val="nil"/>
                    <w:bottom w:val="nil"/>
                    <w:right w:val="nil"/>
                  </w:tcBorders>
                  <w:shd w:val="clear" w:color="auto" w:fill="auto"/>
                  <w:noWrap/>
                  <w:vAlign w:val="bottom"/>
                  <w:hideMark/>
                </w:tcPr>
                <w:p w:rsidR="002E6978" w:rsidRPr="002E6978" w:rsidRDefault="002E6978" w:rsidP="002E6978">
                  <w:pPr>
                    <w:spacing w:after="0" w:line="240" w:lineRule="auto"/>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Peru</w:t>
                  </w:r>
                </w:p>
              </w:tc>
            </w:tr>
            <w:tr w:rsidR="002E6978" w:rsidRPr="002E6978" w:rsidTr="002C595D">
              <w:trPr>
                <w:trHeight w:val="284"/>
              </w:trPr>
              <w:tc>
                <w:tcPr>
                  <w:tcW w:w="948" w:type="dxa"/>
                  <w:tcBorders>
                    <w:top w:val="nil"/>
                    <w:left w:val="nil"/>
                    <w:bottom w:val="nil"/>
                    <w:right w:val="nil"/>
                  </w:tcBorders>
                  <w:shd w:val="clear" w:color="auto" w:fill="auto"/>
                  <w:noWrap/>
                  <w:vAlign w:val="bottom"/>
                  <w:hideMark/>
                </w:tcPr>
                <w:p w:rsidR="002E6978" w:rsidRPr="002E6978" w:rsidRDefault="002E6978" w:rsidP="002E6978">
                  <w:pPr>
                    <w:spacing w:after="0" w:line="240" w:lineRule="auto"/>
                    <w:jc w:val="right"/>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14</w:t>
                  </w:r>
                </w:p>
              </w:tc>
              <w:tc>
                <w:tcPr>
                  <w:tcW w:w="1432" w:type="dxa"/>
                  <w:tcBorders>
                    <w:top w:val="nil"/>
                    <w:left w:val="nil"/>
                    <w:bottom w:val="nil"/>
                    <w:right w:val="nil"/>
                  </w:tcBorders>
                  <w:shd w:val="clear" w:color="auto" w:fill="auto"/>
                  <w:noWrap/>
                  <w:vAlign w:val="bottom"/>
                  <w:hideMark/>
                </w:tcPr>
                <w:p w:rsidR="002E6978" w:rsidRPr="002E6978" w:rsidRDefault="002E6978" w:rsidP="002E6978">
                  <w:pPr>
                    <w:spacing w:after="0" w:line="240" w:lineRule="auto"/>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Serbia</w:t>
                  </w:r>
                </w:p>
              </w:tc>
            </w:tr>
            <w:tr w:rsidR="002E6978" w:rsidRPr="002E6978" w:rsidTr="002C595D">
              <w:trPr>
                <w:trHeight w:val="284"/>
              </w:trPr>
              <w:tc>
                <w:tcPr>
                  <w:tcW w:w="948" w:type="dxa"/>
                  <w:tcBorders>
                    <w:top w:val="nil"/>
                    <w:left w:val="nil"/>
                    <w:bottom w:val="nil"/>
                    <w:right w:val="nil"/>
                  </w:tcBorders>
                  <w:shd w:val="clear" w:color="auto" w:fill="auto"/>
                  <w:noWrap/>
                  <w:vAlign w:val="bottom"/>
                  <w:hideMark/>
                </w:tcPr>
                <w:p w:rsidR="002E6978" w:rsidRPr="002E6978" w:rsidRDefault="002E6978" w:rsidP="002E6978">
                  <w:pPr>
                    <w:spacing w:after="0" w:line="240" w:lineRule="auto"/>
                    <w:jc w:val="right"/>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15</w:t>
                  </w:r>
                </w:p>
              </w:tc>
              <w:tc>
                <w:tcPr>
                  <w:tcW w:w="1432" w:type="dxa"/>
                  <w:tcBorders>
                    <w:top w:val="nil"/>
                    <w:left w:val="nil"/>
                    <w:bottom w:val="nil"/>
                    <w:right w:val="nil"/>
                  </w:tcBorders>
                  <w:shd w:val="clear" w:color="auto" w:fill="auto"/>
                  <w:noWrap/>
                  <w:vAlign w:val="bottom"/>
                  <w:hideMark/>
                </w:tcPr>
                <w:p w:rsidR="002E6978" w:rsidRPr="002E6978" w:rsidRDefault="002E6978" w:rsidP="002E6978">
                  <w:pPr>
                    <w:spacing w:after="0" w:line="240" w:lineRule="auto"/>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S Korea</w:t>
                  </w:r>
                </w:p>
              </w:tc>
            </w:tr>
            <w:tr w:rsidR="002E6978" w:rsidRPr="002E6978" w:rsidTr="002C595D">
              <w:trPr>
                <w:trHeight w:val="284"/>
              </w:trPr>
              <w:tc>
                <w:tcPr>
                  <w:tcW w:w="948" w:type="dxa"/>
                  <w:tcBorders>
                    <w:top w:val="nil"/>
                    <w:left w:val="nil"/>
                    <w:bottom w:val="nil"/>
                    <w:right w:val="nil"/>
                  </w:tcBorders>
                  <w:shd w:val="clear" w:color="auto" w:fill="auto"/>
                  <w:noWrap/>
                  <w:vAlign w:val="bottom"/>
                  <w:hideMark/>
                </w:tcPr>
                <w:p w:rsidR="002E6978" w:rsidRPr="002E6978" w:rsidRDefault="002E6978" w:rsidP="002E6978">
                  <w:pPr>
                    <w:spacing w:after="0" w:line="240" w:lineRule="auto"/>
                    <w:jc w:val="right"/>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16</w:t>
                  </w:r>
                </w:p>
              </w:tc>
              <w:tc>
                <w:tcPr>
                  <w:tcW w:w="1432" w:type="dxa"/>
                  <w:tcBorders>
                    <w:top w:val="nil"/>
                    <w:left w:val="nil"/>
                    <w:bottom w:val="nil"/>
                    <w:right w:val="nil"/>
                  </w:tcBorders>
                  <w:shd w:val="clear" w:color="auto" w:fill="auto"/>
                  <w:noWrap/>
                  <w:vAlign w:val="bottom"/>
                  <w:hideMark/>
                </w:tcPr>
                <w:p w:rsidR="002E6978" w:rsidRPr="002E6978" w:rsidRDefault="002E6978" w:rsidP="002E6978">
                  <w:pPr>
                    <w:spacing w:after="0" w:line="240" w:lineRule="auto"/>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Suriname</w:t>
                  </w:r>
                </w:p>
              </w:tc>
            </w:tr>
            <w:tr w:rsidR="002E6978" w:rsidRPr="002E6978" w:rsidTr="002C595D">
              <w:trPr>
                <w:trHeight w:val="284"/>
              </w:trPr>
              <w:tc>
                <w:tcPr>
                  <w:tcW w:w="948" w:type="dxa"/>
                  <w:tcBorders>
                    <w:top w:val="nil"/>
                    <w:left w:val="nil"/>
                    <w:bottom w:val="nil"/>
                    <w:right w:val="nil"/>
                  </w:tcBorders>
                  <w:shd w:val="clear" w:color="auto" w:fill="auto"/>
                  <w:noWrap/>
                  <w:vAlign w:val="bottom"/>
                  <w:hideMark/>
                </w:tcPr>
                <w:p w:rsidR="002E6978" w:rsidRPr="002E6978" w:rsidRDefault="002E6978" w:rsidP="002E6978">
                  <w:pPr>
                    <w:spacing w:after="0" w:line="240" w:lineRule="auto"/>
                    <w:jc w:val="right"/>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17</w:t>
                  </w:r>
                </w:p>
              </w:tc>
              <w:tc>
                <w:tcPr>
                  <w:tcW w:w="1432" w:type="dxa"/>
                  <w:tcBorders>
                    <w:top w:val="nil"/>
                    <w:left w:val="nil"/>
                    <w:bottom w:val="nil"/>
                    <w:right w:val="nil"/>
                  </w:tcBorders>
                  <w:shd w:val="clear" w:color="auto" w:fill="auto"/>
                  <w:noWrap/>
                  <w:vAlign w:val="bottom"/>
                  <w:hideMark/>
                </w:tcPr>
                <w:p w:rsidR="002E6978" w:rsidRPr="002E6978" w:rsidRDefault="002E6978" w:rsidP="002E6978">
                  <w:pPr>
                    <w:spacing w:after="0" w:line="240" w:lineRule="auto"/>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Thailand</w:t>
                  </w:r>
                </w:p>
              </w:tc>
            </w:tr>
            <w:tr w:rsidR="002E6978" w:rsidRPr="002E6978" w:rsidTr="002C595D">
              <w:trPr>
                <w:trHeight w:val="284"/>
              </w:trPr>
              <w:tc>
                <w:tcPr>
                  <w:tcW w:w="948" w:type="dxa"/>
                  <w:tcBorders>
                    <w:top w:val="nil"/>
                    <w:left w:val="nil"/>
                    <w:bottom w:val="nil"/>
                    <w:right w:val="nil"/>
                  </w:tcBorders>
                  <w:shd w:val="clear" w:color="auto" w:fill="auto"/>
                  <w:noWrap/>
                  <w:vAlign w:val="bottom"/>
                  <w:hideMark/>
                </w:tcPr>
                <w:p w:rsidR="002E6978" w:rsidRPr="002E6978" w:rsidRDefault="002E6978" w:rsidP="002E6978">
                  <w:pPr>
                    <w:spacing w:after="0" w:line="240" w:lineRule="auto"/>
                    <w:jc w:val="right"/>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18</w:t>
                  </w:r>
                </w:p>
              </w:tc>
              <w:tc>
                <w:tcPr>
                  <w:tcW w:w="1432" w:type="dxa"/>
                  <w:tcBorders>
                    <w:top w:val="nil"/>
                    <w:left w:val="nil"/>
                    <w:bottom w:val="nil"/>
                    <w:right w:val="nil"/>
                  </w:tcBorders>
                  <w:shd w:val="clear" w:color="auto" w:fill="auto"/>
                  <w:noWrap/>
                  <w:vAlign w:val="bottom"/>
                  <w:hideMark/>
                </w:tcPr>
                <w:p w:rsidR="002E6978" w:rsidRPr="002E6978" w:rsidRDefault="002E6978" w:rsidP="002E6978">
                  <w:pPr>
                    <w:spacing w:after="0" w:line="240" w:lineRule="auto"/>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Trinidad</w:t>
                  </w:r>
                </w:p>
              </w:tc>
            </w:tr>
            <w:tr w:rsidR="002E6978" w:rsidRPr="002E6978" w:rsidTr="002C595D">
              <w:trPr>
                <w:trHeight w:val="284"/>
              </w:trPr>
              <w:tc>
                <w:tcPr>
                  <w:tcW w:w="948" w:type="dxa"/>
                  <w:tcBorders>
                    <w:top w:val="nil"/>
                    <w:left w:val="nil"/>
                    <w:bottom w:val="nil"/>
                    <w:right w:val="nil"/>
                  </w:tcBorders>
                  <w:shd w:val="clear" w:color="auto" w:fill="auto"/>
                  <w:noWrap/>
                  <w:vAlign w:val="bottom"/>
                  <w:hideMark/>
                </w:tcPr>
                <w:p w:rsidR="002E6978" w:rsidRPr="002E6978" w:rsidRDefault="002E6978" w:rsidP="002E6978">
                  <w:pPr>
                    <w:spacing w:after="0" w:line="240" w:lineRule="auto"/>
                    <w:jc w:val="right"/>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19</w:t>
                  </w:r>
                </w:p>
              </w:tc>
              <w:tc>
                <w:tcPr>
                  <w:tcW w:w="1432" w:type="dxa"/>
                  <w:tcBorders>
                    <w:top w:val="nil"/>
                    <w:left w:val="nil"/>
                    <w:bottom w:val="nil"/>
                    <w:right w:val="nil"/>
                  </w:tcBorders>
                  <w:shd w:val="clear" w:color="auto" w:fill="auto"/>
                  <w:noWrap/>
                  <w:vAlign w:val="bottom"/>
                  <w:hideMark/>
                </w:tcPr>
                <w:p w:rsidR="002E6978" w:rsidRPr="002E6978" w:rsidRDefault="002E6978" w:rsidP="002E6978">
                  <w:pPr>
                    <w:spacing w:after="0" w:line="240" w:lineRule="auto"/>
                    <w:rPr>
                      <w:rFonts w:ascii="Calibri" w:eastAsia="Times New Roman" w:hAnsi="Calibri" w:cs="Times New Roman"/>
                      <w:color w:val="000000"/>
                      <w:lang w:eastAsia="el-GR"/>
                    </w:rPr>
                  </w:pPr>
                  <w:r w:rsidRPr="002E6978">
                    <w:rPr>
                      <w:rFonts w:ascii="Calibri" w:eastAsia="Times New Roman" w:hAnsi="Calibri" w:cs="Times New Roman"/>
                      <w:color w:val="000000"/>
                      <w:lang w:eastAsia="el-GR"/>
                    </w:rPr>
                    <w:t>Turkey</w:t>
                  </w:r>
                </w:p>
              </w:tc>
            </w:tr>
          </w:tbl>
          <w:p w:rsidR="002E6978" w:rsidRDefault="002E6978">
            <w:pPr>
              <w:rPr>
                <w:rFonts w:ascii="Times New Roman" w:hAnsi="Times New Roman" w:cs="Times New Roman"/>
                <w:sz w:val="24"/>
                <w:szCs w:val="24"/>
                <w:lang w:val="en-US"/>
              </w:rPr>
            </w:pPr>
          </w:p>
        </w:tc>
      </w:tr>
    </w:tbl>
    <w:p w:rsidR="00A536D0" w:rsidRPr="002C595D" w:rsidRDefault="00427807">
      <w:pPr>
        <w:rPr>
          <w:sz w:val="20"/>
          <w:szCs w:val="20"/>
          <w:lang w:val="en-US"/>
        </w:rPr>
      </w:pPr>
      <w:r w:rsidRPr="002C595D">
        <w:rPr>
          <w:rFonts w:ascii="Times New Roman" w:hAnsi="Times New Roman" w:cs="Times New Roman"/>
          <w:sz w:val="20"/>
          <w:szCs w:val="20"/>
          <w:lang w:val="en-US"/>
        </w:rPr>
        <w:t>List of developing and developed countries according to the International Trade Centre (</w:t>
      </w:r>
      <w:hyperlink r:id="rId23" w:history="1">
        <w:r w:rsidRPr="002C595D">
          <w:rPr>
            <w:rStyle w:val="Hyperlink"/>
            <w:sz w:val="20"/>
            <w:szCs w:val="20"/>
            <w:lang w:val="en-US"/>
          </w:rPr>
          <w:t>http://www.trademap.org/stdevelopingcountries.aspx</w:t>
        </w:r>
      </w:hyperlink>
      <w:r w:rsidRPr="002C595D">
        <w:rPr>
          <w:sz w:val="20"/>
          <w:szCs w:val="20"/>
          <w:lang w:val="en-US"/>
        </w:rPr>
        <w:t>)</w:t>
      </w:r>
    </w:p>
    <w:p w:rsidR="00A536D0" w:rsidRDefault="00A536D0">
      <w:pPr>
        <w:rPr>
          <w:lang w:val="en-US"/>
        </w:rPr>
        <w:sectPr w:rsidR="00A536D0" w:rsidSect="001D2711">
          <w:pgSz w:w="11906" w:h="16838"/>
          <w:pgMar w:top="1418" w:right="1134" w:bottom="1418" w:left="1418" w:header="708" w:footer="113" w:gutter="0"/>
          <w:cols w:space="708"/>
          <w:docGrid w:linePitch="360"/>
        </w:sectPr>
      </w:pPr>
      <w:r>
        <w:rPr>
          <w:lang w:val="en-US"/>
        </w:rPr>
        <w:br w:type="page"/>
      </w:r>
    </w:p>
    <w:p w:rsidR="00A536D0" w:rsidRDefault="00A536D0" w:rsidP="00A536D0">
      <w:pPr>
        <w:spacing w:line="360" w:lineRule="auto"/>
        <w:jc w:val="both"/>
        <w:rPr>
          <w:rFonts w:ascii="Times New Roman" w:hAnsi="Times New Roman" w:cs="Times New Roman"/>
          <w:sz w:val="24"/>
          <w:szCs w:val="24"/>
          <w:lang w:val="en-US"/>
        </w:rPr>
      </w:pPr>
      <w:r>
        <w:rPr>
          <w:rFonts w:ascii="Arial" w:hAnsi="Arial" w:cs="Arial"/>
          <w:b/>
          <w:i/>
          <w:lang w:val="en-US"/>
        </w:rPr>
        <w:lastRenderedPageBreak/>
        <w:t xml:space="preserve">4.3.1 </w:t>
      </w:r>
      <w:r w:rsidRPr="004011A1">
        <w:rPr>
          <w:rFonts w:ascii="Arial" w:hAnsi="Arial" w:cs="Arial"/>
          <w:b/>
          <w:i/>
          <w:lang w:val="en-US"/>
        </w:rPr>
        <w:t>Developed countries</w:t>
      </w:r>
    </w:p>
    <w:p w:rsidR="00A536D0" w:rsidRPr="002C595D" w:rsidRDefault="00A536D0" w:rsidP="00A536D0">
      <w:pPr>
        <w:pStyle w:val="ListParagraph"/>
        <w:ind w:left="0"/>
        <w:jc w:val="both"/>
        <w:rPr>
          <w:rFonts w:ascii="Times New Roman" w:hAnsi="Times New Roman" w:cs="Times New Roman"/>
          <w:szCs w:val="24"/>
          <w:lang w:val="en-US"/>
        </w:rPr>
      </w:pPr>
      <w:r w:rsidRPr="002C595D">
        <w:rPr>
          <w:rFonts w:ascii="Times New Roman" w:hAnsi="Times New Roman" w:cs="Times New Roman"/>
          <w:szCs w:val="24"/>
          <w:lang w:val="en-US"/>
        </w:rPr>
        <w:t xml:space="preserve">Our first part of the sample includes 30 out of the 49 countries in total.  In comparison to the total sample that we analyzed in the beginning, this new sample has higher mean and median values, but lower maximum regarding to the equity allocation. We can say that EqAll fluctuates less than in the original sample, having a mean of 0.176, 0.02 higher than before. The higher equity holdings belong to Australia, which keeps 49, 7% of its total assets in equity. </w:t>
      </w:r>
    </w:p>
    <w:p w:rsidR="00A536D0" w:rsidRDefault="00A536D0" w:rsidP="00A536D0">
      <w:pPr>
        <w:pStyle w:val="ListParagraph"/>
        <w:ind w:left="0"/>
        <w:jc w:val="both"/>
        <w:rPr>
          <w:rFonts w:ascii="Times New Roman" w:hAnsi="Times New Roman" w:cs="Times New Roman"/>
          <w:sz w:val="24"/>
          <w:szCs w:val="24"/>
          <w:lang w:val="en-US"/>
        </w:rPr>
      </w:pPr>
    </w:p>
    <w:p w:rsidR="00A536D0" w:rsidRPr="00010AE6" w:rsidRDefault="00A536D0" w:rsidP="00A536D0">
      <w:pPr>
        <w:spacing w:line="360" w:lineRule="auto"/>
        <w:jc w:val="both"/>
        <w:rPr>
          <w:b/>
          <w:lang w:val="en-US"/>
        </w:rPr>
      </w:pPr>
      <w:r w:rsidRPr="00010AE6">
        <w:rPr>
          <w:b/>
          <w:lang w:val="en-US"/>
        </w:rPr>
        <w:t>Table 4.</w:t>
      </w:r>
      <w:r>
        <w:rPr>
          <w:b/>
          <w:lang w:val="en-US"/>
        </w:rPr>
        <w:t>4</w:t>
      </w:r>
      <w:r w:rsidRPr="00010AE6">
        <w:rPr>
          <w:b/>
          <w:lang w:val="en-US"/>
        </w:rPr>
        <w:t xml:space="preserve"> Descriptive statistics for Developed countries.</w:t>
      </w:r>
    </w:p>
    <w:tbl>
      <w:tblPr>
        <w:tblW w:w="0" w:type="auto"/>
        <w:tblLayout w:type="fixed"/>
        <w:tblLook w:val="04A0"/>
      </w:tblPr>
      <w:tblGrid>
        <w:gridCol w:w="1925"/>
        <w:gridCol w:w="1169"/>
        <w:gridCol w:w="1169"/>
        <w:gridCol w:w="1169"/>
        <w:gridCol w:w="1082"/>
        <w:gridCol w:w="1169"/>
        <w:gridCol w:w="1169"/>
        <w:gridCol w:w="1174"/>
        <w:gridCol w:w="1226"/>
        <w:gridCol w:w="1330"/>
        <w:gridCol w:w="1204"/>
      </w:tblGrid>
      <w:tr w:rsidR="00A536D0" w:rsidRPr="002B4A02" w:rsidTr="0065304C">
        <w:trPr>
          <w:trHeight w:val="291"/>
        </w:trPr>
        <w:tc>
          <w:tcPr>
            <w:tcW w:w="1925" w:type="dxa"/>
            <w:tcBorders>
              <w:top w:val="single" w:sz="4" w:space="0" w:color="000000"/>
              <w:left w:val="nil"/>
              <w:bottom w:val="single" w:sz="4" w:space="0" w:color="000000"/>
              <w:right w:val="nil"/>
            </w:tcBorders>
            <w:shd w:val="clear" w:color="auto" w:fill="auto"/>
            <w:noWrap/>
            <w:vAlign w:val="bottom"/>
            <w:hideMark/>
          </w:tcPr>
          <w:p w:rsidR="00A536D0" w:rsidRPr="00F078DA" w:rsidRDefault="00A536D0" w:rsidP="00A536D0">
            <w:pPr>
              <w:spacing w:after="0" w:line="240" w:lineRule="auto"/>
              <w:rPr>
                <w:rFonts w:ascii="Calibri" w:eastAsia="Times New Roman" w:hAnsi="Calibri" w:cs="Times New Roman"/>
                <w:b/>
                <w:bCs/>
                <w:color w:val="000000"/>
                <w:lang w:val="en-US" w:eastAsia="el-GR"/>
              </w:rPr>
            </w:pPr>
          </w:p>
        </w:tc>
        <w:tc>
          <w:tcPr>
            <w:tcW w:w="1169" w:type="dxa"/>
            <w:tcBorders>
              <w:top w:val="single" w:sz="4" w:space="0" w:color="000000"/>
              <w:left w:val="nil"/>
              <w:bottom w:val="single" w:sz="4" w:space="0" w:color="000000"/>
              <w:right w:val="nil"/>
            </w:tcBorders>
            <w:shd w:val="clear" w:color="auto" w:fill="auto"/>
            <w:noWrap/>
            <w:vAlign w:val="bottom"/>
            <w:hideMark/>
          </w:tcPr>
          <w:p w:rsidR="00A536D0" w:rsidRPr="00151CB9" w:rsidRDefault="00A536D0" w:rsidP="00A536D0">
            <w:pPr>
              <w:spacing w:after="0" w:line="240" w:lineRule="auto"/>
              <w:jc w:val="center"/>
              <w:rPr>
                <w:rFonts w:ascii="Calibri" w:eastAsia="Times New Roman" w:hAnsi="Calibri" w:cs="Times New Roman"/>
                <w:b/>
                <w:bCs/>
                <w:color w:val="000000"/>
                <w:lang w:val="en-GB" w:eastAsia="el-GR"/>
              </w:rPr>
            </w:pPr>
            <w:r w:rsidRPr="00151CB9">
              <w:rPr>
                <w:rFonts w:ascii="Calibri" w:eastAsia="Times New Roman" w:hAnsi="Calibri" w:cs="Times New Roman"/>
                <w:b/>
                <w:bCs/>
                <w:color w:val="000000"/>
                <w:lang w:val="en-GB" w:eastAsia="el-GR"/>
              </w:rPr>
              <w:t>EqAll</w:t>
            </w:r>
          </w:p>
        </w:tc>
        <w:tc>
          <w:tcPr>
            <w:tcW w:w="1169" w:type="dxa"/>
            <w:tcBorders>
              <w:top w:val="single" w:sz="4" w:space="0" w:color="000000"/>
              <w:left w:val="nil"/>
              <w:bottom w:val="single" w:sz="4" w:space="0" w:color="000000"/>
              <w:right w:val="nil"/>
            </w:tcBorders>
            <w:shd w:val="clear" w:color="auto" w:fill="auto"/>
            <w:noWrap/>
            <w:vAlign w:val="bottom"/>
            <w:hideMark/>
          </w:tcPr>
          <w:p w:rsidR="00A536D0" w:rsidRPr="00151CB9" w:rsidRDefault="00A536D0" w:rsidP="00A536D0">
            <w:pPr>
              <w:spacing w:after="0" w:line="240" w:lineRule="auto"/>
              <w:jc w:val="center"/>
              <w:rPr>
                <w:rFonts w:ascii="Calibri" w:eastAsia="Times New Roman" w:hAnsi="Calibri" w:cs="Times New Roman"/>
                <w:b/>
                <w:bCs/>
                <w:color w:val="000000"/>
                <w:lang w:val="en-GB" w:eastAsia="el-GR"/>
              </w:rPr>
            </w:pPr>
            <w:r w:rsidRPr="00151CB9">
              <w:rPr>
                <w:rFonts w:ascii="Calibri" w:eastAsia="Times New Roman" w:hAnsi="Calibri" w:cs="Times New Roman"/>
                <w:b/>
                <w:bCs/>
                <w:color w:val="000000"/>
                <w:lang w:val="en-GB" w:eastAsia="el-GR"/>
              </w:rPr>
              <w:t>IDV</w:t>
            </w:r>
          </w:p>
        </w:tc>
        <w:tc>
          <w:tcPr>
            <w:tcW w:w="1169" w:type="dxa"/>
            <w:tcBorders>
              <w:top w:val="single" w:sz="4" w:space="0" w:color="000000"/>
              <w:left w:val="nil"/>
              <w:bottom w:val="single" w:sz="4" w:space="0" w:color="000000"/>
              <w:right w:val="nil"/>
            </w:tcBorders>
            <w:shd w:val="clear" w:color="auto" w:fill="auto"/>
            <w:noWrap/>
            <w:vAlign w:val="bottom"/>
            <w:hideMark/>
          </w:tcPr>
          <w:p w:rsidR="00A536D0" w:rsidRPr="00A618A0" w:rsidRDefault="00A536D0" w:rsidP="00A536D0">
            <w:pPr>
              <w:spacing w:after="0" w:line="240" w:lineRule="auto"/>
              <w:jc w:val="center"/>
              <w:rPr>
                <w:rFonts w:ascii="Calibri" w:eastAsia="Times New Roman" w:hAnsi="Calibri" w:cs="Times New Roman"/>
                <w:b/>
                <w:bCs/>
                <w:color w:val="000000"/>
                <w:lang w:val="en-GB" w:eastAsia="el-GR"/>
              </w:rPr>
            </w:pPr>
            <w:r w:rsidRPr="00151CB9">
              <w:rPr>
                <w:rFonts w:ascii="Calibri" w:eastAsia="Times New Roman" w:hAnsi="Calibri" w:cs="Times New Roman"/>
                <w:b/>
                <w:bCs/>
                <w:color w:val="000000"/>
                <w:lang w:val="en-GB" w:eastAsia="el-GR"/>
              </w:rPr>
              <w:t>MAS</w:t>
            </w:r>
            <w:r w:rsidRPr="00A618A0">
              <w:rPr>
                <w:rFonts w:ascii="Calibri" w:eastAsia="Times New Roman" w:hAnsi="Calibri" w:cs="Times New Roman"/>
                <w:b/>
                <w:bCs/>
                <w:color w:val="000000"/>
                <w:lang w:val="en-GB" w:eastAsia="el-GR"/>
              </w:rPr>
              <w:t>C</w:t>
            </w:r>
          </w:p>
        </w:tc>
        <w:tc>
          <w:tcPr>
            <w:tcW w:w="1082" w:type="dxa"/>
            <w:tcBorders>
              <w:top w:val="single" w:sz="4" w:space="0" w:color="000000"/>
              <w:left w:val="nil"/>
              <w:bottom w:val="single" w:sz="4" w:space="0" w:color="000000"/>
              <w:right w:val="nil"/>
            </w:tcBorders>
            <w:shd w:val="clear" w:color="auto" w:fill="auto"/>
            <w:noWrap/>
            <w:vAlign w:val="bottom"/>
            <w:hideMark/>
          </w:tcPr>
          <w:p w:rsidR="00A536D0" w:rsidRPr="00A618A0" w:rsidRDefault="00A536D0" w:rsidP="00A536D0">
            <w:pPr>
              <w:spacing w:after="0" w:line="240" w:lineRule="auto"/>
              <w:jc w:val="center"/>
              <w:rPr>
                <w:rFonts w:ascii="Calibri" w:eastAsia="Times New Roman" w:hAnsi="Calibri" w:cs="Times New Roman"/>
                <w:b/>
                <w:bCs/>
                <w:color w:val="000000"/>
                <w:lang w:val="en-GB" w:eastAsia="el-GR"/>
              </w:rPr>
            </w:pPr>
            <w:r w:rsidRPr="00A618A0">
              <w:rPr>
                <w:rFonts w:ascii="Calibri" w:eastAsia="Times New Roman" w:hAnsi="Calibri" w:cs="Times New Roman"/>
                <w:b/>
                <w:bCs/>
                <w:color w:val="000000"/>
                <w:lang w:val="en-GB" w:eastAsia="el-GR"/>
              </w:rPr>
              <w:t>PDI</w:t>
            </w:r>
          </w:p>
        </w:tc>
        <w:tc>
          <w:tcPr>
            <w:tcW w:w="1169" w:type="dxa"/>
            <w:tcBorders>
              <w:top w:val="single" w:sz="4" w:space="0" w:color="000000"/>
              <w:left w:val="nil"/>
              <w:bottom w:val="single" w:sz="4" w:space="0" w:color="000000"/>
              <w:right w:val="nil"/>
            </w:tcBorders>
            <w:shd w:val="clear" w:color="auto" w:fill="auto"/>
            <w:noWrap/>
            <w:vAlign w:val="bottom"/>
            <w:hideMark/>
          </w:tcPr>
          <w:p w:rsidR="00A536D0" w:rsidRPr="00A618A0" w:rsidRDefault="00A536D0" w:rsidP="00A536D0">
            <w:pPr>
              <w:spacing w:after="0" w:line="240" w:lineRule="auto"/>
              <w:jc w:val="center"/>
              <w:rPr>
                <w:rFonts w:ascii="Calibri" w:eastAsia="Times New Roman" w:hAnsi="Calibri" w:cs="Times New Roman"/>
                <w:b/>
                <w:bCs/>
                <w:color w:val="000000"/>
                <w:lang w:val="en-GB" w:eastAsia="el-GR"/>
              </w:rPr>
            </w:pPr>
            <w:r w:rsidRPr="00A618A0">
              <w:rPr>
                <w:rFonts w:ascii="Calibri" w:eastAsia="Times New Roman" w:hAnsi="Calibri" w:cs="Times New Roman"/>
                <w:b/>
                <w:bCs/>
                <w:color w:val="000000"/>
                <w:lang w:val="en-GB" w:eastAsia="el-GR"/>
              </w:rPr>
              <w:t>UAI</w:t>
            </w:r>
          </w:p>
        </w:tc>
        <w:tc>
          <w:tcPr>
            <w:tcW w:w="1169" w:type="dxa"/>
            <w:tcBorders>
              <w:top w:val="single" w:sz="4" w:space="0" w:color="000000"/>
              <w:left w:val="nil"/>
              <w:bottom w:val="single" w:sz="4" w:space="0" w:color="000000"/>
              <w:right w:val="nil"/>
            </w:tcBorders>
            <w:shd w:val="clear" w:color="auto" w:fill="auto"/>
            <w:noWrap/>
            <w:vAlign w:val="bottom"/>
            <w:hideMark/>
          </w:tcPr>
          <w:p w:rsidR="00A536D0" w:rsidRPr="00A618A0" w:rsidRDefault="00A536D0" w:rsidP="00A536D0">
            <w:pPr>
              <w:spacing w:after="0" w:line="240" w:lineRule="auto"/>
              <w:jc w:val="center"/>
              <w:rPr>
                <w:rFonts w:ascii="Calibri" w:eastAsia="Times New Roman" w:hAnsi="Calibri" w:cs="Times New Roman"/>
                <w:b/>
                <w:bCs/>
                <w:color w:val="000000"/>
                <w:lang w:val="en-GB" w:eastAsia="el-GR"/>
              </w:rPr>
            </w:pPr>
            <w:r w:rsidRPr="00A618A0">
              <w:rPr>
                <w:rFonts w:ascii="Calibri" w:eastAsia="Times New Roman" w:hAnsi="Calibri" w:cs="Times New Roman"/>
                <w:b/>
                <w:bCs/>
                <w:color w:val="000000"/>
                <w:lang w:val="en-GB" w:eastAsia="el-GR"/>
              </w:rPr>
              <w:t>AGEDR</w:t>
            </w:r>
          </w:p>
        </w:tc>
        <w:tc>
          <w:tcPr>
            <w:tcW w:w="1174" w:type="dxa"/>
            <w:tcBorders>
              <w:top w:val="single" w:sz="4" w:space="0" w:color="000000"/>
              <w:left w:val="nil"/>
              <w:bottom w:val="single" w:sz="4" w:space="0" w:color="000000"/>
              <w:right w:val="nil"/>
            </w:tcBorders>
            <w:shd w:val="clear" w:color="auto" w:fill="auto"/>
            <w:noWrap/>
            <w:vAlign w:val="bottom"/>
            <w:hideMark/>
          </w:tcPr>
          <w:p w:rsidR="00A536D0" w:rsidRPr="00A618A0" w:rsidRDefault="00A536D0" w:rsidP="00A536D0">
            <w:pPr>
              <w:spacing w:after="0" w:line="240" w:lineRule="auto"/>
              <w:jc w:val="center"/>
              <w:rPr>
                <w:rFonts w:ascii="Calibri" w:eastAsia="Times New Roman" w:hAnsi="Calibri" w:cs="Times New Roman"/>
                <w:b/>
                <w:bCs/>
                <w:color w:val="000000"/>
                <w:lang w:val="en-GB" w:eastAsia="el-GR"/>
              </w:rPr>
            </w:pPr>
            <w:r w:rsidRPr="00A618A0">
              <w:rPr>
                <w:rFonts w:ascii="Calibri" w:eastAsia="Times New Roman" w:hAnsi="Calibri" w:cs="Times New Roman"/>
                <w:b/>
                <w:bCs/>
                <w:color w:val="000000"/>
                <w:lang w:val="en-GB" w:eastAsia="el-GR"/>
              </w:rPr>
              <w:t>LEQINV</w:t>
            </w:r>
          </w:p>
        </w:tc>
        <w:tc>
          <w:tcPr>
            <w:tcW w:w="1226" w:type="dxa"/>
            <w:tcBorders>
              <w:top w:val="single" w:sz="4" w:space="0" w:color="000000"/>
              <w:left w:val="nil"/>
              <w:bottom w:val="single" w:sz="4" w:space="0" w:color="000000"/>
              <w:right w:val="nil"/>
            </w:tcBorders>
            <w:shd w:val="clear" w:color="auto" w:fill="auto"/>
            <w:noWrap/>
            <w:vAlign w:val="bottom"/>
            <w:hideMark/>
          </w:tcPr>
          <w:p w:rsidR="00A536D0" w:rsidRPr="00A618A0" w:rsidRDefault="00A536D0" w:rsidP="00A536D0">
            <w:pPr>
              <w:spacing w:after="0" w:line="240" w:lineRule="auto"/>
              <w:jc w:val="center"/>
              <w:rPr>
                <w:rFonts w:ascii="Calibri" w:eastAsia="Times New Roman" w:hAnsi="Calibri" w:cs="Times New Roman"/>
                <w:b/>
                <w:bCs/>
                <w:color w:val="000000"/>
                <w:lang w:val="en-GB" w:eastAsia="el-GR"/>
              </w:rPr>
            </w:pPr>
            <w:r w:rsidRPr="00A618A0">
              <w:rPr>
                <w:rFonts w:ascii="Calibri" w:eastAsia="Times New Roman" w:hAnsi="Calibri" w:cs="Times New Roman"/>
                <w:b/>
                <w:bCs/>
                <w:color w:val="000000"/>
                <w:lang w:val="en-GB" w:eastAsia="el-GR"/>
              </w:rPr>
              <w:t>LNGDP</w:t>
            </w:r>
          </w:p>
        </w:tc>
        <w:tc>
          <w:tcPr>
            <w:tcW w:w="1330" w:type="dxa"/>
            <w:tcBorders>
              <w:top w:val="single" w:sz="4" w:space="0" w:color="000000"/>
              <w:left w:val="nil"/>
              <w:bottom w:val="single" w:sz="4" w:space="0" w:color="000000"/>
              <w:right w:val="nil"/>
            </w:tcBorders>
            <w:shd w:val="clear" w:color="auto" w:fill="auto"/>
            <w:noWrap/>
            <w:vAlign w:val="bottom"/>
            <w:hideMark/>
          </w:tcPr>
          <w:p w:rsidR="00A536D0" w:rsidRPr="00A618A0" w:rsidRDefault="00A536D0" w:rsidP="00A536D0">
            <w:pPr>
              <w:spacing w:after="0" w:line="240" w:lineRule="auto"/>
              <w:jc w:val="center"/>
              <w:rPr>
                <w:rFonts w:ascii="Calibri" w:eastAsia="Times New Roman" w:hAnsi="Calibri" w:cs="Times New Roman"/>
                <w:b/>
                <w:bCs/>
                <w:color w:val="000000"/>
                <w:lang w:val="en-GB" w:eastAsia="el-GR"/>
              </w:rPr>
            </w:pPr>
            <w:r w:rsidRPr="00A618A0">
              <w:rPr>
                <w:rFonts w:ascii="Calibri" w:eastAsia="Times New Roman" w:hAnsi="Calibri" w:cs="Times New Roman"/>
                <w:b/>
                <w:bCs/>
                <w:color w:val="000000"/>
                <w:lang w:val="en-GB" w:eastAsia="el-GR"/>
              </w:rPr>
              <w:t>LNMARCAP</w:t>
            </w:r>
          </w:p>
        </w:tc>
        <w:tc>
          <w:tcPr>
            <w:tcW w:w="1204" w:type="dxa"/>
            <w:tcBorders>
              <w:top w:val="single" w:sz="4" w:space="0" w:color="000000"/>
              <w:left w:val="nil"/>
              <w:bottom w:val="single" w:sz="4" w:space="0" w:color="000000"/>
              <w:right w:val="nil"/>
            </w:tcBorders>
          </w:tcPr>
          <w:p w:rsidR="00A536D0" w:rsidRPr="00A618A0" w:rsidRDefault="00A536D0" w:rsidP="00A536D0">
            <w:pPr>
              <w:spacing w:after="0" w:line="240" w:lineRule="auto"/>
              <w:jc w:val="center"/>
              <w:rPr>
                <w:rFonts w:ascii="Calibri" w:eastAsia="Times New Roman" w:hAnsi="Calibri" w:cs="Times New Roman"/>
                <w:b/>
                <w:bCs/>
                <w:color w:val="000000"/>
                <w:lang w:val="en-GB" w:eastAsia="el-GR"/>
              </w:rPr>
            </w:pPr>
            <w:r>
              <w:rPr>
                <w:rFonts w:ascii="Calibri" w:eastAsia="Times New Roman" w:hAnsi="Calibri" w:cs="Times New Roman"/>
                <w:b/>
                <w:bCs/>
                <w:color w:val="000000"/>
                <w:lang w:val="en-GB" w:eastAsia="el-GR"/>
              </w:rPr>
              <w:t>DB</w:t>
            </w:r>
          </w:p>
        </w:tc>
      </w:tr>
      <w:tr w:rsidR="00A536D0" w:rsidRPr="002B4A02" w:rsidTr="0065304C">
        <w:trPr>
          <w:trHeight w:val="291"/>
        </w:trPr>
        <w:tc>
          <w:tcPr>
            <w:tcW w:w="1925" w:type="dxa"/>
            <w:tcBorders>
              <w:top w:val="nil"/>
              <w:left w:val="nil"/>
              <w:bottom w:val="nil"/>
              <w:right w:val="nil"/>
            </w:tcBorders>
            <w:shd w:val="clear" w:color="auto" w:fill="auto"/>
            <w:noWrap/>
            <w:vAlign w:val="bottom"/>
            <w:hideMark/>
          </w:tcPr>
          <w:p w:rsidR="00A536D0" w:rsidRPr="00A618A0" w:rsidRDefault="00A536D0" w:rsidP="00A536D0">
            <w:pPr>
              <w:spacing w:after="0" w:line="240" w:lineRule="auto"/>
              <w:rPr>
                <w:rFonts w:ascii="Calibri" w:eastAsia="Times New Roman" w:hAnsi="Calibri" w:cs="Times New Roman"/>
                <w:b/>
                <w:bCs/>
                <w:color w:val="000000"/>
                <w:lang w:val="en-GB" w:eastAsia="el-GR"/>
              </w:rPr>
            </w:pPr>
            <w:r w:rsidRPr="00A618A0">
              <w:rPr>
                <w:rFonts w:ascii="Calibri" w:eastAsia="Times New Roman" w:hAnsi="Calibri" w:cs="Times New Roman"/>
                <w:b/>
                <w:bCs/>
                <w:color w:val="000000"/>
                <w:lang w:val="en-GB" w:eastAsia="el-GR"/>
              </w:rPr>
              <w:t> Mean</w:t>
            </w:r>
          </w:p>
        </w:tc>
        <w:tc>
          <w:tcPr>
            <w:tcW w:w="1169" w:type="dxa"/>
            <w:tcBorders>
              <w:top w:val="nil"/>
              <w:left w:val="nil"/>
              <w:bottom w:val="nil"/>
              <w:right w:val="nil"/>
            </w:tcBorders>
            <w:shd w:val="clear" w:color="auto" w:fill="auto"/>
            <w:noWrap/>
            <w:vAlign w:val="bottom"/>
            <w:hideMark/>
          </w:tcPr>
          <w:p w:rsidR="00A536D0" w:rsidRPr="00A618A0" w:rsidRDefault="00A536D0" w:rsidP="00A536D0">
            <w:pPr>
              <w:spacing w:after="0" w:line="240" w:lineRule="auto"/>
              <w:jc w:val="center"/>
              <w:rPr>
                <w:rFonts w:ascii="Calibri" w:eastAsia="Times New Roman" w:hAnsi="Calibri" w:cs="Times New Roman"/>
                <w:color w:val="000000"/>
                <w:lang w:val="en-GB" w:eastAsia="el-GR"/>
              </w:rPr>
            </w:pPr>
            <w:r w:rsidRPr="00A618A0">
              <w:rPr>
                <w:rFonts w:ascii="Calibri" w:eastAsia="Times New Roman" w:hAnsi="Calibri" w:cs="Times New Roman"/>
                <w:color w:val="000000"/>
                <w:lang w:val="en-GB" w:eastAsia="el-GR"/>
              </w:rPr>
              <w:t>0.17</w:t>
            </w:r>
            <w:r w:rsidR="00A00E69">
              <w:rPr>
                <w:rFonts w:ascii="Calibri" w:eastAsia="Times New Roman" w:hAnsi="Calibri" w:cs="Times New Roman"/>
                <w:color w:val="000000"/>
                <w:lang w:val="en-GB" w:eastAsia="el-GR"/>
              </w:rPr>
              <w:t>6</w:t>
            </w:r>
          </w:p>
        </w:tc>
        <w:tc>
          <w:tcPr>
            <w:tcW w:w="1169" w:type="dxa"/>
            <w:tcBorders>
              <w:top w:val="nil"/>
              <w:left w:val="nil"/>
              <w:bottom w:val="nil"/>
              <w:right w:val="nil"/>
            </w:tcBorders>
            <w:shd w:val="clear" w:color="auto" w:fill="auto"/>
            <w:noWrap/>
            <w:vAlign w:val="bottom"/>
            <w:hideMark/>
          </w:tcPr>
          <w:p w:rsidR="00A536D0" w:rsidRPr="00317759" w:rsidRDefault="00A536D0" w:rsidP="00A536D0">
            <w:pPr>
              <w:spacing w:after="0" w:line="240" w:lineRule="auto"/>
              <w:jc w:val="center"/>
              <w:rPr>
                <w:rFonts w:ascii="Calibri" w:eastAsia="Times New Roman" w:hAnsi="Calibri" w:cs="Times New Roman"/>
                <w:color w:val="000000"/>
                <w:lang w:val="en-GB" w:eastAsia="el-GR"/>
              </w:rPr>
            </w:pPr>
            <w:r w:rsidRPr="00A618A0">
              <w:rPr>
                <w:rFonts w:ascii="Calibri" w:eastAsia="Times New Roman" w:hAnsi="Calibri" w:cs="Times New Roman"/>
                <w:color w:val="000000"/>
                <w:lang w:val="en-GB" w:eastAsia="el-GR"/>
              </w:rPr>
              <w:t>0.</w:t>
            </w:r>
            <w:r w:rsidRPr="00317759">
              <w:rPr>
                <w:rFonts w:ascii="Calibri" w:eastAsia="Times New Roman" w:hAnsi="Calibri" w:cs="Times New Roman"/>
                <w:color w:val="000000"/>
                <w:lang w:val="en-GB" w:eastAsia="el-GR"/>
              </w:rPr>
              <w:t>621</w:t>
            </w:r>
          </w:p>
        </w:tc>
        <w:tc>
          <w:tcPr>
            <w:tcW w:w="1169" w:type="dxa"/>
            <w:tcBorders>
              <w:top w:val="nil"/>
              <w:left w:val="nil"/>
              <w:bottom w:val="nil"/>
              <w:right w:val="nil"/>
            </w:tcBorders>
            <w:shd w:val="clear" w:color="auto" w:fill="auto"/>
            <w:noWrap/>
            <w:vAlign w:val="bottom"/>
            <w:hideMark/>
          </w:tcPr>
          <w:p w:rsidR="00A536D0" w:rsidRPr="00317759" w:rsidRDefault="00A536D0" w:rsidP="00A536D0">
            <w:pPr>
              <w:spacing w:after="0" w:line="240" w:lineRule="auto"/>
              <w:jc w:val="center"/>
              <w:rPr>
                <w:rFonts w:ascii="Calibri" w:eastAsia="Times New Roman" w:hAnsi="Calibri" w:cs="Times New Roman"/>
                <w:color w:val="000000"/>
                <w:lang w:val="en-GB" w:eastAsia="el-GR"/>
              </w:rPr>
            </w:pPr>
            <w:r w:rsidRPr="00317759">
              <w:rPr>
                <w:rFonts w:ascii="Calibri" w:eastAsia="Times New Roman" w:hAnsi="Calibri" w:cs="Times New Roman"/>
                <w:color w:val="000000"/>
                <w:lang w:val="en-GB" w:eastAsia="el-GR"/>
              </w:rPr>
              <w:t>0.499</w:t>
            </w:r>
          </w:p>
        </w:tc>
        <w:tc>
          <w:tcPr>
            <w:tcW w:w="1082" w:type="dxa"/>
            <w:tcBorders>
              <w:top w:val="nil"/>
              <w:left w:val="nil"/>
              <w:bottom w:val="nil"/>
              <w:right w:val="nil"/>
            </w:tcBorders>
            <w:shd w:val="clear" w:color="auto" w:fill="auto"/>
            <w:noWrap/>
            <w:vAlign w:val="bottom"/>
            <w:hideMark/>
          </w:tcPr>
          <w:p w:rsidR="00A536D0" w:rsidRPr="00317759" w:rsidRDefault="00A536D0" w:rsidP="00A536D0">
            <w:pPr>
              <w:spacing w:after="0" w:line="240" w:lineRule="auto"/>
              <w:jc w:val="center"/>
              <w:rPr>
                <w:rFonts w:ascii="Calibri" w:eastAsia="Times New Roman" w:hAnsi="Calibri" w:cs="Times New Roman"/>
                <w:color w:val="000000"/>
                <w:lang w:val="en-GB" w:eastAsia="el-GR"/>
              </w:rPr>
            </w:pPr>
            <w:r w:rsidRPr="00317759">
              <w:rPr>
                <w:rFonts w:ascii="Calibri" w:eastAsia="Times New Roman" w:hAnsi="Calibri" w:cs="Times New Roman"/>
                <w:color w:val="000000"/>
                <w:lang w:val="en-GB" w:eastAsia="el-GR"/>
              </w:rPr>
              <w:t>0.481</w:t>
            </w:r>
          </w:p>
        </w:tc>
        <w:tc>
          <w:tcPr>
            <w:tcW w:w="1169" w:type="dxa"/>
            <w:tcBorders>
              <w:top w:val="nil"/>
              <w:left w:val="nil"/>
              <w:bottom w:val="nil"/>
              <w:right w:val="nil"/>
            </w:tcBorders>
            <w:shd w:val="clear" w:color="auto" w:fill="auto"/>
            <w:noWrap/>
            <w:vAlign w:val="bottom"/>
            <w:hideMark/>
          </w:tcPr>
          <w:p w:rsidR="00A536D0" w:rsidRPr="00317759" w:rsidRDefault="00A536D0" w:rsidP="00A536D0">
            <w:pPr>
              <w:spacing w:after="0" w:line="240" w:lineRule="auto"/>
              <w:jc w:val="center"/>
              <w:rPr>
                <w:rFonts w:ascii="Calibri" w:eastAsia="Times New Roman" w:hAnsi="Calibri" w:cs="Times New Roman"/>
                <w:color w:val="000000"/>
                <w:lang w:val="en-GB" w:eastAsia="el-GR"/>
              </w:rPr>
            </w:pPr>
            <w:r w:rsidRPr="00317759">
              <w:rPr>
                <w:rFonts w:ascii="Calibri" w:eastAsia="Times New Roman" w:hAnsi="Calibri" w:cs="Times New Roman"/>
                <w:color w:val="000000"/>
                <w:lang w:val="en-GB" w:eastAsia="el-GR"/>
              </w:rPr>
              <w:t>0.679</w:t>
            </w:r>
          </w:p>
        </w:tc>
        <w:tc>
          <w:tcPr>
            <w:tcW w:w="1169" w:type="dxa"/>
            <w:tcBorders>
              <w:top w:val="nil"/>
              <w:left w:val="nil"/>
              <w:bottom w:val="nil"/>
              <w:right w:val="nil"/>
            </w:tcBorders>
            <w:shd w:val="clear" w:color="auto" w:fill="auto"/>
            <w:noWrap/>
            <w:vAlign w:val="bottom"/>
            <w:hideMark/>
          </w:tcPr>
          <w:p w:rsidR="00A536D0" w:rsidRPr="00317759" w:rsidRDefault="00A536D0" w:rsidP="00A536D0">
            <w:pPr>
              <w:spacing w:after="0" w:line="240" w:lineRule="auto"/>
              <w:jc w:val="center"/>
              <w:rPr>
                <w:rFonts w:ascii="Calibri" w:eastAsia="Times New Roman" w:hAnsi="Calibri" w:cs="Times New Roman"/>
                <w:color w:val="000000"/>
                <w:lang w:val="en-GB" w:eastAsia="el-GR"/>
              </w:rPr>
            </w:pPr>
            <w:r w:rsidRPr="00317759">
              <w:rPr>
                <w:rFonts w:ascii="Calibri" w:eastAsia="Times New Roman" w:hAnsi="Calibri" w:cs="Times New Roman"/>
                <w:color w:val="000000"/>
                <w:lang w:val="en-GB" w:eastAsia="el-GR"/>
              </w:rPr>
              <w:t>0.488</w:t>
            </w:r>
          </w:p>
        </w:tc>
        <w:tc>
          <w:tcPr>
            <w:tcW w:w="1174" w:type="dxa"/>
            <w:tcBorders>
              <w:top w:val="nil"/>
              <w:left w:val="nil"/>
              <w:bottom w:val="nil"/>
              <w:right w:val="nil"/>
            </w:tcBorders>
            <w:shd w:val="clear" w:color="auto" w:fill="auto"/>
            <w:noWrap/>
            <w:vAlign w:val="bottom"/>
            <w:hideMark/>
          </w:tcPr>
          <w:p w:rsidR="00A536D0" w:rsidRPr="00317759" w:rsidRDefault="00A536D0" w:rsidP="00A536D0">
            <w:pPr>
              <w:spacing w:after="0" w:line="240" w:lineRule="auto"/>
              <w:jc w:val="center"/>
              <w:rPr>
                <w:rFonts w:ascii="Calibri" w:eastAsia="Times New Roman" w:hAnsi="Calibri" w:cs="Times New Roman"/>
                <w:color w:val="000000"/>
                <w:lang w:val="en-GB" w:eastAsia="el-GR"/>
              </w:rPr>
            </w:pPr>
            <w:r w:rsidRPr="00317759">
              <w:rPr>
                <w:rFonts w:ascii="Calibri" w:eastAsia="Times New Roman" w:hAnsi="Calibri" w:cs="Times New Roman"/>
                <w:color w:val="000000"/>
                <w:lang w:val="en-GB" w:eastAsia="el-GR"/>
              </w:rPr>
              <w:t>0.706</w:t>
            </w:r>
          </w:p>
        </w:tc>
        <w:tc>
          <w:tcPr>
            <w:tcW w:w="1226" w:type="dxa"/>
            <w:tcBorders>
              <w:top w:val="nil"/>
              <w:left w:val="nil"/>
              <w:bottom w:val="nil"/>
              <w:right w:val="nil"/>
            </w:tcBorders>
            <w:shd w:val="clear" w:color="auto" w:fill="auto"/>
            <w:noWrap/>
            <w:vAlign w:val="bottom"/>
            <w:hideMark/>
          </w:tcPr>
          <w:p w:rsidR="00A536D0" w:rsidRPr="00317759" w:rsidRDefault="00A536D0" w:rsidP="00A536D0">
            <w:pPr>
              <w:spacing w:after="0" w:line="240" w:lineRule="auto"/>
              <w:jc w:val="center"/>
              <w:rPr>
                <w:rFonts w:ascii="Calibri" w:eastAsia="Times New Roman" w:hAnsi="Calibri" w:cs="Times New Roman"/>
                <w:color w:val="000000"/>
                <w:lang w:val="en-GB" w:eastAsia="el-GR"/>
              </w:rPr>
            </w:pPr>
            <w:r w:rsidRPr="00317759">
              <w:rPr>
                <w:rFonts w:ascii="Calibri" w:eastAsia="Times New Roman" w:hAnsi="Calibri" w:cs="Times New Roman"/>
                <w:color w:val="000000"/>
                <w:lang w:val="en-GB" w:eastAsia="el-GR"/>
              </w:rPr>
              <w:t>9.660</w:t>
            </w:r>
          </w:p>
        </w:tc>
        <w:tc>
          <w:tcPr>
            <w:tcW w:w="1330" w:type="dxa"/>
            <w:tcBorders>
              <w:top w:val="nil"/>
              <w:left w:val="nil"/>
              <w:bottom w:val="nil"/>
              <w:right w:val="nil"/>
            </w:tcBorders>
            <w:shd w:val="clear" w:color="auto" w:fill="auto"/>
            <w:noWrap/>
            <w:vAlign w:val="bottom"/>
            <w:hideMark/>
          </w:tcPr>
          <w:p w:rsidR="00A536D0" w:rsidRPr="00317759" w:rsidRDefault="00A536D0" w:rsidP="00A536D0">
            <w:pPr>
              <w:spacing w:after="0" w:line="240" w:lineRule="auto"/>
              <w:jc w:val="center"/>
              <w:rPr>
                <w:rFonts w:ascii="Calibri" w:eastAsia="Times New Roman" w:hAnsi="Calibri" w:cs="Times New Roman"/>
                <w:color w:val="000000"/>
                <w:lang w:val="en-GB" w:eastAsia="el-GR"/>
              </w:rPr>
            </w:pPr>
            <w:r w:rsidRPr="00317759">
              <w:rPr>
                <w:rFonts w:ascii="Calibri" w:eastAsia="Times New Roman" w:hAnsi="Calibri" w:cs="Times New Roman"/>
                <w:color w:val="000000"/>
                <w:lang w:val="en-GB" w:eastAsia="el-GR"/>
              </w:rPr>
              <w:t>3.5</w:t>
            </w:r>
            <w:r w:rsidR="00A00E69">
              <w:rPr>
                <w:rFonts w:ascii="Calibri" w:eastAsia="Times New Roman" w:hAnsi="Calibri" w:cs="Times New Roman"/>
                <w:color w:val="000000"/>
                <w:lang w:val="en-GB" w:eastAsia="el-GR"/>
              </w:rPr>
              <w:t>80</w:t>
            </w:r>
          </w:p>
        </w:tc>
        <w:tc>
          <w:tcPr>
            <w:tcW w:w="1204" w:type="dxa"/>
            <w:tcBorders>
              <w:top w:val="nil"/>
              <w:left w:val="nil"/>
              <w:bottom w:val="nil"/>
              <w:right w:val="nil"/>
            </w:tcBorders>
          </w:tcPr>
          <w:p w:rsidR="00A536D0" w:rsidRPr="00317759" w:rsidRDefault="0065304C" w:rsidP="00A536D0">
            <w:pPr>
              <w:spacing w:after="0" w:line="240" w:lineRule="auto"/>
              <w:jc w:val="center"/>
              <w:rPr>
                <w:rFonts w:ascii="Calibri" w:eastAsia="Times New Roman" w:hAnsi="Calibri" w:cs="Times New Roman"/>
                <w:color w:val="000000"/>
                <w:lang w:val="en-GB" w:eastAsia="el-GR"/>
              </w:rPr>
            </w:pPr>
            <w:r>
              <w:rPr>
                <w:rFonts w:ascii="Calibri" w:eastAsia="Times New Roman" w:hAnsi="Calibri" w:cs="Times New Roman"/>
                <w:color w:val="000000"/>
                <w:lang w:val="en-GB" w:eastAsia="el-GR"/>
              </w:rPr>
              <w:t>0.187</w:t>
            </w:r>
          </w:p>
        </w:tc>
      </w:tr>
      <w:tr w:rsidR="00A536D0" w:rsidRPr="007871E0" w:rsidTr="0065304C">
        <w:trPr>
          <w:trHeight w:val="291"/>
        </w:trPr>
        <w:tc>
          <w:tcPr>
            <w:tcW w:w="1925" w:type="dxa"/>
            <w:tcBorders>
              <w:top w:val="nil"/>
              <w:left w:val="nil"/>
              <w:bottom w:val="nil"/>
              <w:right w:val="nil"/>
            </w:tcBorders>
            <w:shd w:val="clear" w:color="auto" w:fill="auto"/>
            <w:noWrap/>
            <w:vAlign w:val="bottom"/>
            <w:hideMark/>
          </w:tcPr>
          <w:p w:rsidR="00A536D0" w:rsidRPr="007871E0" w:rsidRDefault="00A536D0" w:rsidP="00A536D0">
            <w:pPr>
              <w:spacing w:after="0" w:line="240" w:lineRule="auto"/>
              <w:rPr>
                <w:rFonts w:ascii="Calibri" w:eastAsia="Times New Roman" w:hAnsi="Calibri" w:cs="Times New Roman"/>
                <w:b/>
                <w:bCs/>
                <w:color w:val="000000"/>
                <w:lang w:eastAsia="el-GR"/>
              </w:rPr>
            </w:pPr>
            <w:r w:rsidRPr="00317759">
              <w:rPr>
                <w:rFonts w:ascii="Calibri" w:eastAsia="Times New Roman" w:hAnsi="Calibri" w:cs="Times New Roman"/>
                <w:b/>
                <w:bCs/>
                <w:color w:val="000000"/>
                <w:lang w:val="en-GB" w:eastAsia="el-GR"/>
              </w:rPr>
              <w:t> Me</w:t>
            </w:r>
            <w:r w:rsidRPr="002B4A02">
              <w:rPr>
                <w:rFonts w:ascii="Calibri" w:eastAsia="Times New Roman" w:hAnsi="Calibri" w:cs="Times New Roman"/>
                <w:b/>
                <w:bCs/>
                <w:color w:val="000000"/>
                <w:lang w:val="en-GB" w:eastAsia="el-GR"/>
              </w:rPr>
              <w:t>di</w:t>
            </w:r>
            <w:r w:rsidRPr="007871E0">
              <w:rPr>
                <w:rFonts w:ascii="Calibri" w:eastAsia="Times New Roman" w:hAnsi="Calibri" w:cs="Times New Roman"/>
                <w:b/>
                <w:bCs/>
                <w:color w:val="000000"/>
                <w:lang w:eastAsia="el-GR"/>
              </w:rPr>
              <w:t>an</w:t>
            </w:r>
          </w:p>
        </w:tc>
        <w:tc>
          <w:tcPr>
            <w:tcW w:w="1169" w:type="dxa"/>
            <w:tcBorders>
              <w:top w:val="nil"/>
              <w:left w:val="nil"/>
              <w:bottom w:val="nil"/>
              <w:right w:val="nil"/>
            </w:tcBorders>
            <w:shd w:val="clear" w:color="auto" w:fill="auto"/>
            <w:noWrap/>
            <w:vAlign w:val="bottom"/>
            <w:hideMark/>
          </w:tcPr>
          <w:p w:rsidR="00A536D0" w:rsidRPr="007871E0" w:rsidRDefault="00A536D0" w:rsidP="00A536D0">
            <w:pPr>
              <w:spacing w:after="0" w:line="240" w:lineRule="auto"/>
              <w:jc w:val="center"/>
              <w:rPr>
                <w:rFonts w:ascii="Calibri" w:eastAsia="Times New Roman" w:hAnsi="Calibri" w:cs="Times New Roman"/>
                <w:color w:val="000000"/>
                <w:lang w:eastAsia="el-GR"/>
              </w:rPr>
            </w:pPr>
            <w:r w:rsidRPr="007871E0">
              <w:rPr>
                <w:rFonts w:ascii="Calibri" w:eastAsia="Times New Roman" w:hAnsi="Calibri" w:cs="Times New Roman"/>
                <w:color w:val="000000"/>
                <w:lang w:eastAsia="el-GR"/>
              </w:rPr>
              <w:t>0.12</w:t>
            </w:r>
            <w:r w:rsidR="00A00E69">
              <w:rPr>
                <w:rFonts w:ascii="Calibri" w:eastAsia="Times New Roman" w:hAnsi="Calibri" w:cs="Times New Roman"/>
                <w:color w:val="000000"/>
                <w:lang w:eastAsia="el-GR"/>
              </w:rPr>
              <w:t>8</w:t>
            </w:r>
          </w:p>
        </w:tc>
        <w:tc>
          <w:tcPr>
            <w:tcW w:w="1169" w:type="dxa"/>
            <w:tcBorders>
              <w:top w:val="nil"/>
              <w:left w:val="nil"/>
              <w:bottom w:val="nil"/>
              <w:right w:val="nil"/>
            </w:tcBorders>
            <w:shd w:val="clear" w:color="auto" w:fill="auto"/>
            <w:noWrap/>
            <w:vAlign w:val="bottom"/>
            <w:hideMark/>
          </w:tcPr>
          <w:p w:rsidR="00A536D0" w:rsidRPr="007871E0" w:rsidRDefault="00A536D0" w:rsidP="00A536D0">
            <w:pPr>
              <w:spacing w:after="0" w:line="240" w:lineRule="auto"/>
              <w:jc w:val="center"/>
              <w:rPr>
                <w:rFonts w:ascii="Calibri" w:eastAsia="Times New Roman" w:hAnsi="Calibri" w:cs="Times New Roman"/>
                <w:color w:val="000000"/>
                <w:lang w:eastAsia="el-GR"/>
              </w:rPr>
            </w:pPr>
            <w:r w:rsidRPr="007871E0">
              <w:rPr>
                <w:rFonts w:ascii="Calibri" w:eastAsia="Times New Roman" w:hAnsi="Calibri" w:cs="Times New Roman"/>
                <w:color w:val="000000"/>
                <w:lang w:eastAsia="el-GR"/>
              </w:rPr>
              <w:t>0.650</w:t>
            </w:r>
          </w:p>
        </w:tc>
        <w:tc>
          <w:tcPr>
            <w:tcW w:w="1169" w:type="dxa"/>
            <w:tcBorders>
              <w:top w:val="nil"/>
              <w:left w:val="nil"/>
              <w:bottom w:val="nil"/>
              <w:right w:val="nil"/>
            </w:tcBorders>
            <w:shd w:val="clear" w:color="auto" w:fill="auto"/>
            <w:noWrap/>
            <w:vAlign w:val="bottom"/>
            <w:hideMark/>
          </w:tcPr>
          <w:p w:rsidR="00A536D0" w:rsidRPr="007871E0" w:rsidRDefault="00A536D0" w:rsidP="00A536D0">
            <w:pPr>
              <w:spacing w:after="0" w:line="240" w:lineRule="auto"/>
              <w:jc w:val="center"/>
              <w:rPr>
                <w:rFonts w:ascii="Calibri" w:eastAsia="Times New Roman" w:hAnsi="Calibri" w:cs="Times New Roman"/>
                <w:color w:val="000000"/>
                <w:lang w:eastAsia="el-GR"/>
              </w:rPr>
            </w:pPr>
            <w:r w:rsidRPr="007871E0">
              <w:rPr>
                <w:rFonts w:ascii="Calibri" w:eastAsia="Times New Roman" w:hAnsi="Calibri" w:cs="Times New Roman"/>
                <w:color w:val="000000"/>
                <w:lang w:eastAsia="el-GR"/>
              </w:rPr>
              <w:t>0.530</w:t>
            </w:r>
          </w:p>
        </w:tc>
        <w:tc>
          <w:tcPr>
            <w:tcW w:w="1082" w:type="dxa"/>
            <w:tcBorders>
              <w:top w:val="nil"/>
              <w:left w:val="nil"/>
              <w:bottom w:val="nil"/>
              <w:right w:val="nil"/>
            </w:tcBorders>
            <w:shd w:val="clear" w:color="auto" w:fill="auto"/>
            <w:noWrap/>
            <w:vAlign w:val="bottom"/>
            <w:hideMark/>
          </w:tcPr>
          <w:p w:rsidR="00A536D0" w:rsidRPr="007871E0" w:rsidRDefault="00A536D0" w:rsidP="00A536D0">
            <w:pPr>
              <w:spacing w:after="0" w:line="240" w:lineRule="auto"/>
              <w:jc w:val="center"/>
              <w:rPr>
                <w:rFonts w:ascii="Calibri" w:eastAsia="Times New Roman" w:hAnsi="Calibri" w:cs="Times New Roman"/>
                <w:color w:val="000000"/>
                <w:lang w:eastAsia="el-GR"/>
              </w:rPr>
            </w:pPr>
            <w:r w:rsidRPr="007871E0">
              <w:rPr>
                <w:rFonts w:ascii="Calibri" w:eastAsia="Times New Roman" w:hAnsi="Calibri" w:cs="Times New Roman"/>
                <w:color w:val="000000"/>
                <w:lang w:eastAsia="el-GR"/>
              </w:rPr>
              <w:t>0.420</w:t>
            </w:r>
          </w:p>
        </w:tc>
        <w:tc>
          <w:tcPr>
            <w:tcW w:w="1169" w:type="dxa"/>
            <w:tcBorders>
              <w:top w:val="nil"/>
              <w:left w:val="nil"/>
              <w:bottom w:val="nil"/>
              <w:right w:val="nil"/>
            </w:tcBorders>
            <w:shd w:val="clear" w:color="auto" w:fill="auto"/>
            <w:noWrap/>
            <w:vAlign w:val="bottom"/>
            <w:hideMark/>
          </w:tcPr>
          <w:p w:rsidR="00A536D0" w:rsidRPr="007871E0" w:rsidRDefault="00A536D0" w:rsidP="00A536D0">
            <w:pPr>
              <w:spacing w:after="0" w:line="240" w:lineRule="auto"/>
              <w:jc w:val="center"/>
              <w:rPr>
                <w:rFonts w:ascii="Calibri" w:eastAsia="Times New Roman" w:hAnsi="Calibri" w:cs="Times New Roman"/>
                <w:color w:val="000000"/>
                <w:lang w:eastAsia="el-GR"/>
              </w:rPr>
            </w:pPr>
            <w:r w:rsidRPr="007871E0">
              <w:rPr>
                <w:rFonts w:ascii="Calibri" w:eastAsia="Times New Roman" w:hAnsi="Calibri" w:cs="Times New Roman"/>
                <w:color w:val="000000"/>
                <w:lang w:eastAsia="el-GR"/>
              </w:rPr>
              <w:t>0.675</w:t>
            </w:r>
          </w:p>
        </w:tc>
        <w:tc>
          <w:tcPr>
            <w:tcW w:w="1169" w:type="dxa"/>
            <w:tcBorders>
              <w:top w:val="nil"/>
              <w:left w:val="nil"/>
              <w:bottom w:val="nil"/>
              <w:right w:val="nil"/>
            </w:tcBorders>
            <w:shd w:val="clear" w:color="auto" w:fill="auto"/>
            <w:noWrap/>
            <w:vAlign w:val="bottom"/>
            <w:hideMark/>
          </w:tcPr>
          <w:p w:rsidR="00A536D0" w:rsidRPr="007871E0" w:rsidRDefault="00A536D0" w:rsidP="00A536D0">
            <w:pPr>
              <w:spacing w:after="0" w:line="240" w:lineRule="auto"/>
              <w:jc w:val="center"/>
              <w:rPr>
                <w:rFonts w:ascii="Calibri" w:eastAsia="Times New Roman" w:hAnsi="Calibri" w:cs="Times New Roman"/>
                <w:color w:val="000000"/>
                <w:lang w:eastAsia="el-GR"/>
              </w:rPr>
            </w:pPr>
            <w:r w:rsidRPr="007871E0">
              <w:rPr>
                <w:rFonts w:ascii="Calibri" w:eastAsia="Times New Roman" w:hAnsi="Calibri" w:cs="Times New Roman"/>
                <w:color w:val="000000"/>
                <w:lang w:eastAsia="el-GR"/>
              </w:rPr>
              <w:t>0.484</w:t>
            </w:r>
          </w:p>
        </w:tc>
        <w:tc>
          <w:tcPr>
            <w:tcW w:w="1174" w:type="dxa"/>
            <w:tcBorders>
              <w:top w:val="nil"/>
              <w:left w:val="nil"/>
              <w:bottom w:val="nil"/>
              <w:right w:val="nil"/>
            </w:tcBorders>
            <w:shd w:val="clear" w:color="auto" w:fill="auto"/>
            <w:noWrap/>
            <w:vAlign w:val="bottom"/>
            <w:hideMark/>
          </w:tcPr>
          <w:p w:rsidR="00A536D0" w:rsidRPr="007871E0" w:rsidRDefault="00A536D0" w:rsidP="00A536D0">
            <w:pPr>
              <w:spacing w:after="0" w:line="240" w:lineRule="auto"/>
              <w:jc w:val="center"/>
              <w:rPr>
                <w:rFonts w:ascii="Calibri" w:eastAsia="Times New Roman" w:hAnsi="Calibri" w:cs="Times New Roman"/>
                <w:color w:val="000000"/>
                <w:lang w:eastAsia="el-GR"/>
              </w:rPr>
            </w:pPr>
            <w:r w:rsidRPr="007871E0">
              <w:rPr>
                <w:rFonts w:ascii="Calibri" w:eastAsia="Times New Roman" w:hAnsi="Calibri" w:cs="Times New Roman"/>
                <w:color w:val="000000"/>
                <w:lang w:eastAsia="el-GR"/>
              </w:rPr>
              <w:t>0.850</w:t>
            </w:r>
          </w:p>
        </w:tc>
        <w:tc>
          <w:tcPr>
            <w:tcW w:w="1226" w:type="dxa"/>
            <w:tcBorders>
              <w:top w:val="nil"/>
              <w:left w:val="nil"/>
              <w:bottom w:val="nil"/>
              <w:right w:val="nil"/>
            </w:tcBorders>
            <w:shd w:val="clear" w:color="auto" w:fill="auto"/>
            <w:noWrap/>
            <w:vAlign w:val="bottom"/>
            <w:hideMark/>
          </w:tcPr>
          <w:p w:rsidR="00A536D0" w:rsidRPr="007871E0" w:rsidRDefault="00A536D0" w:rsidP="00A536D0">
            <w:pPr>
              <w:spacing w:after="0" w:line="240" w:lineRule="auto"/>
              <w:jc w:val="center"/>
              <w:rPr>
                <w:rFonts w:ascii="Calibri" w:eastAsia="Times New Roman" w:hAnsi="Calibri" w:cs="Times New Roman"/>
                <w:color w:val="000000"/>
                <w:lang w:eastAsia="el-GR"/>
              </w:rPr>
            </w:pPr>
            <w:r w:rsidRPr="007871E0">
              <w:rPr>
                <w:rFonts w:ascii="Calibri" w:eastAsia="Times New Roman" w:hAnsi="Calibri" w:cs="Times New Roman"/>
                <w:color w:val="000000"/>
                <w:lang w:eastAsia="el-GR"/>
              </w:rPr>
              <w:t>10.082</w:t>
            </w:r>
          </w:p>
        </w:tc>
        <w:tc>
          <w:tcPr>
            <w:tcW w:w="1330" w:type="dxa"/>
            <w:tcBorders>
              <w:top w:val="nil"/>
              <w:left w:val="nil"/>
              <w:bottom w:val="nil"/>
              <w:right w:val="nil"/>
            </w:tcBorders>
            <w:shd w:val="clear" w:color="auto" w:fill="auto"/>
            <w:noWrap/>
            <w:vAlign w:val="bottom"/>
            <w:hideMark/>
          </w:tcPr>
          <w:p w:rsidR="00A536D0" w:rsidRPr="007871E0" w:rsidRDefault="00A536D0" w:rsidP="00A536D0">
            <w:pPr>
              <w:spacing w:after="0" w:line="240" w:lineRule="auto"/>
              <w:jc w:val="center"/>
              <w:rPr>
                <w:rFonts w:ascii="Calibri" w:eastAsia="Times New Roman" w:hAnsi="Calibri" w:cs="Times New Roman"/>
                <w:color w:val="000000"/>
                <w:lang w:eastAsia="el-GR"/>
              </w:rPr>
            </w:pPr>
            <w:r w:rsidRPr="007871E0">
              <w:rPr>
                <w:rFonts w:ascii="Calibri" w:eastAsia="Times New Roman" w:hAnsi="Calibri" w:cs="Times New Roman"/>
                <w:color w:val="000000"/>
                <w:lang w:eastAsia="el-GR"/>
              </w:rPr>
              <w:t>3.805</w:t>
            </w:r>
          </w:p>
        </w:tc>
        <w:tc>
          <w:tcPr>
            <w:tcW w:w="1204" w:type="dxa"/>
            <w:tcBorders>
              <w:top w:val="nil"/>
              <w:left w:val="nil"/>
              <w:bottom w:val="nil"/>
              <w:right w:val="nil"/>
            </w:tcBorders>
          </w:tcPr>
          <w:p w:rsidR="00A536D0" w:rsidRPr="007871E0" w:rsidRDefault="0065304C" w:rsidP="00A536D0">
            <w:pPr>
              <w:spacing w:after="0" w:line="240" w:lineRule="auto"/>
              <w:jc w:val="center"/>
              <w:rPr>
                <w:rFonts w:ascii="Calibri" w:eastAsia="Times New Roman" w:hAnsi="Calibri" w:cs="Times New Roman"/>
                <w:color w:val="000000"/>
                <w:lang w:eastAsia="el-GR"/>
              </w:rPr>
            </w:pPr>
            <w:r>
              <w:rPr>
                <w:rFonts w:ascii="Calibri" w:eastAsia="Times New Roman" w:hAnsi="Calibri" w:cs="Times New Roman"/>
                <w:color w:val="000000"/>
                <w:lang w:eastAsia="el-GR"/>
              </w:rPr>
              <w:t>0.000</w:t>
            </w:r>
          </w:p>
        </w:tc>
      </w:tr>
      <w:tr w:rsidR="00A536D0" w:rsidRPr="007871E0" w:rsidTr="0065304C">
        <w:trPr>
          <w:trHeight w:val="291"/>
        </w:trPr>
        <w:tc>
          <w:tcPr>
            <w:tcW w:w="1925" w:type="dxa"/>
            <w:tcBorders>
              <w:top w:val="nil"/>
              <w:left w:val="nil"/>
              <w:bottom w:val="nil"/>
              <w:right w:val="nil"/>
            </w:tcBorders>
            <w:shd w:val="clear" w:color="auto" w:fill="auto"/>
            <w:noWrap/>
            <w:vAlign w:val="bottom"/>
            <w:hideMark/>
          </w:tcPr>
          <w:p w:rsidR="00A536D0" w:rsidRPr="007871E0" w:rsidRDefault="00A536D0" w:rsidP="00A536D0">
            <w:pPr>
              <w:spacing w:after="0" w:line="240" w:lineRule="auto"/>
              <w:rPr>
                <w:rFonts w:ascii="Calibri" w:eastAsia="Times New Roman" w:hAnsi="Calibri" w:cs="Times New Roman"/>
                <w:b/>
                <w:bCs/>
                <w:color w:val="000000"/>
                <w:lang w:eastAsia="el-GR"/>
              </w:rPr>
            </w:pPr>
            <w:r w:rsidRPr="007871E0">
              <w:rPr>
                <w:rFonts w:ascii="Calibri" w:eastAsia="Times New Roman" w:hAnsi="Calibri" w:cs="Times New Roman"/>
                <w:b/>
                <w:bCs/>
                <w:color w:val="000000"/>
                <w:lang w:eastAsia="el-GR"/>
              </w:rPr>
              <w:t> Maximum</w:t>
            </w:r>
          </w:p>
        </w:tc>
        <w:tc>
          <w:tcPr>
            <w:tcW w:w="1169" w:type="dxa"/>
            <w:tcBorders>
              <w:top w:val="nil"/>
              <w:left w:val="nil"/>
              <w:bottom w:val="nil"/>
              <w:right w:val="nil"/>
            </w:tcBorders>
            <w:shd w:val="clear" w:color="auto" w:fill="auto"/>
            <w:noWrap/>
            <w:vAlign w:val="bottom"/>
            <w:hideMark/>
          </w:tcPr>
          <w:p w:rsidR="00A536D0" w:rsidRPr="007871E0" w:rsidRDefault="00A536D0" w:rsidP="00A536D0">
            <w:pPr>
              <w:spacing w:after="0" w:line="240" w:lineRule="auto"/>
              <w:jc w:val="center"/>
              <w:rPr>
                <w:rFonts w:ascii="Calibri" w:eastAsia="Times New Roman" w:hAnsi="Calibri" w:cs="Times New Roman"/>
                <w:color w:val="000000"/>
                <w:lang w:eastAsia="el-GR"/>
              </w:rPr>
            </w:pPr>
            <w:r w:rsidRPr="007871E0">
              <w:rPr>
                <w:rFonts w:ascii="Calibri" w:eastAsia="Times New Roman" w:hAnsi="Calibri" w:cs="Times New Roman"/>
                <w:color w:val="000000"/>
                <w:lang w:eastAsia="el-GR"/>
              </w:rPr>
              <w:t>0.497</w:t>
            </w:r>
          </w:p>
        </w:tc>
        <w:tc>
          <w:tcPr>
            <w:tcW w:w="1169" w:type="dxa"/>
            <w:tcBorders>
              <w:top w:val="nil"/>
              <w:left w:val="nil"/>
              <w:bottom w:val="nil"/>
              <w:right w:val="nil"/>
            </w:tcBorders>
            <w:shd w:val="clear" w:color="auto" w:fill="auto"/>
            <w:noWrap/>
            <w:vAlign w:val="bottom"/>
            <w:hideMark/>
          </w:tcPr>
          <w:p w:rsidR="00A536D0" w:rsidRPr="007871E0" w:rsidRDefault="00A536D0" w:rsidP="00A536D0">
            <w:pPr>
              <w:spacing w:after="0" w:line="240" w:lineRule="auto"/>
              <w:jc w:val="center"/>
              <w:rPr>
                <w:rFonts w:ascii="Calibri" w:eastAsia="Times New Roman" w:hAnsi="Calibri" w:cs="Times New Roman"/>
                <w:color w:val="000000"/>
                <w:lang w:eastAsia="el-GR"/>
              </w:rPr>
            </w:pPr>
            <w:r w:rsidRPr="007871E0">
              <w:rPr>
                <w:rFonts w:ascii="Calibri" w:eastAsia="Times New Roman" w:hAnsi="Calibri" w:cs="Times New Roman"/>
                <w:color w:val="000000"/>
                <w:lang w:eastAsia="el-GR"/>
              </w:rPr>
              <w:t>0.910</w:t>
            </w:r>
          </w:p>
        </w:tc>
        <w:tc>
          <w:tcPr>
            <w:tcW w:w="1169" w:type="dxa"/>
            <w:tcBorders>
              <w:top w:val="nil"/>
              <w:left w:val="nil"/>
              <w:bottom w:val="nil"/>
              <w:right w:val="nil"/>
            </w:tcBorders>
            <w:shd w:val="clear" w:color="auto" w:fill="auto"/>
            <w:noWrap/>
            <w:vAlign w:val="bottom"/>
            <w:hideMark/>
          </w:tcPr>
          <w:p w:rsidR="00A536D0" w:rsidRPr="007871E0" w:rsidRDefault="00A536D0" w:rsidP="00A536D0">
            <w:pPr>
              <w:spacing w:after="0" w:line="240" w:lineRule="auto"/>
              <w:jc w:val="center"/>
              <w:rPr>
                <w:rFonts w:ascii="Calibri" w:eastAsia="Times New Roman" w:hAnsi="Calibri" w:cs="Times New Roman"/>
                <w:color w:val="000000"/>
                <w:lang w:eastAsia="el-GR"/>
              </w:rPr>
            </w:pPr>
            <w:r w:rsidRPr="007871E0">
              <w:rPr>
                <w:rFonts w:ascii="Calibri" w:eastAsia="Times New Roman" w:hAnsi="Calibri" w:cs="Times New Roman"/>
                <w:color w:val="000000"/>
                <w:lang w:eastAsia="el-GR"/>
              </w:rPr>
              <w:t>1.100</w:t>
            </w:r>
          </w:p>
        </w:tc>
        <w:tc>
          <w:tcPr>
            <w:tcW w:w="1082" w:type="dxa"/>
            <w:tcBorders>
              <w:top w:val="nil"/>
              <w:left w:val="nil"/>
              <w:bottom w:val="nil"/>
              <w:right w:val="nil"/>
            </w:tcBorders>
            <w:shd w:val="clear" w:color="auto" w:fill="auto"/>
            <w:noWrap/>
            <w:vAlign w:val="bottom"/>
            <w:hideMark/>
          </w:tcPr>
          <w:p w:rsidR="00A536D0" w:rsidRPr="007871E0" w:rsidRDefault="00A536D0" w:rsidP="00A536D0">
            <w:pPr>
              <w:spacing w:after="0" w:line="240" w:lineRule="auto"/>
              <w:jc w:val="center"/>
              <w:rPr>
                <w:rFonts w:ascii="Calibri" w:eastAsia="Times New Roman" w:hAnsi="Calibri" w:cs="Times New Roman"/>
                <w:color w:val="000000"/>
                <w:lang w:eastAsia="el-GR"/>
              </w:rPr>
            </w:pPr>
            <w:r w:rsidRPr="007871E0">
              <w:rPr>
                <w:rFonts w:ascii="Calibri" w:eastAsia="Times New Roman" w:hAnsi="Calibri" w:cs="Times New Roman"/>
                <w:color w:val="000000"/>
                <w:lang w:eastAsia="el-GR"/>
              </w:rPr>
              <w:t>1.040</w:t>
            </w:r>
          </w:p>
        </w:tc>
        <w:tc>
          <w:tcPr>
            <w:tcW w:w="1169" w:type="dxa"/>
            <w:tcBorders>
              <w:top w:val="nil"/>
              <w:left w:val="nil"/>
              <w:bottom w:val="nil"/>
              <w:right w:val="nil"/>
            </w:tcBorders>
            <w:shd w:val="clear" w:color="auto" w:fill="auto"/>
            <w:noWrap/>
            <w:vAlign w:val="bottom"/>
            <w:hideMark/>
          </w:tcPr>
          <w:p w:rsidR="00A536D0" w:rsidRPr="007871E0" w:rsidRDefault="00A536D0" w:rsidP="00A536D0">
            <w:pPr>
              <w:spacing w:after="0" w:line="240" w:lineRule="auto"/>
              <w:jc w:val="center"/>
              <w:rPr>
                <w:rFonts w:ascii="Calibri" w:eastAsia="Times New Roman" w:hAnsi="Calibri" w:cs="Times New Roman"/>
                <w:color w:val="000000"/>
                <w:lang w:eastAsia="el-GR"/>
              </w:rPr>
            </w:pPr>
            <w:r w:rsidRPr="007871E0">
              <w:rPr>
                <w:rFonts w:ascii="Calibri" w:eastAsia="Times New Roman" w:hAnsi="Calibri" w:cs="Times New Roman"/>
                <w:color w:val="000000"/>
                <w:lang w:eastAsia="el-GR"/>
              </w:rPr>
              <w:t>1.120</w:t>
            </w:r>
          </w:p>
        </w:tc>
        <w:tc>
          <w:tcPr>
            <w:tcW w:w="1169" w:type="dxa"/>
            <w:tcBorders>
              <w:top w:val="nil"/>
              <w:left w:val="nil"/>
              <w:bottom w:val="nil"/>
              <w:right w:val="nil"/>
            </w:tcBorders>
            <w:shd w:val="clear" w:color="auto" w:fill="auto"/>
            <w:noWrap/>
            <w:vAlign w:val="bottom"/>
            <w:hideMark/>
          </w:tcPr>
          <w:p w:rsidR="00A536D0" w:rsidRPr="007871E0" w:rsidRDefault="00A536D0" w:rsidP="00A536D0">
            <w:pPr>
              <w:spacing w:after="0" w:line="240" w:lineRule="auto"/>
              <w:jc w:val="center"/>
              <w:rPr>
                <w:rFonts w:ascii="Calibri" w:eastAsia="Times New Roman" w:hAnsi="Calibri" w:cs="Times New Roman"/>
                <w:color w:val="000000"/>
                <w:lang w:eastAsia="el-GR"/>
              </w:rPr>
            </w:pPr>
            <w:r w:rsidRPr="007871E0">
              <w:rPr>
                <w:rFonts w:ascii="Calibri" w:eastAsia="Times New Roman" w:hAnsi="Calibri" w:cs="Times New Roman"/>
                <w:color w:val="000000"/>
                <w:lang w:eastAsia="el-GR"/>
              </w:rPr>
              <w:t>0.64</w:t>
            </w:r>
            <w:r w:rsidR="00A00E69">
              <w:rPr>
                <w:rFonts w:ascii="Calibri" w:eastAsia="Times New Roman" w:hAnsi="Calibri" w:cs="Times New Roman"/>
                <w:color w:val="000000"/>
                <w:lang w:eastAsia="el-GR"/>
              </w:rPr>
              <w:t>4</w:t>
            </w:r>
          </w:p>
        </w:tc>
        <w:tc>
          <w:tcPr>
            <w:tcW w:w="1174" w:type="dxa"/>
            <w:tcBorders>
              <w:top w:val="nil"/>
              <w:left w:val="nil"/>
              <w:bottom w:val="nil"/>
              <w:right w:val="nil"/>
            </w:tcBorders>
            <w:shd w:val="clear" w:color="auto" w:fill="auto"/>
            <w:noWrap/>
            <w:vAlign w:val="bottom"/>
            <w:hideMark/>
          </w:tcPr>
          <w:p w:rsidR="00A536D0" w:rsidRPr="007871E0" w:rsidRDefault="00A536D0" w:rsidP="00A536D0">
            <w:pPr>
              <w:spacing w:after="0" w:line="240" w:lineRule="auto"/>
              <w:jc w:val="center"/>
              <w:rPr>
                <w:rFonts w:ascii="Calibri" w:eastAsia="Times New Roman" w:hAnsi="Calibri" w:cs="Times New Roman"/>
                <w:color w:val="000000"/>
                <w:lang w:eastAsia="el-GR"/>
              </w:rPr>
            </w:pPr>
            <w:r w:rsidRPr="007871E0">
              <w:rPr>
                <w:rFonts w:ascii="Calibri" w:eastAsia="Times New Roman" w:hAnsi="Calibri" w:cs="Times New Roman"/>
                <w:color w:val="000000"/>
                <w:lang w:eastAsia="el-GR"/>
              </w:rPr>
              <w:t>1.000</w:t>
            </w:r>
          </w:p>
        </w:tc>
        <w:tc>
          <w:tcPr>
            <w:tcW w:w="1226" w:type="dxa"/>
            <w:tcBorders>
              <w:top w:val="nil"/>
              <w:left w:val="nil"/>
              <w:bottom w:val="nil"/>
              <w:right w:val="nil"/>
            </w:tcBorders>
            <w:shd w:val="clear" w:color="auto" w:fill="auto"/>
            <w:noWrap/>
            <w:vAlign w:val="bottom"/>
            <w:hideMark/>
          </w:tcPr>
          <w:p w:rsidR="00A536D0" w:rsidRPr="007871E0" w:rsidRDefault="00A536D0" w:rsidP="00A00E69">
            <w:pPr>
              <w:spacing w:after="0" w:line="240" w:lineRule="auto"/>
              <w:jc w:val="center"/>
              <w:rPr>
                <w:rFonts w:ascii="Calibri" w:eastAsia="Times New Roman" w:hAnsi="Calibri" w:cs="Times New Roman"/>
                <w:color w:val="000000"/>
                <w:lang w:eastAsia="el-GR"/>
              </w:rPr>
            </w:pPr>
            <w:r w:rsidRPr="007871E0">
              <w:rPr>
                <w:rFonts w:ascii="Calibri" w:eastAsia="Times New Roman" w:hAnsi="Calibri" w:cs="Times New Roman"/>
                <w:color w:val="000000"/>
                <w:lang w:eastAsia="el-GR"/>
              </w:rPr>
              <w:t>11.648</w:t>
            </w:r>
          </w:p>
        </w:tc>
        <w:tc>
          <w:tcPr>
            <w:tcW w:w="1330" w:type="dxa"/>
            <w:tcBorders>
              <w:top w:val="nil"/>
              <w:left w:val="nil"/>
              <w:bottom w:val="nil"/>
              <w:right w:val="nil"/>
            </w:tcBorders>
            <w:shd w:val="clear" w:color="auto" w:fill="auto"/>
            <w:noWrap/>
            <w:vAlign w:val="bottom"/>
            <w:hideMark/>
          </w:tcPr>
          <w:p w:rsidR="00A536D0" w:rsidRPr="007871E0" w:rsidRDefault="00A00E69" w:rsidP="00A536D0">
            <w:pPr>
              <w:spacing w:after="0" w:line="240" w:lineRule="auto"/>
              <w:jc w:val="center"/>
              <w:rPr>
                <w:rFonts w:ascii="Calibri" w:eastAsia="Times New Roman" w:hAnsi="Calibri" w:cs="Times New Roman"/>
                <w:color w:val="000000"/>
                <w:lang w:eastAsia="el-GR"/>
              </w:rPr>
            </w:pPr>
            <w:r>
              <w:rPr>
                <w:rFonts w:ascii="Calibri" w:eastAsia="Times New Roman" w:hAnsi="Calibri" w:cs="Times New Roman"/>
                <w:color w:val="000000"/>
                <w:lang w:eastAsia="el-GR"/>
              </w:rPr>
              <w:t>5.880</w:t>
            </w:r>
          </w:p>
        </w:tc>
        <w:tc>
          <w:tcPr>
            <w:tcW w:w="1204" w:type="dxa"/>
            <w:tcBorders>
              <w:top w:val="nil"/>
              <w:left w:val="nil"/>
              <w:bottom w:val="nil"/>
              <w:right w:val="nil"/>
            </w:tcBorders>
          </w:tcPr>
          <w:p w:rsidR="00A536D0" w:rsidRPr="007871E0" w:rsidRDefault="0065304C" w:rsidP="00A536D0">
            <w:pPr>
              <w:spacing w:after="0" w:line="240" w:lineRule="auto"/>
              <w:jc w:val="center"/>
              <w:rPr>
                <w:rFonts w:ascii="Calibri" w:eastAsia="Times New Roman" w:hAnsi="Calibri" w:cs="Times New Roman"/>
                <w:color w:val="000000"/>
                <w:lang w:eastAsia="el-GR"/>
              </w:rPr>
            </w:pPr>
            <w:r>
              <w:rPr>
                <w:rFonts w:ascii="Calibri" w:eastAsia="Times New Roman" w:hAnsi="Calibri" w:cs="Times New Roman"/>
                <w:color w:val="000000"/>
                <w:lang w:eastAsia="el-GR"/>
              </w:rPr>
              <w:t>1.000</w:t>
            </w:r>
          </w:p>
        </w:tc>
      </w:tr>
      <w:tr w:rsidR="00A536D0" w:rsidRPr="007871E0" w:rsidTr="0065304C">
        <w:trPr>
          <w:trHeight w:val="291"/>
        </w:trPr>
        <w:tc>
          <w:tcPr>
            <w:tcW w:w="1925" w:type="dxa"/>
            <w:tcBorders>
              <w:top w:val="nil"/>
              <w:left w:val="nil"/>
              <w:bottom w:val="nil"/>
              <w:right w:val="nil"/>
            </w:tcBorders>
            <w:shd w:val="clear" w:color="auto" w:fill="auto"/>
            <w:noWrap/>
            <w:vAlign w:val="bottom"/>
            <w:hideMark/>
          </w:tcPr>
          <w:p w:rsidR="00A536D0" w:rsidRPr="007871E0" w:rsidRDefault="00A536D0" w:rsidP="00A536D0">
            <w:pPr>
              <w:spacing w:after="0" w:line="240" w:lineRule="auto"/>
              <w:rPr>
                <w:rFonts w:ascii="Calibri" w:eastAsia="Times New Roman" w:hAnsi="Calibri" w:cs="Times New Roman"/>
                <w:b/>
                <w:bCs/>
                <w:color w:val="000000"/>
                <w:lang w:eastAsia="el-GR"/>
              </w:rPr>
            </w:pPr>
            <w:r w:rsidRPr="007871E0">
              <w:rPr>
                <w:rFonts w:ascii="Calibri" w:eastAsia="Times New Roman" w:hAnsi="Calibri" w:cs="Times New Roman"/>
                <w:b/>
                <w:bCs/>
                <w:color w:val="000000"/>
                <w:lang w:eastAsia="el-GR"/>
              </w:rPr>
              <w:t> Minimum</w:t>
            </w:r>
          </w:p>
        </w:tc>
        <w:tc>
          <w:tcPr>
            <w:tcW w:w="1169" w:type="dxa"/>
            <w:tcBorders>
              <w:top w:val="nil"/>
              <w:left w:val="nil"/>
              <w:bottom w:val="nil"/>
              <w:right w:val="nil"/>
            </w:tcBorders>
            <w:shd w:val="clear" w:color="auto" w:fill="auto"/>
            <w:noWrap/>
            <w:vAlign w:val="bottom"/>
            <w:hideMark/>
          </w:tcPr>
          <w:p w:rsidR="00A536D0" w:rsidRPr="007871E0" w:rsidRDefault="00A536D0" w:rsidP="00A536D0">
            <w:pPr>
              <w:spacing w:after="0" w:line="240" w:lineRule="auto"/>
              <w:jc w:val="center"/>
              <w:rPr>
                <w:rFonts w:ascii="Calibri" w:eastAsia="Times New Roman" w:hAnsi="Calibri" w:cs="Times New Roman"/>
                <w:color w:val="000000"/>
                <w:lang w:eastAsia="el-GR"/>
              </w:rPr>
            </w:pPr>
            <w:r w:rsidRPr="007871E0">
              <w:rPr>
                <w:rFonts w:ascii="Calibri" w:eastAsia="Times New Roman" w:hAnsi="Calibri" w:cs="Times New Roman"/>
                <w:color w:val="000000"/>
                <w:lang w:eastAsia="el-GR"/>
              </w:rPr>
              <w:t>0.000</w:t>
            </w:r>
          </w:p>
        </w:tc>
        <w:tc>
          <w:tcPr>
            <w:tcW w:w="1169" w:type="dxa"/>
            <w:tcBorders>
              <w:top w:val="nil"/>
              <w:left w:val="nil"/>
              <w:bottom w:val="nil"/>
              <w:right w:val="nil"/>
            </w:tcBorders>
            <w:shd w:val="clear" w:color="auto" w:fill="auto"/>
            <w:noWrap/>
            <w:vAlign w:val="bottom"/>
            <w:hideMark/>
          </w:tcPr>
          <w:p w:rsidR="00A536D0" w:rsidRPr="007871E0" w:rsidRDefault="00A536D0" w:rsidP="00A536D0">
            <w:pPr>
              <w:spacing w:after="0" w:line="240" w:lineRule="auto"/>
              <w:jc w:val="center"/>
              <w:rPr>
                <w:rFonts w:ascii="Calibri" w:eastAsia="Times New Roman" w:hAnsi="Calibri" w:cs="Times New Roman"/>
                <w:color w:val="000000"/>
                <w:lang w:eastAsia="el-GR"/>
              </w:rPr>
            </w:pPr>
            <w:r w:rsidRPr="007871E0">
              <w:rPr>
                <w:rFonts w:ascii="Calibri" w:eastAsia="Times New Roman" w:hAnsi="Calibri" w:cs="Times New Roman"/>
                <w:color w:val="000000"/>
                <w:lang w:eastAsia="el-GR"/>
              </w:rPr>
              <w:t>0.270</w:t>
            </w:r>
          </w:p>
        </w:tc>
        <w:tc>
          <w:tcPr>
            <w:tcW w:w="1169" w:type="dxa"/>
            <w:tcBorders>
              <w:top w:val="nil"/>
              <w:left w:val="nil"/>
              <w:bottom w:val="nil"/>
              <w:right w:val="nil"/>
            </w:tcBorders>
            <w:shd w:val="clear" w:color="auto" w:fill="auto"/>
            <w:noWrap/>
            <w:vAlign w:val="bottom"/>
            <w:hideMark/>
          </w:tcPr>
          <w:p w:rsidR="00A536D0" w:rsidRPr="007871E0" w:rsidRDefault="00A536D0" w:rsidP="00A536D0">
            <w:pPr>
              <w:spacing w:after="0" w:line="240" w:lineRule="auto"/>
              <w:jc w:val="center"/>
              <w:rPr>
                <w:rFonts w:ascii="Calibri" w:eastAsia="Times New Roman" w:hAnsi="Calibri" w:cs="Times New Roman"/>
                <w:color w:val="000000"/>
                <w:lang w:eastAsia="el-GR"/>
              </w:rPr>
            </w:pPr>
            <w:r w:rsidRPr="007871E0">
              <w:rPr>
                <w:rFonts w:ascii="Calibri" w:eastAsia="Times New Roman" w:hAnsi="Calibri" w:cs="Times New Roman"/>
                <w:color w:val="000000"/>
                <w:lang w:eastAsia="el-GR"/>
              </w:rPr>
              <w:t>0.050</w:t>
            </w:r>
          </w:p>
        </w:tc>
        <w:tc>
          <w:tcPr>
            <w:tcW w:w="1082" w:type="dxa"/>
            <w:tcBorders>
              <w:top w:val="nil"/>
              <w:left w:val="nil"/>
              <w:bottom w:val="nil"/>
              <w:right w:val="nil"/>
            </w:tcBorders>
            <w:shd w:val="clear" w:color="auto" w:fill="auto"/>
            <w:noWrap/>
            <w:vAlign w:val="bottom"/>
            <w:hideMark/>
          </w:tcPr>
          <w:p w:rsidR="00A536D0" w:rsidRPr="007871E0" w:rsidRDefault="00A536D0" w:rsidP="00A536D0">
            <w:pPr>
              <w:spacing w:after="0" w:line="240" w:lineRule="auto"/>
              <w:jc w:val="center"/>
              <w:rPr>
                <w:rFonts w:ascii="Calibri" w:eastAsia="Times New Roman" w:hAnsi="Calibri" w:cs="Times New Roman"/>
                <w:color w:val="000000"/>
                <w:lang w:eastAsia="el-GR"/>
              </w:rPr>
            </w:pPr>
            <w:r w:rsidRPr="007871E0">
              <w:rPr>
                <w:rFonts w:ascii="Calibri" w:eastAsia="Times New Roman" w:hAnsi="Calibri" w:cs="Times New Roman"/>
                <w:color w:val="000000"/>
                <w:lang w:eastAsia="el-GR"/>
              </w:rPr>
              <w:t>0.11</w:t>
            </w:r>
            <w:r w:rsidR="00A00E69">
              <w:rPr>
                <w:rFonts w:ascii="Calibri" w:eastAsia="Times New Roman" w:hAnsi="Calibri" w:cs="Times New Roman"/>
                <w:color w:val="000000"/>
                <w:lang w:eastAsia="el-GR"/>
              </w:rPr>
              <w:t>0</w:t>
            </w:r>
          </w:p>
        </w:tc>
        <w:tc>
          <w:tcPr>
            <w:tcW w:w="1169" w:type="dxa"/>
            <w:tcBorders>
              <w:top w:val="nil"/>
              <w:left w:val="nil"/>
              <w:bottom w:val="nil"/>
              <w:right w:val="nil"/>
            </w:tcBorders>
            <w:shd w:val="clear" w:color="auto" w:fill="auto"/>
            <w:noWrap/>
            <w:vAlign w:val="bottom"/>
            <w:hideMark/>
          </w:tcPr>
          <w:p w:rsidR="00A536D0" w:rsidRPr="007871E0" w:rsidRDefault="00A536D0" w:rsidP="00A536D0">
            <w:pPr>
              <w:spacing w:after="0" w:line="240" w:lineRule="auto"/>
              <w:jc w:val="center"/>
              <w:rPr>
                <w:rFonts w:ascii="Calibri" w:eastAsia="Times New Roman" w:hAnsi="Calibri" w:cs="Times New Roman"/>
                <w:color w:val="000000"/>
                <w:lang w:eastAsia="el-GR"/>
              </w:rPr>
            </w:pPr>
            <w:r w:rsidRPr="007871E0">
              <w:rPr>
                <w:rFonts w:ascii="Calibri" w:eastAsia="Times New Roman" w:hAnsi="Calibri" w:cs="Times New Roman"/>
                <w:color w:val="000000"/>
                <w:lang w:eastAsia="el-GR"/>
              </w:rPr>
              <w:t>0.230</w:t>
            </w:r>
          </w:p>
        </w:tc>
        <w:tc>
          <w:tcPr>
            <w:tcW w:w="1169" w:type="dxa"/>
            <w:tcBorders>
              <w:top w:val="nil"/>
              <w:left w:val="nil"/>
              <w:bottom w:val="nil"/>
              <w:right w:val="nil"/>
            </w:tcBorders>
            <w:shd w:val="clear" w:color="auto" w:fill="auto"/>
            <w:noWrap/>
            <w:vAlign w:val="bottom"/>
            <w:hideMark/>
          </w:tcPr>
          <w:p w:rsidR="00A536D0" w:rsidRPr="007871E0" w:rsidRDefault="00A536D0" w:rsidP="00A536D0">
            <w:pPr>
              <w:spacing w:after="0" w:line="240" w:lineRule="auto"/>
              <w:jc w:val="center"/>
              <w:rPr>
                <w:rFonts w:ascii="Calibri" w:eastAsia="Times New Roman" w:hAnsi="Calibri" w:cs="Times New Roman"/>
                <w:color w:val="000000"/>
                <w:lang w:eastAsia="el-GR"/>
              </w:rPr>
            </w:pPr>
            <w:r w:rsidRPr="007871E0">
              <w:rPr>
                <w:rFonts w:ascii="Calibri" w:eastAsia="Times New Roman" w:hAnsi="Calibri" w:cs="Times New Roman"/>
                <w:color w:val="000000"/>
                <w:lang w:eastAsia="el-GR"/>
              </w:rPr>
              <w:t>0.319</w:t>
            </w:r>
          </w:p>
        </w:tc>
        <w:tc>
          <w:tcPr>
            <w:tcW w:w="1174" w:type="dxa"/>
            <w:tcBorders>
              <w:top w:val="nil"/>
              <w:left w:val="nil"/>
              <w:bottom w:val="nil"/>
              <w:right w:val="nil"/>
            </w:tcBorders>
            <w:shd w:val="clear" w:color="auto" w:fill="auto"/>
            <w:noWrap/>
            <w:vAlign w:val="bottom"/>
            <w:hideMark/>
          </w:tcPr>
          <w:p w:rsidR="00A536D0" w:rsidRPr="007871E0" w:rsidRDefault="00A536D0" w:rsidP="00A536D0">
            <w:pPr>
              <w:spacing w:after="0" w:line="240" w:lineRule="auto"/>
              <w:jc w:val="center"/>
              <w:rPr>
                <w:rFonts w:ascii="Calibri" w:eastAsia="Times New Roman" w:hAnsi="Calibri" w:cs="Times New Roman"/>
                <w:color w:val="000000"/>
                <w:lang w:eastAsia="el-GR"/>
              </w:rPr>
            </w:pPr>
            <w:r w:rsidRPr="007871E0">
              <w:rPr>
                <w:rFonts w:ascii="Calibri" w:eastAsia="Times New Roman" w:hAnsi="Calibri" w:cs="Times New Roman"/>
                <w:color w:val="000000"/>
                <w:lang w:eastAsia="el-GR"/>
              </w:rPr>
              <w:t>0.100</w:t>
            </w:r>
          </w:p>
        </w:tc>
        <w:tc>
          <w:tcPr>
            <w:tcW w:w="1226" w:type="dxa"/>
            <w:tcBorders>
              <w:top w:val="nil"/>
              <w:left w:val="nil"/>
              <w:bottom w:val="nil"/>
              <w:right w:val="nil"/>
            </w:tcBorders>
            <w:shd w:val="clear" w:color="auto" w:fill="auto"/>
            <w:noWrap/>
            <w:vAlign w:val="bottom"/>
            <w:hideMark/>
          </w:tcPr>
          <w:p w:rsidR="00A536D0" w:rsidRPr="007871E0" w:rsidRDefault="00A536D0" w:rsidP="00A536D0">
            <w:pPr>
              <w:spacing w:after="0" w:line="240" w:lineRule="auto"/>
              <w:jc w:val="center"/>
              <w:rPr>
                <w:rFonts w:ascii="Calibri" w:eastAsia="Times New Roman" w:hAnsi="Calibri" w:cs="Times New Roman"/>
                <w:color w:val="000000"/>
                <w:lang w:eastAsia="el-GR"/>
              </w:rPr>
            </w:pPr>
            <w:r w:rsidRPr="007871E0">
              <w:rPr>
                <w:rFonts w:ascii="Calibri" w:eastAsia="Times New Roman" w:hAnsi="Calibri" w:cs="Times New Roman"/>
                <w:color w:val="000000"/>
                <w:lang w:eastAsia="el-GR"/>
              </w:rPr>
              <w:t>0.000</w:t>
            </w:r>
          </w:p>
        </w:tc>
        <w:tc>
          <w:tcPr>
            <w:tcW w:w="1330" w:type="dxa"/>
            <w:tcBorders>
              <w:top w:val="nil"/>
              <w:left w:val="nil"/>
              <w:bottom w:val="nil"/>
              <w:right w:val="nil"/>
            </w:tcBorders>
            <w:shd w:val="clear" w:color="auto" w:fill="auto"/>
            <w:noWrap/>
            <w:vAlign w:val="bottom"/>
            <w:hideMark/>
          </w:tcPr>
          <w:p w:rsidR="00A536D0" w:rsidRPr="007871E0" w:rsidRDefault="00A536D0" w:rsidP="00A536D0">
            <w:pPr>
              <w:spacing w:after="0" w:line="240" w:lineRule="auto"/>
              <w:jc w:val="center"/>
              <w:rPr>
                <w:rFonts w:ascii="Calibri" w:eastAsia="Times New Roman" w:hAnsi="Calibri" w:cs="Times New Roman"/>
                <w:color w:val="000000"/>
                <w:lang w:eastAsia="el-GR"/>
              </w:rPr>
            </w:pPr>
            <w:r w:rsidRPr="007871E0">
              <w:rPr>
                <w:rFonts w:ascii="Calibri" w:eastAsia="Times New Roman" w:hAnsi="Calibri" w:cs="Times New Roman"/>
                <w:color w:val="000000"/>
                <w:lang w:eastAsia="el-GR"/>
              </w:rPr>
              <w:t>0.000</w:t>
            </w:r>
          </w:p>
        </w:tc>
        <w:tc>
          <w:tcPr>
            <w:tcW w:w="1204" w:type="dxa"/>
            <w:tcBorders>
              <w:top w:val="nil"/>
              <w:left w:val="nil"/>
              <w:bottom w:val="nil"/>
              <w:right w:val="nil"/>
            </w:tcBorders>
          </w:tcPr>
          <w:p w:rsidR="00A536D0" w:rsidRPr="007871E0" w:rsidRDefault="0065304C" w:rsidP="00A536D0">
            <w:pPr>
              <w:spacing w:after="0" w:line="240" w:lineRule="auto"/>
              <w:jc w:val="center"/>
              <w:rPr>
                <w:rFonts w:ascii="Calibri" w:eastAsia="Times New Roman" w:hAnsi="Calibri" w:cs="Times New Roman"/>
                <w:color w:val="000000"/>
                <w:lang w:eastAsia="el-GR"/>
              </w:rPr>
            </w:pPr>
            <w:r>
              <w:rPr>
                <w:rFonts w:ascii="Calibri" w:eastAsia="Times New Roman" w:hAnsi="Calibri" w:cs="Times New Roman"/>
                <w:color w:val="000000"/>
                <w:lang w:eastAsia="el-GR"/>
              </w:rPr>
              <w:t>0.000</w:t>
            </w:r>
          </w:p>
        </w:tc>
      </w:tr>
      <w:tr w:rsidR="00A536D0" w:rsidRPr="007871E0" w:rsidTr="0065304C">
        <w:trPr>
          <w:trHeight w:val="291"/>
        </w:trPr>
        <w:tc>
          <w:tcPr>
            <w:tcW w:w="1925" w:type="dxa"/>
            <w:tcBorders>
              <w:top w:val="nil"/>
              <w:left w:val="nil"/>
              <w:bottom w:val="nil"/>
              <w:right w:val="nil"/>
            </w:tcBorders>
            <w:shd w:val="clear" w:color="auto" w:fill="auto"/>
            <w:noWrap/>
            <w:vAlign w:val="bottom"/>
            <w:hideMark/>
          </w:tcPr>
          <w:p w:rsidR="00A536D0" w:rsidRPr="007871E0" w:rsidRDefault="00A536D0" w:rsidP="00A536D0">
            <w:pPr>
              <w:spacing w:after="0" w:line="240" w:lineRule="auto"/>
              <w:rPr>
                <w:rFonts w:ascii="Calibri" w:eastAsia="Times New Roman" w:hAnsi="Calibri" w:cs="Times New Roman"/>
                <w:b/>
                <w:bCs/>
                <w:color w:val="000000"/>
                <w:lang w:eastAsia="el-GR"/>
              </w:rPr>
            </w:pPr>
            <w:r w:rsidRPr="007871E0">
              <w:rPr>
                <w:rFonts w:ascii="Calibri" w:eastAsia="Times New Roman" w:hAnsi="Calibri" w:cs="Times New Roman"/>
                <w:b/>
                <w:bCs/>
                <w:color w:val="000000"/>
                <w:lang w:eastAsia="el-GR"/>
              </w:rPr>
              <w:t> Std. Dev.</w:t>
            </w:r>
          </w:p>
        </w:tc>
        <w:tc>
          <w:tcPr>
            <w:tcW w:w="1169" w:type="dxa"/>
            <w:tcBorders>
              <w:top w:val="nil"/>
              <w:left w:val="nil"/>
              <w:bottom w:val="nil"/>
              <w:right w:val="nil"/>
            </w:tcBorders>
            <w:shd w:val="clear" w:color="auto" w:fill="auto"/>
            <w:noWrap/>
            <w:vAlign w:val="bottom"/>
            <w:hideMark/>
          </w:tcPr>
          <w:p w:rsidR="00A536D0" w:rsidRPr="007871E0" w:rsidRDefault="00A536D0" w:rsidP="00A536D0">
            <w:pPr>
              <w:spacing w:after="0" w:line="240" w:lineRule="auto"/>
              <w:jc w:val="center"/>
              <w:rPr>
                <w:rFonts w:ascii="Calibri" w:eastAsia="Times New Roman" w:hAnsi="Calibri" w:cs="Times New Roman"/>
                <w:color w:val="000000"/>
                <w:lang w:eastAsia="el-GR"/>
              </w:rPr>
            </w:pPr>
            <w:r w:rsidRPr="007871E0">
              <w:rPr>
                <w:rFonts w:ascii="Calibri" w:eastAsia="Times New Roman" w:hAnsi="Calibri" w:cs="Times New Roman"/>
                <w:color w:val="000000"/>
                <w:lang w:eastAsia="el-GR"/>
              </w:rPr>
              <w:t>0.153</w:t>
            </w:r>
          </w:p>
        </w:tc>
        <w:tc>
          <w:tcPr>
            <w:tcW w:w="1169" w:type="dxa"/>
            <w:tcBorders>
              <w:top w:val="nil"/>
              <w:left w:val="nil"/>
              <w:bottom w:val="nil"/>
              <w:right w:val="nil"/>
            </w:tcBorders>
            <w:shd w:val="clear" w:color="auto" w:fill="auto"/>
            <w:noWrap/>
            <w:vAlign w:val="bottom"/>
            <w:hideMark/>
          </w:tcPr>
          <w:p w:rsidR="00A536D0" w:rsidRPr="007871E0" w:rsidRDefault="00A536D0" w:rsidP="00A536D0">
            <w:pPr>
              <w:spacing w:after="0" w:line="240" w:lineRule="auto"/>
              <w:jc w:val="center"/>
              <w:rPr>
                <w:rFonts w:ascii="Calibri" w:eastAsia="Times New Roman" w:hAnsi="Calibri" w:cs="Times New Roman"/>
                <w:color w:val="000000"/>
                <w:lang w:eastAsia="el-GR"/>
              </w:rPr>
            </w:pPr>
            <w:r w:rsidRPr="007871E0">
              <w:rPr>
                <w:rFonts w:ascii="Calibri" w:eastAsia="Times New Roman" w:hAnsi="Calibri" w:cs="Times New Roman"/>
                <w:color w:val="000000"/>
                <w:lang w:eastAsia="el-GR"/>
              </w:rPr>
              <w:t>0.185</w:t>
            </w:r>
          </w:p>
        </w:tc>
        <w:tc>
          <w:tcPr>
            <w:tcW w:w="1169" w:type="dxa"/>
            <w:tcBorders>
              <w:top w:val="nil"/>
              <w:left w:val="nil"/>
              <w:bottom w:val="nil"/>
              <w:right w:val="nil"/>
            </w:tcBorders>
            <w:shd w:val="clear" w:color="auto" w:fill="auto"/>
            <w:noWrap/>
            <w:vAlign w:val="bottom"/>
            <w:hideMark/>
          </w:tcPr>
          <w:p w:rsidR="00A536D0" w:rsidRPr="007871E0" w:rsidRDefault="00A536D0" w:rsidP="00A536D0">
            <w:pPr>
              <w:spacing w:after="0" w:line="240" w:lineRule="auto"/>
              <w:jc w:val="center"/>
              <w:rPr>
                <w:rFonts w:ascii="Calibri" w:eastAsia="Times New Roman" w:hAnsi="Calibri" w:cs="Times New Roman"/>
                <w:color w:val="000000"/>
                <w:lang w:eastAsia="el-GR"/>
              </w:rPr>
            </w:pPr>
            <w:r w:rsidRPr="007871E0">
              <w:rPr>
                <w:rFonts w:ascii="Calibri" w:eastAsia="Times New Roman" w:hAnsi="Calibri" w:cs="Times New Roman"/>
                <w:color w:val="000000"/>
                <w:lang w:eastAsia="el-GR"/>
              </w:rPr>
              <w:t>0.266</w:t>
            </w:r>
          </w:p>
        </w:tc>
        <w:tc>
          <w:tcPr>
            <w:tcW w:w="1082" w:type="dxa"/>
            <w:tcBorders>
              <w:top w:val="nil"/>
              <w:left w:val="nil"/>
              <w:bottom w:val="nil"/>
              <w:right w:val="nil"/>
            </w:tcBorders>
            <w:shd w:val="clear" w:color="auto" w:fill="auto"/>
            <w:noWrap/>
            <w:vAlign w:val="bottom"/>
            <w:hideMark/>
          </w:tcPr>
          <w:p w:rsidR="00A536D0" w:rsidRPr="007871E0" w:rsidRDefault="00A536D0" w:rsidP="00A536D0">
            <w:pPr>
              <w:spacing w:after="0" w:line="240" w:lineRule="auto"/>
              <w:jc w:val="center"/>
              <w:rPr>
                <w:rFonts w:ascii="Calibri" w:eastAsia="Times New Roman" w:hAnsi="Calibri" w:cs="Times New Roman"/>
                <w:color w:val="000000"/>
                <w:lang w:eastAsia="el-GR"/>
              </w:rPr>
            </w:pPr>
            <w:r w:rsidRPr="007871E0">
              <w:rPr>
                <w:rFonts w:ascii="Calibri" w:eastAsia="Times New Roman" w:hAnsi="Calibri" w:cs="Times New Roman"/>
                <w:color w:val="000000"/>
                <w:lang w:eastAsia="el-GR"/>
              </w:rPr>
              <w:t>0.20</w:t>
            </w:r>
            <w:r w:rsidR="00A00E69">
              <w:rPr>
                <w:rFonts w:ascii="Calibri" w:eastAsia="Times New Roman" w:hAnsi="Calibri" w:cs="Times New Roman"/>
                <w:color w:val="000000"/>
                <w:lang w:eastAsia="el-GR"/>
              </w:rPr>
              <w:t>2</w:t>
            </w:r>
          </w:p>
        </w:tc>
        <w:tc>
          <w:tcPr>
            <w:tcW w:w="1169" w:type="dxa"/>
            <w:tcBorders>
              <w:top w:val="nil"/>
              <w:left w:val="nil"/>
              <w:bottom w:val="nil"/>
              <w:right w:val="nil"/>
            </w:tcBorders>
            <w:shd w:val="clear" w:color="auto" w:fill="auto"/>
            <w:noWrap/>
            <w:vAlign w:val="bottom"/>
            <w:hideMark/>
          </w:tcPr>
          <w:p w:rsidR="00A536D0" w:rsidRPr="007871E0" w:rsidRDefault="00A536D0" w:rsidP="00A536D0">
            <w:pPr>
              <w:spacing w:after="0" w:line="240" w:lineRule="auto"/>
              <w:jc w:val="center"/>
              <w:rPr>
                <w:rFonts w:ascii="Calibri" w:eastAsia="Times New Roman" w:hAnsi="Calibri" w:cs="Times New Roman"/>
                <w:color w:val="000000"/>
                <w:lang w:eastAsia="el-GR"/>
              </w:rPr>
            </w:pPr>
            <w:r w:rsidRPr="007871E0">
              <w:rPr>
                <w:rFonts w:ascii="Calibri" w:eastAsia="Times New Roman" w:hAnsi="Calibri" w:cs="Times New Roman"/>
                <w:color w:val="000000"/>
                <w:lang w:eastAsia="el-GR"/>
              </w:rPr>
              <w:t>0.23</w:t>
            </w:r>
            <w:r w:rsidR="00A00E69">
              <w:rPr>
                <w:rFonts w:ascii="Calibri" w:eastAsia="Times New Roman" w:hAnsi="Calibri" w:cs="Times New Roman"/>
                <w:color w:val="000000"/>
                <w:lang w:eastAsia="el-GR"/>
              </w:rPr>
              <w:t>3</w:t>
            </w:r>
          </w:p>
        </w:tc>
        <w:tc>
          <w:tcPr>
            <w:tcW w:w="1169" w:type="dxa"/>
            <w:tcBorders>
              <w:top w:val="nil"/>
              <w:left w:val="nil"/>
              <w:bottom w:val="nil"/>
              <w:right w:val="nil"/>
            </w:tcBorders>
            <w:shd w:val="clear" w:color="auto" w:fill="auto"/>
            <w:noWrap/>
            <w:vAlign w:val="bottom"/>
            <w:hideMark/>
          </w:tcPr>
          <w:p w:rsidR="00A536D0" w:rsidRPr="007871E0" w:rsidRDefault="00A536D0" w:rsidP="00A536D0">
            <w:pPr>
              <w:spacing w:after="0" w:line="240" w:lineRule="auto"/>
              <w:jc w:val="center"/>
              <w:rPr>
                <w:rFonts w:ascii="Calibri" w:eastAsia="Times New Roman" w:hAnsi="Calibri" w:cs="Times New Roman"/>
                <w:color w:val="000000"/>
                <w:lang w:eastAsia="el-GR"/>
              </w:rPr>
            </w:pPr>
            <w:r w:rsidRPr="007871E0">
              <w:rPr>
                <w:rFonts w:ascii="Calibri" w:eastAsia="Times New Roman" w:hAnsi="Calibri" w:cs="Times New Roman"/>
                <w:color w:val="000000"/>
                <w:lang w:eastAsia="el-GR"/>
              </w:rPr>
              <w:t>0.05</w:t>
            </w:r>
            <w:r w:rsidR="00A00E69">
              <w:rPr>
                <w:rFonts w:ascii="Calibri" w:eastAsia="Times New Roman" w:hAnsi="Calibri" w:cs="Times New Roman"/>
                <w:color w:val="000000"/>
                <w:lang w:eastAsia="el-GR"/>
              </w:rPr>
              <w:t>8</w:t>
            </w:r>
          </w:p>
        </w:tc>
        <w:tc>
          <w:tcPr>
            <w:tcW w:w="1174" w:type="dxa"/>
            <w:tcBorders>
              <w:top w:val="nil"/>
              <w:left w:val="nil"/>
              <w:bottom w:val="nil"/>
              <w:right w:val="nil"/>
            </w:tcBorders>
            <w:shd w:val="clear" w:color="auto" w:fill="auto"/>
            <w:noWrap/>
            <w:vAlign w:val="bottom"/>
            <w:hideMark/>
          </w:tcPr>
          <w:p w:rsidR="00A536D0" w:rsidRPr="007871E0" w:rsidRDefault="00A536D0" w:rsidP="00A536D0">
            <w:pPr>
              <w:spacing w:after="0" w:line="240" w:lineRule="auto"/>
              <w:jc w:val="center"/>
              <w:rPr>
                <w:rFonts w:ascii="Calibri" w:eastAsia="Times New Roman" w:hAnsi="Calibri" w:cs="Times New Roman"/>
                <w:color w:val="000000"/>
                <w:lang w:eastAsia="el-GR"/>
              </w:rPr>
            </w:pPr>
            <w:r w:rsidRPr="007871E0">
              <w:rPr>
                <w:rFonts w:ascii="Calibri" w:eastAsia="Times New Roman" w:hAnsi="Calibri" w:cs="Times New Roman"/>
                <w:color w:val="000000"/>
                <w:lang w:eastAsia="el-GR"/>
              </w:rPr>
              <w:t>0.325</w:t>
            </w:r>
          </w:p>
        </w:tc>
        <w:tc>
          <w:tcPr>
            <w:tcW w:w="1226" w:type="dxa"/>
            <w:tcBorders>
              <w:top w:val="nil"/>
              <w:left w:val="nil"/>
              <w:bottom w:val="nil"/>
              <w:right w:val="nil"/>
            </w:tcBorders>
            <w:shd w:val="clear" w:color="auto" w:fill="auto"/>
            <w:noWrap/>
            <w:vAlign w:val="bottom"/>
            <w:hideMark/>
          </w:tcPr>
          <w:p w:rsidR="00A536D0" w:rsidRPr="007871E0" w:rsidRDefault="00A536D0" w:rsidP="00A536D0">
            <w:pPr>
              <w:spacing w:after="0" w:line="240" w:lineRule="auto"/>
              <w:jc w:val="center"/>
              <w:rPr>
                <w:rFonts w:ascii="Calibri" w:eastAsia="Times New Roman" w:hAnsi="Calibri" w:cs="Times New Roman"/>
                <w:color w:val="000000"/>
                <w:lang w:eastAsia="el-GR"/>
              </w:rPr>
            </w:pPr>
            <w:r w:rsidRPr="007871E0">
              <w:rPr>
                <w:rFonts w:ascii="Calibri" w:eastAsia="Times New Roman" w:hAnsi="Calibri" w:cs="Times New Roman"/>
                <w:color w:val="000000"/>
                <w:lang w:eastAsia="el-GR"/>
              </w:rPr>
              <w:t>2.10</w:t>
            </w:r>
            <w:r w:rsidR="00A00E69">
              <w:rPr>
                <w:rFonts w:ascii="Calibri" w:eastAsia="Times New Roman" w:hAnsi="Calibri" w:cs="Times New Roman"/>
                <w:color w:val="000000"/>
                <w:lang w:eastAsia="el-GR"/>
              </w:rPr>
              <w:t>4</w:t>
            </w:r>
          </w:p>
        </w:tc>
        <w:tc>
          <w:tcPr>
            <w:tcW w:w="1330" w:type="dxa"/>
            <w:tcBorders>
              <w:top w:val="nil"/>
              <w:left w:val="nil"/>
              <w:bottom w:val="nil"/>
              <w:right w:val="nil"/>
            </w:tcBorders>
            <w:shd w:val="clear" w:color="auto" w:fill="auto"/>
            <w:noWrap/>
            <w:vAlign w:val="bottom"/>
            <w:hideMark/>
          </w:tcPr>
          <w:p w:rsidR="00A536D0" w:rsidRPr="007871E0" w:rsidRDefault="00A536D0" w:rsidP="00A536D0">
            <w:pPr>
              <w:spacing w:after="0" w:line="240" w:lineRule="auto"/>
              <w:jc w:val="center"/>
              <w:rPr>
                <w:rFonts w:ascii="Calibri" w:eastAsia="Times New Roman" w:hAnsi="Calibri" w:cs="Times New Roman"/>
                <w:color w:val="000000"/>
                <w:lang w:eastAsia="el-GR"/>
              </w:rPr>
            </w:pPr>
            <w:r w:rsidRPr="007871E0">
              <w:rPr>
                <w:rFonts w:ascii="Calibri" w:eastAsia="Times New Roman" w:hAnsi="Calibri" w:cs="Times New Roman"/>
                <w:color w:val="000000"/>
                <w:lang w:eastAsia="el-GR"/>
              </w:rPr>
              <w:t>1.218</w:t>
            </w:r>
          </w:p>
        </w:tc>
        <w:tc>
          <w:tcPr>
            <w:tcW w:w="1204" w:type="dxa"/>
            <w:tcBorders>
              <w:top w:val="nil"/>
              <w:left w:val="nil"/>
              <w:bottom w:val="nil"/>
              <w:right w:val="nil"/>
            </w:tcBorders>
          </w:tcPr>
          <w:p w:rsidR="00A536D0" w:rsidRPr="00A00E69" w:rsidRDefault="0065304C" w:rsidP="00A536D0">
            <w:pPr>
              <w:spacing w:after="0" w:line="240" w:lineRule="auto"/>
              <w:jc w:val="center"/>
              <w:rPr>
                <w:rFonts w:ascii="Calibri" w:eastAsia="Times New Roman" w:hAnsi="Calibri" w:cs="Times New Roman"/>
                <w:color w:val="000000"/>
                <w:lang w:val="en-US" w:eastAsia="el-GR"/>
              </w:rPr>
            </w:pPr>
            <w:r w:rsidRPr="0065304C">
              <w:rPr>
                <w:rFonts w:ascii="Calibri" w:eastAsia="Times New Roman" w:hAnsi="Calibri" w:cs="Times New Roman"/>
                <w:color w:val="000000"/>
                <w:lang w:val="el-GR" w:eastAsia="el-GR"/>
              </w:rPr>
              <w:t>0.352</w:t>
            </w:r>
          </w:p>
        </w:tc>
      </w:tr>
      <w:tr w:rsidR="00A536D0" w:rsidRPr="007871E0" w:rsidTr="0065304C">
        <w:trPr>
          <w:trHeight w:val="291"/>
        </w:trPr>
        <w:tc>
          <w:tcPr>
            <w:tcW w:w="1925" w:type="dxa"/>
            <w:tcBorders>
              <w:top w:val="nil"/>
              <w:left w:val="nil"/>
              <w:bottom w:val="nil"/>
              <w:right w:val="nil"/>
            </w:tcBorders>
            <w:shd w:val="clear" w:color="auto" w:fill="auto"/>
            <w:noWrap/>
            <w:vAlign w:val="bottom"/>
            <w:hideMark/>
          </w:tcPr>
          <w:p w:rsidR="00A536D0" w:rsidRPr="007871E0" w:rsidRDefault="00A536D0" w:rsidP="00A536D0">
            <w:pPr>
              <w:spacing w:after="0" w:line="240" w:lineRule="auto"/>
              <w:rPr>
                <w:rFonts w:ascii="Calibri" w:eastAsia="Times New Roman" w:hAnsi="Calibri" w:cs="Times New Roman"/>
                <w:b/>
                <w:bCs/>
                <w:color w:val="000000"/>
                <w:lang w:eastAsia="el-GR"/>
              </w:rPr>
            </w:pPr>
          </w:p>
        </w:tc>
        <w:tc>
          <w:tcPr>
            <w:tcW w:w="1169" w:type="dxa"/>
            <w:tcBorders>
              <w:top w:val="nil"/>
              <w:left w:val="nil"/>
              <w:bottom w:val="nil"/>
              <w:right w:val="nil"/>
            </w:tcBorders>
            <w:shd w:val="clear" w:color="auto" w:fill="auto"/>
            <w:noWrap/>
            <w:vAlign w:val="bottom"/>
            <w:hideMark/>
          </w:tcPr>
          <w:p w:rsidR="00A536D0" w:rsidRPr="007871E0" w:rsidRDefault="00A536D0" w:rsidP="00A536D0">
            <w:pPr>
              <w:spacing w:after="0" w:line="240" w:lineRule="auto"/>
              <w:jc w:val="center"/>
              <w:rPr>
                <w:rFonts w:ascii="Calibri" w:eastAsia="Times New Roman" w:hAnsi="Calibri" w:cs="Times New Roman"/>
                <w:color w:val="000000"/>
                <w:lang w:eastAsia="el-GR"/>
              </w:rPr>
            </w:pPr>
          </w:p>
        </w:tc>
        <w:tc>
          <w:tcPr>
            <w:tcW w:w="1169" w:type="dxa"/>
            <w:tcBorders>
              <w:top w:val="nil"/>
              <w:left w:val="nil"/>
              <w:bottom w:val="nil"/>
              <w:right w:val="nil"/>
            </w:tcBorders>
            <w:shd w:val="clear" w:color="auto" w:fill="auto"/>
            <w:noWrap/>
            <w:vAlign w:val="bottom"/>
            <w:hideMark/>
          </w:tcPr>
          <w:p w:rsidR="00A536D0" w:rsidRPr="007871E0" w:rsidRDefault="00A536D0" w:rsidP="00A536D0">
            <w:pPr>
              <w:spacing w:after="0" w:line="240" w:lineRule="auto"/>
              <w:jc w:val="center"/>
              <w:rPr>
                <w:rFonts w:ascii="Calibri" w:eastAsia="Times New Roman" w:hAnsi="Calibri" w:cs="Times New Roman"/>
                <w:color w:val="000000"/>
                <w:lang w:eastAsia="el-GR"/>
              </w:rPr>
            </w:pPr>
          </w:p>
        </w:tc>
        <w:tc>
          <w:tcPr>
            <w:tcW w:w="1169" w:type="dxa"/>
            <w:tcBorders>
              <w:top w:val="nil"/>
              <w:left w:val="nil"/>
              <w:bottom w:val="nil"/>
              <w:right w:val="nil"/>
            </w:tcBorders>
            <w:shd w:val="clear" w:color="auto" w:fill="auto"/>
            <w:noWrap/>
            <w:vAlign w:val="bottom"/>
            <w:hideMark/>
          </w:tcPr>
          <w:p w:rsidR="00A536D0" w:rsidRPr="007871E0" w:rsidRDefault="00A536D0" w:rsidP="00A536D0">
            <w:pPr>
              <w:spacing w:after="0" w:line="240" w:lineRule="auto"/>
              <w:jc w:val="center"/>
              <w:rPr>
                <w:rFonts w:ascii="Calibri" w:eastAsia="Times New Roman" w:hAnsi="Calibri" w:cs="Times New Roman"/>
                <w:color w:val="000000"/>
                <w:lang w:eastAsia="el-GR"/>
              </w:rPr>
            </w:pPr>
          </w:p>
        </w:tc>
        <w:tc>
          <w:tcPr>
            <w:tcW w:w="1082" w:type="dxa"/>
            <w:tcBorders>
              <w:top w:val="nil"/>
              <w:left w:val="nil"/>
              <w:bottom w:val="nil"/>
              <w:right w:val="nil"/>
            </w:tcBorders>
            <w:shd w:val="clear" w:color="auto" w:fill="auto"/>
            <w:noWrap/>
            <w:vAlign w:val="bottom"/>
            <w:hideMark/>
          </w:tcPr>
          <w:p w:rsidR="00A536D0" w:rsidRPr="007871E0" w:rsidRDefault="00A536D0" w:rsidP="00A536D0">
            <w:pPr>
              <w:spacing w:after="0" w:line="240" w:lineRule="auto"/>
              <w:jc w:val="center"/>
              <w:rPr>
                <w:rFonts w:ascii="Calibri" w:eastAsia="Times New Roman" w:hAnsi="Calibri" w:cs="Times New Roman"/>
                <w:color w:val="000000"/>
                <w:lang w:eastAsia="el-GR"/>
              </w:rPr>
            </w:pPr>
          </w:p>
        </w:tc>
        <w:tc>
          <w:tcPr>
            <w:tcW w:w="1169" w:type="dxa"/>
            <w:tcBorders>
              <w:top w:val="nil"/>
              <w:left w:val="nil"/>
              <w:bottom w:val="nil"/>
              <w:right w:val="nil"/>
            </w:tcBorders>
            <w:shd w:val="clear" w:color="auto" w:fill="auto"/>
            <w:noWrap/>
            <w:vAlign w:val="bottom"/>
            <w:hideMark/>
          </w:tcPr>
          <w:p w:rsidR="00A536D0" w:rsidRPr="007871E0" w:rsidRDefault="00A536D0" w:rsidP="00A536D0">
            <w:pPr>
              <w:spacing w:after="0" w:line="240" w:lineRule="auto"/>
              <w:jc w:val="center"/>
              <w:rPr>
                <w:rFonts w:ascii="Calibri" w:eastAsia="Times New Roman" w:hAnsi="Calibri" w:cs="Times New Roman"/>
                <w:color w:val="000000"/>
                <w:lang w:eastAsia="el-GR"/>
              </w:rPr>
            </w:pPr>
          </w:p>
        </w:tc>
        <w:tc>
          <w:tcPr>
            <w:tcW w:w="1169" w:type="dxa"/>
            <w:tcBorders>
              <w:top w:val="nil"/>
              <w:left w:val="nil"/>
              <w:bottom w:val="nil"/>
              <w:right w:val="nil"/>
            </w:tcBorders>
            <w:shd w:val="clear" w:color="auto" w:fill="auto"/>
            <w:noWrap/>
            <w:vAlign w:val="bottom"/>
            <w:hideMark/>
          </w:tcPr>
          <w:p w:rsidR="00A536D0" w:rsidRPr="007871E0" w:rsidRDefault="00A536D0" w:rsidP="00A536D0">
            <w:pPr>
              <w:spacing w:after="0" w:line="240" w:lineRule="auto"/>
              <w:jc w:val="center"/>
              <w:rPr>
                <w:rFonts w:ascii="Calibri" w:eastAsia="Times New Roman" w:hAnsi="Calibri" w:cs="Times New Roman"/>
                <w:color w:val="000000"/>
                <w:lang w:eastAsia="el-GR"/>
              </w:rPr>
            </w:pPr>
          </w:p>
        </w:tc>
        <w:tc>
          <w:tcPr>
            <w:tcW w:w="1174" w:type="dxa"/>
            <w:tcBorders>
              <w:top w:val="nil"/>
              <w:left w:val="nil"/>
              <w:bottom w:val="nil"/>
              <w:right w:val="nil"/>
            </w:tcBorders>
            <w:shd w:val="clear" w:color="auto" w:fill="auto"/>
            <w:noWrap/>
            <w:vAlign w:val="bottom"/>
            <w:hideMark/>
          </w:tcPr>
          <w:p w:rsidR="00A536D0" w:rsidRPr="007871E0" w:rsidRDefault="00A536D0" w:rsidP="00A536D0">
            <w:pPr>
              <w:spacing w:after="0" w:line="240" w:lineRule="auto"/>
              <w:jc w:val="center"/>
              <w:rPr>
                <w:rFonts w:ascii="Calibri" w:eastAsia="Times New Roman" w:hAnsi="Calibri" w:cs="Times New Roman"/>
                <w:color w:val="000000"/>
                <w:lang w:eastAsia="el-GR"/>
              </w:rPr>
            </w:pPr>
          </w:p>
        </w:tc>
        <w:tc>
          <w:tcPr>
            <w:tcW w:w="1226" w:type="dxa"/>
            <w:tcBorders>
              <w:top w:val="nil"/>
              <w:left w:val="nil"/>
              <w:bottom w:val="nil"/>
              <w:right w:val="nil"/>
            </w:tcBorders>
            <w:shd w:val="clear" w:color="auto" w:fill="auto"/>
            <w:noWrap/>
            <w:vAlign w:val="bottom"/>
            <w:hideMark/>
          </w:tcPr>
          <w:p w:rsidR="00A536D0" w:rsidRPr="007871E0" w:rsidRDefault="00A536D0" w:rsidP="00A536D0">
            <w:pPr>
              <w:spacing w:after="0" w:line="240" w:lineRule="auto"/>
              <w:jc w:val="center"/>
              <w:rPr>
                <w:rFonts w:ascii="Calibri" w:eastAsia="Times New Roman" w:hAnsi="Calibri" w:cs="Times New Roman"/>
                <w:color w:val="000000"/>
                <w:lang w:eastAsia="el-GR"/>
              </w:rPr>
            </w:pPr>
          </w:p>
        </w:tc>
        <w:tc>
          <w:tcPr>
            <w:tcW w:w="1330" w:type="dxa"/>
            <w:tcBorders>
              <w:top w:val="nil"/>
              <w:left w:val="nil"/>
              <w:bottom w:val="nil"/>
              <w:right w:val="nil"/>
            </w:tcBorders>
            <w:shd w:val="clear" w:color="auto" w:fill="auto"/>
            <w:noWrap/>
            <w:vAlign w:val="bottom"/>
            <w:hideMark/>
          </w:tcPr>
          <w:p w:rsidR="00A536D0" w:rsidRPr="007871E0" w:rsidRDefault="00A536D0" w:rsidP="00A536D0">
            <w:pPr>
              <w:spacing w:after="0" w:line="240" w:lineRule="auto"/>
              <w:jc w:val="center"/>
              <w:rPr>
                <w:rFonts w:ascii="Calibri" w:eastAsia="Times New Roman" w:hAnsi="Calibri" w:cs="Times New Roman"/>
                <w:color w:val="000000"/>
                <w:lang w:eastAsia="el-GR"/>
              </w:rPr>
            </w:pPr>
          </w:p>
        </w:tc>
        <w:tc>
          <w:tcPr>
            <w:tcW w:w="1204" w:type="dxa"/>
            <w:tcBorders>
              <w:top w:val="nil"/>
              <w:left w:val="nil"/>
              <w:bottom w:val="nil"/>
              <w:right w:val="nil"/>
            </w:tcBorders>
          </w:tcPr>
          <w:p w:rsidR="00A536D0" w:rsidRPr="007871E0" w:rsidRDefault="00A536D0" w:rsidP="00A536D0">
            <w:pPr>
              <w:spacing w:after="0" w:line="240" w:lineRule="auto"/>
              <w:jc w:val="center"/>
              <w:rPr>
                <w:rFonts w:ascii="Calibri" w:eastAsia="Times New Roman" w:hAnsi="Calibri" w:cs="Times New Roman"/>
                <w:color w:val="000000"/>
                <w:lang w:eastAsia="el-GR"/>
              </w:rPr>
            </w:pPr>
          </w:p>
        </w:tc>
      </w:tr>
      <w:tr w:rsidR="00A536D0" w:rsidRPr="007871E0" w:rsidTr="0065304C">
        <w:trPr>
          <w:trHeight w:val="291"/>
        </w:trPr>
        <w:tc>
          <w:tcPr>
            <w:tcW w:w="1925" w:type="dxa"/>
            <w:tcBorders>
              <w:top w:val="nil"/>
              <w:left w:val="nil"/>
              <w:bottom w:val="single" w:sz="4" w:space="0" w:color="000000"/>
              <w:right w:val="nil"/>
            </w:tcBorders>
            <w:shd w:val="clear" w:color="auto" w:fill="auto"/>
            <w:noWrap/>
            <w:vAlign w:val="bottom"/>
            <w:hideMark/>
          </w:tcPr>
          <w:p w:rsidR="00A536D0" w:rsidRPr="007871E0" w:rsidRDefault="00A536D0" w:rsidP="00A536D0">
            <w:pPr>
              <w:spacing w:after="0" w:line="240" w:lineRule="auto"/>
              <w:rPr>
                <w:rFonts w:ascii="Calibri" w:eastAsia="Times New Roman" w:hAnsi="Calibri" w:cs="Times New Roman"/>
                <w:b/>
                <w:bCs/>
                <w:color w:val="000000"/>
                <w:lang w:eastAsia="el-GR"/>
              </w:rPr>
            </w:pPr>
            <w:r w:rsidRPr="007871E0">
              <w:rPr>
                <w:rFonts w:ascii="Calibri" w:eastAsia="Times New Roman" w:hAnsi="Calibri" w:cs="Times New Roman"/>
                <w:b/>
                <w:bCs/>
                <w:color w:val="000000"/>
                <w:lang w:eastAsia="el-GR"/>
              </w:rPr>
              <w:t> Observations</w:t>
            </w:r>
          </w:p>
        </w:tc>
        <w:tc>
          <w:tcPr>
            <w:tcW w:w="1169" w:type="dxa"/>
            <w:tcBorders>
              <w:top w:val="nil"/>
              <w:left w:val="nil"/>
              <w:bottom w:val="single" w:sz="4" w:space="0" w:color="000000"/>
              <w:right w:val="nil"/>
            </w:tcBorders>
            <w:shd w:val="clear" w:color="auto" w:fill="auto"/>
            <w:noWrap/>
            <w:vAlign w:val="bottom"/>
            <w:hideMark/>
          </w:tcPr>
          <w:p w:rsidR="00A536D0" w:rsidRPr="007871E0" w:rsidRDefault="00A536D0" w:rsidP="00A536D0">
            <w:pPr>
              <w:spacing w:after="0" w:line="240" w:lineRule="auto"/>
              <w:jc w:val="center"/>
              <w:rPr>
                <w:rFonts w:ascii="Calibri" w:eastAsia="Times New Roman" w:hAnsi="Calibri" w:cs="Times New Roman"/>
                <w:color w:val="000000"/>
                <w:lang w:eastAsia="el-GR"/>
              </w:rPr>
            </w:pPr>
            <w:r w:rsidRPr="007871E0">
              <w:rPr>
                <w:rFonts w:ascii="Calibri" w:eastAsia="Times New Roman" w:hAnsi="Calibri" w:cs="Times New Roman"/>
                <w:color w:val="000000"/>
                <w:lang w:eastAsia="el-GR"/>
              </w:rPr>
              <w:t>30</w:t>
            </w:r>
          </w:p>
        </w:tc>
        <w:tc>
          <w:tcPr>
            <w:tcW w:w="1169" w:type="dxa"/>
            <w:tcBorders>
              <w:top w:val="nil"/>
              <w:left w:val="nil"/>
              <w:bottom w:val="single" w:sz="4" w:space="0" w:color="000000"/>
              <w:right w:val="nil"/>
            </w:tcBorders>
            <w:shd w:val="clear" w:color="auto" w:fill="auto"/>
            <w:noWrap/>
            <w:vAlign w:val="bottom"/>
            <w:hideMark/>
          </w:tcPr>
          <w:p w:rsidR="00A536D0" w:rsidRPr="007871E0" w:rsidRDefault="00A536D0" w:rsidP="00A536D0">
            <w:pPr>
              <w:spacing w:after="0" w:line="240" w:lineRule="auto"/>
              <w:jc w:val="center"/>
              <w:rPr>
                <w:rFonts w:ascii="Calibri" w:eastAsia="Times New Roman" w:hAnsi="Calibri" w:cs="Times New Roman"/>
                <w:color w:val="000000"/>
                <w:lang w:eastAsia="el-GR"/>
              </w:rPr>
            </w:pPr>
            <w:r w:rsidRPr="007871E0">
              <w:rPr>
                <w:rFonts w:ascii="Calibri" w:eastAsia="Times New Roman" w:hAnsi="Calibri" w:cs="Times New Roman"/>
                <w:color w:val="000000"/>
                <w:lang w:eastAsia="el-GR"/>
              </w:rPr>
              <w:t>30</w:t>
            </w:r>
          </w:p>
        </w:tc>
        <w:tc>
          <w:tcPr>
            <w:tcW w:w="1169" w:type="dxa"/>
            <w:tcBorders>
              <w:top w:val="nil"/>
              <w:left w:val="nil"/>
              <w:bottom w:val="single" w:sz="4" w:space="0" w:color="000000"/>
              <w:right w:val="nil"/>
            </w:tcBorders>
            <w:shd w:val="clear" w:color="auto" w:fill="auto"/>
            <w:noWrap/>
            <w:vAlign w:val="bottom"/>
            <w:hideMark/>
          </w:tcPr>
          <w:p w:rsidR="00A536D0" w:rsidRPr="007871E0" w:rsidRDefault="00A536D0" w:rsidP="00A536D0">
            <w:pPr>
              <w:spacing w:after="0" w:line="240" w:lineRule="auto"/>
              <w:jc w:val="center"/>
              <w:rPr>
                <w:rFonts w:ascii="Calibri" w:eastAsia="Times New Roman" w:hAnsi="Calibri" w:cs="Times New Roman"/>
                <w:color w:val="000000"/>
                <w:lang w:eastAsia="el-GR"/>
              </w:rPr>
            </w:pPr>
            <w:r w:rsidRPr="007871E0">
              <w:rPr>
                <w:rFonts w:ascii="Calibri" w:eastAsia="Times New Roman" w:hAnsi="Calibri" w:cs="Times New Roman"/>
                <w:color w:val="000000"/>
                <w:lang w:eastAsia="el-GR"/>
              </w:rPr>
              <w:t>30</w:t>
            </w:r>
          </w:p>
        </w:tc>
        <w:tc>
          <w:tcPr>
            <w:tcW w:w="1082" w:type="dxa"/>
            <w:tcBorders>
              <w:top w:val="nil"/>
              <w:left w:val="nil"/>
              <w:bottom w:val="single" w:sz="4" w:space="0" w:color="000000"/>
              <w:right w:val="nil"/>
            </w:tcBorders>
            <w:shd w:val="clear" w:color="auto" w:fill="auto"/>
            <w:noWrap/>
            <w:vAlign w:val="bottom"/>
            <w:hideMark/>
          </w:tcPr>
          <w:p w:rsidR="00A536D0" w:rsidRPr="007871E0" w:rsidRDefault="00A536D0" w:rsidP="00A536D0">
            <w:pPr>
              <w:spacing w:after="0" w:line="240" w:lineRule="auto"/>
              <w:jc w:val="center"/>
              <w:rPr>
                <w:rFonts w:ascii="Calibri" w:eastAsia="Times New Roman" w:hAnsi="Calibri" w:cs="Times New Roman"/>
                <w:color w:val="000000"/>
                <w:lang w:eastAsia="el-GR"/>
              </w:rPr>
            </w:pPr>
            <w:r w:rsidRPr="007871E0">
              <w:rPr>
                <w:rFonts w:ascii="Calibri" w:eastAsia="Times New Roman" w:hAnsi="Calibri" w:cs="Times New Roman"/>
                <w:color w:val="000000"/>
                <w:lang w:eastAsia="el-GR"/>
              </w:rPr>
              <w:t>30</w:t>
            </w:r>
          </w:p>
        </w:tc>
        <w:tc>
          <w:tcPr>
            <w:tcW w:w="1169" w:type="dxa"/>
            <w:tcBorders>
              <w:top w:val="nil"/>
              <w:left w:val="nil"/>
              <w:bottom w:val="single" w:sz="4" w:space="0" w:color="000000"/>
              <w:right w:val="nil"/>
            </w:tcBorders>
            <w:shd w:val="clear" w:color="auto" w:fill="auto"/>
            <w:noWrap/>
            <w:vAlign w:val="bottom"/>
            <w:hideMark/>
          </w:tcPr>
          <w:p w:rsidR="00A536D0" w:rsidRPr="007871E0" w:rsidRDefault="00A536D0" w:rsidP="00A536D0">
            <w:pPr>
              <w:spacing w:after="0" w:line="240" w:lineRule="auto"/>
              <w:jc w:val="center"/>
              <w:rPr>
                <w:rFonts w:ascii="Calibri" w:eastAsia="Times New Roman" w:hAnsi="Calibri" w:cs="Times New Roman"/>
                <w:color w:val="000000"/>
                <w:lang w:eastAsia="el-GR"/>
              </w:rPr>
            </w:pPr>
            <w:r w:rsidRPr="007871E0">
              <w:rPr>
                <w:rFonts w:ascii="Calibri" w:eastAsia="Times New Roman" w:hAnsi="Calibri" w:cs="Times New Roman"/>
                <w:color w:val="000000"/>
                <w:lang w:eastAsia="el-GR"/>
              </w:rPr>
              <w:t>30</w:t>
            </w:r>
          </w:p>
        </w:tc>
        <w:tc>
          <w:tcPr>
            <w:tcW w:w="1169" w:type="dxa"/>
            <w:tcBorders>
              <w:top w:val="nil"/>
              <w:left w:val="nil"/>
              <w:bottom w:val="single" w:sz="4" w:space="0" w:color="000000"/>
              <w:right w:val="nil"/>
            </w:tcBorders>
            <w:shd w:val="clear" w:color="auto" w:fill="auto"/>
            <w:noWrap/>
            <w:vAlign w:val="bottom"/>
            <w:hideMark/>
          </w:tcPr>
          <w:p w:rsidR="00A536D0" w:rsidRPr="007871E0" w:rsidRDefault="00A536D0" w:rsidP="00A536D0">
            <w:pPr>
              <w:spacing w:after="0" w:line="240" w:lineRule="auto"/>
              <w:jc w:val="center"/>
              <w:rPr>
                <w:rFonts w:ascii="Calibri" w:eastAsia="Times New Roman" w:hAnsi="Calibri" w:cs="Times New Roman"/>
                <w:color w:val="000000"/>
                <w:lang w:eastAsia="el-GR"/>
              </w:rPr>
            </w:pPr>
            <w:r w:rsidRPr="007871E0">
              <w:rPr>
                <w:rFonts w:ascii="Calibri" w:eastAsia="Times New Roman" w:hAnsi="Calibri" w:cs="Times New Roman"/>
                <w:color w:val="000000"/>
                <w:lang w:eastAsia="el-GR"/>
              </w:rPr>
              <w:t>30</w:t>
            </w:r>
          </w:p>
        </w:tc>
        <w:tc>
          <w:tcPr>
            <w:tcW w:w="1174" w:type="dxa"/>
            <w:tcBorders>
              <w:top w:val="nil"/>
              <w:left w:val="nil"/>
              <w:bottom w:val="single" w:sz="4" w:space="0" w:color="000000"/>
              <w:right w:val="nil"/>
            </w:tcBorders>
            <w:shd w:val="clear" w:color="auto" w:fill="auto"/>
            <w:noWrap/>
            <w:vAlign w:val="bottom"/>
            <w:hideMark/>
          </w:tcPr>
          <w:p w:rsidR="00A536D0" w:rsidRPr="007871E0" w:rsidRDefault="00A536D0" w:rsidP="00A536D0">
            <w:pPr>
              <w:spacing w:after="0" w:line="240" w:lineRule="auto"/>
              <w:jc w:val="center"/>
              <w:rPr>
                <w:rFonts w:ascii="Calibri" w:eastAsia="Times New Roman" w:hAnsi="Calibri" w:cs="Times New Roman"/>
                <w:color w:val="000000"/>
                <w:lang w:eastAsia="el-GR"/>
              </w:rPr>
            </w:pPr>
            <w:r w:rsidRPr="007871E0">
              <w:rPr>
                <w:rFonts w:ascii="Calibri" w:eastAsia="Times New Roman" w:hAnsi="Calibri" w:cs="Times New Roman"/>
                <w:color w:val="000000"/>
                <w:lang w:eastAsia="el-GR"/>
              </w:rPr>
              <w:t>30</w:t>
            </w:r>
          </w:p>
        </w:tc>
        <w:tc>
          <w:tcPr>
            <w:tcW w:w="1226" w:type="dxa"/>
            <w:tcBorders>
              <w:top w:val="nil"/>
              <w:left w:val="nil"/>
              <w:bottom w:val="single" w:sz="4" w:space="0" w:color="000000"/>
              <w:right w:val="nil"/>
            </w:tcBorders>
            <w:shd w:val="clear" w:color="auto" w:fill="auto"/>
            <w:noWrap/>
            <w:vAlign w:val="bottom"/>
            <w:hideMark/>
          </w:tcPr>
          <w:p w:rsidR="00A536D0" w:rsidRPr="007871E0" w:rsidRDefault="00A536D0" w:rsidP="00A536D0">
            <w:pPr>
              <w:spacing w:after="0" w:line="240" w:lineRule="auto"/>
              <w:jc w:val="center"/>
              <w:rPr>
                <w:rFonts w:ascii="Calibri" w:eastAsia="Times New Roman" w:hAnsi="Calibri" w:cs="Times New Roman"/>
                <w:color w:val="000000"/>
                <w:lang w:eastAsia="el-GR"/>
              </w:rPr>
            </w:pPr>
            <w:r w:rsidRPr="007871E0">
              <w:rPr>
                <w:rFonts w:ascii="Calibri" w:eastAsia="Times New Roman" w:hAnsi="Calibri" w:cs="Times New Roman"/>
                <w:color w:val="000000"/>
                <w:lang w:eastAsia="el-GR"/>
              </w:rPr>
              <w:t>30</w:t>
            </w:r>
          </w:p>
        </w:tc>
        <w:tc>
          <w:tcPr>
            <w:tcW w:w="1330" w:type="dxa"/>
            <w:tcBorders>
              <w:top w:val="nil"/>
              <w:left w:val="nil"/>
              <w:bottom w:val="single" w:sz="4" w:space="0" w:color="000000"/>
              <w:right w:val="nil"/>
            </w:tcBorders>
            <w:shd w:val="clear" w:color="auto" w:fill="auto"/>
            <w:noWrap/>
            <w:vAlign w:val="bottom"/>
            <w:hideMark/>
          </w:tcPr>
          <w:p w:rsidR="00A536D0" w:rsidRPr="007871E0" w:rsidRDefault="00A536D0" w:rsidP="00A536D0">
            <w:pPr>
              <w:spacing w:after="0" w:line="240" w:lineRule="auto"/>
              <w:jc w:val="center"/>
              <w:rPr>
                <w:rFonts w:ascii="Calibri" w:eastAsia="Times New Roman" w:hAnsi="Calibri" w:cs="Times New Roman"/>
                <w:color w:val="000000"/>
                <w:lang w:eastAsia="el-GR"/>
              </w:rPr>
            </w:pPr>
            <w:r w:rsidRPr="007871E0">
              <w:rPr>
                <w:rFonts w:ascii="Calibri" w:eastAsia="Times New Roman" w:hAnsi="Calibri" w:cs="Times New Roman"/>
                <w:color w:val="000000"/>
                <w:lang w:eastAsia="el-GR"/>
              </w:rPr>
              <w:t>30</w:t>
            </w:r>
          </w:p>
        </w:tc>
        <w:tc>
          <w:tcPr>
            <w:tcW w:w="1204" w:type="dxa"/>
            <w:tcBorders>
              <w:top w:val="nil"/>
              <w:left w:val="nil"/>
              <w:bottom w:val="single" w:sz="4" w:space="0" w:color="000000"/>
              <w:right w:val="nil"/>
            </w:tcBorders>
          </w:tcPr>
          <w:p w:rsidR="00A536D0" w:rsidRPr="007871E0" w:rsidRDefault="0065304C" w:rsidP="00A536D0">
            <w:pPr>
              <w:spacing w:after="0" w:line="240" w:lineRule="auto"/>
              <w:jc w:val="center"/>
              <w:rPr>
                <w:rFonts w:ascii="Calibri" w:eastAsia="Times New Roman" w:hAnsi="Calibri" w:cs="Times New Roman"/>
                <w:color w:val="000000"/>
                <w:lang w:eastAsia="el-GR"/>
              </w:rPr>
            </w:pPr>
            <w:r>
              <w:rPr>
                <w:rFonts w:ascii="Calibri" w:eastAsia="Times New Roman" w:hAnsi="Calibri" w:cs="Times New Roman"/>
                <w:color w:val="000000"/>
                <w:lang w:eastAsia="el-GR"/>
              </w:rPr>
              <w:t>30</w:t>
            </w:r>
          </w:p>
        </w:tc>
      </w:tr>
    </w:tbl>
    <w:p w:rsidR="006E4687" w:rsidRDefault="006E4687" w:rsidP="00A536D0">
      <w:pPr>
        <w:pStyle w:val="ListParagraph"/>
        <w:ind w:left="0"/>
        <w:jc w:val="both"/>
        <w:rPr>
          <w:rFonts w:ascii="Times New Roman" w:hAnsi="Times New Roman" w:cs="Times New Roman"/>
          <w:szCs w:val="24"/>
          <w:lang w:val="en-GB"/>
        </w:rPr>
      </w:pPr>
    </w:p>
    <w:p w:rsidR="00A536D0" w:rsidRPr="002C595D" w:rsidRDefault="00A536D0" w:rsidP="00A536D0">
      <w:pPr>
        <w:pStyle w:val="ListParagraph"/>
        <w:ind w:left="0"/>
        <w:jc w:val="both"/>
        <w:rPr>
          <w:rFonts w:ascii="Times New Roman" w:hAnsi="Times New Roman" w:cs="Times New Roman"/>
          <w:sz w:val="20"/>
          <w:szCs w:val="24"/>
          <w:lang w:val="en-GB"/>
        </w:rPr>
      </w:pPr>
      <w:r w:rsidRPr="002C595D">
        <w:rPr>
          <w:rFonts w:ascii="Times New Roman" w:hAnsi="Times New Roman" w:cs="Times New Roman"/>
          <w:sz w:val="20"/>
          <w:szCs w:val="24"/>
          <w:lang w:val="en-GB"/>
        </w:rPr>
        <w:t>Descriptive statistics for all the variables used in the sub-sample of Developed countries:</w:t>
      </w:r>
    </w:p>
    <w:p w:rsidR="00A536D0" w:rsidRPr="002C595D" w:rsidRDefault="00A536D0" w:rsidP="00A536D0">
      <w:pPr>
        <w:pStyle w:val="ListParagraph"/>
        <w:ind w:left="0"/>
        <w:jc w:val="both"/>
        <w:rPr>
          <w:rFonts w:ascii="Times New Roman" w:hAnsi="Times New Roman" w:cs="Times New Roman"/>
          <w:sz w:val="20"/>
          <w:szCs w:val="24"/>
          <w:lang w:val="en-GB"/>
        </w:rPr>
      </w:pPr>
      <w:r w:rsidRPr="002C595D">
        <w:rPr>
          <w:rFonts w:ascii="Times New Roman" w:hAnsi="Times New Roman" w:cs="Times New Roman"/>
          <w:sz w:val="20"/>
          <w:szCs w:val="24"/>
          <w:lang w:val="en-GB"/>
        </w:rPr>
        <w:t>the percentage of equity investments relatively to the total investments of pension funds (EqAll), Power Distance (PDI), Individualism(IDV), Uncertainty avoidance (UAI), Masculinity (MASC),  the equity limits as a proportion of investments (LEQINV), the natural logarithm (LN) of the GDP per capital (LNGDP), the natural logarithm (LN) of the market capitalization as a percentage of GDP (LNMARCAP), the age dependency ratio as a percentage of working-age population (AGEDR)  and the relative share of total assets held by Defined Benefit plans</w:t>
      </w:r>
      <w:r w:rsidR="00507616" w:rsidRPr="002C595D">
        <w:rPr>
          <w:rFonts w:ascii="Times New Roman" w:hAnsi="Times New Roman" w:cs="Times New Roman"/>
          <w:sz w:val="20"/>
          <w:szCs w:val="24"/>
          <w:lang w:val="en-GB"/>
        </w:rPr>
        <w:t xml:space="preserve"> </w:t>
      </w:r>
      <w:r w:rsidRPr="002C595D">
        <w:rPr>
          <w:rFonts w:ascii="Times New Roman" w:hAnsi="Times New Roman" w:cs="Times New Roman"/>
          <w:sz w:val="20"/>
          <w:szCs w:val="24"/>
          <w:lang w:val="en-GB"/>
        </w:rPr>
        <w:t>(</w:t>
      </w:r>
      <w:r w:rsidR="00507616" w:rsidRPr="002C595D">
        <w:rPr>
          <w:rFonts w:ascii="Times New Roman" w:hAnsi="Times New Roman" w:cs="Times New Roman"/>
          <w:sz w:val="20"/>
          <w:szCs w:val="24"/>
          <w:lang w:val="en-GB"/>
        </w:rPr>
        <w:t>DB</w:t>
      </w:r>
      <w:r w:rsidRPr="002C595D">
        <w:rPr>
          <w:rFonts w:ascii="Times New Roman" w:hAnsi="Times New Roman" w:cs="Times New Roman"/>
          <w:sz w:val="20"/>
          <w:szCs w:val="24"/>
          <w:lang w:val="en-GB"/>
        </w:rPr>
        <w:t xml:space="preserve">). </w:t>
      </w:r>
    </w:p>
    <w:p w:rsidR="001D2711" w:rsidRPr="00A536D0" w:rsidRDefault="001D2711">
      <w:pPr>
        <w:rPr>
          <w:lang w:val="en-GB"/>
        </w:rPr>
        <w:sectPr w:rsidR="001D2711" w:rsidRPr="00A536D0" w:rsidSect="00A536D0">
          <w:pgSz w:w="16838" w:h="11906" w:orient="landscape"/>
          <w:pgMar w:top="1134" w:right="1418" w:bottom="1418" w:left="1418" w:header="708" w:footer="113" w:gutter="0"/>
          <w:cols w:space="708"/>
          <w:docGrid w:linePitch="360"/>
        </w:sectPr>
      </w:pPr>
    </w:p>
    <w:p w:rsidR="00F80A7F" w:rsidRDefault="00F80A7F" w:rsidP="00C10EE7">
      <w:pPr>
        <w:pStyle w:val="ListParagraph"/>
        <w:ind w:left="0"/>
        <w:rPr>
          <w:b/>
          <w:lang w:val="en-US"/>
        </w:rPr>
      </w:pPr>
    </w:p>
    <w:p w:rsidR="00F80A7F" w:rsidRDefault="00F80A7F" w:rsidP="00C10EE7">
      <w:pPr>
        <w:pStyle w:val="ListParagraph"/>
        <w:ind w:left="0"/>
        <w:rPr>
          <w:b/>
          <w:lang w:val="en-US"/>
        </w:rPr>
      </w:pPr>
    </w:p>
    <w:p w:rsidR="00D8683E" w:rsidRPr="002C595D" w:rsidRDefault="00D8683E" w:rsidP="00D8683E">
      <w:pPr>
        <w:pStyle w:val="ListParagraph"/>
        <w:ind w:left="0"/>
        <w:jc w:val="both"/>
        <w:rPr>
          <w:rFonts w:ascii="Times New Roman" w:hAnsi="Times New Roman" w:cs="Times New Roman"/>
          <w:szCs w:val="24"/>
          <w:lang w:val="en-GB"/>
        </w:rPr>
      </w:pPr>
      <w:r w:rsidRPr="002C595D">
        <w:rPr>
          <w:rFonts w:ascii="Times New Roman" w:hAnsi="Times New Roman" w:cs="Times New Roman"/>
          <w:szCs w:val="24"/>
          <w:lang w:val="en-US"/>
        </w:rPr>
        <w:t xml:space="preserve">Individualism and masculinity scores are higher for the Developed countries on average, with United </w:t>
      </w:r>
      <w:r w:rsidR="005D4597" w:rsidRPr="002C595D">
        <w:rPr>
          <w:rFonts w:ascii="Times New Roman" w:hAnsi="Times New Roman" w:cs="Times New Roman"/>
          <w:szCs w:val="24"/>
          <w:lang w:val="en-US"/>
        </w:rPr>
        <w:t>States</w:t>
      </w:r>
      <w:r w:rsidRPr="002C595D">
        <w:rPr>
          <w:rFonts w:ascii="Times New Roman" w:hAnsi="Times New Roman" w:cs="Times New Roman"/>
          <w:szCs w:val="24"/>
          <w:lang w:val="en-US"/>
        </w:rPr>
        <w:t xml:space="preserve"> having the higher score for Individualism, 91, and Slovakia for Masculinity with 101. On the other hand, Portugal and Slovenia with 27 and </w:t>
      </w:r>
      <w:r w:rsidRPr="002C595D">
        <w:rPr>
          <w:rFonts w:ascii="Times New Roman" w:hAnsi="Times New Roman" w:cs="Times New Roman"/>
          <w:szCs w:val="24"/>
          <w:lang w:val="en-GB"/>
        </w:rPr>
        <w:t xml:space="preserve">Sweden with 5 show the lower scores for each dimension respectively. Power Distance has a mean of 48 relevant to 53 for our total sample, with a maximum of 104 for Slovakia and a minimum of 11 for Austria, which are exactly the same as the total sample. </w:t>
      </w:r>
    </w:p>
    <w:p w:rsidR="00402EBC" w:rsidRPr="002C595D" w:rsidRDefault="00402EBC" w:rsidP="00F44D64">
      <w:pPr>
        <w:pStyle w:val="ListParagraph"/>
        <w:ind w:left="0"/>
        <w:jc w:val="both"/>
        <w:rPr>
          <w:rFonts w:ascii="Times New Roman" w:hAnsi="Times New Roman" w:cs="Times New Roman"/>
          <w:szCs w:val="24"/>
          <w:lang w:val="en-GB"/>
        </w:rPr>
      </w:pPr>
    </w:p>
    <w:p w:rsidR="00D8683E" w:rsidRPr="002C595D" w:rsidRDefault="00D8683E" w:rsidP="00F44D64">
      <w:pPr>
        <w:pStyle w:val="ListParagraph"/>
        <w:ind w:left="0"/>
        <w:jc w:val="both"/>
        <w:rPr>
          <w:rFonts w:ascii="Times New Roman" w:hAnsi="Times New Roman" w:cs="Times New Roman"/>
          <w:szCs w:val="24"/>
          <w:lang w:val="en-GB"/>
        </w:rPr>
      </w:pPr>
      <w:r w:rsidRPr="002C595D">
        <w:rPr>
          <w:rFonts w:ascii="Times New Roman" w:hAnsi="Times New Roman" w:cs="Times New Roman"/>
          <w:szCs w:val="24"/>
          <w:lang w:val="en-GB"/>
        </w:rPr>
        <w:t xml:space="preserve">The </w:t>
      </w:r>
      <w:r w:rsidR="00F44D64" w:rsidRPr="002C595D">
        <w:rPr>
          <w:rFonts w:ascii="Times New Roman" w:hAnsi="Times New Roman" w:cs="Times New Roman"/>
          <w:szCs w:val="24"/>
          <w:lang w:val="en-GB"/>
        </w:rPr>
        <w:t xml:space="preserve">picture does not change much regarding the control variables. The average values for our control variables remain almost the </w:t>
      </w:r>
      <w:r w:rsidR="005D4597" w:rsidRPr="002C595D">
        <w:rPr>
          <w:rFonts w:ascii="Times New Roman" w:hAnsi="Times New Roman" w:cs="Times New Roman"/>
          <w:szCs w:val="24"/>
          <w:lang w:val="en-GB"/>
        </w:rPr>
        <w:t>same;</w:t>
      </w:r>
      <w:r w:rsidR="00F44D64" w:rsidRPr="002C595D">
        <w:rPr>
          <w:rFonts w:ascii="Times New Roman" w:hAnsi="Times New Roman" w:cs="Times New Roman"/>
          <w:szCs w:val="24"/>
          <w:lang w:val="en-GB"/>
        </w:rPr>
        <w:t xml:space="preserve"> therefore we </w:t>
      </w:r>
      <w:r w:rsidR="00D4743F" w:rsidRPr="002C595D">
        <w:rPr>
          <w:rFonts w:ascii="Times New Roman" w:hAnsi="Times New Roman" w:cs="Times New Roman"/>
          <w:szCs w:val="24"/>
          <w:lang w:val="en-GB"/>
        </w:rPr>
        <w:t>do not expect</w:t>
      </w:r>
      <w:r w:rsidR="00F44D64" w:rsidRPr="002C595D">
        <w:rPr>
          <w:rFonts w:ascii="Times New Roman" w:hAnsi="Times New Roman" w:cs="Times New Roman"/>
          <w:szCs w:val="24"/>
          <w:lang w:val="en-GB"/>
        </w:rPr>
        <w:t xml:space="preserve"> great differences in the results around the control variables for the developed countries. </w:t>
      </w:r>
    </w:p>
    <w:p w:rsidR="00F44D64" w:rsidRPr="002C595D" w:rsidRDefault="00F44D64" w:rsidP="00F44D64">
      <w:pPr>
        <w:pStyle w:val="ListParagraph"/>
        <w:ind w:left="0"/>
        <w:jc w:val="both"/>
        <w:rPr>
          <w:rFonts w:ascii="Times New Roman" w:hAnsi="Times New Roman" w:cs="Times New Roman"/>
          <w:szCs w:val="24"/>
          <w:lang w:val="en-GB"/>
        </w:rPr>
      </w:pPr>
    </w:p>
    <w:p w:rsidR="0054505D" w:rsidRDefault="00F44D64" w:rsidP="00F44D64">
      <w:pPr>
        <w:pStyle w:val="ListParagraph"/>
        <w:ind w:left="0"/>
        <w:jc w:val="both"/>
        <w:rPr>
          <w:rFonts w:ascii="Times New Roman" w:hAnsi="Times New Roman" w:cs="Times New Roman"/>
          <w:sz w:val="24"/>
          <w:szCs w:val="24"/>
          <w:lang w:val="en-GB"/>
        </w:rPr>
      </w:pPr>
      <w:r w:rsidRPr="002C595D">
        <w:rPr>
          <w:rFonts w:ascii="Times New Roman" w:hAnsi="Times New Roman" w:cs="Times New Roman"/>
          <w:szCs w:val="24"/>
          <w:lang w:val="en-GB"/>
        </w:rPr>
        <w:t xml:space="preserve">Moving on with the analysis of the new sample, </w:t>
      </w:r>
      <w:r w:rsidR="00C10EE7" w:rsidRPr="002C595D">
        <w:rPr>
          <w:rFonts w:ascii="Times New Roman" w:hAnsi="Times New Roman" w:cs="Times New Roman"/>
          <w:szCs w:val="24"/>
          <w:lang w:val="en-GB"/>
        </w:rPr>
        <w:t>we can see</w:t>
      </w:r>
      <w:r w:rsidRPr="002C595D">
        <w:rPr>
          <w:rFonts w:ascii="Times New Roman" w:hAnsi="Times New Roman" w:cs="Times New Roman"/>
          <w:szCs w:val="24"/>
          <w:lang w:val="en-GB"/>
        </w:rPr>
        <w:t xml:space="preserve"> in the table below</w:t>
      </w:r>
      <w:r w:rsidR="00C10EE7" w:rsidRPr="002C595D">
        <w:rPr>
          <w:rFonts w:ascii="Times New Roman" w:hAnsi="Times New Roman" w:cs="Times New Roman"/>
          <w:szCs w:val="24"/>
          <w:lang w:val="en-GB"/>
        </w:rPr>
        <w:t xml:space="preserve"> the results of the multiple regression between our independent variable and the four cultur</w:t>
      </w:r>
      <w:r w:rsidR="0054505D" w:rsidRPr="002C595D">
        <w:rPr>
          <w:rFonts w:ascii="Times New Roman" w:hAnsi="Times New Roman" w:cs="Times New Roman"/>
          <w:szCs w:val="24"/>
          <w:lang w:val="en-GB"/>
        </w:rPr>
        <w:t xml:space="preserve">al dimensions for the Developed </w:t>
      </w:r>
      <w:r w:rsidR="00C10EE7" w:rsidRPr="002C595D">
        <w:rPr>
          <w:rFonts w:ascii="Times New Roman" w:hAnsi="Times New Roman" w:cs="Times New Roman"/>
          <w:szCs w:val="24"/>
          <w:lang w:val="en-GB"/>
        </w:rPr>
        <w:t>countries</w:t>
      </w:r>
      <w:r w:rsidR="00C10EE7" w:rsidRPr="00F44D64">
        <w:rPr>
          <w:rFonts w:ascii="Times New Roman" w:hAnsi="Times New Roman" w:cs="Times New Roman"/>
          <w:sz w:val="24"/>
          <w:szCs w:val="24"/>
          <w:lang w:val="en-GB"/>
        </w:rPr>
        <w:t xml:space="preserve">. </w:t>
      </w:r>
      <w:r w:rsidR="0054505D">
        <w:rPr>
          <w:rFonts w:ascii="Times New Roman" w:hAnsi="Times New Roman" w:cs="Times New Roman"/>
          <w:sz w:val="24"/>
          <w:szCs w:val="24"/>
          <w:lang w:val="en-GB"/>
        </w:rPr>
        <w:t xml:space="preserve"> </w:t>
      </w:r>
    </w:p>
    <w:p w:rsidR="00DF7A09" w:rsidRDefault="00DF7A09" w:rsidP="002D207A">
      <w:pPr>
        <w:spacing w:line="360" w:lineRule="auto"/>
        <w:jc w:val="both"/>
        <w:rPr>
          <w:b/>
          <w:lang w:val="en-US"/>
        </w:rPr>
      </w:pPr>
    </w:p>
    <w:p w:rsidR="006E4687" w:rsidRPr="006E4687" w:rsidRDefault="002D207A" w:rsidP="006E4687">
      <w:pPr>
        <w:spacing w:line="360" w:lineRule="auto"/>
        <w:jc w:val="both"/>
        <w:rPr>
          <w:b/>
          <w:lang w:val="en-US"/>
        </w:rPr>
      </w:pPr>
      <w:r w:rsidRPr="002D207A">
        <w:rPr>
          <w:b/>
          <w:lang w:val="en-US"/>
        </w:rPr>
        <w:t>Table 4.</w:t>
      </w:r>
      <w:r w:rsidR="008B6C03">
        <w:rPr>
          <w:b/>
          <w:lang w:val="en-US"/>
        </w:rPr>
        <w:t>5</w:t>
      </w:r>
      <w:r w:rsidRPr="002D207A">
        <w:rPr>
          <w:b/>
          <w:lang w:val="en-US"/>
        </w:rPr>
        <w:t xml:space="preserve"> Regression results for the multiple and </w:t>
      </w:r>
      <w:r w:rsidR="00DF7A09">
        <w:rPr>
          <w:b/>
          <w:lang w:val="en-US"/>
        </w:rPr>
        <w:t>single regression models:</w:t>
      </w:r>
      <w:r w:rsidRPr="002D207A">
        <w:rPr>
          <w:b/>
          <w:lang w:val="en-US"/>
        </w:rPr>
        <w:t xml:space="preserve"> Developed countries. </w:t>
      </w:r>
    </w:p>
    <w:tbl>
      <w:tblPr>
        <w:tblStyle w:val="PlainTable1"/>
        <w:tblW w:w="0" w:type="auto"/>
        <w:tblLayout w:type="fixed"/>
        <w:tblLook w:val="06A0"/>
      </w:tblPr>
      <w:tblGrid>
        <w:gridCol w:w="1462"/>
        <w:gridCol w:w="1258"/>
        <w:gridCol w:w="1499"/>
        <w:gridCol w:w="1222"/>
        <w:gridCol w:w="1341"/>
        <w:gridCol w:w="1341"/>
        <w:gridCol w:w="1341"/>
      </w:tblGrid>
      <w:tr w:rsidR="00557E75" w:rsidTr="00FD6E94">
        <w:trPr>
          <w:cnfStyle w:val="100000000000"/>
        </w:trPr>
        <w:tc>
          <w:tcPr>
            <w:cnfStyle w:val="001000000000"/>
            <w:tcW w:w="1462" w:type="dxa"/>
          </w:tcPr>
          <w:p w:rsidR="00557E75" w:rsidRPr="00A1756F" w:rsidRDefault="00557E75" w:rsidP="00A1756F">
            <w:pPr>
              <w:jc w:val="both"/>
              <w:rPr>
                <w:rFonts w:ascii="Arial" w:hAnsi="Arial" w:cs="Arial"/>
                <w:i/>
                <w:lang w:val="en-US"/>
              </w:rPr>
            </w:pPr>
            <w:r w:rsidRPr="00A1756F">
              <w:rPr>
                <w:rFonts w:ascii="Arial" w:hAnsi="Arial" w:cs="Arial"/>
                <w:i/>
                <w:lang w:val="en-US"/>
              </w:rPr>
              <w:t>Variables</w:t>
            </w:r>
          </w:p>
        </w:tc>
        <w:tc>
          <w:tcPr>
            <w:tcW w:w="1258" w:type="dxa"/>
          </w:tcPr>
          <w:p w:rsidR="00557E75" w:rsidRDefault="00557E75" w:rsidP="00A1756F">
            <w:pPr>
              <w:jc w:val="both"/>
              <w:cnfStyle w:val="100000000000"/>
              <w:rPr>
                <w:rFonts w:ascii="Arial" w:hAnsi="Arial" w:cs="Arial"/>
                <w:b w:val="0"/>
                <w:i/>
                <w:lang w:val="en-US"/>
              </w:rPr>
            </w:pPr>
            <w:r>
              <w:rPr>
                <w:rFonts w:ascii="Arial" w:hAnsi="Arial" w:cs="Arial"/>
                <w:i/>
                <w:lang w:val="en-US"/>
              </w:rPr>
              <w:t>Expected sign</w:t>
            </w:r>
          </w:p>
        </w:tc>
        <w:tc>
          <w:tcPr>
            <w:tcW w:w="1499" w:type="dxa"/>
          </w:tcPr>
          <w:p w:rsidR="00557E75" w:rsidRDefault="00557E75" w:rsidP="00A1756F">
            <w:pPr>
              <w:jc w:val="both"/>
              <w:cnfStyle w:val="100000000000"/>
              <w:rPr>
                <w:rFonts w:ascii="Arial" w:hAnsi="Arial" w:cs="Arial"/>
                <w:b w:val="0"/>
                <w:i/>
                <w:lang w:val="en-US"/>
              </w:rPr>
            </w:pPr>
            <w:r>
              <w:rPr>
                <w:rFonts w:ascii="Arial" w:hAnsi="Arial" w:cs="Arial"/>
                <w:i/>
                <w:lang w:val="en-US"/>
              </w:rPr>
              <w:t>Multiple regression (1)</w:t>
            </w:r>
          </w:p>
        </w:tc>
        <w:tc>
          <w:tcPr>
            <w:tcW w:w="1222" w:type="dxa"/>
          </w:tcPr>
          <w:p w:rsidR="00557E75" w:rsidRDefault="0054505D" w:rsidP="0054505D">
            <w:pPr>
              <w:jc w:val="center"/>
              <w:cnfStyle w:val="100000000000"/>
              <w:rPr>
                <w:rFonts w:ascii="Arial" w:hAnsi="Arial" w:cs="Arial"/>
                <w:b w:val="0"/>
                <w:i/>
                <w:lang w:val="en-US"/>
              </w:rPr>
            </w:pPr>
            <w:r>
              <w:rPr>
                <w:rFonts w:ascii="Arial" w:hAnsi="Arial" w:cs="Arial"/>
                <w:i/>
                <w:lang w:val="en-US"/>
              </w:rPr>
              <w:t>Sing</w:t>
            </w:r>
            <w:r w:rsidR="00557E75">
              <w:rPr>
                <w:rFonts w:ascii="Arial" w:hAnsi="Arial" w:cs="Arial"/>
                <w:i/>
                <w:lang w:val="en-US"/>
              </w:rPr>
              <w:t>le regression (2)</w:t>
            </w:r>
          </w:p>
        </w:tc>
        <w:tc>
          <w:tcPr>
            <w:tcW w:w="1341" w:type="dxa"/>
          </w:tcPr>
          <w:p w:rsidR="00557E75" w:rsidRDefault="0054505D" w:rsidP="00A1756F">
            <w:pPr>
              <w:jc w:val="center"/>
              <w:cnfStyle w:val="100000000000"/>
              <w:rPr>
                <w:rFonts w:ascii="Arial" w:hAnsi="Arial" w:cs="Arial"/>
                <w:b w:val="0"/>
                <w:i/>
                <w:lang w:val="en-US"/>
              </w:rPr>
            </w:pPr>
            <w:r>
              <w:rPr>
                <w:rFonts w:ascii="Arial" w:hAnsi="Arial" w:cs="Arial"/>
                <w:i/>
                <w:lang w:val="en-US"/>
              </w:rPr>
              <w:t xml:space="preserve">Single </w:t>
            </w:r>
            <w:r w:rsidR="00557E75">
              <w:rPr>
                <w:rFonts w:ascii="Arial" w:hAnsi="Arial" w:cs="Arial"/>
                <w:i/>
                <w:lang w:val="en-US"/>
              </w:rPr>
              <w:t>regression (3)</w:t>
            </w:r>
          </w:p>
        </w:tc>
        <w:tc>
          <w:tcPr>
            <w:tcW w:w="1341" w:type="dxa"/>
          </w:tcPr>
          <w:p w:rsidR="00557E75" w:rsidRDefault="0054505D" w:rsidP="00A1756F">
            <w:pPr>
              <w:jc w:val="center"/>
              <w:cnfStyle w:val="100000000000"/>
              <w:rPr>
                <w:rFonts w:ascii="Arial" w:hAnsi="Arial" w:cs="Arial"/>
                <w:b w:val="0"/>
                <w:i/>
                <w:lang w:val="en-US"/>
              </w:rPr>
            </w:pPr>
            <w:r>
              <w:rPr>
                <w:rFonts w:ascii="Arial" w:hAnsi="Arial" w:cs="Arial"/>
                <w:i/>
                <w:lang w:val="en-US"/>
              </w:rPr>
              <w:t xml:space="preserve">Single </w:t>
            </w:r>
            <w:r w:rsidR="00557E75">
              <w:rPr>
                <w:rFonts w:ascii="Arial" w:hAnsi="Arial" w:cs="Arial"/>
                <w:i/>
                <w:lang w:val="en-US"/>
              </w:rPr>
              <w:t>regression (4)</w:t>
            </w:r>
          </w:p>
        </w:tc>
        <w:tc>
          <w:tcPr>
            <w:tcW w:w="1341" w:type="dxa"/>
          </w:tcPr>
          <w:p w:rsidR="00557E75" w:rsidRDefault="0054505D" w:rsidP="00A1756F">
            <w:pPr>
              <w:jc w:val="center"/>
              <w:cnfStyle w:val="100000000000"/>
              <w:rPr>
                <w:rFonts w:ascii="Arial" w:hAnsi="Arial" w:cs="Arial"/>
                <w:b w:val="0"/>
                <w:i/>
                <w:lang w:val="en-US"/>
              </w:rPr>
            </w:pPr>
            <w:r>
              <w:rPr>
                <w:rFonts w:ascii="Arial" w:hAnsi="Arial" w:cs="Arial"/>
                <w:i/>
                <w:lang w:val="en-US"/>
              </w:rPr>
              <w:t xml:space="preserve">Single </w:t>
            </w:r>
            <w:r w:rsidR="00557E75">
              <w:rPr>
                <w:rFonts w:ascii="Arial" w:hAnsi="Arial" w:cs="Arial"/>
                <w:i/>
                <w:lang w:val="en-US"/>
              </w:rPr>
              <w:t>regression (5)</w:t>
            </w:r>
          </w:p>
        </w:tc>
      </w:tr>
      <w:tr w:rsidR="00557E75" w:rsidTr="00FD6E94">
        <w:tc>
          <w:tcPr>
            <w:cnfStyle w:val="001000000000"/>
            <w:tcW w:w="1462" w:type="dxa"/>
          </w:tcPr>
          <w:p w:rsidR="00557E75" w:rsidRPr="00884CBA" w:rsidRDefault="00557E75" w:rsidP="00A1756F">
            <w:pPr>
              <w:jc w:val="center"/>
              <w:rPr>
                <w:rFonts w:ascii="Arial" w:hAnsi="Arial" w:cs="Arial"/>
                <w:b w:val="0"/>
                <w:i/>
                <w:lang w:val="en-US"/>
              </w:rPr>
            </w:pPr>
          </w:p>
        </w:tc>
        <w:tc>
          <w:tcPr>
            <w:tcW w:w="1258" w:type="dxa"/>
          </w:tcPr>
          <w:p w:rsidR="00557E75" w:rsidRPr="00884CBA" w:rsidRDefault="00557E75" w:rsidP="00A1756F">
            <w:pPr>
              <w:jc w:val="center"/>
              <w:cnfStyle w:val="000000000000"/>
              <w:rPr>
                <w:rFonts w:ascii="Arial" w:hAnsi="Arial" w:cs="Arial"/>
                <w:b/>
                <w:i/>
                <w:lang w:val="en-US"/>
              </w:rPr>
            </w:pPr>
          </w:p>
        </w:tc>
        <w:tc>
          <w:tcPr>
            <w:tcW w:w="1499" w:type="dxa"/>
          </w:tcPr>
          <w:p w:rsidR="00557E75" w:rsidRPr="00884CBA" w:rsidRDefault="00557E75" w:rsidP="00A1756F">
            <w:pPr>
              <w:jc w:val="center"/>
              <w:cnfStyle w:val="000000000000"/>
              <w:rPr>
                <w:rFonts w:ascii="Arial" w:hAnsi="Arial" w:cs="Arial"/>
                <w:b/>
                <w:i/>
                <w:lang w:val="en-US"/>
              </w:rPr>
            </w:pPr>
          </w:p>
        </w:tc>
        <w:tc>
          <w:tcPr>
            <w:tcW w:w="1222" w:type="dxa"/>
          </w:tcPr>
          <w:p w:rsidR="00557E75" w:rsidRPr="00884CBA" w:rsidRDefault="00557E75" w:rsidP="00A1756F">
            <w:pPr>
              <w:jc w:val="center"/>
              <w:cnfStyle w:val="000000000000"/>
              <w:rPr>
                <w:rFonts w:ascii="Arial" w:hAnsi="Arial" w:cs="Arial"/>
                <w:b/>
                <w:i/>
                <w:lang w:val="en-US"/>
              </w:rPr>
            </w:pPr>
          </w:p>
        </w:tc>
        <w:tc>
          <w:tcPr>
            <w:tcW w:w="1341" w:type="dxa"/>
          </w:tcPr>
          <w:p w:rsidR="00557E75" w:rsidRPr="00884CBA" w:rsidRDefault="00557E75" w:rsidP="00A1756F">
            <w:pPr>
              <w:jc w:val="center"/>
              <w:cnfStyle w:val="000000000000"/>
              <w:rPr>
                <w:rFonts w:ascii="Arial" w:hAnsi="Arial" w:cs="Arial"/>
                <w:b/>
                <w:i/>
                <w:lang w:val="en-US"/>
              </w:rPr>
            </w:pPr>
          </w:p>
        </w:tc>
        <w:tc>
          <w:tcPr>
            <w:tcW w:w="1341" w:type="dxa"/>
          </w:tcPr>
          <w:p w:rsidR="00557E75" w:rsidRPr="00884CBA" w:rsidRDefault="00557E75" w:rsidP="00A1756F">
            <w:pPr>
              <w:jc w:val="center"/>
              <w:cnfStyle w:val="000000000000"/>
              <w:rPr>
                <w:rFonts w:ascii="Arial" w:hAnsi="Arial" w:cs="Arial"/>
                <w:b/>
                <w:i/>
                <w:lang w:val="en-US"/>
              </w:rPr>
            </w:pPr>
          </w:p>
        </w:tc>
        <w:tc>
          <w:tcPr>
            <w:tcW w:w="1341" w:type="dxa"/>
          </w:tcPr>
          <w:p w:rsidR="00557E75" w:rsidRPr="00884CBA" w:rsidRDefault="00557E75" w:rsidP="00A1756F">
            <w:pPr>
              <w:jc w:val="center"/>
              <w:cnfStyle w:val="000000000000"/>
              <w:rPr>
                <w:rFonts w:ascii="Arial" w:hAnsi="Arial" w:cs="Arial"/>
                <w:b/>
                <w:i/>
                <w:lang w:val="en-US"/>
              </w:rPr>
            </w:pPr>
          </w:p>
        </w:tc>
      </w:tr>
      <w:tr w:rsidR="00557E75" w:rsidTr="00FD6E94">
        <w:tc>
          <w:tcPr>
            <w:cnfStyle w:val="001000000000"/>
            <w:tcW w:w="1462" w:type="dxa"/>
          </w:tcPr>
          <w:p w:rsidR="00557E75" w:rsidRPr="00884CBA" w:rsidRDefault="00557E75" w:rsidP="00A1756F">
            <w:pPr>
              <w:autoSpaceDE w:val="0"/>
              <w:autoSpaceDN w:val="0"/>
              <w:adjustRightInd w:val="0"/>
              <w:jc w:val="center"/>
              <w:rPr>
                <w:rFonts w:ascii="Arial" w:hAnsi="Arial" w:cs="Arial"/>
                <w:color w:val="000000"/>
                <w:sz w:val="20"/>
                <w:szCs w:val="18"/>
                <w:lang w:val="en-GB"/>
              </w:rPr>
            </w:pPr>
            <w:r w:rsidRPr="00884CBA">
              <w:rPr>
                <w:rFonts w:ascii="Arial" w:hAnsi="Arial" w:cs="Arial"/>
                <w:color w:val="000000"/>
                <w:sz w:val="20"/>
                <w:szCs w:val="18"/>
                <w:lang w:val="en-GB"/>
              </w:rPr>
              <w:t>IDV</w:t>
            </w:r>
          </w:p>
        </w:tc>
        <w:tc>
          <w:tcPr>
            <w:tcW w:w="1258" w:type="dxa"/>
          </w:tcPr>
          <w:p w:rsidR="00557E75" w:rsidRPr="00884CBA" w:rsidRDefault="00557E75" w:rsidP="00A1756F">
            <w:pPr>
              <w:autoSpaceDE w:val="0"/>
              <w:autoSpaceDN w:val="0"/>
              <w:adjustRightInd w:val="0"/>
              <w:ind w:right="10"/>
              <w:jc w:val="center"/>
              <w:cnfStyle w:val="000000000000"/>
              <w:rPr>
                <w:rFonts w:ascii="Arial" w:hAnsi="Arial" w:cs="Arial"/>
                <w:color w:val="000000"/>
                <w:sz w:val="20"/>
                <w:szCs w:val="18"/>
                <w:lang w:val="en-GB"/>
              </w:rPr>
            </w:pPr>
            <w:r w:rsidRPr="00884CBA">
              <w:rPr>
                <w:rFonts w:ascii="Arial" w:hAnsi="Arial" w:cs="Arial"/>
                <w:color w:val="000000"/>
                <w:sz w:val="20"/>
                <w:szCs w:val="18"/>
                <w:lang w:val="en-GB"/>
              </w:rPr>
              <w:t>+</w:t>
            </w:r>
          </w:p>
        </w:tc>
        <w:tc>
          <w:tcPr>
            <w:tcW w:w="1499" w:type="dxa"/>
          </w:tcPr>
          <w:p w:rsidR="00557E75" w:rsidRPr="00884CBA" w:rsidRDefault="00FD6E94" w:rsidP="00A00E69">
            <w:pPr>
              <w:autoSpaceDE w:val="0"/>
              <w:autoSpaceDN w:val="0"/>
              <w:adjustRightInd w:val="0"/>
              <w:ind w:right="10"/>
              <w:jc w:val="center"/>
              <w:cnfStyle w:val="000000000000"/>
              <w:rPr>
                <w:rFonts w:ascii="Arial" w:hAnsi="Arial" w:cs="Arial"/>
                <w:color w:val="000000"/>
                <w:sz w:val="18"/>
                <w:szCs w:val="18"/>
                <w:lang w:val="en-US"/>
              </w:rPr>
            </w:pPr>
            <w:r>
              <w:rPr>
                <w:rFonts w:ascii="Arial" w:hAnsi="Arial" w:cs="Arial"/>
                <w:color w:val="000000"/>
                <w:sz w:val="18"/>
                <w:szCs w:val="18"/>
                <w:lang w:val="en-US"/>
              </w:rPr>
              <w:t>0.447*</w:t>
            </w:r>
          </w:p>
        </w:tc>
        <w:tc>
          <w:tcPr>
            <w:tcW w:w="1222" w:type="dxa"/>
          </w:tcPr>
          <w:p w:rsidR="00557E75" w:rsidRPr="00884CBA" w:rsidRDefault="00A00E69" w:rsidP="00A00E69">
            <w:pPr>
              <w:autoSpaceDE w:val="0"/>
              <w:autoSpaceDN w:val="0"/>
              <w:adjustRightInd w:val="0"/>
              <w:ind w:right="10"/>
              <w:jc w:val="center"/>
              <w:cnfStyle w:val="000000000000"/>
              <w:rPr>
                <w:rFonts w:ascii="Arial" w:hAnsi="Arial" w:cs="Arial"/>
                <w:color w:val="000000"/>
                <w:sz w:val="18"/>
                <w:szCs w:val="18"/>
                <w:lang w:val="en-GB"/>
              </w:rPr>
            </w:pPr>
            <w:r>
              <w:rPr>
                <w:rFonts w:ascii="Arial" w:hAnsi="Arial" w:cs="Arial"/>
                <w:color w:val="000000"/>
                <w:sz w:val="18"/>
                <w:szCs w:val="18"/>
                <w:lang w:val="en-GB"/>
              </w:rPr>
              <w:t>0.247</w:t>
            </w:r>
          </w:p>
        </w:tc>
        <w:tc>
          <w:tcPr>
            <w:tcW w:w="1341" w:type="dxa"/>
          </w:tcPr>
          <w:p w:rsidR="00557E75" w:rsidRPr="00884CBA" w:rsidRDefault="00557E75" w:rsidP="00A1756F">
            <w:pPr>
              <w:jc w:val="center"/>
              <w:cnfStyle w:val="000000000000"/>
              <w:rPr>
                <w:rFonts w:ascii="Arial" w:hAnsi="Arial" w:cs="Arial"/>
                <w:b/>
                <w:i/>
                <w:lang w:val="en-US"/>
              </w:rPr>
            </w:pPr>
          </w:p>
        </w:tc>
        <w:tc>
          <w:tcPr>
            <w:tcW w:w="1341" w:type="dxa"/>
          </w:tcPr>
          <w:p w:rsidR="00557E75" w:rsidRPr="00884CBA" w:rsidRDefault="00557E75" w:rsidP="00A1756F">
            <w:pPr>
              <w:jc w:val="center"/>
              <w:cnfStyle w:val="000000000000"/>
              <w:rPr>
                <w:rFonts w:ascii="Arial" w:hAnsi="Arial" w:cs="Arial"/>
                <w:b/>
                <w:i/>
                <w:lang w:val="en-US"/>
              </w:rPr>
            </w:pPr>
          </w:p>
        </w:tc>
        <w:tc>
          <w:tcPr>
            <w:tcW w:w="1341" w:type="dxa"/>
          </w:tcPr>
          <w:p w:rsidR="00557E75" w:rsidRPr="00884CBA" w:rsidRDefault="00557E75" w:rsidP="00A1756F">
            <w:pPr>
              <w:jc w:val="center"/>
              <w:cnfStyle w:val="000000000000"/>
              <w:rPr>
                <w:rFonts w:ascii="Arial" w:hAnsi="Arial" w:cs="Arial"/>
                <w:b/>
                <w:i/>
                <w:lang w:val="en-US"/>
              </w:rPr>
            </w:pPr>
          </w:p>
        </w:tc>
      </w:tr>
      <w:tr w:rsidR="00557E75" w:rsidTr="00FD6E94">
        <w:trPr>
          <w:trHeight w:val="410"/>
        </w:trPr>
        <w:tc>
          <w:tcPr>
            <w:cnfStyle w:val="001000000000"/>
            <w:tcW w:w="1462" w:type="dxa"/>
          </w:tcPr>
          <w:p w:rsidR="00557E75" w:rsidRPr="00884CBA" w:rsidRDefault="00557E75" w:rsidP="00A1756F">
            <w:pPr>
              <w:autoSpaceDE w:val="0"/>
              <w:autoSpaceDN w:val="0"/>
              <w:adjustRightInd w:val="0"/>
              <w:jc w:val="center"/>
              <w:rPr>
                <w:rFonts w:ascii="Arial" w:hAnsi="Arial" w:cs="Arial"/>
                <w:color w:val="000000"/>
                <w:sz w:val="20"/>
                <w:szCs w:val="18"/>
              </w:rPr>
            </w:pPr>
          </w:p>
        </w:tc>
        <w:tc>
          <w:tcPr>
            <w:tcW w:w="1258" w:type="dxa"/>
          </w:tcPr>
          <w:p w:rsidR="00557E75" w:rsidRPr="00884CBA" w:rsidRDefault="00557E75" w:rsidP="00A1756F">
            <w:pPr>
              <w:autoSpaceDE w:val="0"/>
              <w:autoSpaceDN w:val="0"/>
              <w:adjustRightInd w:val="0"/>
              <w:ind w:right="10"/>
              <w:jc w:val="center"/>
              <w:cnfStyle w:val="000000000000"/>
              <w:rPr>
                <w:rFonts w:ascii="Arial" w:hAnsi="Arial" w:cs="Arial"/>
                <w:color w:val="000000"/>
                <w:sz w:val="20"/>
                <w:szCs w:val="18"/>
                <w:lang w:val="en-GB"/>
              </w:rPr>
            </w:pPr>
          </w:p>
        </w:tc>
        <w:tc>
          <w:tcPr>
            <w:tcW w:w="1499" w:type="dxa"/>
          </w:tcPr>
          <w:p w:rsidR="00557E75" w:rsidRPr="00884CBA" w:rsidRDefault="00557E75" w:rsidP="00A00E69">
            <w:pPr>
              <w:autoSpaceDE w:val="0"/>
              <w:autoSpaceDN w:val="0"/>
              <w:adjustRightInd w:val="0"/>
              <w:ind w:right="10"/>
              <w:jc w:val="center"/>
              <w:cnfStyle w:val="000000000000"/>
              <w:rPr>
                <w:rFonts w:ascii="Arial" w:hAnsi="Arial" w:cs="Arial"/>
                <w:color w:val="000000"/>
                <w:sz w:val="18"/>
                <w:szCs w:val="18"/>
                <w:lang w:val="en-US"/>
              </w:rPr>
            </w:pPr>
            <w:r>
              <w:rPr>
                <w:rFonts w:ascii="Arial" w:hAnsi="Arial" w:cs="Arial"/>
                <w:color w:val="000000"/>
                <w:sz w:val="18"/>
                <w:szCs w:val="18"/>
                <w:lang w:val="en-US"/>
              </w:rPr>
              <w:t>(</w:t>
            </w:r>
            <w:r w:rsidR="00FD6E94">
              <w:rPr>
                <w:rFonts w:ascii="Arial" w:hAnsi="Arial" w:cs="Arial"/>
                <w:color w:val="000000"/>
                <w:sz w:val="18"/>
                <w:szCs w:val="18"/>
                <w:lang w:val="en-US"/>
              </w:rPr>
              <w:t>0.122</w:t>
            </w:r>
            <w:r>
              <w:rPr>
                <w:rFonts w:ascii="Arial" w:hAnsi="Arial" w:cs="Arial"/>
                <w:color w:val="000000"/>
                <w:sz w:val="18"/>
                <w:szCs w:val="18"/>
                <w:lang w:val="en-US"/>
              </w:rPr>
              <w:t>)</w:t>
            </w:r>
          </w:p>
        </w:tc>
        <w:tc>
          <w:tcPr>
            <w:tcW w:w="1222" w:type="dxa"/>
          </w:tcPr>
          <w:p w:rsidR="00557E75" w:rsidRPr="00884CBA" w:rsidRDefault="00A00E69" w:rsidP="00A1756F">
            <w:pPr>
              <w:autoSpaceDE w:val="0"/>
              <w:autoSpaceDN w:val="0"/>
              <w:adjustRightInd w:val="0"/>
              <w:ind w:right="10"/>
              <w:jc w:val="center"/>
              <w:cnfStyle w:val="000000000000"/>
              <w:rPr>
                <w:rFonts w:ascii="Arial" w:hAnsi="Arial" w:cs="Arial"/>
                <w:color w:val="000000"/>
                <w:sz w:val="18"/>
                <w:szCs w:val="18"/>
                <w:lang w:val="en-GB"/>
              </w:rPr>
            </w:pPr>
            <w:r>
              <w:rPr>
                <w:rFonts w:ascii="Arial" w:hAnsi="Arial" w:cs="Arial"/>
                <w:color w:val="000000"/>
                <w:sz w:val="18"/>
                <w:szCs w:val="18"/>
                <w:lang w:val="en-GB"/>
              </w:rPr>
              <w:t>(0.126</w:t>
            </w:r>
            <w:r w:rsidR="00557E75" w:rsidRPr="00884CBA">
              <w:rPr>
                <w:rFonts w:ascii="Arial" w:hAnsi="Arial" w:cs="Arial"/>
                <w:color w:val="000000"/>
                <w:sz w:val="18"/>
                <w:szCs w:val="18"/>
                <w:lang w:val="en-GB"/>
              </w:rPr>
              <w:t>)</w:t>
            </w:r>
          </w:p>
        </w:tc>
        <w:tc>
          <w:tcPr>
            <w:tcW w:w="1341" w:type="dxa"/>
          </w:tcPr>
          <w:p w:rsidR="00557E75" w:rsidRPr="00884CBA" w:rsidRDefault="00557E75" w:rsidP="00A1756F">
            <w:pPr>
              <w:autoSpaceDE w:val="0"/>
              <w:autoSpaceDN w:val="0"/>
              <w:adjustRightInd w:val="0"/>
              <w:ind w:right="10"/>
              <w:jc w:val="center"/>
              <w:cnfStyle w:val="000000000000"/>
              <w:rPr>
                <w:rFonts w:ascii="Arial" w:hAnsi="Arial" w:cs="Arial"/>
                <w:color w:val="000000"/>
                <w:sz w:val="20"/>
                <w:szCs w:val="18"/>
                <w:lang w:val="en-GB"/>
              </w:rPr>
            </w:pPr>
          </w:p>
        </w:tc>
        <w:tc>
          <w:tcPr>
            <w:tcW w:w="1341" w:type="dxa"/>
          </w:tcPr>
          <w:p w:rsidR="00557E75" w:rsidRPr="00884CBA" w:rsidRDefault="00557E75" w:rsidP="00A1756F">
            <w:pPr>
              <w:jc w:val="center"/>
              <w:cnfStyle w:val="000000000000"/>
              <w:rPr>
                <w:rFonts w:ascii="Arial" w:hAnsi="Arial" w:cs="Arial"/>
                <w:b/>
                <w:i/>
                <w:lang w:val="en-US"/>
              </w:rPr>
            </w:pPr>
          </w:p>
        </w:tc>
        <w:tc>
          <w:tcPr>
            <w:tcW w:w="1341" w:type="dxa"/>
          </w:tcPr>
          <w:p w:rsidR="00557E75" w:rsidRPr="00884CBA" w:rsidRDefault="00557E75" w:rsidP="00A1756F">
            <w:pPr>
              <w:jc w:val="center"/>
              <w:cnfStyle w:val="000000000000"/>
              <w:rPr>
                <w:rFonts w:ascii="Arial" w:hAnsi="Arial" w:cs="Arial"/>
                <w:b/>
                <w:i/>
                <w:lang w:val="en-US"/>
              </w:rPr>
            </w:pPr>
          </w:p>
        </w:tc>
      </w:tr>
      <w:tr w:rsidR="00557E75" w:rsidTr="00FD6E94">
        <w:tc>
          <w:tcPr>
            <w:cnfStyle w:val="001000000000"/>
            <w:tcW w:w="1462" w:type="dxa"/>
          </w:tcPr>
          <w:p w:rsidR="00557E75" w:rsidRPr="00884CBA" w:rsidRDefault="00557E75" w:rsidP="00A1756F">
            <w:pPr>
              <w:autoSpaceDE w:val="0"/>
              <w:autoSpaceDN w:val="0"/>
              <w:adjustRightInd w:val="0"/>
              <w:jc w:val="center"/>
              <w:rPr>
                <w:rFonts w:ascii="Arial" w:hAnsi="Arial" w:cs="Arial"/>
                <w:color w:val="000000"/>
                <w:sz w:val="20"/>
                <w:szCs w:val="18"/>
              </w:rPr>
            </w:pPr>
            <w:r w:rsidRPr="00884CBA">
              <w:rPr>
                <w:rFonts w:ascii="Arial" w:hAnsi="Arial" w:cs="Arial"/>
                <w:color w:val="000000"/>
                <w:sz w:val="20"/>
                <w:szCs w:val="18"/>
              </w:rPr>
              <w:t>PDI</w:t>
            </w:r>
          </w:p>
        </w:tc>
        <w:tc>
          <w:tcPr>
            <w:tcW w:w="1258" w:type="dxa"/>
          </w:tcPr>
          <w:p w:rsidR="00557E75" w:rsidRPr="00884CBA" w:rsidRDefault="00557E75" w:rsidP="00A1756F">
            <w:pPr>
              <w:autoSpaceDE w:val="0"/>
              <w:autoSpaceDN w:val="0"/>
              <w:adjustRightInd w:val="0"/>
              <w:ind w:right="10"/>
              <w:jc w:val="center"/>
              <w:cnfStyle w:val="000000000000"/>
              <w:rPr>
                <w:rFonts w:ascii="Arial" w:hAnsi="Arial" w:cs="Arial"/>
                <w:color w:val="000000"/>
                <w:sz w:val="20"/>
                <w:szCs w:val="18"/>
              </w:rPr>
            </w:pPr>
            <w:r w:rsidRPr="00884CBA">
              <w:rPr>
                <w:rFonts w:ascii="Arial" w:hAnsi="Arial" w:cs="Arial"/>
                <w:color w:val="000000"/>
                <w:sz w:val="20"/>
                <w:szCs w:val="18"/>
              </w:rPr>
              <w:t>+</w:t>
            </w:r>
          </w:p>
        </w:tc>
        <w:tc>
          <w:tcPr>
            <w:tcW w:w="1499" w:type="dxa"/>
          </w:tcPr>
          <w:p w:rsidR="00557E75" w:rsidRPr="00884CBA" w:rsidRDefault="00557E75" w:rsidP="00A00E69">
            <w:pPr>
              <w:autoSpaceDE w:val="0"/>
              <w:autoSpaceDN w:val="0"/>
              <w:adjustRightInd w:val="0"/>
              <w:ind w:right="10"/>
              <w:jc w:val="center"/>
              <w:cnfStyle w:val="000000000000"/>
              <w:rPr>
                <w:rFonts w:ascii="Arial" w:hAnsi="Arial" w:cs="Arial"/>
                <w:color w:val="000000"/>
                <w:sz w:val="18"/>
                <w:szCs w:val="18"/>
              </w:rPr>
            </w:pPr>
            <w:r w:rsidRPr="00884CBA">
              <w:rPr>
                <w:rFonts w:ascii="Arial" w:hAnsi="Arial" w:cs="Arial"/>
                <w:color w:val="000000"/>
                <w:sz w:val="18"/>
                <w:szCs w:val="18"/>
              </w:rPr>
              <w:t>-</w:t>
            </w:r>
            <w:r w:rsidR="00A00E69">
              <w:rPr>
                <w:rFonts w:ascii="Arial" w:hAnsi="Arial" w:cs="Arial"/>
                <w:color w:val="000000"/>
                <w:sz w:val="18"/>
                <w:szCs w:val="18"/>
              </w:rPr>
              <w:t>0.096</w:t>
            </w:r>
          </w:p>
        </w:tc>
        <w:tc>
          <w:tcPr>
            <w:tcW w:w="1222" w:type="dxa"/>
          </w:tcPr>
          <w:p w:rsidR="00557E75" w:rsidRPr="00884CBA" w:rsidRDefault="00557E75" w:rsidP="00A1756F">
            <w:pPr>
              <w:autoSpaceDE w:val="0"/>
              <w:autoSpaceDN w:val="0"/>
              <w:adjustRightInd w:val="0"/>
              <w:ind w:right="10"/>
              <w:jc w:val="center"/>
              <w:cnfStyle w:val="000000000000"/>
              <w:rPr>
                <w:rFonts w:ascii="Arial" w:hAnsi="Arial" w:cs="Arial"/>
                <w:color w:val="000000"/>
                <w:sz w:val="18"/>
                <w:szCs w:val="18"/>
              </w:rPr>
            </w:pPr>
          </w:p>
        </w:tc>
        <w:tc>
          <w:tcPr>
            <w:tcW w:w="1341" w:type="dxa"/>
          </w:tcPr>
          <w:p w:rsidR="00557E75" w:rsidRPr="00884CBA" w:rsidRDefault="00FD6E94" w:rsidP="00A1756F">
            <w:pPr>
              <w:autoSpaceDE w:val="0"/>
              <w:autoSpaceDN w:val="0"/>
              <w:adjustRightInd w:val="0"/>
              <w:ind w:right="10"/>
              <w:jc w:val="center"/>
              <w:cnfStyle w:val="000000000000"/>
              <w:rPr>
                <w:rFonts w:ascii="Arial" w:hAnsi="Arial" w:cs="Arial"/>
                <w:color w:val="000000"/>
                <w:sz w:val="18"/>
                <w:szCs w:val="18"/>
                <w:lang w:val="en-GB"/>
              </w:rPr>
            </w:pPr>
            <w:r>
              <w:rPr>
                <w:rFonts w:ascii="Arial" w:hAnsi="Arial" w:cs="Arial"/>
                <w:color w:val="000000"/>
                <w:sz w:val="18"/>
                <w:szCs w:val="18"/>
                <w:lang w:val="en-GB"/>
              </w:rPr>
              <w:t>-0.092</w:t>
            </w:r>
          </w:p>
        </w:tc>
        <w:tc>
          <w:tcPr>
            <w:tcW w:w="1341" w:type="dxa"/>
          </w:tcPr>
          <w:p w:rsidR="00557E75" w:rsidRPr="00884CBA" w:rsidRDefault="00557E75" w:rsidP="00A1756F">
            <w:pPr>
              <w:jc w:val="center"/>
              <w:cnfStyle w:val="000000000000"/>
              <w:rPr>
                <w:rFonts w:ascii="Arial" w:hAnsi="Arial" w:cs="Arial"/>
                <w:b/>
                <w:i/>
                <w:lang w:val="en-US"/>
              </w:rPr>
            </w:pPr>
          </w:p>
        </w:tc>
        <w:tc>
          <w:tcPr>
            <w:tcW w:w="1341" w:type="dxa"/>
          </w:tcPr>
          <w:p w:rsidR="00557E75" w:rsidRPr="00884CBA" w:rsidRDefault="00557E75" w:rsidP="00A1756F">
            <w:pPr>
              <w:jc w:val="center"/>
              <w:cnfStyle w:val="000000000000"/>
              <w:rPr>
                <w:rFonts w:ascii="Arial" w:hAnsi="Arial" w:cs="Arial"/>
                <w:b/>
                <w:i/>
                <w:lang w:val="en-US"/>
              </w:rPr>
            </w:pPr>
          </w:p>
        </w:tc>
      </w:tr>
      <w:tr w:rsidR="00557E75" w:rsidTr="00FD6E94">
        <w:trPr>
          <w:trHeight w:val="460"/>
        </w:trPr>
        <w:tc>
          <w:tcPr>
            <w:cnfStyle w:val="001000000000"/>
            <w:tcW w:w="1462" w:type="dxa"/>
          </w:tcPr>
          <w:p w:rsidR="00557E75" w:rsidRPr="00884CBA" w:rsidRDefault="00557E75" w:rsidP="00A1756F">
            <w:pPr>
              <w:autoSpaceDE w:val="0"/>
              <w:autoSpaceDN w:val="0"/>
              <w:adjustRightInd w:val="0"/>
              <w:jc w:val="center"/>
              <w:rPr>
                <w:rFonts w:ascii="Arial" w:hAnsi="Arial" w:cs="Arial"/>
                <w:color w:val="000000"/>
                <w:sz w:val="20"/>
                <w:szCs w:val="18"/>
              </w:rPr>
            </w:pPr>
          </w:p>
        </w:tc>
        <w:tc>
          <w:tcPr>
            <w:tcW w:w="1258" w:type="dxa"/>
          </w:tcPr>
          <w:p w:rsidR="00557E75" w:rsidRPr="00884CBA" w:rsidRDefault="00557E75" w:rsidP="00A1756F">
            <w:pPr>
              <w:autoSpaceDE w:val="0"/>
              <w:autoSpaceDN w:val="0"/>
              <w:adjustRightInd w:val="0"/>
              <w:ind w:right="10"/>
              <w:jc w:val="center"/>
              <w:cnfStyle w:val="000000000000"/>
              <w:rPr>
                <w:rFonts w:ascii="Arial" w:hAnsi="Arial" w:cs="Arial"/>
                <w:color w:val="000000"/>
                <w:sz w:val="20"/>
                <w:szCs w:val="18"/>
              </w:rPr>
            </w:pPr>
          </w:p>
        </w:tc>
        <w:tc>
          <w:tcPr>
            <w:tcW w:w="1499" w:type="dxa"/>
          </w:tcPr>
          <w:p w:rsidR="00557E75" w:rsidRPr="00884CBA" w:rsidRDefault="00557E75" w:rsidP="00A1756F">
            <w:pPr>
              <w:autoSpaceDE w:val="0"/>
              <w:autoSpaceDN w:val="0"/>
              <w:adjustRightInd w:val="0"/>
              <w:ind w:right="10"/>
              <w:jc w:val="center"/>
              <w:cnfStyle w:val="000000000000"/>
              <w:rPr>
                <w:rFonts w:ascii="Arial" w:hAnsi="Arial" w:cs="Arial"/>
                <w:color w:val="000000"/>
                <w:sz w:val="18"/>
                <w:szCs w:val="18"/>
              </w:rPr>
            </w:pPr>
            <w:r>
              <w:rPr>
                <w:rFonts w:ascii="Arial" w:hAnsi="Arial" w:cs="Arial"/>
                <w:color w:val="000000"/>
                <w:sz w:val="18"/>
                <w:szCs w:val="18"/>
              </w:rPr>
              <w:t>(</w:t>
            </w:r>
            <w:r w:rsidR="00A00E69">
              <w:rPr>
                <w:rFonts w:ascii="Arial" w:hAnsi="Arial" w:cs="Arial"/>
                <w:color w:val="000000"/>
                <w:sz w:val="18"/>
                <w:szCs w:val="18"/>
              </w:rPr>
              <w:t>0.102</w:t>
            </w:r>
            <w:r>
              <w:rPr>
                <w:rFonts w:ascii="Arial" w:hAnsi="Arial" w:cs="Arial"/>
                <w:color w:val="000000"/>
                <w:sz w:val="18"/>
                <w:szCs w:val="18"/>
              </w:rPr>
              <w:t>)</w:t>
            </w:r>
          </w:p>
        </w:tc>
        <w:tc>
          <w:tcPr>
            <w:tcW w:w="1222" w:type="dxa"/>
          </w:tcPr>
          <w:p w:rsidR="00557E75" w:rsidRPr="00884CBA" w:rsidRDefault="00557E75" w:rsidP="00A1756F">
            <w:pPr>
              <w:autoSpaceDE w:val="0"/>
              <w:autoSpaceDN w:val="0"/>
              <w:adjustRightInd w:val="0"/>
              <w:spacing w:line="240" w:lineRule="exact"/>
              <w:ind w:right="10"/>
              <w:contextualSpacing/>
              <w:jc w:val="center"/>
              <w:cnfStyle w:val="000000000000"/>
              <w:rPr>
                <w:rFonts w:ascii="Arial" w:hAnsi="Arial" w:cs="Arial"/>
                <w:color w:val="000000"/>
                <w:sz w:val="18"/>
                <w:szCs w:val="18"/>
              </w:rPr>
            </w:pPr>
          </w:p>
        </w:tc>
        <w:tc>
          <w:tcPr>
            <w:tcW w:w="1341" w:type="dxa"/>
          </w:tcPr>
          <w:p w:rsidR="00557E75" w:rsidRPr="00884CBA" w:rsidRDefault="00557E75" w:rsidP="00A1756F">
            <w:pPr>
              <w:autoSpaceDE w:val="0"/>
              <w:autoSpaceDN w:val="0"/>
              <w:adjustRightInd w:val="0"/>
              <w:ind w:right="10"/>
              <w:jc w:val="center"/>
              <w:cnfStyle w:val="000000000000"/>
              <w:rPr>
                <w:rFonts w:ascii="Arial" w:hAnsi="Arial" w:cs="Arial"/>
                <w:color w:val="000000"/>
                <w:sz w:val="18"/>
                <w:szCs w:val="18"/>
              </w:rPr>
            </w:pPr>
            <w:r w:rsidRPr="00884CBA">
              <w:rPr>
                <w:rFonts w:ascii="Arial" w:hAnsi="Arial" w:cs="Arial"/>
                <w:color w:val="000000"/>
                <w:sz w:val="18"/>
                <w:szCs w:val="18"/>
                <w:lang w:val="en-GB"/>
              </w:rPr>
              <w:t>(0.1</w:t>
            </w:r>
            <w:r w:rsidR="00A00E69">
              <w:rPr>
                <w:rFonts w:ascii="Arial" w:hAnsi="Arial" w:cs="Arial"/>
                <w:color w:val="000000"/>
                <w:sz w:val="18"/>
                <w:szCs w:val="18"/>
              </w:rPr>
              <w:t>13</w:t>
            </w:r>
            <w:r w:rsidRPr="00884CBA">
              <w:rPr>
                <w:rFonts w:ascii="Arial" w:hAnsi="Arial" w:cs="Arial"/>
                <w:color w:val="000000"/>
                <w:sz w:val="18"/>
                <w:szCs w:val="18"/>
              </w:rPr>
              <w:t>)</w:t>
            </w:r>
          </w:p>
        </w:tc>
        <w:tc>
          <w:tcPr>
            <w:tcW w:w="1341" w:type="dxa"/>
          </w:tcPr>
          <w:p w:rsidR="00557E75" w:rsidRPr="00884CBA" w:rsidRDefault="00557E75" w:rsidP="00A1756F">
            <w:pPr>
              <w:jc w:val="center"/>
              <w:cnfStyle w:val="000000000000"/>
              <w:rPr>
                <w:rFonts w:ascii="Arial" w:hAnsi="Arial" w:cs="Arial"/>
                <w:b/>
                <w:i/>
                <w:lang w:val="en-US"/>
              </w:rPr>
            </w:pPr>
          </w:p>
        </w:tc>
        <w:tc>
          <w:tcPr>
            <w:tcW w:w="1341" w:type="dxa"/>
          </w:tcPr>
          <w:p w:rsidR="00557E75" w:rsidRPr="00884CBA" w:rsidRDefault="00557E75" w:rsidP="00A1756F">
            <w:pPr>
              <w:jc w:val="center"/>
              <w:cnfStyle w:val="000000000000"/>
              <w:rPr>
                <w:rFonts w:ascii="Arial" w:hAnsi="Arial" w:cs="Arial"/>
                <w:b/>
                <w:i/>
                <w:lang w:val="en-US"/>
              </w:rPr>
            </w:pPr>
          </w:p>
        </w:tc>
      </w:tr>
      <w:tr w:rsidR="00557E75" w:rsidTr="00FD6E94">
        <w:tc>
          <w:tcPr>
            <w:cnfStyle w:val="001000000000"/>
            <w:tcW w:w="1462" w:type="dxa"/>
          </w:tcPr>
          <w:p w:rsidR="00557E75" w:rsidRPr="00884CBA" w:rsidRDefault="00557E75" w:rsidP="00A1756F">
            <w:pPr>
              <w:autoSpaceDE w:val="0"/>
              <w:autoSpaceDN w:val="0"/>
              <w:adjustRightInd w:val="0"/>
              <w:jc w:val="center"/>
              <w:rPr>
                <w:rFonts w:ascii="Arial" w:hAnsi="Arial" w:cs="Arial"/>
                <w:color w:val="000000"/>
                <w:sz w:val="20"/>
                <w:szCs w:val="18"/>
              </w:rPr>
            </w:pPr>
            <w:r w:rsidRPr="00884CBA">
              <w:rPr>
                <w:rFonts w:ascii="Arial" w:hAnsi="Arial" w:cs="Arial"/>
                <w:color w:val="000000"/>
                <w:sz w:val="20"/>
                <w:szCs w:val="18"/>
              </w:rPr>
              <w:t>MASC</w:t>
            </w:r>
          </w:p>
        </w:tc>
        <w:tc>
          <w:tcPr>
            <w:tcW w:w="1258" w:type="dxa"/>
          </w:tcPr>
          <w:p w:rsidR="00557E75" w:rsidRPr="00884CBA" w:rsidRDefault="00557E75" w:rsidP="00A1756F">
            <w:pPr>
              <w:autoSpaceDE w:val="0"/>
              <w:autoSpaceDN w:val="0"/>
              <w:adjustRightInd w:val="0"/>
              <w:ind w:right="10"/>
              <w:jc w:val="center"/>
              <w:cnfStyle w:val="000000000000"/>
              <w:rPr>
                <w:rFonts w:ascii="Arial" w:hAnsi="Arial" w:cs="Arial"/>
                <w:color w:val="000000"/>
                <w:sz w:val="20"/>
                <w:szCs w:val="18"/>
              </w:rPr>
            </w:pPr>
            <w:r w:rsidRPr="00884CBA">
              <w:rPr>
                <w:rFonts w:ascii="Arial" w:hAnsi="Arial" w:cs="Arial"/>
                <w:color w:val="000000"/>
                <w:sz w:val="20"/>
                <w:szCs w:val="18"/>
              </w:rPr>
              <w:t>+</w:t>
            </w:r>
          </w:p>
        </w:tc>
        <w:tc>
          <w:tcPr>
            <w:tcW w:w="1499" w:type="dxa"/>
          </w:tcPr>
          <w:p w:rsidR="00557E75" w:rsidRPr="00884CBA" w:rsidRDefault="00557E75" w:rsidP="00A00E69">
            <w:pPr>
              <w:autoSpaceDE w:val="0"/>
              <w:autoSpaceDN w:val="0"/>
              <w:adjustRightInd w:val="0"/>
              <w:ind w:right="10"/>
              <w:jc w:val="center"/>
              <w:cnfStyle w:val="000000000000"/>
              <w:rPr>
                <w:rFonts w:ascii="Arial" w:hAnsi="Arial" w:cs="Arial"/>
                <w:color w:val="000000"/>
                <w:sz w:val="20"/>
                <w:szCs w:val="18"/>
              </w:rPr>
            </w:pPr>
            <w:r w:rsidRPr="00884CBA">
              <w:rPr>
                <w:rFonts w:ascii="Arial" w:hAnsi="Arial" w:cs="Arial"/>
                <w:color w:val="000000"/>
                <w:sz w:val="18"/>
                <w:szCs w:val="18"/>
                <w:lang w:val="en-US"/>
              </w:rPr>
              <w:t>-0.076</w:t>
            </w:r>
          </w:p>
        </w:tc>
        <w:tc>
          <w:tcPr>
            <w:tcW w:w="1222" w:type="dxa"/>
          </w:tcPr>
          <w:p w:rsidR="00557E75" w:rsidRPr="00884CBA" w:rsidRDefault="00557E75" w:rsidP="00A1756F">
            <w:pPr>
              <w:autoSpaceDE w:val="0"/>
              <w:autoSpaceDN w:val="0"/>
              <w:adjustRightInd w:val="0"/>
              <w:jc w:val="center"/>
              <w:cnfStyle w:val="000000000000"/>
              <w:rPr>
                <w:rFonts w:ascii="Arial" w:hAnsi="Arial" w:cs="Arial"/>
                <w:color w:val="000000"/>
                <w:sz w:val="20"/>
                <w:szCs w:val="18"/>
              </w:rPr>
            </w:pPr>
          </w:p>
        </w:tc>
        <w:tc>
          <w:tcPr>
            <w:tcW w:w="1341" w:type="dxa"/>
          </w:tcPr>
          <w:p w:rsidR="00557E75" w:rsidRPr="00884CBA" w:rsidRDefault="00557E75" w:rsidP="00A1756F">
            <w:pPr>
              <w:autoSpaceDE w:val="0"/>
              <w:autoSpaceDN w:val="0"/>
              <w:adjustRightInd w:val="0"/>
              <w:ind w:right="10"/>
              <w:jc w:val="center"/>
              <w:cnfStyle w:val="000000000000"/>
              <w:rPr>
                <w:rFonts w:ascii="Arial" w:hAnsi="Arial" w:cs="Arial"/>
                <w:color w:val="000000"/>
                <w:sz w:val="20"/>
                <w:szCs w:val="18"/>
              </w:rPr>
            </w:pPr>
          </w:p>
        </w:tc>
        <w:tc>
          <w:tcPr>
            <w:tcW w:w="1341" w:type="dxa"/>
          </w:tcPr>
          <w:p w:rsidR="00557E75" w:rsidRPr="00884CBA" w:rsidRDefault="00A00E69" w:rsidP="00A1756F">
            <w:pPr>
              <w:autoSpaceDE w:val="0"/>
              <w:autoSpaceDN w:val="0"/>
              <w:adjustRightInd w:val="0"/>
              <w:ind w:right="10"/>
              <w:jc w:val="center"/>
              <w:cnfStyle w:val="000000000000"/>
              <w:rPr>
                <w:rFonts w:ascii="Arial" w:hAnsi="Arial" w:cs="Arial"/>
                <w:color w:val="000000"/>
                <w:sz w:val="18"/>
                <w:szCs w:val="18"/>
              </w:rPr>
            </w:pPr>
            <w:r>
              <w:rPr>
                <w:rFonts w:ascii="Arial" w:hAnsi="Arial" w:cs="Arial"/>
                <w:color w:val="000000"/>
                <w:sz w:val="18"/>
                <w:szCs w:val="18"/>
              </w:rPr>
              <w:t>-0.00</w:t>
            </w:r>
            <w:r w:rsidR="00FD6E94">
              <w:rPr>
                <w:rFonts w:ascii="Arial" w:hAnsi="Arial" w:cs="Arial"/>
                <w:color w:val="000000"/>
                <w:sz w:val="18"/>
                <w:szCs w:val="18"/>
              </w:rPr>
              <w:t>8</w:t>
            </w:r>
          </w:p>
        </w:tc>
        <w:tc>
          <w:tcPr>
            <w:tcW w:w="1341" w:type="dxa"/>
          </w:tcPr>
          <w:p w:rsidR="00557E75" w:rsidRPr="00884CBA" w:rsidRDefault="00557E75" w:rsidP="00A1756F">
            <w:pPr>
              <w:jc w:val="center"/>
              <w:cnfStyle w:val="000000000000"/>
              <w:rPr>
                <w:rFonts w:ascii="Arial" w:hAnsi="Arial" w:cs="Arial"/>
                <w:b/>
                <w:i/>
                <w:lang w:val="en-US"/>
              </w:rPr>
            </w:pPr>
          </w:p>
        </w:tc>
      </w:tr>
      <w:tr w:rsidR="00557E75" w:rsidTr="00FD6E94">
        <w:trPr>
          <w:trHeight w:val="454"/>
        </w:trPr>
        <w:tc>
          <w:tcPr>
            <w:cnfStyle w:val="001000000000"/>
            <w:tcW w:w="1462" w:type="dxa"/>
          </w:tcPr>
          <w:p w:rsidR="00557E75" w:rsidRPr="00884CBA" w:rsidRDefault="00557E75" w:rsidP="00A1756F">
            <w:pPr>
              <w:autoSpaceDE w:val="0"/>
              <w:autoSpaceDN w:val="0"/>
              <w:adjustRightInd w:val="0"/>
              <w:jc w:val="center"/>
              <w:rPr>
                <w:rFonts w:ascii="Arial" w:hAnsi="Arial" w:cs="Arial"/>
                <w:color w:val="000000"/>
                <w:sz w:val="20"/>
                <w:szCs w:val="18"/>
              </w:rPr>
            </w:pPr>
          </w:p>
        </w:tc>
        <w:tc>
          <w:tcPr>
            <w:tcW w:w="1258" w:type="dxa"/>
          </w:tcPr>
          <w:p w:rsidR="00557E75" w:rsidRPr="00884CBA" w:rsidRDefault="00557E75" w:rsidP="00A1756F">
            <w:pPr>
              <w:autoSpaceDE w:val="0"/>
              <w:autoSpaceDN w:val="0"/>
              <w:adjustRightInd w:val="0"/>
              <w:ind w:right="10"/>
              <w:jc w:val="center"/>
              <w:cnfStyle w:val="000000000000"/>
              <w:rPr>
                <w:rFonts w:ascii="Arial" w:hAnsi="Arial" w:cs="Arial"/>
                <w:color w:val="000000"/>
                <w:sz w:val="20"/>
                <w:szCs w:val="18"/>
              </w:rPr>
            </w:pPr>
          </w:p>
        </w:tc>
        <w:tc>
          <w:tcPr>
            <w:tcW w:w="1499" w:type="dxa"/>
          </w:tcPr>
          <w:p w:rsidR="00557E75" w:rsidRPr="00FD6E94" w:rsidRDefault="00557E75" w:rsidP="00FD6E94">
            <w:pPr>
              <w:autoSpaceDE w:val="0"/>
              <w:autoSpaceDN w:val="0"/>
              <w:adjustRightInd w:val="0"/>
              <w:jc w:val="center"/>
              <w:cnfStyle w:val="000000000000"/>
              <w:rPr>
                <w:rFonts w:ascii="Arial" w:hAnsi="Arial" w:cs="Arial"/>
                <w:color w:val="000000"/>
                <w:sz w:val="18"/>
                <w:szCs w:val="18"/>
              </w:rPr>
            </w:pPr>
            <w:r w:rsidRPr="00FD6E94">
              <w:rPr>
                <w:rFonts w:ascii="Arial" w:hAnsi="Arial" w:cs="Arial"/>
                <w:color w:val="000000"/>
                <w:sz w:val="18"/>
                <w:szCs w:val="18"/>
              </w:rPr>
              <w:t>(0.08</w:t>
            </w:r>
            <w:r w:rsidR="00A00E69">
              <w:rPr>
                <w:rFonts w:ascii="Arial" w:hAnsi="Arial" w:cs="Arial"/>
                <w:color w:val="000000"/>
                <w:sz w:val="18"/>
                <w:szCs w:val="18"/>
              </w:rPr>
              <w:t>9</w:t>
            </w:r>
            <w:r>
              <w:rPr>
                <w:rFonts w:ascii="Arial" w:hAnsi="Arial" w:cs="Arial"/>
                <w:color w:val="000000"/>
                <w:sz w:val="18"/>
                <w:szCs w:val="18"/>
              </w:rPr>
              <w:t>)</w:t>
            </w:r>
          </w:p>
        </w:tc>
        <w:tc>
          <w:tcPr>
            <w:tcW w:w="1222" w:type="dxa"/>
          </w:tcPr>
          <w:p w:rsidR="00557E75" w:rsidRPr="00FD6E94" w:rsidRDefault="00557E75" w:rsidP="00FD6E94">
            <w:pPr>
              <w:autoSpaceDE w:val="0"/>
              <w:autoSpaceDN w:val="0"/>
              <w:adjustRightInd w:val="0"/>
              <w:jc w:val="center"/>
              <w:cnfStyle w:val="000000000000"/>
              <w:rPr>
                <w:rFonts w:ascii="Arial" w:hAnsi="Arial" w:cs="Arial"/>
                <w:color w:val="000000"/>
                <w:sz w:val="18"/>
                <w:szCs w:val="18"/>
              </w:rPr>
            </w:pPr>
          </w:p>
        </w:tc>
        <w:tc>
          <w:tcPr>
            <w:tcW w:w="1341" w:type="dxa"/>
          </w:tcPr>
          <w:p w:rsidR="00557E75" w:rsidRPr="00FD6E94" w:rsidRDefault="00557E75" w:rsidP="00FD6E94">
            <w:pPr>
              <w:autoSpaceDE w:val="0"/>
              <w:autoSpaceDN w:val="0"/>
              <w:adjustRightInd w:val="0"/>
              <w:jc w:val="center"/>
              <w:cnfStyle w:val="000000000000"/>
              <w:rPr>
                <w:rFonts w:ascii="Arial" w:hAnsi="Arial" w:cs="Arial"/>
                <w:color w:val="000000"/>
                <w:sz w:val="18"/>
                <w:szCs w:val="18"/>
              </w:rPr>
            </w:pPr>
          </w:p>
        </w:tc>
        <w:tc>
          <w:tcPr>
            <w:tcW w:w="1341" w:type="dxa"/>
          </w:tcPr>
          <w:p w:rsidR="00557E75" w:rsidRPr="00884CBA" w:rsidRDefault="00A00E69" w:rsidP="00FD6E94">
            <w:pPr>
              <w:autoSpaceDE w:val="0"/>
              <w:autoSpaceDN w:val="0"/>
              <w:adjustRightInd w:val="0"/>
              <w:spacing w:line="240" w:lineRule="exact"/>
              <w:contextualSpacing/>
              <w:jc w:val="center"/>
              <w:cnfStyle w:val="000000000000"/>
              <w:rPr>
                <w:rFonts w:ascii="Arial" w:hAnsi="Arial" w:cs="Arial"/>
                <w:color w:val="000000"/>
                <w:sz w:val="18"/>
                <w:szCs w:val="18"/>
              </w:rPr>
            </w:pPr>
            <w:r>
              <w:rPr>
                <w:rFonts w:ascii="Arial" w:hAnsi="Arial" w:cs="Arial"/>
                <w:color w:val="000000"/>
                <w:sz w:val="18"/>
                <w:szCs w:val="18"/>
              </w:rPr>
              <w:t>(0.088</w:t>
            </w:r>
            <w:r w:rsidR="00557E75" w:rsidRPr="00884CBA">
              <w:rPr>
                <w:rFonts w:ascii="Arial" w:hAnsi="Arial" w:cs="Arial"/>
                <w:color w:val="000000"/>
                <w:sz w:val="18"/>
                <w:szCs w:val="18"/>
              </w:rPr>
              <w:t>)</w:t>
            </w:r>
          </w:p>
        </w:tc>
        <w:tc>
          <w:tcPr>
            <w:tcW w:w="1341" w:type="dxa"/>
          </w:tcPr>
          <w:p w:rsidR="00557E75" w:rsidRPr="00FD6E94" w:rsidRDefault="00557E75" w:rsidP="00FD6E94">
            <w:pPr>
              <w:jc w:val="center"/>
              <w:cnfStyle w:val="000000000000"/>
              <w:rPr>
                <w:rFonts w:ascii="Arial" w:hAnsi="Arial" w:cs="Arial"/>
                <w:color w:val="000000"/>
                <w:sz w:val="18"/>
                <w:szCs w:val="18"/>
              </w:rPr>
            </w:pPr>
          </w:p>
        </w:tc>
      </w:tr>
      <w:tr w:rsidR="00557E75" w:rsidTr="00FD6E94">
        <w:tc>
          <w:tcPr>
            <w:cnfStyle w:val="001000000000"/>
            <w:tcW w:w="1462" w:type="dxa"/>
          </w:tcPr>
          <w:p w:rsidR="00557E75" w:rsidRPr="00884CBA" w:rsidRDefault="00557E75" w:rsidP="00A1756F">
            <w:pPr>
              <w:autoSpaceDE w:val="0"/>
              <w:autoSpaceDN w:val="0"/>
              <w:adjustRightInd w:val="0"/>
              <w:jc w:val="center"/>
              <w:rPr>
                <w:rFonts w:ascii="Arial" w:hAnsi="Arial" w:cs="Arial"/>
                <w:color w:val="000000"/>
                <w:sz w:val="20"/>
                <w:szCs w:val="18"/>
              </w:rPr>
            </w:pPr>
            <w:r w:rsidRPr="00884CBA">
              <w:rPr>
                <w:rFonts w:ascii="Arial" w:hAnsi="Arial" w:cs="Arial"/>
                <w:color w:val="000000"/>
                <w:sz w:val="20"/>
                <w:szCs w:val="18"/>
              </w:rPr>
              <w:t>UAI</w:t>
            </w:r>
          </w:p>
        </w:tc>
        <w:tc>
          <w:tcPr>
            <w:tcW w:w="1258" w:type="dxa"/>
          </w:tcPr>
          <w:p w:rsidR="00557E75" w:rsidRPr="00884CBA" w:rsidRDefault="00557E75" w:rsidP="00A1756F">
            <w:pPr>
              <w:autoSpaceDE w:val="0"/>
              <w:autoSpaceDN w:val="0"/>
              <w:adjustRightInd w:val="0"/>
              <w:ind w:right="10"/>
              <w:jc w:val="center"/>
              <w:cnfStyle w:val="000000000000"/>
              <w:rPr>
                <w:rFonts w:ascii="Arial" w:hAnsi="Arial" w:cs="Arial"/>
                <w:color w:val="000000"/>
                <w:sz w:val="20"/>
                <w:szCs w:val="18"/>
              </w:rPr>
            </w:pPr>
            <w:r w:rsidRPr="00884CBA">
              <w:rPr>
                <w:rFonts w:ascii="Arial" w:hAnsi="Arial" w:cs="Arial"/>
                <w:color w:val="000000"/>
                <w:sz w:val="20"/>
                <w:szCs w:val="18"/>
              </w:rPr>
              <w:t>-</w:t>
            </w:r>
          </w:p>
        </w:tc>
        <w:tc>
          <w:tcPr>
            <w:tcW w:w="1499" w:type="dxa"/>
          </w:tcPr>
          <w:p w:rsidR="00FD6E94" w:rsidRPr="00FD6E94" w:rsidRDefault="00A00E69" w:rsidP="00FD6E94">
            <w:pPr>
              <w:autoSpaceDE w:val="0"/>
              <w:autoSpaceDN w:val="0"/>
              <w:adjustRightInd w:val="0"/>
              <w:jc w:val="center"/>
              <w:cnfStyle w:val="000000000000"/>
              <w:rPr>
                <w:rFonts w:ascii="Arial" w:hAnsi="Arial" w:cs="Arial"/>
                <w:color w:val="000000"/>
                <w:sz w:val="18"/>
                <w:szCs w:val="18"/>
              </w:rPr>
            </w:pPr>
            <w:r>
              <w:rPr>
                <w:rFonts w:ascii="Arial" w:hAnsi="Arial" w:cs="Arial"/>
                <w:color w:val="000000"/>
                <w:sz w:val="18"/>
                <w:szCs w:val="18"/>
              </w:rPr>
              <w:t>0.267</w:t>
            </w:r>
            <w:r w:rsidR="00FD6E94">
              <w:rPr>
                <w:rFonts w:ascii="Arial" w:hAnsi="Arial" w:cs="Arial"/>
                <w:color w:val="000000"/>
                <w:sz w:val="18"/>
                <w:szCs w:val="18"/>
              </w:rPr>
              <w:t>*</w:t>
            </w:r>
          </w:p>
        </w:tc>
        <w:tc>
          <w:tcPr>
            <w:tcW w:w="1222" w:type="dxa"/>
          </w:tcPr>
          <w:p w:rsidR="00557E75" w:rsidRPr="00FD6E94" w:rsidRDefault="00557E75" w:rsidP="00FD6E94">
            <w:pPr>
              <w:autoSpaceDE w:val="0"/>
              <w:autoSpaceDN w:val="0"/>
              <w:adjustRightInd w:val="0"/>
              <w:jc w:val="center"/>
              <w:cnfStyle w:val="000000000000"/>
              <w:rPr>
                <w:rFonts w:ascii="Arial" w:hAnsi="Arial" w:cs="Arial"/>
                <w:color w:val="000000"/>
                <w:sz w:val="18"/>
                <w:szCs w:val="18"/>
              </w:rPr>
            </w:pPr>
          </w:p>
        </w:tc>
        <w:tc>
          <w:tcPr>
            <w:tcW w:w="1341" w:type="dxa"/>
          </w:tcPr>
          <w:p w:rsidR="00557E75" w:rsidRPr="00FD6E94" w:rsidRDefault="00557E75" w:rsidP="00FD6E94">
            <w:pPr>
              <w:autoSpaceDE w:val="0"/>
              <w:autoSpaceDN w:val="0"/>
              <w:adjustRightInd w:val="0"/>
              <w:jc w:val="center"/>
              <w:cnfStyle w:val="000000000000"/>
              <w:rPr>
                <w:rFonts w:ascii="Arial" w:hAnsi="Arial" w:cs="Arial"/>
                <w:color w:val="000000"/>
                <w:sz w:val="18"/>
                <w:szCs w:val="18"/>
              </w:rPr>
            </w:pPr>
          </w:p>
        </w:tc>
        <w:tc>
          <w:tcPr>
            <w:tcW w:w="1341" w:type="dxa"/>
          </w:tcPr>
          <w:p w:rsidR="00557E75" w:rsidRPr="00FD6E94" w:rsidRDefault="00557E75" w:rsidP="00FD6E94">
            <w:pPr>
              <w:jc w:val="center"/>
              <w:cnfStyle w:val="000000000000"/>
              <w:rPr>
                <w:rFonts w:ascii="Arial" w:hAnsi="Arial" w:cs="Arial"/>
                <w:color w:val="000000"/>
                <w:sz w:val="18"/>
                <w:szCs w:val="18"/>
              </w:rPr>
            </w:pPr>
          </w:p>
        </w:tc>
        <w:tc>
          <w:tcPr>
            <w:tcW w:w="1341" w:type="dxa"/>
          </w:tcPr>
          <w:p w:rsidR="00557E75" w:rsidRPr="00884CBA" w:rsidRDefault="00A00E69" w:rsidP="00FD6E94">
            <w:pPr>
              <w:autoSpaceDE w:val="0"/>
              <w:autoSpaceDN w:val="0"/>
              <w:adjustRightInd w:val="0"/>
              <w:spacing w:line="240" w:lineRule="exact"/>
              <w:contextualSpacing/>
              <w:jc w:val="center"/>
              <w:cnfStyle w:val="000000000000"/>
              <w:rPr>
                <w:rFonts w:ascii="Arial" w:hAnsi="Arial" w:cs="Arial"/>
                <w:color w:val="000000"/>
                <w:sz w:val="18"/>
                <w:szCs w:val="18"/>
              </w:rPr>
            </w:pPr>
            <w:r>
              <w:rPr>
                <w:rFonts w:ascii="Arial" w:hAnsi="Arial" w:cs="Arial"/>
                <w:color w:val="000000"/>
                <w:sz w:val="18"/>
                <w:szCs w:val="18"/>
              </w:rPr>
              <w:t>-0.005</w:t>
            </w:r>
          </w:p>
        </w:tc>
      </w:tr>
      <w:tr w:rsidR="00557E75" w:rsidTr="00FD6E94">
        <w:tc>
          <w:tcPr>
            <w:cnfStyle w:val="001000000000"/>
            <w:tcW w:w="1462" w:type="dxa"/>
          </w:tcPr>
          <w:p w:rsidR="00557E75" w:rsidRPr="00884CBA" w:rsidRDefault="00557E75" w:rsidP="00A1756F">
            <w:pPr>
              <w:autoSpaceDE w:val="0"/>
              <w:autoSpaceDN w:val="0"/>
              <w:adjustRightInd w:val="0"/>
              <w:jc w:val="center"/>
              <w:rPr>
                <w:rFonts w:ascii="Arial" w:hAnsi="Arial" w:cs="Arial"/>
                <w:color w:val="000000"/>
                <w:sz w:val="20"/>
                <w:szCs w:val="18"/>
              </w:rPr>
            </w:pPr>
          </w:p>
        </w:tc>
        <w:tc>
          <w:tcPr>
            <w:tcW w:w="1258" w:type="dxa"/>
          </w:tcPr>
          <w:p w:rsidR="00557E75" w:rsidRPr="00884CBA" w:rsidRDefault="00557E75" w:rsidP="00A1756F">
            <w:pPr>
              <w:autoSpaceDE w:val="0"/>
              <w:autoSpaceDN w:val="0"/>
              <w:adjustRightInd w:val="0"/>
              <w:ind w:right="10"/>
              <w:jc w:val="center"/>
              <w:cnfStyle w:val="000000000000"/>
              <w:rPr>
                <w:rFonts w:ascii="Arial" w:hAnsi="Arial" w:cs="Arial"/>
                <w:color w:val="000000"/>
                <w:sz w:val="20"/>
                <w:szCs w:val="18"/>
              </w:rPr>
            </w:pPr>
          </w:p>
        </w:tc>
        <w:tc>
          <w:tcPr>
            <w:tcW w:w="1499" w:type="dxa"/>
          </w:tcPr>
          <w:p w:rsidR="00557E75" w:rsidRPr="00884CBA" w:rsidRDefault="00557E75" w:rsidP="00A00E69">
            <w:pPr>
              <w:autoSpaceDE w:val="0"/>
              <w:autoSpaceDN w:val="0"/>
              <w:adjustRightInd w:val="0"/>
              <w:jc w:val="center"/>
              <w:cnfStyle w:val="000000000000"/>
              <w:rPr>
                <w:rFonts w:ascii="Arial" w:hAnsi="Arial" w:cs="Arial"/>
                <w:color w:val="000000"/>
                <w:sz w:val="18"/>
                <w:szCs w:val="18"/>
              </w:rPr>
            </w:pPr>
            <w:r>
              <w:rPr>
                <w:rFonts w:ascii="Arial" w:hAnsi="Arial" w:cs="Arial"/>
                <w:color w:val="000000"/>
                <w:sz w:val="18"/>
                <w:szCs w:val="18"/>
              </w:rPr>
              <w:t>(</w:t>
            </w:r>
            <w:r w:rsidR="00FD6E94">
              <w:rPr>
                <w:rFonts w:ascii="Arial" w:hAnsi="Arial" w:cs="Arial"/>
                <w:color w:val="000000"/>
                <w:sz w:val="18"/>
                <w:szCs w:val="18"/>
              </w:rPr>
              <w:t>0.072</w:t>
            </w:r>
            <w:r>
              <w:rPr>
                <w:rFonts w:ascii="Arial" w:hAnsi="Arial" w:cs="Arial"/>
                <w:color w:val="000000"/>
                <w:sz w:val="18"/>
                <w:szCs w:val="18"/>
              </w:rPr>
              <w:t>)</w:t>
            </w:r>
          </w:p>
        </w:tc>
        <w:tc>
          <w:tcPr>
            <w:tcW w:w="1222" w:type="dxa"/>
          </w:tcPr>
          <w:p w:rsidR="00557E75" w:rsidRPr="00FD6E94" w:rsidRDefault="00557E75" w:rsidP="00FD6E94">
            <w:pPr>
              <w:autoSpaceDE w:val="0"/>
              <w:autoSpaceDN w:val="0"/>
              <w:adjustRightInd w:val="0"/>
              <w:jc w:val="center"/>
              <w:cnfStyle w:val="000000000000"/>
              <w:rPr>
                <w:rFonts w:ascii="Arial" w:hAnsi="Arial" w:cs="Arial"/>
                <w:color w:val="000000"/>
                <w:sz w:val="18"/>
                <w:szCs w:val="18"/>
              </w:rPr>
            </w:pPr>
          </w:p>
        </w:tc>
        <w:tc>
          <w:tcPr>
            <w:tcW w:w="1341" w:type="dxa"/>
          </w:tcPr>
          <w:p w:rsidR="00557E75" w:rsidRPr="00FD6E94" w:rsidRDefault="00557E75" w:rsidP="00FD6E94">
            <w:pPr>
              <w:autoSpaceDE w:val="0"/>
              <w:autoSpaceDN w:val="0"/>
              <w:adjustRightInd w:val="0"/>
              <w:jc w:val="center"/>
              <w:cnfStyle w:val="000000000000"/>
              <w:rPr>
                <w:rFonts w:ascii="Arial" w:hAnsi="Arial" w:cs="Arial"/>
                <w:color w:val="000000"/>
                <w:sz w:val="18"/>
                <w:szCs w:val="18"/>
              </w:rPr>
            </w:pPr>
          </w:p>
        </w:tc>
        <w:tc>
          <w:tcPr>
            <w:tcW w:w="1341" w:type="dxa"/>
          </w:tcPr>
          <w:p w:rsidR="00557E75" w:rsidRPr="00FD6E94" w:rsidRDefault="00557E75" w:rsidP="00FD6E94">
            <w:pPr>
              <w:jc w:val="center"/>
              <w:cnfStyle w:val="000000000000"/>
              <w:rPr>
                <w:rFonts w:ascii="Arial" w:hAnsi="Arial" w:cs="Arial"/>
                <w:color w:val="000000"/>
                <w:sz w:val="18"/>
                <w:szCs w:val="18"/>
              </w:rPr>
            </w:pPr>
          </w:p>
        </w:tc>
        <w:tc>
          <w:tcPr>
            <w:tcW w:w="1341" w:type="dxa"/>
          </w:tcPr>
          <w:p w:rsidR="00557E75" w:rsidRPr="00884CBA" w:rsidRDefault="00A00E69" w:rsidP="00FD6E94">
            <w:pPr>
              <w:autoSpaceDE w:val="0"/>
              <w:autoSpaceDN w:val="0"/>
              <w:adjustRightInd w:val="0"/>
              <w:spacing w:line="240" w:lineRule="exact"/>
              <w:contextualSpacing/>
              <w:jc w:val="center"/>
              <w:cnfStyle w:val="000000000000"/>
              <w:rPr>
                <w:rFonts w:ascii="Arial" w:hAnsi="Arial" w:cs="Arial"/>
                <w:color w:val="000000"/>
                <w:sz w:val="18"/>
                <w:szCs w:val="18"/>
              </w:rPr>
            </w:pPr>
            <w:r>
              <w:rPr>
                <w:rFonts w:ascii="Arial" w:hAnsi="Arial" w:cs="Arial"/>
                <w:color w:val="000000"/>
                <w:sz w:val="18"/>
                <w:szCs w:val="18"/>
              </w:rPr>
              <w:t>(0.090</w:t>
            </w:r>
            <w:r w:rsidR="00557E75" w:rsidRPr="00884CBA">
              <w:rPr>
                <w:rFonts w:ascii="Arial" w:hAnsi="Arial" w:cs="Arial"/>
                <w:color w:val="000000"/>
                <w:sz w:val="18"/>
                <w:szCs w:val="18"/>
              </w:rPr>
              <w:t>)</w:t>
            </w:r>
          </w:p>
        </w:tc>
      </w:tr>
      <w:tr w:rsidR="00557E75" w:rsidTr="00FD6E94">
        <w:tc>
          <w:tcPr>
            <w:cnfStyle w:val="001000000000"/>
            <w:tcW w:w="1462" w:type="dxa"/>
          </w:tcPr>
          <w:p w:rsidR="00557E75" w:rsidRPr="00884CBA" w:rsidRDefault="00557E75" w:rsidP="00A1756F">
            <w:pPr>
              <w:autoSpaceDE w:val="0"/>
              <w:autoSpaceDN w:val="0"/>
              <w:adjustRightInd w:val="0"/>
              <w:jc w:val="center"/>
              <w:rPr>
                <w:rFonts w:ascii="Arial" w:hAnsi="Arial" w:cs="Arial"/>
                <w:color w:val="000000"/>
                <w:sz w:val="20"/>
                <w:szCs w:val="18"/>
              </w:rPr>
            </w:pPr>
          </w:p>
        </w:tc>
        <w:tc>
          <w:tcPr>
            <w:tcW w:w="1258" w:type="dxa"/>
          </w:tcPr>
          <w:p w:rsidR="00557E75" w:rsidRPr="00884CBA" w:rsidRDefault="00557E75" w:rsidP="00A1756F">
            <w:pPr>
              <w:autoSpaceDE w:val="0"/>
              <w:autoSpaceDN w:val="0"/>
              <w:adjustRightInd w:val="0"/>
              <w:ind w:right="10"/>
              <w:jc w:val="center"/>
              <w:cnfStyle w:val="000000000000"/>
              <w:rPr>
                <w:rFonts w:ascii="Arial" w:hAnsi="Arial" w:cs="Arial"/>
                <w:color w:val="000000"/>
                <w:sz w:val="20"/>
                <w:szCs w:val="18"/>
                <w:lang w:val="en-GB"/>
              </w:rPr>
            </w:pPr>
          </w:p>
        </w:tc>
        <w:tc>
          <w:tcPr>
            <w:tcW w:w="1499" w:type="dxa"/>
          </w:tcPr>
          <w:p w:rsidR="00557E75" w:rsidRPr="00FD6E94" w:rsidRDefault="00557E75" w:rsidP="00FD6E94">
            <w:pPr>
              <w:autoSpaceDE w:val="0"/>
              <w:autoSpaceDN w:val="0"/>
              <w:adjustRightInd w:val="0"/>
              <w:jc w:val="center"/>
              <w:cnfStyle w:val="000000000000"/>
              <w:rPr>
                <w:rFonts w:ascii="Arial" w:hAnsi="Arial" w:cs="Arial"/>
                <w:color w:val="000000"/>
                <w:sz w:val="18"/>
                <w:szCs w:val="18"/>
              </w:rPr>
            </w:pPr>
          </w:p>
        </w:tc>
        <w:tc>
          <w:tcPr>
            <w:tcW w:w="1222" w:type="dxa"/>
          </w:tcPr>
          <w:p w:rsidR="00557E75" w:rsidRPr="00FD6E94" w:rsidRDefault="00557E75" w:rsidP="00FD6E94">
            <w:pPr>
              <w:jc w:val="center"/>
              <w:cnfStyle w:val="000000000000"/>
              <w:rPr>
                <w:rFonts w:ascii="Arial" w:hAnsi="Arial" w:cs="Arial"/>
                <w:color w:val="000000"/>
                <w:sz w:val="18"/>
                <w:szCs w:val="18"/>
              </w:rPr>
            </w:pPr>
          </w:p>
        </w:tc>
        <w:tc>
          <w:tcPr>
            <w:tcW w:w="1341" w:type="dxa"/>
          </w:tcPr>
          <w:p w:rsidR="00557E75" w:rsidRPr="00FD6E94" w:rsidRDefault="00557E75" w:rsidP="00FD6E94">
            <w:pPr>
              <w:autoSpaceDE w:val="0"/>
              <w:autoSpaceDN w:val="0"/>
              <w:adjustRightInd w:val="0"/>
              <w:jc w:val="center"/>
              <w:cnfStyle w:val="000000000000"/>
              <w:rPr>
                <w:rFonts w:ascii="Arial" w:hAnsi="Arial" w:cs="Arial"/>
                <w:color w:val="000000"/>
                <w:sz w:val="18"/>
                <w:szCs w:val="18"/>
              </w:rPr>
            </w:pPr>
          </w:p>
        </w:tc>
        <w:tc>
          <w:tcPr>
            <w:tcW w:w="1341" w:type="dxa"/>
          </w:tcPr>
          <w:p w:rsidR="00557E75" w:rsidRPr="00FD6E94" w:rsidRDefault="00557E75" w:rsidP="00FD6E94">
            <w:pPr>
              <w:autoSpaceDE w:val="0"/>
              <w:autoSpaceDN w:val="0"/>
              <w:adjustRightInd w:val="0"/>
              <w:jc w:val="center"/>
              <w:cnfStyle w:val="000000000000"/>
              <w:rPr>
                <w:rFonts w:ascii="Arial" w:hAnsi="Arial" w:cs="Arial"/>
                <w:color w:val="000000"/>
                <w:sz w:val="18"/>
                <w:szCs w:val="18"/>
              </w:rPr>
            </w:pPr>
          </w:p>
        </w:tc>
        <w:tc>
          <w:tcPr>
            <w:tcW w:w="1341" w:type="dxa"/>
          </w:tcPr>
          <w:p w:rsidR="00557E75" w:rsidRPr="00FD6E94" w:rsidRDefault="00557E75" w:rsidP="00FD6E94">
            <w:pPr>
              <w:autoSpaceDE w:val="0"/>
              <w:autoSpaceDN w:val="0"/>
              <w:adjustRightInd w:val="0"/>
              <w:jc w:val="center"/>
              <w:cnfStyle w:val="000000000000"/>
              <w:rPr>
                <w:rFonts w:ascii="Arial" w:hAnsi="Arial" w:cs="Arial"/>
                <w:color w:val="000000"/>
                <w:sz w:val="18"/>
                <w:szCs w:val="18"/>
              </w:rPr>
            </w:pPr>
          </w:p>
        </w:tc>
      </w:tr>
      <w:tr w:rsidR="00557E75" w:rsidTr="00FD6E94">
        <w:tc>
          <w:tcPr>
            <w:cnfStyle w:val="001000000000"/>
            <w:tcW w:w="1462" w:type="dxa"/>
          </w:tcPr>
          <w:p w:rsidR="00557E75" w:rsidRPr="00884CBA" w:rsidRDefault="00557E75" w:rsidP="00A1756F">
            <w:pPr>
              <w:autoSpaceDE w:val="0"/>
              <w:autoSpaceDN w:val="0"/>
              <w:adjustRightInd w:val="0"/>
              <w:jc w:val="center"/>
              <w:rPr>
                <w:rFonts w:ascii="Arial" w:hAnsi="Arial" w:cs="Arial"/>
                <w:color w:val="000000"/>
                <w:sz w:val="20"/>
                <w:szCs w:val="18"/>
                <w:vertAlign w:val="superscript"/>
              </w:rPr>
            </w:pPr>
            <w:r w:rsidRPr="00884CBA">
              <w:rPr>
                <w:rFonts w:ascii="Arial" w:hAnsi="Arial" w:cs="Arial"/>
                <w:color w:val="000000"/>
                <w:sz w:val="20"/>
                <w:szCs w:val="18"/>
              </w:rPr>
              <w:t>R</w:t>
            </w:r>
            <w:r w:rsidRPr="00884CBA">
              <w:rPr>
                <w:rFonts w:ascii="Arial" w:hAnsi="Arial" w:cs="Arial"/>
                <w:color w:val="000000"/>
                <w:sz w:val="20"/>
                <w:szCs w:val="18"/>
                <w:vertAlign w:val="superscript"/>
              </w:rPr>
              <w:t>2</w:t>
            </w:r>
          </w:p>
        </w:tc>
        <w:tc>
          <w:tcPr>
            <w:tcW w:w="1258" w:type="dxa"/>
          </w:tcPr>
          <w:p w:rsidR="00557E75" w:rsidRPr="00884CBA" w:rsidRDefault="00557E75" w:rsidP="00A1756F">
            <w:pPr>
              <w:autoSpaceDE w:val="0"/>
              <w:autoSpaceDN w:val="0"/>
              <w:adjustRightInd w:val="0"/>
              <w:ind w:right="10"/>
              <w:jc w:val="center"/>
              <w:cnfStyle w:val="000000000000"/>
              <w:rPr>
                <w:rFonts w:ascii="Arial" w:hAnsi="Arial" w:cs="Arial"/>
                <w:color w:val="000000"/>
                <w:sz w:val="20"/>
                <w:szCs w:val="18"/>
                <w:lang w:val="en-GB"/>
              </w:rPr>
            </w:pPr>
          </w:p>
        </w:tc>
        <w:tc>
          <w:tcPr>
            <w:tcW w:w="1499" w:type="dxa"/>
          </w:tcPr>
          <w:p w:rsidR="00557E75" w:rsidRPr="00FD6E94" w:rsidRDefault="00557E75" w:rsidP="00A00E69">
            <w:pPr>
              <w:autoSpaceDE w:val="0"/>
              <w:autoSpaceDN w:val="0"/>
              <w:adjustRightInd w:val="0"/>
              <w:jc w:val="center"/>
              <w:cnfStyle w:val="000000000000"/>
              <w:rPr>
                <w:rFonts w:ascii="Arial" w:hAnsi="Arial" w:cs="Arial"/>
                <w:color w:val="000000"/>
                <w:sz w:val="18"/>
                <w:szCs w:val="18"/>
              </w:rPr>
            </w:pPr>
            <w:r w:rsidRPr="00FD6E94">
              <w:rPr>
                <w:rFonts w:ascii="Arial" w:hAnsi="Arial" w:cs="Arial"/>
                <w:color w:val="000000"/>
                <w:sz w:val="18"/>
                <w:szCs w:val="18"/>
              </w:rPr>
              <w:t>0.343</w:t>
            </w:r>
          </w:p>
        </w:tc>
        <w:tc>
          <w:tcPr>
            <w:tcW w:w="1222" w:type="dxa"/>
          </w:tcPr>
          <w:p w:rsidR="00557E75" w:rsidRPr="00FD6E94" w:rsidRDefault="00FD6E94" w:rsidP="00A00E69">
            <w:pPr>
              <w:autoSpaceDE w:val="0"/>
              <w:autoSpaceDN w:val="0"/>
              <w:adjustRightInd w:val="0"/>
              <w:jc w:val="center"/>
              <w:cnfStyle w:val="000000000000"/>
              <w:rPr>
                <w:rFonts w:ascii="Arial" w:hAnsi="Arial" w:cs="Arial"/>
                <w:color w:val="000000"/>
                <w:sz w:val="18"/>
                <w:szCs w:val="18"/>
              </w:rPr>
            </w:pPr>
            <w:r w:rsidRPr="00FD6E94">
              <w:rPr>
                <w:rFonts w:ascii="Arial" w:hAnsi="Arial" w:cs="Arial"/>
                <w:color w:val="000000"/>
                <w:sz w:val="18"/>
                <w:szCs w:val="18"/>
              </w:rPr>
              <w:t>0.03</w:t>
            </w:r>
            <w:r w:rsidR="00A00E69">
              <w:rPr>
                <w:rFonts w:ascii="Arial" w:hAnsi="Arial" w:cs="Arial"/>
                <w:color w:val="000000"/>
                <w:sz w:val="18"/>
                <w:szCs w:val="18"/>
              </w:rPr>
              <w:t>2</w:t>
            </w:r>
          </w:p>
        </w:tc>
        <w:tc>
          <w:tcPr>
            <w:tcW w:w="1341" w:type="dxa"/>
          </w:tcPr>
          <w:p w:rsidR="00557E75" w:rsidRPr="00FD6E94" w:rsidRDefault="00557E75" w:rsidP="00A00E69">
            <w:pPr>
              <w:autoSpaceDE w:val="0"/>
              <w:autoSpaceDN w:val="0"/>
              <w:adjustRightInd w:val="0"/>
              <w:jc w:val="center"/>
              <w:cnfStyle w:val="000000000000"/>
              <w:rPr>
                <w:rFonts w:ascii="Arial" w:hAnsi="Arial" w:cs="Arial"/>
                <w:color w:val="000000"/>
                <w:sz w:val="18"/>
                <w:szCs w:val="18"/>
              </w:rPr>
            </w:pPr>
            <w:r w:rsidRPr="00884CBA">
              <w:rPr>
                <w:rFonts w:ascii="Arial" w:hAnsi="Arial" w:cs="Arial"/>
                <w:color w:val="000000"/>
                <w:sz w:val="18"/>
                <w:szCs w:val="18"/>
              </w:rPr>
              <w:t>0.133</w:t>
            </w:r>
          </w:p>
        </w:tc>
        <w:tc>
          <w:tcPr>
            <w:tcW w:w="1341" w:type="dxa"/>
          </w:tcPr>
          <w:p w:rsidR="00557E75" w:rsidRPr="00FD6E94" w:rsidRDefault="00557E75" w:rsidP="00FD6E94">
            <w:pPr>
              <w:autoSpaceDE w:val="0"/>
              <w:autoSpaceDN w:val="0"/>
              <w:adjustRightInd w:val="0"/>
              <w:jc w:val="center"/>
              <w:cnfStyle w:val="000000000000"/>
              <w:rPr>
                <w:rFonts w:ascii="Arial" w:hAnsi="Arial" w:cs="Arial"/>
                <w:color w:val="000000"/>
                <w:sz w:val="18"/>
                <w:szCs w:val="18"/>
              </w:rPr>
            </w:pPr>
            <w:r w:rsidRPr="00884CBA">
              <w:rPr>
                <w:rFonts w:ascii="Arial" w:hAnsi="Arial" w:cs="Arial"/>
                <w:color w:val="000000"/>
                <w:sz w:val="18"/>
                <w:szCs w:val="18"/>
              </w:rPr>
              <w:t>0.119</w:t>
            </w:r>
          </w:p>
        </w:tc>
        <w:tc>
          <w:tcPr>
            <w:tcW w:w="1341" w:type="dxa"/>
          </w:tcPr>
          <w:p w:rsidR="00557E75" w:rsidRPr="00FD6E94" w:rsidRDefault="00557E75" w:rsidP="00FD6E94">
            <w:pPr>
              <w:autoSpaceDE w:val="0"/>
              <w:autoSpaceDN w:val="0"/>
              <w:adjustRightInd w:val="0"/>
              <w:jc w:val="center"/>
              <w:cnfStyle w:val="000000000000"/>
              <w:rPr>
                <w:rFonts w:ascii="Arial" w:hAnsi="Arial" w:cs="Arial"/>
                <w:color w:val="000000"/>
                <w:sz w:val="18"/>
                <w:szCs w:val="18"/>
              </w:rPr>
            </w:pPr>
            <w:r w:rsidRPr="00884CBA">
              <w:rPr>
                <w:rFonts w:ascii="Arial" w:hAnsi="Arial" w:cs="Arial"/>
                <w:color w:val="000000"/>
                <w:sz w:val="18"/>
                <w:szCs w:val="18"/>
              </w:rPr>
              <w:t>0.119</w:t>
            </w:r>
          </w:p>
        </w:tc>
      </w:tr>
      <w:tr w:rsidR="00557E75" w:rsidTr="00FD6E94">
        <w:tc>
          <w:tcPr>
            <w:cnfStyle w:val="001000000000"/>
            <w:tcW w:w="1462" w:type="dxa"/>
          </w:tcPr>
          <w:p w:rsidR="00557E75" w:rsidRPr="00884CBA" w:rsidRDefault="00557E75" w:rsidP="00A1756F">
            <w:pPr>
              <w:autoSpaceDE w:val="0"/>
              <w:autoSpaceDN w:val="0"/>
              <w:adjustRightInd w:val="0"/>
              <w:jc w:val="center"/>
              <w:rPr>
                <w:rFonts w:ascii="Arial" w:hAnsi="Arial" w:cs="Arial"/>
                <w:color w:val="000000"/>
                <w:sz w:val="20"/>
                <w:szCs w:val="18"/>
              </w:rPr>
            </w:pPr>
          </w:p>
        </w:tc>
        <w:tc>
          <w:tcPr>
            <w:tcW w:w="1258" w:type="dxa"/>
          </w:tcPr>
          <w:p w:rsidR="00557E75" w:rsidRPr="00884CBA" w:rsidRDefault="00557E75" w:rsidP="00A1756F">
            <w:pPr>
              <w:autoSpaceDE w:val="0"/>
              <w:autoSpaceDN w:val="0"/>
              <w:adjustRightInd w:val="0"/>
              <w:ind w:right="10"/>
              <w:jc w:val="center"/>
              <w:cnfStyle w:val="000000000000"/>
              <w:rPr>
                <w:rFonts w:ascii="Arial" w:hAnsi="Arial" w:cs="Arial"/>
                <w:color w:val="000000"/>
                <w:sz w:val="20"/>
                <w:szCs w:val="18"/>
                <w:lang w:val="en-GB"/>
              </w:rPr>
            </w:pPr>
          </w:p>
        </w:tc>
        <w:tc>
          <w:tcPr>
            <w:tcW w:w="1499" w:type="dxa"/>
          </w:tcPr>
          <w:p w:rsidR="00557E75" w:rsidRPr="00FD6E94" w:rsidRDefault="00557E75" w:rsidP="00FD6E94">
            <w:pPr>
              <w:autoSpaceDE w:val="0"/>
              <w:autoSpaceDN w:val="0"/>
              <w:adjustRightInd w:val="0"/>
              <w:jc w:val="center"/>
              <w:cnfStyle w:val="000000000000"/>
              <w:rPr>
                <w:rFonts w:ascii="Arial" w:hAnsi="Arial" w:cs="Arial"/>
                <w:color w:val="000000"/>
                <w:sz w:val="18"/>
                <w:szCs w:val="18"/>
              </w:rPr>
            </w:pPr>
          </w:p>
        </w:tc>
        <w:tc>
          <w:tcPr>
            <w:tcW w:w="1222" w:type="dxa"/>
          </w:tcPr>
          <w:p w:rsidR="00557E75" w:rsidRPr="00FD6E94" w:rsidRDefault="00557E75" w:rsidP="00FD6E94">
            <w:pPr>
              <w:autoSpaceDE w:val="0"/>
              <w:autoSpaceDN w:val="0"/>
              <w:adjustRightInd w:val="0"/>
              <w:jc w:val="center"/>
              <w:cnfStyle w:val="000000000000"/>
              <w:rPr>
                <w:rFonts w:ascii="Arial" w:hAnsi="Arial" w:cs="Arial"/>
                <w:color w:val="000000"/>
                <w:sz w:val="18"/>
                <w:szCs w:val="18"/>
              </w:rPr>
            </w:pPr>
          </w:p>
        </w:tc>
        <w:tc>
          <w:tcPr>
            <w:tcW w:w="1341" w:type="dxa"/>
          </w:tcPr>
          <w:p w:rsidR="00557E75" w:rsidRPr="00884CBA" w:rsidRDefault="00557E75" w:rsidP="00FD6E94">
            <w:pPr>
              <w:autoSpaceDE w:val="0"/>
              <w:autoSpaceDN w:val="0"/>
              <w:adjustRightInd w:val="0"/>
              <w:jc w:val="center"/>
              <w:cnfStyle w:val="000000000000"/>
              <w:rPr>
                <w:rFonts w:ascii="Arial" w:hAnsi="Arial" w:cs="Arial"/>
                <w:color w:val="000000"/>
                <w:sz w:val="18"/>
                <w:szCs w:val="18"/>
              </w:rPr>
            </w:pPr>
          </w:p>
        </w:tc>
        <w:tc>
          <w:tcPr>
            <w:tcW w:w="1341" w:type="dxa"/>
          </w:tcPr>
          <w:p w:rsidR="00557E75" w:rsidRPr="00884CBA" w:rsidRDefault="00557E75" w:rsidP="00FD6E94">
            <w:pPr>
              <w:autoSpaceDE w:val="0"/>
              <w:autoSpaceDN w:val="0"/>
              <w:adjustRightInd w:val="0"/>
              <w:jc w:val="center"/>
              <w:cnfStyle w:val="000000000000"/>
              <w:rPr>
                <w:rFonts w:ascii="Arial" w:hAnsi="Arial" w:cs="Arial"/>
                <w:color w:val="000000"/>
                <w:sz w:val="18"/>
                <w:szCs w:val="18"/>
              </w:rPr>
            </w:pPr>
          </w:p>
        </w:tc>
        <w:tc>
          <w:tcPr>
            <w:tcW w:w="1341" w:type="dxa"/>
          </w:tcPr>
          <w:p w:rsidR="00557E75" w:rsidRPr="00884CBA" w:rsidRDefault="00557E75" w:rsidP="00FD6E94">
            <w:pPr>
              <w:autoSpaceDE w:val="0"/>
              <w:autoSpaceDN w:val="0"/>
              <w:adjustRightInd w:val="0"/>
              <w:jc w:val="center"/>
              <w:cnfStyle w:val="000000000000"/>
              <w:rPr>
                <w:rFonts w:ascii="Arial" w:hAnsi="Arial" w:cs="Arial"/>
                <w:color w:val="000000"/>
                <w:sz w:val="18"/>
                <w:szCs w:val="18"/>
              </w:rPr>
            </w:pPr>
          </w:p>
        </w:tc>
      </w:tr>
      <w:tr w:rsidR="00557E75" w:rsidTr="00FD6E94">
        <w:tc>
          <w:tcPr>
            <w:cnfStyle w:val="001000000000"/>
            <w:tcW w:w="1462" w:type="dxa"/>
          </w:tcPr>
          <w:p w:rsidR="00557E75" w:rsidRPr="00884CBA" w:rsidRDefault="00557E75" w:rsidP="00A1756F">
            <w:pPr>
              <w:autoSpaceDE w:val="0"/>
              <w:autoSpaceDN w:val="0"/>
              <w:adjustRightInd w:val="0"/>
              <w:jc w:val="center"/>
              <w:rPr>
                <w:rFonts w:ascii="Arial" w:hAnsi="Arial" w:cs="Arial"/>
                <w:color w:val="000000"/>
                <w:sz w:val="20"/>
                <w:szCs w:val="18"/>
              </w:rPr>
            </w:pPr>
            <w:r>
              <w:rPr>
                <w:rFonts w:ascii="Arial" w:hAnsi="Arial" w:cs="Arial"/>
                <w:color w:val="000000"/>
                <w:sz w:val="20"/>
                <w:szCs w:val="18"/>
              </w:rPr>
              <w:t>Number of observations</w:t>
            </w:r>
          </w:p>
        </w:tc>
        <w:tc>
          <w:tcPr>
            <w:tcW w:w="1258" w:type="dxa"/>
          </w:tcPr>
          <w:p w:rsidR="00557E75" w:rsidRPr="00884CBA" w:rsidRDefault="00557E75" w:rsidP="00A1756F">
            <w:pPr>
              <w:autoSpaceDE w:val="0"/>
              <w:autoSpaceDN w:val="0"/>
              <w:adjustRightInd w:val="0"/>
              <w:ind w:right="10"/>
              <w:jc w:val="center"/>
              <w:cnfStyle w:val="000000000000"/>
              <w:rPr>
                <w:rFonts w:ascii="Arial" w:hAnsi="Arial" w:cs="Arial"/>
                <w:color w:val="000000"/>
                <w:sz w:val="20"/>
                <w:szCs w:val="18"/>
                <w:lang w:val="en-GB"/>
              </w:rPr>
            </w:pPr>
          </w:p>
        </w:tc>
        <w:tc>
          <w:tcPr>
            <w:tcW w:w="1499" w:type="dxa"/>
          </w:tcPr>
          <w:p w:rsidR="00557E75" w:rsidRPr="00FD6E94" w:rsidRDefault="00557E75" w:rsidP="00FD6E94">
            <w:pPr>
              <w:autoSpaceDE w:val="0"/>
              <w:autoSpaceDN w:val="0"/>
              <w:adjustRightInd w:val="0"/>
              <w:jc w:val="center"/>
              <w:cnfStyle w:val="000000000000"/>
              <w:rPr>
                <w:rFonts w:ascii="Arial" w:hAnsi="Arial" w:cs="Arial"/>
                <w:color w:val="000000"/>
                <w:sz w:val="18"/>
                <w:szCs w:val="18"/>
              </w:rPr>
            </w:pPr>
            <w:r w:rsidRPr="00FD6E94">
              <w:rPr>
                <w:rFonts w:ascii="Arial" w:hAnsi="Arial" w:cs="Arial"/>
                <w:color w:val="000000"/>
                <w:sz w:val="18"/>
                <w:szCs w:val="18"/>
              </w:rPr>
              <w:t>29</w:t>
            </w:r>
          </w:p>
        </w:tc>
        <w:tc>
          <w:tcPr>
            <w:tcW w:w="1222" w:type="dxa"/>
          </w:tcPr>
          <w:p w:rsidR="00557E75" w:rsidRPr="00FD6E94" w:rsidRDefault="00557E75" w:rsidP="00FD6E94">
            <w:pPr>
              <w:autoSpaceDE w:val="0"/>
              <w:autoSpaceDN w:val="0"/>
              <w:adjustRightInd w:val="0"/>
              <w:jc w:val="center"/>
              <w:cnfStyle w:val="000000000000"/>
              <w:rPr>
                <w:rFonts w:ascii="Arial" w:hAnsi="Arial" w:cs="Arial"/>
                <w:color w:val="000000"/>
                <w:sz w:val="18"/>
                <w:szCs w:val="18"/>
              </w:rPr>
            </w:pPr>
            <w:r w:rsidRPr="00FD6E94">
              <w:rPr>
                <w:rFonts w:ascii="Arial" w:hAnsi="Arial" w:cs="Arial"/>
                <w:color w:val="000000"/>
                <w:sz w:val="18"/>
                <w:szCs w:val="18"/>
              </w:rPr>
              <w:t>29</w:t>
            </w:r>
          </w:p>
        </w:tc>
        <w:tc>
          <w:tcPr>
            <w:tcW w:w="1341" w:type="dxa"/>
          </w:tcPr>
          <w:p w:rsidR="00557E75" w:rsidRPr="00884CBA" w:rsidRDefault="00557E75" w:rsidP="00FD6E94">
            <w:pPr>
              <w:autoSpaceDE w:val="0"/>
              <w:autoSpaceDN w:val="0"/>
              <w:adjustRightInd w:val="0"/>
              <w:jc w:val="center"/>
              <w:cnfStyle w:val="000000000000"/>
              <w:rPr>
                <w:rFonts w:ascii="Arial" w:hAnsi="Arial" w:cs="Arial"/>
                <w:color w:val="000000"/>
                <w:sz w:val="18"/>
                <w:szCs w:val="18"/>
              </w:rPr>
            </w:pPr>
            <w:r>
              <w:rPr>
                <w:rFonts w:ascii="Arial" w:hAnsi="Arial" w:cs="Arial"/>
                <w:color w:val="000000"/>
                <w:sz w:val="18"/>
                <w:szCs w:val="18"/>
              </w:rPr>
              <w:t>29</w:t>
            </w:r>
          </w:p>
        </w:tc>
        <w:tc>
          <w:tcPr>
            <w:tcW w:w="1341" w:type="dxa"/>
          </w:tcPr>
          <w:p w:rsidR="00557E75" w:rsidRPr="00884CBA" w:rsidRDefault="00557E75" w:rsidP="00FD6E94">
            <w:pPr>
              <w:autoSpaceDE w:val="0"/>
              <w:autoSpaceDN w:val="0"/>
              <w:adjustRightInd w:val="0"/>
              <w:jc w:val="center"/>
              <w:cnfStyle w:val="000000000000"/>
              <w:rPr>
                <w:rFonts w:ascii="Arial" w:hAnsi="Arial" w:cs="Arial"/>
                <w:color w:val="000000"/>
                <w:sz w:val="18"/>
                <w:szCs w:val="18"/>
              </w:rPr>
            </w:pPr>
            <w:r>
              <w:rPr>
                <w:rFonts w:ascii="Arial" w:hAnsi="Arial" w:cs="Arial"/>
                <w:color w:val="000000"/>
                <w:sz w:val="18"/>
                <w:szCs w:val="18"/>
              </w:rPr>
              <w:t>29</w:t>
            </w:r>
          </w:p>
        </w:tc>
        <w:tc>
          <w:tcPr>
            <w:tcW w:w="1341" w:type="dxa"/>
          </w:tcPr>
          <w:p w:rsidR="00557E75" w:rsidRPr="00884CBA" w:rsidRDefault="00557E75" w:rsidP="00FD6E94">
            <w:pPr>
              <w:autoSpaceDE w:val="0"/>
              <w:autoSpaceDN w:val="0"/>
              <w:adjustRightInd w:val="0"/>
              <w:jc w:val="center"/>
              <w:cnfStyle w:val="000000000000"/>
              <w:rPr>
                <w:rFonts w:ascii="Arial" w:hAnsi="Arial" w:cs="Arial"/>
                <w:color w:val="000000"/>
                <w:sz w:val="18"/>
                <w:szCs w:val="18"/>
              </w:rPr>
            </w:pPr>
            <w:r>
              <w:rPr>
                <w:rFonts w:ascii="Arial" w:hAnsi="Arial" w:cs="Arial"/>
                <w:color w:val="000000"/>
                <w:sz w:val="18"/>
                <w:szCs w:val="18"/>
              </w:rPr>
              <w:t>29</w:t>
            </w:r>
          </w:p>
        </w:tc>
      </w:tr>
    </w:tbl>
    <w:p w:rsidR="006E4687" w:rsidRPr="002C595D" w:rsidRDefault="006E4687" w:rsidP="0054505D">
      <w:pPr>
        <w:spacing w:line="360" w:lineRule="auto"/>
        <w:jc w:val="both"/>
        <w:rPr>
          <w:rFonts w:ascii="Times New Roman" w:hAnsi="Times New Roman" w:cs="Times New Roman"/>
          <w:sz w:val="20"/>
          <w:szCs w:val="20"/>
          <w:lang w:val="en-GB"/>
        </w:rPr>
      </w:pPr>
      <w:r w:rsidRPr="002C595D">
        <w:rPr>
          <w:rFonts w:ascii="Times New Roman" w:hAnsi="Times New Roman" w:cs="Times New Roman"/>
          <w:sz w:val="20"/>
          <w:szCs w:val="20"/>
          <w:lang w:val="en-GB"/>
        </w:rPr>
        <w:t>Regression results for multiple and simple models. This is regarding our new sub-sample: Developed countries. Here we can see the relationship between equity investments relatively to the total investments of pension funds (EqAll) and: Power Distance (PDI), Individualism(IDV), Uncertainty avoidance (UAI), Masculinity (MASC).</w:t>
      </w:r>
    </w:p>
    <w:p w:rsidR="00C10EE7" w:rsidRPr="002C595D" w:rsidRDefault="002D207A" w:rsidP="0054505D">
      <w:pPr>
        <w:spacing w:line="360" w:lineRule="auto"/>
        <w:jc w:val="both"/>
        <w:rPr>
          <w:rFonts w:ascii="Times New Roman" w:hAnsi="Times New Roman" w:cs="Times New Roman"/>
          <w:sz w:val="20"/>
          <w:szCs w:val="20"/>
          <w:lang w:val="en-GB"/>
        </w:rPr>
      </w:pPr>
      <w:r w:rsidRPr="002C595D">
        <w:rPr>
          <w:rFonts w:ascii="Times New Roman" w:hAnsi="Times New Roman" w:cs="Times New Roman"/>
          <w:sz w:val="20"/>
          <w:szCs w:val="20"/>
          <w:lang w:val="en-GB"/>
        </w:rPr>
        <w:t>*95% confidence interval</w:t>
      </w:r>
    </w:p>
    <w:p w:rsidR="00617731" w:rsidRPr="002C595D" w:rsidRDefault="00617731" w:rsidP="00C62EC2">
      <w:pPr>
        <w:spacing w:line="360" w:lineRule="auto"/>
        <w:jc w:val="both"/>
        <w:rPr>
          <w:rFonts w:ascii="Times New Roman" w:hAnsi="Times New Roman" w:cs="Times New Roman"/>
          <w:lang w:val="en-US"/>
        </w:rPr>
      </w:pPr>
      <w:r w:rsidRPr="002C595D">
        <w:rPr>
          <w:rFonts w:ascii="Times New Roman" w:hAnsi="Times New Roman" w:cs="Times New Roman"/>
          <w:lang w:val="en-US"/>
        </w:rPr>
        <w:t xml:space="preserve">For the </w:t>
      </w:r>
      <w:r w:rsidR="005D4597" w:rsidRPr="002C595D">
        <w:rPr>
          <w:rFonts w:ascii="Times New Roman" w:hAnsi="Times New Roman" w:cs="Times New Roman"/>
          <w:lang w:val="en-US"/>
        </w:rPr>
        <w:t>30 developed</w:t>
      </w:r>
      <w:r w:rsidRPr="002C595D">
        <w:rPr>
          <w:rFonts w:ascii="Times New Roman" w:hAnsi="Times New Roman" w:cs="Times New Roman"/>
          <w:lang w:val="en-US"/>
        </w:rPr>
        <w:t xml:space="preserve"> countries, regressing the cultural dimension scores against the equity allocation o</w:t>
      </w:r>
      <w:r w:rsidR="00C62EC2" w:rsidRPr="002C595D">
        <w:rPr>
          <w:rFonts w:ascii="Times New Roman" w:hAnsi="Times New Roman" w:cs="Times New Roman"/>
          <w:lang w:val="en-US"/>
        </w:rPr>
        <w:t>f the pension funds in 2011, lead us to</w:t>
      </w:r>
      <w:r w:rsidRPr="002C595D">
        <w:rPr>
          <w:rFonts w:ascii="Times New Roman" w:hAnsi="Times New Roman" w:cs="Times New Roman"/>
          <w:lang w:val="en-US"/>
        </w:rPr>
        <w:t xml:space="preserve"> some interesting results. As we can see in the table </w:t>
      </w:r>
      <w:r w:rsidR="00C62EC2" w:rsidRPr="002C595D">
        <w:rPr>
          <w:rFonts w:ascii="Times New Roman" w:hAnsi="Times New Roman" w:cs="Times New Roman"/>
          <w:lang w:val="en-US"/>
        </w:rPr>
        <w:t>above</w:t>
      </w:r>
      <w:r w:rsidRPr="002C595D">
        <w:rPr>
          <w:rFonts w:ascii="Times New Roman" w:hAnsi="Times New Roman" w:cs="Times New Roman"/>
          <w:lang w:val="en-US"/>
        </w:rPr>
        <w:t xml:space="preserve">, in the multiple model, Individualism and Uncertainty Avoidance, seem to have a positive effect on the risk appetite of pension funds. </w:t>
      </w:r>
    </w:p>
    <w:p w:rsidR="00617731" w:rsidRPr="002C595D" w:rsidRDefault="00617731" w:rsidP="00C62EC2">
      <w:pPr>
        <w:spacing w:line="360" w:lineRule="auto"/>
        <w:jc w:val="both"/>
        <w:rPr>
          <w:rFonts w:ascii="Times New Roman" w:hAnsi="Times New Roman" w:cs="Times New Roman"/>
          <w:lang w:val="en-US"/>
        </w:rPr>
      </w:pPr>
      <w:r w:rsidRPr="002C595D">
        <w:rPr>
          <w:rFonts w:ascii="Times New Roman" w:hAnsi="Times New Roman" w:cs="Times New Roman"/>
          <w:lang w:val="en-US"/>
        </w:rPr>
        <w:lastRenderedPageBreak/>
        <w:t>In particular, we can see that in the Developed countries, a higher level of individualism in the society, would lead to riskier investments and higher equity holdings from the pension funds. This findings support our initial hypothesis regarding individualism. In numbers, if individualism score increases per one unit, the equity holdings of th</w:t>
      </w:r>
      <w:r w:rsidR="00B869CA" w:rsidRPr="002C595D">
        <w:rPr>
          <w:rFonts w:ascii="Times New Roman" w:hAnsi="Times New Roman" w:cs="Times New Roman"/>
          <w:lang w:val="en-US"/>
        </w:rPr>
        <w:t xml:space="preserve">is country will also rise 44%. </w:t>
      </w:r>
    </w:p>
    <w:p w:rsidR="00617731" w:rsidRPr="002C595D" w:rsidRDefault="00617731" w:rsidP="00C62EC2">
      <w:pPr>
        <w:spacing w:line="360" w:lineRule="auto"/>
        <w:jc w:val="both"/>
        <w:rPr>
          <w:rFonts w:ascii="Times New Roman" w:hAnsi="Times New Roman" w:cs="Times New Roman"/>
          <w:lang w:val="en-US"/>
        </w:rPr>
      </w:pPr>
      <w:r w:rsidRPr="002C595D">
        <w:rPr>
          <w:rFonts w:ascii="Times New Roman" w:hAnsi="Times New Roman" w:cs="Times New Roman"/>
          <w:lang w:val="en-US"/>
        </w:rPr>
        <w:t>The results for the Uncertainty avoidance</w:t>
      </w:r>
      <w:r w:rsidR="00B37D7A">
        <w:rPr>
          <w:rFonts w:ascii="Times New Roman" w:hAnsi="Times New Roman" w:cs="Times New Roman"/>
          <w:lang w:val="en-US"/>
        </w:rPr>
        <w:t xml:space="preserve"> and Masculinity</w:t>
      </w:r>
      <w:r w:rsidRPr="002C595D">
        <w:rPr>
          <w:rFonts w:ascii="Times New Roman" w:hAnsi="Times New Roman" w:cs="Times New Roman"/>
          <w:lang w:val="en-US"/>
        </w:rPr>
        <w:t xml:space="preserve"> dimension</w:t>
      </w:r>
      <w:r w:rsidR="00B37D7A">
        <w:rPr>
          <w:rFonts w:ascii="Times New Roman" w:hAnsi="Times New Roman" w:cs="Times New Roman"/>
          <w:lang w:val="en-US"/>
        </w:rPr>
        <w:t>s</w:t>
      </w:r>
      <w:r w:rsidRPr="002C595D">
        <w:rPr>
          <w:rFonts w:ascii="Times New Roman" w:hAnsi="Times New Roman" w:cs="Times New Roman"/>
          <w:lang w:val="en-US"/>
        </w:rPr>
        <w:t xml:space="preserve">, contradict our initial hypothesis. We were expecting a negative relationship between UAI and risk appetite. From the table above we see that UAI and equity allocation of pension funds are positively correlated, and that a unit increase in the UAI score would increase the equity holding almost 27%. </w:t>
      </w:r>
      <w:r w:rsidR="00B37D7A">
        <w:rPr>
          <w:rFonts w:ascii="Times New Roman" w:hAnsi="Times New Roman" w:cs="Times New Roman"/>
          <w:lang w:val="en-US"/>
        </w:rPr>
        <w:t xml:space="preserve"> We were also anticipating a positive effect for Masculinity, which turned out to be negative, although statistically insignificant. </w:t>
      </w:r>
    </w:p>
    <w:p w:rsidR="00CD11B1" w:rsidRPr="002C595D" w:rsidRDefault="00CD11B1" w:rsidP="00CD11B1">
      <w:pPr>
        <w:autoSpaceDE w:val="0"/>
        <w:autoSpaceDN w:val="0"/>
        <w:adjustRightInd w:val="0"/>
        <w:spacing w:after="0" w:line="240" w:lineRule="auto"/>
        <w:rPr>
          <w:rFonts w:ascii="Arial" w:hAnsi="Arial" w:cs="Arial"/>
          <w:lang w:val="en-US"/>
        </w:rPr>
      </w:pPr>
    </w:p>
    <w:p w:rsidR="00B37D7A" w:rsidRPr="002C595D" w:rsidRDefault="00B37D7A" w:rsidP="00B37D7A">
      <w:pPr>
        <w:spacing w:line="360" w:lineRule="auto"/>
        <w:jc w:val="both"/>
        <w:rPr>
          <w:rFonts w:ascii="Times New Roman" w:hAnsi="Times New Roman" w:cs="Times New Roman"/>
          <w:lang w:val="en-US"/>
        </w:rPr>
      </w:pPr>
      <w:r>
        <w:rPr>
          <w:rFonts w:ascii="Times New Roman" w:hAnsi="Times New Roman" w:cs="Times New Roman"/>
          <w:lang w:val="en-US"/>
        </w:rPr>
        <w:t>In the same table w</w:t>
      </w:r>
      <w:r w:rsidR="002D207A" w:rsidRPr="002C595D">
        <w:rPr>
          <w:rFonts w:ascii="Times New Roman" w:hAnsi="Times New Roman" w:cs="Times New Roman"/>
          <w:lang w:val="en-US"/>
        </w:rPr>
        <w:t>e also can see</w:t>
      </w:r>
      <w:r w:rsidR="00C10EE7" w:rsidRPr="002C595D">
        <w:rPr>
          <w:rFonts w:ascii="Times New Roman" w:hAnsi="Times New Roman" w:cs="Times New Roman"/>
          <w:lang w:val="en-US"/>
        </w:rPr>
        <w:t xml:space="preserve"> the results for the four single regressions. Here every cultural</w:t>
      </w:r>
      <w:r w:rsidR="00C10EE7" w:rsidRPr="002C595D">
        <w:rPr>
          <w:lang w:val="en-US"/>
        </w:rPr>
        <w:t xml:space="preserve"> </w:t>
      </w:r>
      <w:r w:rsidR="00C10EE7" w:rsidRPr="002C595D">
        <w:rPr>
          <w:rFonts w:ascii="Times New Roman" w:hAnsi="Times New Roman" w:cs="Times New Roman"/>
          <w:lang w:val="en-US"/>
        </w:rPr>
        <w:t xml:space="preserve">dimension </w:t>
      </w:r>
      <w:r w:rsidR="00475623" w:rsidRPr="002C595D">
        <w:rPr>
          <w:rFonts w:ascii="Times New Roman" w:hAnsi="Times New Roman" w:cs="Times New Roman"/>
          <w:lang w:val="en-US"/>
        </w:rPr>
        <w:t>is</w:t>
      </w:r>
      <w:r w:rsidR="00C10EE7" w:rsidRPr="002C595D">
        <w:rPr>
          <w:rFonts w:ascii="Times New Roman" w:hAnsi="Times New Roman" w:cs="Times New Roman"/>
          <w:lang w:val="en-US"/>
        </w:rPr>
        <w:t xml:space="preserve"> examined separately in relationship with the equity allocation</w:t>
      </w:r>
      <w:r w:rsidR="00C10EE7" w:rsidRPr="002C595D">
        <w:rPr>
          <w:lang w:val="en-US"/>
        </w:rPr>
        <w:t>.</w:t>
      </w:r>
      <w:r>
        <w:rPr>
          <w:lang w:val="en-US"/>
        </w:rPr>
        <w:t xml:space="preserve"> T</w:t>
      </w:r>
      <w:r>
        <w:rPr>
          <w:rFonts w:ascii="Times New Roman" w:hAnsi="Times New Roman" w:cs="Times New Roman"/>
          <w:lang w:val="en-US"/>
        </w:rPr>
        <w:t>he above findngs</w:t>
      </w:r>
      <w:r w:rsidRPr="002C595D">
        <w:rPr>
          <w:rFonts w:ascii="Times New Roman" w:hAnsi="Times New Roman" w:cs="Times New Roman"/>
          <w:lang w:val="en-US"/>
        </w:rPr>
        <w:t xml:space="preserve"> disappear when we control for each cultural dimensions separately. Only PDI could be partly verified, only for the 90% confidence level. </w:t>
      </w:r>
    </w:p>
    <w:p w:rsidR="00475623" w:rsidRPr="002C595D" w:rsidRDefault="00475623" w:rsidP="00475623">
      <w:pPr>
        <w:spacing w:line="240" w:lineRule="exact"/>
        <w:contextualSpacing/>
        <w:jc w:val="both"/>
        <w:rPr>
          <w:rFonts w:ascii="Times New Roman" w:hAnsi="Times New Roman" w:cs="Times New Roman"/>
          <w:lang w:val="en-GB"/>
        </w:rPr>
      </w:pPr>
    </w:p>
    <w:p w:rsidR="00C10EE7" w:rsidRPr="002C595D" w:rsidRDefault="00040751" w:rsidP="001B0E4C">
      <w:pPr>
        <w:spacing w:line="360" w:lineRule="auto"/>
        <w:jc w:val="both"/>
        <w:rPr>
          <w:rFonts w:ascii="Times New Roman" w:hAnsi="Times New Roman" w:cs="Times New Roman"/>
          <w:lang w:val="en-US"/>
        </w:rPr>
      </w:pPr>
      <w:r w:rsidRPr="002C595D">
        <w:rPr>
          <w:rFonts w:ascii="Times New Roman" w:hAnsi="Times New Roman" w:cs="Times New Roman"/>
          <w:lang w:val="en-US"/>
        </w:rPr>
        <w:t xml:space="preserve">Finally, we are going to examine the effect of our five control variables. In order to do that we are going to </w:t>
      </w:r>
      <w:r w:rsidR="00507616" w:rsidRPr="002C595D">
        <w:rPr>
          <w:rFonts w:ascii="Times New Roman" w:hAnsi="Times New Roman" w:cs="Times New Roman"/>
          <w:lang w:val="en-US"/>
        </w:rPr>
        <w:t>test</w:t>
      </w:r>
      <w:r w:rsidRPr="002C595D">
        <w:rPr>
          <w:rFonts w:ascii="Times New Roman" w:hAnsi="Times New Roman" w:cs="Times New Roman"/>
          <w:lang w:val="en-US"/>
        </w:rPr>
        <w:t xml:space="preserve"> </w:t>
      </w:r>
      <w:r w:rsidR="00507616" w:rsidRPr="002C595D">
        <w:rPr>
          <w:rFonts w:ascii="Times New Roman" w:hAnsi="Times New Roman" w:cs="Times New Roman"/>
          <w:lang w:val="en-US"/>
        </w:rPr>
        <w:t>our control variables</w:t>
      </w:r>
      <w:r w:rsidRPr="002C595D">
        <w:rPr>
          <w:rFonts w:ascii="Times New Roman" w:hAnsi="Times New Roman" w:cs="Times New Roman"/>
          <w:lang w:val="en-US"/>
        </w:rPr>
        <w:t xml:space="preserve"> </w:t>
      </w:r>
      <w:r w:rsidR="00507616" w:rsidRPr="002C595D">
        <w:rPr>
          <w:rFonts w:ascii="Times New Roman" w:hAnsi="Times New Roman" w:cs="Times New Roman"/>
          <w:lang w:val="en-US"/>
        </w:rPr>
        <w:t>with</w:t>
      </w:r>
      <w:r w:rsidRPr="002C595D">
        <w:rPr>
          <w:rFonts w:ascii="Times New Roman" w:hAnsi="Times New Roman" w:cs="Times New Roman"/>
          <w:lang w:val="en-US"/>
        </w:rPr>
        <w:t xml:space="preserve"> each cultural dimension, using five models for each dimension, and adding one control variable at a time. Below we can see the regression results in the four tables, each one of them corresponding to one cultural dimension. </w:t>
      </w:r>
    </w:p>
    <w:p w:rsidR="00507616" w:rsidRPr="002C595D" w:rsidRDefault="00F51FB9" w:rsidP="00507616">
      <w:pPr>
        <w:spacing w:line="360" w:lineRule="auto"/>
        <w:jc w:val="both"/>
        <w:rPr>
          <w:rFonts w:ascii="Times New Roman" w:hAnsi="Times New Roman" w:cs="Times New Roman"/>
          <w:i/>
          <w:lang w:val="en-US"/>
        </w:rPr>
      </w:pPr>
      <w:r w:rsidRPr="002C595D">
        <w:rPr>
          <w:rFonts w:ascii="Times New Roman" w:hAnsi="Times New Roman" w:cs="Times New Roman"/>
          <w:b/>
          <w:i/>
          <w:lang w:val="en-US"/>
        </w:rPr>
        <w:t>EqAll</w:t>
      </w:r>
      <w:r w:rsidRPr="002C595D">
        <w:rPr>
          <w:rFonts w:ascii="Times New Roman" w:hAnsi="Times New Roman" w:cs="Times New Roman"/>
          <w:b/>
          <w:i/>
          <w:vertAlign w:val="subscript"/>
          <w:lang w:val="en-US"/>
        </w:rPr>
        <w:t xml:space="preserve"> </w:t>
      </w:r>
      <w:r w:rsidR="00507616" w:rsidRPr="002C595D">
        <w:rPr>
          <w:rFonts w:ascii="Times New Roman" w:hAnsi="Times New Roman" w:cs="Times New Roman"/>
          <w:b/>
          <w:i/>
          <w:lang w:val="en-US"/>
        </w:rPr>
        <w:t xml:space="preserve">= C + </w:t>
      </w:r>
      <w:r w:rsidR="00507616" w:rsidRPr="002C595D">
        <w:rPr>
          <w:rFonts w:ascii="Times New Roman" w:hAnsi="Times New Roman" w:cs="Times New Roman"/>
          <w:b/>
          <w:i/>
        </w:rPr>
        <w:t>β</w:t>
      </w:r>
      <w:r w:rsidR="00507616" w:rsidRPr="002C595D">
        <w:rPr>
          <w:rFonts w:ascii="Times New Roman" w:hAnsi="Times New Roman" w:cs="Times New Roman"/>
          <w:b/>
          <w:i/>
          <w:vertAlign w:val="subscript"/>
          <w:lang w:val="en-US"/>
        </w:rPr>
        <w:t>1</w:t>
      </w:r>
      <w:r w:rsidR="00507616" w:rsidRPr="002C595D">
        <w:rPr>
          <w:rFonts w:ascii="Times New Roman" w:hAnsi="Times New Roman" w:cs="Times New Roman"/>
          <w:b/>
          <w:i/>
          <w:lang w:val="en-US"/>
        </w:rPr>
        <w:t xml:space="preserve"> (Cultural Dimension)</w:t>
      </w:r>
      <w:r w:rsidR="00507616" w:rsidRPr="002C595D">
        <w:rPr>
          <w:rFonts w:ascii="Times New Roman" w:hAnsi="Times New Roman" w:cs="Times New Roman"/>
          <w:b/>
          <w:i/>
          <w:lang w:val="en-GB"/>
        </w:rPr>
        <w:t xml:space="preserve">+ </w:t>
      </w:r>
      <w:r w:rsidR="00507616" w:rsidRPr="002C595D">
        <w:rPr>
          <w:rFonts w:ascii="Times New Roman" w:hAnsi="Times New Roman" w:cs="Times New Roman"/>
          <w:b/>
          <w:i/>
          <w:lang w:val="el-GR"/>
        </w:rPr>
        <w:t>β</w:t>
      </w:r>
      <w:r w:rsidR="00507616" w:rsidRPr="002C595D">
        <w:rPr>
          <w:rFonts w:ascii="Times New Roman" w:hAnsi="Times New Roman" w:cs="Times New Roman"/>
          <w:b/>
          <w:i/>
          <w:vertAlign w:val="subscript"/>
          <w:lang w:val="en-GB"/>
        </w:rPr>
        <w:t>1,1</w:t>
      </w:r>
      <w:r w:rsidR="00507616" w:rsidRPr="002C595D">
        <w:rPr>
          <w:rFonts w:ascii="Times New Roman" w:hAnsi="Times New Roman" w:cs="Times New Roman"/>
          <w:b/>
          <w:i/>
          <w:lang w:val="en-GB"/>
        </w:rPr>
        <w:t xml:space="preserve"> </w:t>
      </w:r>
      <w:r w:rsidR="00452744" w:rsidRPr="002C595D">
        <w:rPr>
          <w:rFonts w:ascii="Times New Roman" w:hAnsi="Times New Roman" w:cs="Times New Roman"/>
          <w:b/>
          <w:i/>
          <w:lang w:val="en-GB"/>
        </w:rPr>
        <w:t>LNEQINV</w:t>
      </w:r>
      <w:r w:rsidR="00507616" w:rsidRPr="002C595D">
        <w:rPr>
          <w:rFonts w:ascii="Times New Roman" w:hAnsi="Times New Roman" w:cs="Times New Roman"/>
          <w:b/>
          <w:i/>
          <w:lang w:val="en-US"/>
        </w:rPr>
        <w:t xml:space="preserve"> + </w:t>
      </w:r>
      <w:r w:rsidR="00507616" w:rsidRPr="002C595D">
        <w:rPr>
          <w:rFonts w:ascii="Times New Roman" w:hAnsi="Times New Roman" w:cs="Times New Roman"/>
          <w:b/>
          <w:i/>
          <w:lang w:val="en-GB"/>
        </w:rPr>
        <w:t xml:space="preserve"> </w:t>
      </w:r>
      <w:r w:rsidR="00507616" w:rsidRPr="002C595D">
        <w:rPr>
          <w:rFonts w:ascii="Times New Roman" w:hAnsi="Times New Roman" w:cs="Times New Roman"/>
          <w:b/>
          <w:i/>
        </w:rPr>
        <w:t>ε</w:t>
      </w:r>
      <w:r w:rsidR="00507616" w:rsidRPr="002C595D">
        <w:rPr>
          <w:rFonts w:ascii="Times New Roman" w:hAnsi="Times New Roman" w:cs="Times New Roman"/>
          <w:b/>
          <w:i/>
          <w:vertAlign w:val="subscript"/>
          <w:lang w:val="en-US"/>
        </w:rPr>
        <w:t>i,</w:t>
      </w:r>
      <w:r w:rsidR="00507616" w:rsidRPr="002C595D">
        <w:rPr>
          <w:rFonts w:ascii="Times New Roman" w:hAnsi="Times New Roman" w:cs="Times New Roman"/>
          <w:b/>
          <w:i/>
          <w:vertAlign w:val="subscript"/>
          <w:lang w:val="en-US"/>
        </w:rPr>
        <w:tab/>
      </w:r>
      <w:r w:rsidR="00507616" w:rsidRPr="002C595D">
        <w:rPr>
          <w:rFonts w:ascii="Times New Roman" w:hAnsi="Times New Roman" w:cs="Times New Roman"/>
          <w:b/>
          <w:i/>
          <w:vertAlign w:val="subscript"/>
          <w:lang w:val="en-US"/>
        </w:rPr>
        <w:tab/>
      </w:r>
      <w:r w:rsidR="00507616" w:rsidRPr="002C595D">
        <w:rPr>
          <w:rFonts w:ascii="Times New Roman" w:hAnsi="Times New Roman" w:cs="Times New Roman"/>
          <w:b/>
          <w:i/>
          <w:vertAlign w:val="subscript"/>
          <w:lang w:val="en-US"/>
        </w:rPr>
        <w:tab/>
      </w:r>
      <w:r w:rsidR="00452744" w:rsidRPr="002C595D">
        <w:rPr>
          <w:rFonts w:ascii="Times New Roman" w:hAnsi="Times New Roman" w:cs="Times New Roman"/>
          <w:b/>
          <w:i/>
          <w:vertAlign w:val="subscript"/>
          <w:lang w:val="en-US"/>
        </w:rPr>
        <w:tab/>
      </w:r>
      <w:r w:rsidR="00507616" w:rsidRPr="002C595D">
        <w:rPr>
          <w:rFonts w:ascii="Times New Roman" w:hAnsi="Times New Roman" w:cs="Times New Roman"/>
          <w:b/>
          <w:i/>
          <w:vertAlign w:val="subscript"/>
          <w:lang w:val="en-US"/>
        </w:rPr>
        <w:tab/>
      </w:r>
      <w:r w:rsidR="00452744" w:rsidRPr="002C595D">
        <w:rPr>
          <w:rFonts w:ascii="Times New Roman" w:hAnsi="Times New Roman" w:cs="Times New Roman"/>
          <w:b/>
          <w:i/>
          <w:vertAlign w:val="subscript"/>
          <w:lang w:val="en-US"/>
        </w:rPr>
        <w:t xml:space="preserve">  </w:t>
      </w:r>
      <w:r w:rsidR="00620BBC" w:rsidRPr="002C595D">
        <w:rPr>
          <w:rFonts w:ascii="Times New Roman" w:hAnsi="Times New Roman" w:cs="Times New Roman"/>
          <w:b/>
          <w:i/>
          <w:vertAlign w:val="subscript"/>
          <w:lang w:val="en-US"/>
        </w:rPr>
        <w:t xml:space="preserve"> </w:t>
      </w:r>
      <w:r w:rsidR="00452744" w:rsidRPr="002C595D">
        <w:rPr>
          <w:rFonts w:ascii="Times New Roman" w:hAnsi="Times New Roman" w:cs="Times New Roman"/>
          <w:b/>
          <w:i/>
          <w:vertAlign w:val="subscript"/>
          <w:lang w:val="en-US"/>
        </w:rPr>
        <w:t xml:space="preserve"> </w:t>
      </w:r>
      <w:r w:rsidR="00507616" w:rsidRPr="002C595D">
        <w:rPr>
          <w:rFonts w:ascii="Times New Roman" w:hAnsi="Times New Roman" w:cs="Times New Roman"/>
          <w:b/>
          <w:i/>
          <w:lang w:val="en-US"/>
        </w:rPr>
        <w:t>(1)</w:t>
      </w:r>
    </w:p>
    <w:p w:rsidR="00507616" w:rsidRPr="002C595D" w:rsidRDefault="00F51FB9" w:rsidP="00507616">
      <w:pPr>
        <w:spacing w:line="360" w:lineRule="auto"/>
        <w:jc w:val="both"/>
        <w:rPr>
          <w:rFonts w:ascii="Times New Roman" w:hAnsi="Times New Roman" w:cs="Times New Roman"/>
          <w:i/>
          <w:lang w:val="en-US"/>
        </w:rPr>
      </w:pPr>
      <w:r w:rsidRPr="002C595D">
        <w:rPr>
          <w:rFonts w:ascii="Times New Roman" w:hAnsi="Times New Roman" w:cs="Times New Roman"/>
          <w:b/>
          <w:i/>
          <w:lang w:val="en-US"/>
        </w:rPr>
        <w:t>EqAll</w:t>
      </w:r>
      <w:r w:rsidRPr="002C595D">
        <w:rPr>
          <w:rFonts w:ascii="Times New Roman" w:hAnsi="Times New Roman" w:cs="Times New Roman"/>
          <w:b/>
          <w:i/>
          <w:vertAlign w:val="subscript"/>
          <w:lang w:val="en-US"/>
        </w:rPr>
        <w:t xml:space="preserve"> </w:t>
      </w:r>
      <w:r w:rsidR="00507616" w:rsidRPr="002C595D">
        <w:rPr>
          <w:rFonts w:ascii="Times New Roman" w:hAnsi="Times New Roman" w:cs="Times New Roman"/>
          <w:b/>
          <w:i/>
          <w:lang w:val="en-US"/>
        </w:rPr>
        <w:t xml:space="preserve">= C + </w:t>
      </w:r>
      <w:r w:rsidR="00507616" w:rsidRPr="002C595D">
        <w:rPr>
          <w:rFonts w:ascii="Times New Roman" w:hAnsi="Times New Roman" w:cs="Times New Roman"/>
          <w:b/>
          <w:i/>
        </w:rPr>
        <w:t>β</w:t>
      </w:r>
      <w:r w:rsidR="00507616" w:rsidRPr="002C595D">
        <w:rPr>
          <w:rFonts w:ascii="Times New Roman" w:hAnsi="Times New Roman" w:cs="Times New Roman"/>
          <w:b/>
          <w:i/>
          <w:vertAlign w:val="subscript"/>
          <w:lang w:val="en-GB"/>
        </w:rPr>
        <w:t>2</w:t>
      </w:r>
      <w:r w:rsidR="00507616" w:rsidRPr="002C595D">
        <w:rPr>
          <w:rFonts w:ascii="Times New Roman" w:hAnsi="Times New Roman" w:cs="Times New Roman"/>
          <w:b/>
          <w:i/>
          <w:lang w:val="en-US"/>
        </w:rPr>
        <w:t xml:space="preserve"> (Cultural Dimension)</w:t>
      </w:r>
      <w:r w:rsidR="00507616" w:rsidRPr="002C595D">
        <w:rPr>
          <w:rFonts w:ascii="Times New Roman" w:hAnsi="Times New Roman" w:cs="Times New Roman"/>
          <w:b/>
          <w:i/>
          <w:lang w:val="en-GB"/>
        </w:rPr>
        <w:t xml:space="preserve">+ </w:t>
      </w:r>
      <w:r w:rsidR="00507616" w:rsidRPr="002C595D">
        <w:rPr>
          <w:rFonts w:ascii="Times New Roman" w:hAnsi="Times New Roman" w:cs="Times New Roman"/>
          <w:b/>
          <w:i/>
          <w:lang w:val="el-GR"/>
        </w:rPr>
        <w:t>β</w:t>
      </w:r>
      <w:r w:rsidR="00507616" w:rsidRPr="002C595D">
        <w:rPr>
          <w:rFonts w:ascii="Times New Roman" w:hAnsi="Times New Roman" w:cs="Times New Roman"/>
          <w:b/>
          <w:i/>
          <w:vertAlign w:val="subscript"/>
          <w:lang w:val="en-GB"/>
        </w:rPr>
        <w:t>2, 1</w:t>
      </w:r>
      <w:r w:rsidR="00452744" w:rsidRPr="002C595D">
        <w:rPr>
          <w:rFonts w:ascii="Times New Roman" w:hAnsi="Times New Roman" w:cs="Times New Roman"/>
          <w:b/>
          <w:i/>
          <w:lang w:val="en-GB"/>
        </w:rPr>
        <w:t xml:space="preserve"> LNEQINV</w:t>
      </w:r>
      <w:r w:rsidR="00507616" w:rsidRPr="002C595D">
        <w:rPr>
          <w:rFonts w:ascii="Times New Roman" w:hAnsi="Times New Roman" w:cs="Times New Roman"/>
          <w:b/>
          <w:i/>
          <w:lang w:val="en-US"/>
        </w:rPr>
        <w:t xml:space="preserve"> +</w:t>
      </w:r>
      <w:r w:rsidR="00507616" w:rsidRPr="002C595D">
        <w:rPr>
          <w:rFonts w:ascii="Times New Roman" w:hAnsi="Times New Roman" w:cs="Times New Roman"/>
          <w:b/>
          <w:i/>
          <w:lang w:val="en-GB"/>
        </w:rPr>
        <w:t xml:space="preserve"> </w:t>
      </w:r>
      <w:r w:rsidR="00507616" w:rsidRPr="002C595D">
        <w:rPr>
          <w:rFonts w:ascii="Times New Roman" w:hAnsi="Times New Roman" w:cs="Times New Roman"/>
          <w:b/>
          <w:i/>
          <w:lang w:val="el-GR"/>
        </w:rPr>
        <w:t>β</w:t>
      </w:r>
      <w:r w:rsidR="00507616" w:rsidRPr="002C595D">
        <w:rPr>
          <w:rFonts w:ascii="Times New Roman" w:hAnsi="Times New Roman" w:cs="Times New Roman"/>
          <w:b/>
          <w:i/>
          <w:vertAlign w:val="subscript"/>
          <w:lang w:val="en-GB"/>
        </w:rPr>
        <w:t xml:space="preserve">2,2 </w:t>
      </w:r>
      <w:r w:rsidR="00452744" w:rsidRPr="002C595D">
        <w:rPr>
          <w:rFonts w:ascii="Times New Roman" w:hAnsi="Times New Roman" w:cs="Times New Roman"/>
          <w:b/>
          <w:i/>
          <w:lang w:val="en-GB"/>
        </w:rPr>
        <w:t xml:space="preserve">LNGDP </w:t>
      </w:r>
      <w:r w:rsidR="00507616" w:rsidRPr="002C595D">
        <w:rPr>
          <w:rFonts w:ascii="Times New Roman" w:hAnsi="Times New Roman" w:cs="Times New Roman"/>
          <w:b/>
          <w:i/>
          <w:lang w:val="en-GB"/>
        </w:rPr>
        <w:t xml:space="preserve">+ </w:t>
      </w:r>
      <w:r w:rsidR="00507616" w:rsidRPr="002C595D">
        <w:rPr>
          <w:rFonts w:ascii="Times New Roman" w:hAnsi="Times New Roman" w:cs="Times New Roman"/>
          <w:b/>
          <w:i/>
          <w:lang w:val="en-US"/>
        </w:rPr>
        <w:t xml:space="preserve"> </w:t>
      </w:r>
      <w:r w:rsidR="00507616" w:rsidRPr="002C595D">
        <w:rPr>
          <w:rFonts w:ascii="Times New Roman" w:hAnsi="Times New Roman" w:cs="Times New Roman"/>
          <w:b/>
          <w:i/>
        </w:rPr>
        <w:t>ε</w:t>
      </w:r>
      <w:r w:rsidR="00507616" w:rsidRPr="002C595D">
        <w:rPr>
          <w:rFonts w:ascii="Times New Roman" w:hAnsi="Times New Roman" w:cs="Times New Roman"/>
          <w:b/>
          <w:i/>
          <w:vertAlign w:val="subscript"/>
          <w:lang w:val="en-US"/>
        </w:rPr>
        <w:t>i,</w:t>
      </w:r>
      <w:r w:rsidR="00507616" w:rsidRPr="002C595D">
        <w:rPr>
          <w:rFonts w:ascii="Times New Roman" w:hAnsi="Times New Roman" w:cs="Times New Roman"/>
          <w:b/>
          <w:i/>
          <w:vertAlign w:val="subscript"/>
          <w:lang w:val="en-US"/>
        </w:rPr>
        <w:tab/>
      </w:r>
      <w:r w:rsidR="00507616" w:rsidRPr="002C595D">
        <w:rPr>
          <w:rFonts w:ascii="Times New Roman" w:hAnsi="Times New Roman" w:cs="Times New Roman"/>
          <w:b/>
          <w:i/>
          <w:vertAlign w:val="subscript"/>
          <w:lang w:val="en-US"/>
        </w:rPr>
        <w:tab/>
      </w:r>
      <w:r w:rsidR="00452744" w:rsidRPr="002C595D">
        <w:rPr>
          <w:rFonts w:ascii="Times New Roman" w:hAnsi="Times New Roman" w:cs="Times New Roman"/>
          <w:b/>
          <w:i/>
          <w:vertAlign w:val="subscript"/>
          <w:lang w:val="en-US"/>
        </w:rPr>
        <w:tab/>
        <w:t xml:space="preserve"> </w:t>
      </w:r>
      <w:r w:rsidR="00507616" w:rsidRPr="002C595D">
        <w:rPr>
          <w:rFonts w:ascii="Times New Roman" w:hAnsi="Times New Roman" w:cs="Times New Roman"/>
          <w:b/>
          <w:i/>
          <w:vertAlign w:val="subscript"/>
          <w:lang w:val="en-US"/>
        </w:rPr>
        <w:t xml:space="preserve"> </w:t>
      </w:r>
      <w:r w:rsidR="00507616" w:rsidRPr="002C595D">
        <w:rPr>
          <w:rFonts w:ascii="Times New Roman" w:hAnsi="Times New Roman" w:cs="Times New Roman"/>
          <w:b/>
          <w:i/>
          <w:lang w:val="en-US"/>
        </w:rPr>
        <w:t xml:space="preserve"> (2)</w:t>
      </w:r>
    </w:p>
    <w:p w:rsidR="00507616" w:rsidRPr="002C595D" w:rsidRDefault="00F51FB9" w:rsidP="00A542E9">
      <w:pPr>
        <w:spacing w:line="360" w:lineRule="auto"/>
        <w:jc w:val="both"/>
        <w:rPr>
          <w:rFonts w:ascii="Times New Roman" w:hAnsi="Times New Roman" w:cs="Times New Roman"/>
          <w:i/>
          <w:lang w:val="en-US"/>
        </w:rPr>
      </w:pPr>
      <w:r w:rsidRPr="002C595D">
        <w:rPr>
          <w:rFonts w:ascii="Times New Roman" w:hAnsi="Times New Roman" w:cs="Times New Roman"/>
          <w:b/>
          <w:i/>
          <w:lang w:val="en-US"/>
        </w:rPr>
        <w:t>EqAll</w:t>
      </w:r>
      <w:r w:rsidRPr="002C595D">
        <w:rPr>
          <w:rFonts w:ascii="Times New Roman" w:hAnsi="Times New Roman" w:cs="Times New Roman"/>
          <w:b/>
          <w:i/>
          <w:vertAlign w:val="subscript"/>
          <w:lang w:val="en-US"/>
        </w:rPr>
        <w:t xml:space="preserve"> </w:t>
      </w:r>
      <w:r w:rsidR="00507616" w:rsidRPr="002C595D">
        <w:rPr>
          <w:rFonts w:ascii="Times New Roman" w:hAnsi="Times New Roman" w:cs="Times New Roman"/>
          <w:b/>
          <w:i/>
          <w:lang w:val="en-US"/>
        </w:rPr>
        <w:t xml:space="preserve">= C + </w:t>
      </w:r>
      <w:r w:rsidR="00507616" w:rsidRPr="002C595D">
        <w:rPr>
          <w:rFonts w:ascii="Times New Roman" w:hAnsi="Times New Roman" w:cs="Times New Roman"/>
          <w:b/>
          <w:i/>
        </w:rPr>
        <w:t>β</w:t>
      </w:r>
      <w:r w:rsidR="00507616" w:rsidRPr="002C595D">
        <w:rPr>
          <w:rFonts w:ascii="Times New Roman" w:hAnsi="Times New Roman" w:cs="Times New Roman"/>
          <w:b/>
          <w:i/>
          <w:vertAlign w:val="subscript"/>
          <w:lang w:val="en-US"/>
        </w:rPr>
        <w:t xml:space="preserve">3 </w:t>
      </w:r>
      <w:r w:rsidR="00507616" w:rsidRPr="002C595D">
        <w:rPr>
          <w:rFonts w:ascii="Times New Roman" w:hAnsi="Times New Roman" w:cs="Times New Roman"/>
          <w:b/>
          <w:i/>
          <w:lang w:val="en-US"/>
        </w:rPr>
        <w:t>(Cultural Dimension)</w:t>
      </w:r>
      <w:r w:rsidR="00507616" w:rsidRPr="002C595D">
        <w:rPr>
          <w:rFonts w:ascii="Times New Roman" w:hAnsi="Times New Roman" w:cs="Times New Roman"/>
          <w:b/>
          <w:i/>
          <w:lang w:val="en-GB"/>
        </w:rPr>
        <w:t xml:space="preserve">+ </w:t>
      </w:r>
      <w:r w:rsidR="00507616" w:rsidRPr="002C595D">
        <w:rPr>
          <w:rFonts w:ascii="Times New Roman" w:hAnsi="Times New Roman" w:cs="Times New Roman"/>
          <w:b/>
          <w:i/>
          <w:lang w:val="el-GR"/>
        </w:rPr>
        <w:t>β</w:t>
      </w:r>
      <w:r w:rsidR="00507616" w:rsidRPr="002C595D">
        <w:rPr>
          <w:rFonts w:ascii="Times New Roman" w:hAnsi="Times New Roman" w:cs="Times New Roman"/>
          <w:b/>
          <w:i/>
          <w:vertAlign w:val="subscript"/>
          <w:lang w:val="en-GB"/>
        </w:rPr>
        <w:t>3, 1</w:t>
      </w:r>
      <w:r w:rsidR="00507616" w:rsidRPr="002C595D">
        <w:rPr>
          <w:rFonts w:ascii="Times New Roman" w:hAnsi="Times New Roman" w:cs="Times New Roman"/>
          <w:b/>
          <w:i/>
          <w:lang w:val="en-GB"/>
        </w:rPr>
        <w:t xml:space="preserve"> </w:t>
      </w:r>
      <w:r w:rsidR="00452744" w:rsidRPr="002C595D">
        <w:rPr>
          <w:rFonts w:ascii="Times New Roman" w:hAnsi="Times New Roman" w:cs="Times New Roman"/>
          <w:b/>
          <w:i/>
          <w:lang w:val="en-GB"/>
        </w:rPr>
        <w:t xml:space="preserve">LNEQINV </w:t>
      </w:r>
      <w:r w:rsidR="00507616" w:rsidRPr="002C595D">
        <w:rPr>
          <w:rFonts w:ascii="Times New Roman" w:hAnsi="Times New Roman" w:cs="Times New Roman"/>
          <w:b/>
          <w:i/>
          <w:lang w:val="en-US"/>
        </w:rPr>
        <w:t>+</w:t>
      </w:r>
      <w:r w:rsidR="00507616" w:rsidRPr="002C595D">
        <w:rPr>
          <w:rFonts w:ascii="Times New Roman" w:hAnsi="Times New Roman" w:cs="Times New Roman"/>
          <w:b/>
          <w:i/>
          <w:lang w:val="en-GB"/>
        </w:rPr>
        <w:t xml:space="preserve"> </w:t>
      </w:r>
      <w:r w:rsidR="00507616" w:rsidRPr="002C595D">
        <w:rPr>
          <w:rFonts w:ascii="Times New Roman" w:hAnsi="Times New Roman" w:cs="Times New Roman"/>
          <w:b/>
          <w:i/>
          <w:lang w:val="el-GR"/>
        </w:rPr>
        <w:t>β</w:t>
      </w:r>
      <w:r w:rsidR="00507616" w:rsidRPr="002C595D">
        <w:rPr>
          <w:rFonts w:ascii="Times New Roman" w:hAnsi="Times New Roman" w:cs="Times New Roman"/>
          <w:b/>
          <w:i/>
          <w:vertAlign w:val="subscript"/>
          <w:lang w:val="en-GB"/>
        </w:rPr>
        <w:t xml:space="preserve">3,2 </w:t>
      </w:r>
      <w:r w:rsidR="00452744" w:rsidRPr="002C595D">
        <w:rPr>
          <w:rFonts w:ascii="Times New Roman" w:hAnsi="Times New Roman" w:cs="Times New Roman"/>
          <w:b/>
          <w:i/>
          <w:lang w:val="en-GB"/>
        </w:rPr>
        <w:t xml:space="preserve">LNGDP </w:t>
      </w:r>
      <w:r w:rsidR="00507616" w:rsidRPr="002C595D">
        <w:rPr>
          <w:rFonts w:ascii="Times New Roman" w:hAnsi="Times New Roman" w:cs="Times New Roman"/>
          <w:b/>
          <w:i/>
          <w:lang w:val="en-GB"/>
        </w:rPr>
        <w:t>+</w:t>
      </w:r>
      <w:r w:rsidR="00620BBC" w:rsidRPr="002C595D">
        <w:rPr>
          <w:rFonts w:ascii="Times New Roman" w:hAnsi="Times New Roman" w:cs="Times New Roman"/>
          <w:b/>
          <w:i/>
          <w:lang w:val="en-GB"/>
        </w:rPr>
        <w:t xml:space="preserve"> </w:t>
      </w:r>
      <w:r w:rsidR="00507616" w:rsidRPr="002C595D">
        <w:rPr>
          <w:rFonts w:ascii="Times New Roman" w:hAnsi="Times New Roman" w:cs="Times New Roman"/>
          <w:b/>
          <w:i/>
          <w:lang w:val="el-GR"/>
        </w:rPr>
        <w:t>β</w:t>
      </w:r>
      <w:r w:rsidR="00507616" w:rsidRPr="002C595D">
        <w:rPr>
          <w:rFonts w:ascii="Times New Roman" w:hAnsi="Times New Roman" w:cs="Times New Roman"/>
          <w:b/>
          <w:i/>
          <w:vertAlign w:val="subscript"/>
          <w:lang w:val="en-GB"/>
        </w:rPr>
        <w:t xml:space="preserve">3,3 </w:t>
      </w:r>
      <w:r w:rsidR="00452744" w:rsidRPr="002C595D">
        <w:rPr>
          <w:rFonts w:ascii="Times New Roman" w:hAnsi="Times New Roman" w:cs="Times New Roman"/>
          <w:b/>
          <w:i/>
          <w:lang w:val="en-GB"/>
        </w:rPr>
        <w:t>LNMARCAP</w:t>
      </w:r>
      <w:r w:rsidR="00452744" w:rsidRPr="002C595D">
        <w:rPr>
          <w:rFonts w:ascii="Times New Roman" w:hAnsi="Times New Roman" w:cs="Times New Roman"/>
          <w:b/>
          <w:i/>
          <w:vertAlign w:val="subscript"/>
          <w:lang w:val="en-GB"/>
        </w:rPr>
        <w:t xml:space="preserve"> </w:t>
      </w:r>
      <w:r w:rsidR="00507616" w:rsidRPr="002C595D">
        <w:rPr>
          <w:rFonts w:ascii="Times New Roman" w:hAnsi="Times New Roman" w:cs="Times New Roman"/>
          <w:b/>
          <w:i/>
          <w:lang w:val="en-GB"/>
        </w:rPr>
        <w:t xml:space="preserve">+ </w:t>
      </w:r>
      <w:r w:rsidR="00507616" w:rsidRPr="002C595D">
        <w:rPr>
          <w:rFonts w:ascii="Times New Roman" w:hAnsi="Times New Roman" w:cs="Times New Roman"/>
          <w:b/>
          <w:i/>
        </w:rPr>
        <w:t>ε</w:t>
      </w:r>
      <w:r w:rsidR="00507616" w:rsidRPr="002C595D">
        <w:rPr>
          <w:rFonts w:ascii="Times New Roman" w:hAnsi="Times New Roman" w:cs="Times New Roman"/>
          <w:b/>
          <w:i/>
          <w:vertAlign w:val="subscript"/>
          <w:lang w:val="en-US"/>
        </w:rPr>
        <w:t>i,,</w:t>
      </w:r>
      <w:r w:rsidR="00452744" w:rsidRPr="002C595D">
        <w:rPr>
          <w:rFonts w:ascii="Times New Roman" w:hAnsi="Times New Roman" w:cs="Times New Roman"/>
          <w:b/>
          <w:i/>
          <w:vertAlign w:val="subscript"/>
          <w:lang w:val="en-US"/>
        </w:rPr>
        <w:t xml:space="preserve"> </w:t>
      </w:r>
      <w:r w:rsidR="00A542E9" w:rsidRPr="002C595D">
        <w:rPr>
          <w:rFonts w:ascii="Times New Roman" w:hAnsi="Times New Roman" w:cs="Times New Roman"/>
          <w:b/>
          <w:i/>
          <w:vertAlign w:val="subscript"/>
          <w:lang w:val="en-US"/>
        </w:rPr>
        <w:t xml:space="preserve">  </w:t>
      </w:r>
      <w:r w:rsidRPr="002C595D">
        <w:rPr>
          <w:rFonts w:ascii="Times New Roman" w:hAnsi="Times New Roman" w:cs="Times New Roman"/>
          <w:b/>
          <w:i/>
          <w:vertAlign w:val="subscript"/>
          <w:lang w:val="en-US"/>
        </w:rPr>
        <w:t xml:space="preserve">      </w:t>
      </w:r>
      <w:r w:rsidR="00507616" w:rsidRPr="002C595D">
        <w:rPr>
          <w:rFonts w:ascii="Times New Roman" w:hAnsi="Times New Roman" w:cs="Times New Roman"/>
          <w:b/>
          <w:i/>
          <w:vertAlign w:val="subscript"/>
          <w:lang w:val="en-US"/>
        </w:rPr>
        <w:t xml:space="preserve"> </w:t>
      </w:r>
      <w:r w:rsidR="00507616" w:rsidRPr="002C595D">
        <w:rPr>
          <w:rFonts w:ascii="Times New Roman" w:hAnsi="Times New Roman" w:cs="Times New Roman"/>
          <w:b/>
          <w:i/>
          <w:lang w:val="en-US"/>
        </w:rPr>
        <w:t>(3)</w:t>
      </w:r>
    </w:p>
    <w:p w:rsidR="00452744" w:rsidRPr="002C595D" w:rsidRDefault="00F51FB9" w:rsidP="00507616">
      <w:pPr>
        <w:spacing w:line="360" w:lineRule="auto"/>
        <w:jc w:val="both"/>
        <w:rPr>
          <w:rFonts w:ascii="Times New Roman" w:hAnsi="Times New Roman" w:cs="Times New Roman"/>
          <w:b/>
          <w:i/>
          <w:lang w:val="en-US"/>
        </w:rPr>
      </w:pPr>
      <w:r w:rsidRPr="002C595D">
        <w:rPr>
          <w:rFonts w:ascii="Times New Roman" w:hAnsi="Times New Roman" w:cs="Times New Roman"/>
          <w:b/>
          <w:i/>
          <w:lang w:val="en-US"/>
        </w:rPr>
        <w:t>EqAll</w:t>
      </w:r>
      <w:r w:rsidRPr="002C595D">
        <w:rPr>
          <w:rFonts w:ascii="Times New Roman" w:hAnsi="Times New Roman" w:cs="Times New Roman"/>
          <w:b/>
          <w:i/>
          <w:vertAlign w:val="subscript"/>
          <w:lang w:val="en-US"/>
        </w:rPr>
        <w:t xml:space="preserve"> </w:t>
      </w:r>
      <w:r w:rsidR="00507616" w:rsidRPr="002C595D">
        <w:rPr>
          <w:rFonts w:ascii="Times New Roman" w:hAnsi="Times New Roman" w:cs="Times New Roman"/>
          <w:b/>
          <w:i/>
          <w:lang w:val="en-US"/>
        </w:rPr>
        <w:t xml:space="preserve">= C + </w:t>
      </w:r>
      <w:r w:rsidR="00507616" w:rsidRPr="002C595D">
        <w:rPr>
          <w:rFonts w:ascii="Times New Roman" w:hAnsi="Times New Roman" w:cs="Times New Roman"/>
          <w:b/>
          <w:i/>
        </w:rPr>
        <w:t>β</w:t>
      </w:r>
      <w:r w:rsidR="00507616" w:rsidRPr="002C595D">
        <w:rPr>
          <w:rFonts w:ascii="Times New Roman" w:hAnsi="Times New Roman" w:cs="Times New Roman"/>
          <w:b/>
          <w:i/>
          <w:vertAlign w:val="subscript"/>
          <w:lang w:val="en-US"/>
        </w:rPr>
        <w:t xml:space="preserve">4 </w:t>
      </w:r>
      <w:r w:rsidR="00507616" w:rsidRPr="002C595D">
        <w:rPr>
          <w:rFonts w:ascii="Times New Roman" w:hAnsi="Times New Roman" w:cs="Times New Roman"/>
          <w:b/>
          <w:i/>
          <w:lang w:val="en-US"/>
        </w:rPr>
        <w:t>(Cultural Dimension)</w:t>
      </w:r>
      <w:r w:rsidR="00507616" w:rsidRPr="002C595D">
        <w:rPr>
          <w:rFonts w:ascii="Times New Roman" w:hAnsi="Times New Roman" w:cs="Times New Roman"/>
          <w:b/>
          <w:i/>
          <w:lang w:val="en-GB"/>
        </w:rPr>
        <w:t xml:space="preserve">+ </w:t>
      </w:r>
      <w:r w:rsidR="00507616" w:rsidRPr="002C595D">
        <w:rPr>
          <w:rFonts w:ascii="Times New Roman" w:hAnsi="Times New Roman" w:cs="Times New Roman"/>
          <w:b/>
          <w:i/>
          <w:lang w:val="el-GR"/>
        </w:rPr>
        <w:t>β</w:t>
      </w:r>
      <w:r w:rsidR="00507616" w:rsidRPr="002C595D">
        <w:rPr>
          <w:rFonts w:ascii="Times New Roman" w:hAnsi="Times New Roman" w:cs="Times New Roman"/>
          <w:b/>
          <w:i/>
          <w:vertAlign w:val="subscript"/>
          <w:lang w:val="en-GB"/>
        </w:rPr>
        <w:t>4,1</w:t>
      </w:r>
      <w:r w:rsidR="00507616" w:rsidRPr="002C595D">
        <w:rPr>
          <w:rFonts w:ascii="Times New Roman" w:hAnsi="Times New Roman" w:cs="Times New Roman"/>
          <w:b/>
          <w:i/>
          <w:lang w:val="en-GB"/>
        </w:rPr>
        <w:t xml:space="preserve"> </w:t>
      </w:r>
      <w:r w:rsidR="00452744" w:rsidRPr="002C595D">
        <w:rPr>
          <w:rFonts w:ascii="Times New Roman" w:hAnsi="Times New Roman" w:cs="Times New Roman"/>
          <w:b/>
          <w:i/>
          <w:lang w:val="en-GB"/>
        </w:rPr>
        <w:t xml:space="preserve">LNEQINV </w:t>
      </w:r>
      <w:r w:rsidR="00507616" w:rsidRPr="002C595D">
        <w:rPr>
          <w:rFonts w:ascii="Times New Roman" w:hAnsi="Times New Roman" w:cs="Times New Roman"/>
          <w:b/>
          <w:i/>
          <w:lang w:val="en-US"/>
        </w:rPr>
        <w:t xml:space="preserve">+ </w:t>
      </w:r>
      <w:r w:rsidR="00507616" w:rsidRPr="002C595D">
        <w:rPr>
          <w:rFonts w:ascii="Times New Roman" w:hAnsi="Times New Roman" w:cs="Times New Roman"/>
          <w:b/>
          <w:i/>
          <w:lang w:val="en-GB"/>
        </w:rPr>
        <w:t xml:space="preserve"> </w:t>
      </w:r>
      <w:r w:rsidR="00507616" w:rsidRPr="002C595D">
        <w:rPr>
          <w:rFonts w:ascii="Times New Roman" w:hAnsi="Times New Roman" w:cs="Times New Roman"/>
          <w:b/>
          <w:i/>
          <w:lang w:val="el-GR"/>
        </w:rPr>
        <w:t>β</w:t>
      </w:r>
      <w:r w:rsidR="00507616" w:rsidRPr="002C595D">
        <w:rPr>
          <w:rFonts w:ascii="Times New Roman" w:hAnsi="Times New Roman" w:cs="Times New Roman"/>
          <w:b/>
          <w:i/>
          <w:vertAlign w:val="subscript"/>
          <w:lang w:val="en-GB"/>
        </w:rPr>
        <w:t xml:space="preserve">4,2 </w:t>
      </w:r>
      <w:r w:rsidR="00452744" w:rsidRPr="002C595D">
        <w:rPr>
          <w:rFonts w:ascii="Times New Roman" w:hAnsi="Times New Roman" w:cs="Times New Roman"/>
          <w:b/>
          <w:i/>
          <w:lang w:val="en-GB"/>
        </w:rPr>
        <w:t xml:space="preserve">LNGDP </w:t>
      </w:r>
      <w:r w:rsidR="00507616" w:rsidRPr="002C595D">
        <w:rPr>
          <w:rFonts w:ascii="Times New Roman" w:hAnsi="Times New Roman" w:cs="Times New Roman"/>
          <w:b/>
          <w:i/>
          <w:lang w:val="en-GB"/>
        </w:rPr>
        <w:t>+</w:t>
      </w:r>
      <w:r w:rsidR="00507616" w:rsidRPr="002C595D">
        <w:rPr>
          <w:rFonts w:ascii="Times New Roman" w:hAnsi="Times New Roman" w:cs="Times New Roman"/>
          <w:b/>
          <w:i/>
          <w:lang w:val="en-US"/>
        </w:rPr>
        <w:t xml:space="preserve"> </w:t>
      </w:r>
    </w:p>
    <w:p w:rsidR="00507616" w:rsidRPr="002C595D" w:rsidRDefault="00620BBC" w:rsidP="00620BBC">
      <w:pPr>
        <w:spacing w:line="360" w:lineRule="auto"/>
        <w:jc w:val="both"/>
        <w:rPr>
          <w:rFonts w:ascii="Times New Roman" w:hAnsi="Times New Roman" w:cs="Times New Roman"/>
          <w:b/>
          <w:i/>
          <w:lang w:val="en-US"/>
        </w:rPr>
      </w:pPr>
      <w:r w:rsidRPr="002C595D">
        <w:rPr>
          <w:rFonts w:ascii="Times New Roman" w:hAnsi="Times New Roman" w:cs="Times New Roman"/>
          <w:b/>
          <w:i/>
          <w:lang w:val="en-GB"/>
        </w:rPr>
        <w:t xml:space="preserve">    </w:t>
      </w:r>
      <w:r w:rsidRPr="002C595D">
        <w:rPr>
          <w:rFonts w:ascii="Times New Roman" w:hAnsi="Times New Roman" w:cs="Times New Roman"/>
          <w:b/>
          <w:i/>
          <w:lang w:val="en-GB"/>
        </w:rPr>
        <w:tab/>
        <w:t xml:space="preserve">      </w:t>
      </w:r>
      <w:r w:rsidR="00507616" w:rsidRPr="002C595D">
        <w:rPr>
          <w:rFonts w:ascii="Times New Roman" w:hAnsi="Times New Roman" w:cs="Times New Roman"/>
          <w:b/>
          <w:i/>
          <w:lang w:val="el-GR"/>
        </w:rPr>
        <w:t>β</w:t>
      </w:r>
      <w:r w:rsidR="00507616" w:rsidRPr="002C595D">
        <w:rPr>
          <w:rFonts w:ascii="Times New Roman" w:hAnsi="Times New Roman" w:cs="Times New Roman"/>
          <w:b/>
          <w:i/>
          <w:vertAlign w:val="subscript"/>
          <w:lang w:val="en-GB"/>
        </w:rPr>
        <w:t xml:space="preserve">4,3 </w:t>
      </w:r>
      <w:r w:rsidR="00452744" w:rsidRPr="002C595D">
        <w:rPr>
          <w:rFonts w:ascii="Times New Roman" w:hAnsi="Times New Roman" w:cs="Times New Roman"/>
          <w:b/>
          <w:i/>
          <w:lang w:val="en-GB"/>
        </w:rPr>
        <w:t>LNMARCAP</w:t>
      </w:r>
      <w:r w:rsidR="00452744" w:rsidRPr="002C595D">
        <w:rPr>
          <w:rFonts w:ascii="Times New Roman" w:hAnsi="Times New Roman" w:cs="Times New Roman"/>
          <w:b/>
          <w:i/>
          <w:vertAlign w:val="subscript"/>
          <w:lang w:val="en-GB"/>
        </w:rPr>
        <w:t xml:space="preserve"> </w:t>
      </w:r>
      <w:r w:rsidR="00452744" w:rsidRPr="002C595D">
        <w:rPr>
          <w:rFonts w:ascii="Times New Roman" w:hAnsi="Times New Roman" w:cs="Times New Roman"/>
          <w:b/>
          <w:i/>
          <w:lang w:val="en-GB"/>
        </w:rPr>
        <w:t xml:space="preserve">+  </w:t>
      </w:r>
      <w:r w:rsidR="00452744" w:rsidRPr="002C595D">
        <w:rPr>
          <w:rFonts w:ascii="Times New Roman" w:hAnsi="Times New Roman" w:cs="Times New Roman"/>
          <w:b/>
          <w:i/>
          <w:lang w:val="el-GR"/>
        </w:rPr>
        <w:t>β</w:t>
      </w:r>
      <w:r w:rsidR="00452744" w:rsidRPr="002C595D">
        <w:rPr>
          <w:rFonts w:ascii="Times New Roman" w:hAnsi="Times New Roman" w:cs="Times New Roman"/>
          <w:b/>
          <w:i/>
          <w:vertAlign w:val="subscript"/>
          <w:lang w:val="en-GB"/>
        </w:rPr>
        <w:t xml:space="preserve">4,4 </w:t>
      </w:r>
      <w:r w:rsidR="00452744" w:rsidRPr="002C595D">
        <w:rPr>
          <w:rFonts w:ascii="Times New Roman" w:hAnsi="Times New Roman" w:cs="Times New Roman"/>
          <w:b/>
          <w:i/>
          <w:lang w:val="en-GB"/>
        </w:rPr>
        <w:t>AGEDR +</w:t>
      </w:r>
      <w:r w:rsidR="00452744" w:rsidRPr="002C595D">
        <w:rPr>
          <w:rFonts w:ascii="Times New Roman" w:hAnsi="Times New Roman" w:cs="Times New Roman"/>
          <w:b/>
          <w:i/>
          <w:vertAlign w:val="subscript"/>
          <w:lang w:val="en-GB"/>
        </w:rPr>
        <w:t xml:space="preserve"> </w:t>
      </w:r>
      <w:r w:rsidR="00507616" w:rsidRPr="002C595D">
        <w:rPr>
          <w:rFonts w:ascii="Times New Roman" w:hAnsi="Times New Roman" w:cs="Times New Roman"/>
          <w:b/>
          <w:i/>
          <w:lang w:val="en-GB"/>
        </w:rPr>
        <w:t xml:space="preserve"> </w:t>
      </w:r>
      <w:r w:rsidR="00507616" w:rsidRPr="002C595D">
        <w:rPr>
          <w:rFonts w:ascii="Times New Roman" w:hAnsi="Times New Roman" w:cs="Times New Roman"/>
          <w:b/>
          <w:i/>
        </w:rPr>
        <w:t>ε</w:t>
      </w:r>
      <w:r w:rsidR="00452744" w:rsidRPr="002C595D">
        <w:rPr>
          <w:rFonts w:ascii="Times New Roman" w:hAnsi="Times New Roman" w:cs="Times New Roman"/>
          <w:b/>
          <w:i/>
          <w:vertAlign w:val="subscript"/>
          <w:lang w:val="en-US"/>
        </w:rPr>
        <w:t>i,</w:t>
      </w:r>
      <w:r w:rsidR="00507616" w:rsidRPr="002C595D">
        <w:rPr>
          <w:rFonts w:ascii="Times New Roman" w:hAnsi="Times New Roman" w:cs="Times New Roman"/>
          <w:b/>
          <w:i/>
          <w:vertAlign w:val="subscript"/>
          <w:lang w:val="en-US"/>
        </w:rPr>
        <w:tab/>
      </w:r>
      <w:r w:rsidR="00452744" w:rsidRPr="002C595D">
        <w:rPr>
          <w:rFonts w:ascii="Times New Roman" w:hAnsi="Times New Roman" w:cs="Times New Roman"/>
          <w:b/>
          <w:i/>
          <w:vertAlign w:val="subscript"/>
          <w:lang w:val="en-US"/>
        </w:rPr>
        <w:tab/>
        <w:t xml:space="preserve">       </w:t>
      </w:r>
      <w:r w:rsidR="00452744" w:rsidRPr="002C595D">
        <w:rPr>
          <w:rFonts w:ascii="Times New Roman" w:hAnsi="Times New Roman" w:cs="Times New Roman"/>
          <w:b/>
          <w:i/>
          <w:vertAlign w:val="subscript"/>
          <w:lang w:val="en-US"/>
        </w:rPr>
        <w:tab/>
      </w:r>
      <w:r w:rsidR="00452744" w:rsidRPr="002C595D">
        <w:rPr>
          <w:rFonts w:ascii="Times New Roman" w:hAnsi="Times New Roman" w:cs="Times New Roman"/>
          <w:b/>
          <w:i/>
          <w:vertAlign w:val="subscript"/>
          <w:lang w:val="en-US"/>
        </w:rPr>
        <w:tab/>
        <w:t xml:space="preserve">                 </w:t>
      </w:r>
      <w:r w:rsidRPr="002C595D">
        <w:rPr>
          <w:rFonts w:ascii="Times New Roman" w:hAnsi="Times New Roman" w:cs="Times New Roman"/>
          <w:b/>
          <w:i/>
          <w:vertAlign w:val="subscript"/>
          <w:lang w:val="en-US"/>
        </w:rPr>
        <w:tab/>
      </w:r>
      <w:r w:rsidR="00507616" w:rsidRPr="002C595D">
        <w:rPr>
          <w:rFonts w:ascii="Times New Roman" w:hAnsi="Times New Roman" w:cs="Times New Roman"/>
          <w:b/>
          <w:i/>
          <w:vertAlign w:val="subscript"/>
          <w:lang w:val="en-US"/>
        </w:rPr>
        <w:tab/>
      </w:r>
      <w:r w:rsidRPr="002C595D">
        <w:rPr>
          <w:rFonts w:ascii="Times New Roman" w:hAnsi="Times New Roman" w:cs="Times New Roman"/>
          <w:b/>
          <w:i/>
          <w:vertAlign w:val="subscript"/>
          <w:lang w:val="en-US"/>
        </w:rPr>
        <w:t xml:space="preserve">  </w:t>
      </w:r>
      <w:r w:rsidR="00F51FB9" w:rsidRPr="002C595D">
        <w:rPr>
          <w:rFonts w:ascii="Times New Roman" w:hAnsi="Times New Roman" w:cs="Times New Roman"/>
          <w:b/>
          <w:i/>
          <w:vertAlign w:val="subscript"/>
          <w:lang w:val="en-US"/>
        </w:rPr>
        <w:t xml:space="preserve"> </w:t>
      </w:r>
      <w:r w:rsidR="00507616" w:rsidRPr="002C595D">
        <w:rPr>
          <w:rFonts w:ascii="Times New Roman" w:hAnsi="Times New Roman" w:cs="Times New Roman"/>
          <w:b/>
          <w:i/>
          <w:lang w:val="en-US"/>
        </w:rPr>
        <w:t>(4)</w:t>
      </w:r>
    </w:p>
    <w:p w:rsidR="00452744" w:rsidRPr="002C595D" w:rsidRDefault="00F51FB9" w:rsidP="00452744">
      <w:pPr>
        <w:spacing w:line="360" w:lineRule="auto"/>
        <w:jc w:val="both"/>
        <w:rPr>
          <w:rFonts w:ascii="Times New Roman" w:hAnsi="Times New Roman" w:cs="Times New Roman"/>
          <w:b/>
          <w:i/>
          <w:lang w:val="en-US"/>
        </w:rPr>
      </w:pPr>
      <w:r w:rsidRPr="002C595D">
        <w:rPr>
          <w:rFonts w:ascii="Times New Roman" w:hAnsi="Times New Roman" w:cs="Times New Roman"/>
          <w:b/>
          <w:i/>
          <w:lang w:val="en-US"/>
        </w:rPr>
        <w:t>EqAll</w:t>
      </w:r>
      <w:r w:rsidRPr="002C595D">
        <w:rPr>
          <w:rFonts w:ascii="Times New Roman" w:hAnsi="Times New Roman" w:cs="Times New Roman"/>
          <w:b/>
          <w:i/>
          <w:vertAlign w:val="subscript"/>
          <w:lang w:val="en-US"/>
        </w:rPr>
        <w:t xml:space="preserve"> </w:t>
      </w:r>
      <w:r w:rsidR="00507616" w:rsidRPr="002C595D">
        <w:rPr>
          <w:rFonts w:ascii="Times New Roman" w:hAnsi="Times New Roman" w:cs="Times New Roman"/>
          <w:b/>
          <w:i/>
          <w:lang w:val="en-US"/>
        </w:rPr>
        <w:t xml:space="preserve">= C + </w:t>
      </w:r>
      <w:r w:rsidR="00507616" w:rsidRPr="002C595D">
        <w:rPr>
          <w:rFonts w:ascii="Times New Roman" w:hAnsi="Times New Roman" w:cs="Times New Roman"/>
          <w:b/>
          <w:i/>
        </w:rPr>
        <w:t>β</w:t>
      </w:r>
      <w:r w:rsidR="00507616" w:rsidRPr="002C595D">
        <w:rPr>
          <w:rFonts w:ascii="Times New Roman" w:hAnsi="Times New Roman" w:cs="Times New Roman"/>
          <w:b/>
          <w:i/>
          <w:vertAlign w:val="subscript"/>
          <w:lang w:val="en-GB"/>
        </w:rPr>
        <w:t>5</w:t>
      </w:r>
      <w:r w:rsidR="00507616" w:rsidRPr="002C595D">
        <w:rPr>
          <w:rFonts w:ascii="Times New Roman" w:hAnsi="Times New Roman" w:cs="Times New Roman"/>
          <w:b/>
          <w:i/>
          <w:lang w:val="en-US"/>
        </w:rPr>
        <w:t xml:space="preserve"> (Cultural Dimension)</w:t>
      </w:r>
      <w:r w:rsidR="00507616" w:rsidRPr="002C595D">
        <w:rPr>
          <w:rFonts w:ascii="Times New Roman" w:hAnsi="Times New Roman" w:cs="Times New Roman"/>
          <w:b/>
          <w:i/>
          <w:lang w:val="en-GB"/>
        </w:rPr>
        <w:t xml:space="preserve">+ </w:t>
      </w:r>
      <w:r w:rsidR="00507616" w:rsidRPr="002C595D">
        <w:rPr>
          <w:rFonts w:ascii="Times New Roman" w:hAnsi="Times New Roman" w:cs="Times New Roman"/>
          <w:b/>
          <w:i/>
          <w:lang w:val="el-GR"/>
        </w:rPr>
        <w:t>β</w:t>
      </w:r>
      <w:r w:rsidR="00507616" w:rsidRPr="002C595D">
        <w:rPr>
          <w:rFonts w:ascii="Times New Roman" w:hAnsi="Times New Roman" w:cs="Times New Roman"/>
          <w:b/>
          <w:i/>
          <w:vertAlign w:val="subscript"/>
          <w:lang w:val="en-GB"/>
        </w:rPr>
        <w:t>5,1</w:t>
      </w:r>
      <w:r w:rsidR="00507616" w:rsidRPr="002C595D">
        <w:rPr>
          <w:rFonts w:ascii="Times New Roman" w:hAnsi="Times New Roman" w:cs="Times New Roman"/>
          <w:b/>
          <w:i/>
          <w:lang w:val="en-GB"/>
        </w:rPr>
        <w:t xml:space="preserve"> </w:t>
      </w:r>
      <w:r w:rsidR="00452744" w:rsidRPr="002C595D">
        <w:rPr>
          <w:rFonts w:ascii="Times New Roman" w:hAnsi="Times New Roman" w:cs="Times New Roman"/>
          <w:b/>
          <w:i/>
          <w:lang w:val="en-GB"/>
        </w:rPr>
        <w:t xml:space="preserve">LNEQINV </w:t>
      </w:r>
      <w:r w:rsidR="00452744" w:rsidRPr="002C595D">
        <w:rPr>
          <w:rFonts w:ascii="Times New Roman" w:hAnsi="Times New Roman" w:cs="Times New Roman"/>
          <w:b/>
          <w:i/>
          <w:lang w:val="en-US"/>
        </w:rPr>
        <w:t xml:space="preserve">+ </w:t>
      </w:r>
      <w:r w:rsidR="00452744" w:rsidRPr="002C595D">
        <w:rPr>
          <w:rFonts w:ascii="Times New Roman" w:hAnsi="Times New Roman" w:cs="Times New Roman"/>
          <w:b/>
          <w:i/>
          <w:lang w:val="en-GB"/>
        </w:rPr>
        <w:t xml:space="preserve"> </w:t>
      </w:r>
      <w:r w:rsidR="00452744" w:rsidRPr="002C595D">
        <w:rPr>
          <w:rFonts w:ascii="Times New Roman" w:hAnsi="Times New Roman" w:cs="Times New Roman"/>
          <w:b/>
          <w:i/>
          <w:lang w:val="el-GR"/>
        </w:rPr>
        <w:t>β</w:t>
      </w:r>
      <w:r w:rsidR="00452744" w:rsidRPr="002C595D">
        <w:rPr>
          <w:rFonts w:ascii="Times New Roman" w:hAnsi="Times New Roman" w:cs="Times New Roman"/>
          <w:b/>
          <w:i/>
          <w:vertAlign w:val="subscript"/>
          <w:lang w:val="en-GB"/>
        </w:rPr>
        <w:t xml:space="preserve">5,2 </w:t>
      </w:r>
      <w:r w:rsidR="00452744" w:rsidRPr="002C595D">
        <w:rPr>
          <w:rFonts w:ascii="Times New Roman" w:hAnsi="Times New Roman" w:cs="Times New Roman"/>
          <w:b/>
          <w:i/>
          <w:lang w:val="en-GB"/>
        </w:rPr>
        <w:t>LNGDP +</w:t>
      </w:r>
      <w:r w:rsidR="00452744" w:rsidRPr="002C595D">
        <w:rPr>
          <w:rFonts w:ascii="Times New Roman" w:hAnsi="Times New Roman" w:cs="Times New Roman"/>
          <w:b/>
          <w:i/>
          <w:lang w:val="en-US"/>
        </w:rPr>
        <w:t xml:space="preserve"> </w:t>
      </w:r>
    </w:p>
    <w:p w:rsidR="00507616" w:rsidRPr="002C595D" w:rsidRDefault="00620BBC" w:rsidP="00620BBC">
      <w:pPr>
        <w:spacing w:line="360" w:lineRule="auto"/>
        <w:ind w:firstLine="720"/>
        <w:jc w:val="both"/>
        <w:rPr>
          <w:rFonts w:ascii="Times New Roman" w:hAnsi="Times New Roman" w:cs="Times New Roman"/>
          <w:b/>
          <w:i/>
          <w:lang w:val="en-US"/>
        </w:rPr>
      </w:pPr>
      <w:r w:rsidRPr="002C595D">
        <w:rPr>
          <w:rFonts w:ascii="Times New Roman" w:hAnsi="Times New Roman" w:cs="Times New Roman"/>
          <w:b/>
          <w:i/>
          <w:lang w:val="en-GB"/>
        </w:rPr>
        <w:t xml:space="preserve">      </w:t>
      </w:r>
      <w:r w:rsidR="00E045DC" w:rsidRPr="002C595D">
        <w:rPr>
          <w:rFonts w:ascii="Times New Roman" w:hAnsi="Times New Roman" w:cs="Times New Roman"/>
          <w:b/>
          <w:i/>
          <w:lang w:val="el-GR"/>
        </w:rPr>
        <w:t>β</w:t>
      </w:r>
      <w:r w:rsidR="00452744" w:rsidRPr="002C595D">
        <w:rPr>
          <w:rFonts w:ascii="Times New Roman" w:hAnsi="Times New Roman" w:cs="Times New Roman"/>
          <w:b/>
          <w:i/>
          <w:vertAlign w:val="subscript"/>
          <w:lang w:val="en-GB"/>
        </w:rPr>
        <w:t xml:space="preserve">5,3 </w:t>
      </w:r>
      <w:r w:rsidR="00452744" w:rsidRPr="002C595D">
        <w:rPr>
          <w:rFonts w:ascii="Times New Roman" w:hAnsi="Times New Roman" w:cs="Times New Roman"/>
          <w:b/>
          <w:i/>
          <w:lang w:val="en-GB"/>
        </w:rPr>
        <w:t>LNMARCAP</w:t>
      </w:r>
      <w:r w:rsidR="00452744" w:rsidRPr="002C595D">
        <w:rPr>
          <w:rFonts w:ascii="Times New Roman" w:hAnsi="Times New Roman" w:cs="Times New Roman"/>
          <w:b/>
          <w:i/>
          <w:vertAlign w:val="subscript"/>
          <w:lang w:val="en-GB"/>
        </w:rPr>
        <w:t xml:space="preserve"> </w:t>
      </w:r>
      <w:r w:rsidR="00452744" w:rsidRPr="002C595D">
        <w:rPr>
          <w:rFonts w:ascii="Times New Roman" w:hAnsi="Times New Roman" w:cs="Times New Roman"/>
          <w:b/>
          <w:i/>
          <w:lang w:val="en-GB"/>
        </w:rPr>
        <w:t xml:space="preserve">+  </w:t>
      </w:r>
      <w:r w:rsidR="00452744" w:rsidRPr="002C595D">
        <w:rPr>
          <w:rFonts w:ascii="Times New Roman" w:hAnsi="Times New Roman" w:cs="Times New Roman"/>
          <w:b/>
          <w:i/>
          <w:lang w:val="el-GR"/>
        </w:rPr>
        <w:t>β</w:t>
      </w:r>
      <w:r w:rsidR="00452744" w:rsidRPr="002C595D">
        <w:rPr>
          <w:rFonts w:ascii="Times New Roman" w:hAnsi="Times New Roman" w:cs="Times New Roman"/>
          <w:b/>
          <w:i/>
          <w:vertAlign w:val="subscript"/>
          <w:lang w:val="en-GB"/>
        </w:rPr>
        <w:t xml:space="preserve">5,4 </w:t>
      </w:r>
      <w:r w:rsidR="00452744" w:rsidRPr="002C595D">
        <w:rPr>
          <w:rFonts w:ascii="Times New Roman" w:hAnsi="Times New Roman" w:cs="Times New Roman"/>
          <w:b/>
          <w:i/>
          <w:lang w:val="en-GB"/>
        </w:rPr>
        <w:t>AGEDR +</w:t>
      </w:r>
      <w:r w:rsidR="00452744" w:rsidRPr="002C595D">
        <w:rPr>
          <w:rFonts w:ascii="Times New Roman" w:hAnsi="Times New Roman" w:cs="Times New Roman"/>
          <w:b/>
          <w:i/>
          <w:vertAlign w:val="subscript"/>
          <w:lang w:val="en-GB"/>
        </w:rPr>
        <w:t xml:space="preserve"> </w:t>
      </w:r>
      <w:r w:rsidR="00452744" w:rsidRPr="002C595D">
        <w:rPr>
          <w:rFonts w:ascii="Times New Roman" w:hAnsi="Times New Roman" w:cs="Times New Roman"/>
          <w:b/>
          <w:i/>
          <w:lang w:val="en-GB"/>
        </w:rPr>
        <w:t xml:space="preserve"> </w:t>
      </w:r>
      <w:r w:rsidR="00452744" w:rsidRPr="002C595D">
        <w:rPr>
          <w:rFonts w:ascii="Times New Roman" w:hAnsi="Times New Roman" w:cs="Times New Roman"/>
          <w:b/>
          <w:i/>
          <w:lang w:val="el-GR"/>
        </w:rPr>
        <w:t>β</w:t>
      </w:r>
      <w:r w:rsidR="00452744" w:rsidRPr="002C595D">
        <w:rPr>
          <w:rFonts w:ascii="Times New Roman" w:hAnsi="Times New Roman" w:cs="Times New Roman"/>
          <w:b/>
          <w:i/>
          <w:vertAlign w:val="subscript"/>
          <w:lang w:val="en-GB"/>
        </w:rPr>
        <w:t>5</w:t>
      </w:r>
      <w:r w:rsidRPr="002C595D">
        <w:rPr>
          <w:rFonts w:ascii="Times New Roman" w:hAnsi="Times New Roman" w:cs="Times New Roman"/>
          <w:b/>
          <w:i/>
          <w:vertAlign w:val="subscript"/>
          <w:lang w:val="en-GB"/>
        </w:rPr>
        <w:t>.</w:t>
      </w:r>
      <w:r w:rsidR="00452744" w:rsidRPr="002C595D">
        <w:rPr>
          <w:rFonts w:ascii="Times New Roman" w:hAnsi="Times New Roman" w:cs="Times New Roman"/>
          <w:b/>
          <w:i/>
          <w:vertAlign w:val="subscript"/>
          <w:lang w:val="en-GB"/>
        </w:rPr>
        <w:t xml:space="preserve">5 </w:t>
      </w:r>
      <w:r w:rsidR="00452744" w:rsidRPr="002C595D">
        <w:rPr>
          <w:rFonts w:ascii="Times New Roman" w:hAnsi="Times New Roman" w:cs="Times New Roman"/>
          <w:b/>
          <w:i/>
          <w:lang w:val="en-GB"/>
        </w:rPr>
        <w:t xml:space="preserve">DB + </w:t>
      </w:r>
      <w:r w:rsidR="00452744" w:rsidRPr="002C595D">
        <w:rPr>
          <w:rFonts w:ascii="Times New Roman" w:hAnsi="Times New Roman" w:cs="Times New Roman"/>
          <w:b/>
          <w:i/>
          <w:vertAlign w:val="subscript"/>
          <w:lang w:val="en-GB"/>
        </w:rPr>
        <w:t>,</w:t>
      </w:r>
      <w:r w:rsidR="00452744" w:rsidRPr="002C595D">
        <w:rPr>
          <w:rFonts w:ascii="Times New Roman" w:hAnsi="Times New Roman" w:cs="Times New Roman"/>
          <w:b/>
          <w:i/>
        </w:rPr>
        <w:t>ε</w:t>
      </w:r>
      <w:r w:rsidR="00452744" w:rsidRPr="002C595D">
        <w:rPr>
          <w:rFonts w:ascii="Times New Roman" w:hAnsi="Times New Roman" w:cs="Times New Roman"/>
          <w:b/>
          <w:i/>
          <w:vertAlign w:val="subscript"/>
          <w:lang w:val="en-US"/>
        </w:rPr>
        <w:t>i,</w:t>
      </w:r>
      <w:r w:rsidR="00507616" w:rsidRPr="002C595D">
        <w:rPr>
          <w:rFonts w:ascii="Times New Roman" w:hAnsi="Times New Roman" w:cs="Times New Roman"/>
          <w:b/>
          <w:i/>
          <w:vertAlign w:val="subscript"/>
          <w:lang w:val="en-US"/>
        </w:rPr>
        <w:tab/>
      </w:r>
      <w:r w:rsidR="00507616" w:rsidRPr="002C595D">
        <w:rPr>
          <w:rFonts w:ascii="Times New Roman" w:hAnsi="Times New Roman" w:cs="Times New Roman"/>
          <w:b/>
          <w:i/>
          <w:vertAlign w:val="subscript"/>
          <w:lang w:val="en-US"/>
        </w:rPr>
        <w:tab/>
      </w:r>
      <w:r w:rsidR="00507616" w:rsidRPr="002C595D">
        <w:rPr>
          <w:rFonts w:ascii="Times New Roman" w:hAnsi="Times New Roman" w:cs="Times New Roman"/>
          <w:b/>
          <w:i/>
          <w:vertAlign w:val="subscript"/>
          <w:lang w:val="en-US"/>
        </w:rPr>
        <w:tab/>
      </w:r>
      <w:r w:rsidR="00507616" w:rsidRPr="002C595D">
        <w:rPr>
          <w:rFonts w:ascii="Times New Roman" w:hAnsi="Times New Roman" w:cs="Times New Roman"/>
          <w:b/>
          <w:i/>
          <w:vertAlign w:val="subscript"/>
          <w:lang w:val="en-US"/>
        </w:rPr>
        <w:tab/>
      </w:r>
      <w:r w:rsidRPr="002C595D">
        <w:rPr>
          <w:rFonts w:ascii="Times New Roman" w:hAnsi="Times New Roman" w:cs="Times New Roman"/>
          <w:b/>
          <w:i/>
          <w:vertAlign w:val="subscript"/>
          <w:lang w:val="en-US"/>
        </w:rPr>
        <w:tab/>
      </w:r>
      <w:r w:rsidR="00F51FB9" w:rsidRPr="002C595D">
        <w:rPr>
          <w:rFonts w:ascii="Times New Roman" w:hAnsi="Times New Roman" w:cs="Times New Roman"/>
          <w:b/>
          <w:i/>
          <w:vertAlign w:val="subscript"/>
          <w:lang w:val="en-US"/>
        </w:rPr>
        <w:t xml:space="preserve"> </w:t>
      </w:r>
      <w:r w:rsidRPr="002C595D">
        <w:rPr>
          <w:rFonts w:ascii="Times New Roman" w:hAnsi="Times New Roman" w:cs="Times New Roman"/>
          <w:b/>
          <w:i/>
          <w:vertAlign w:val="subscript"/>
          <w:lang w:val="en-US"/>
        </w:rPr>
        <w:t xml:space="preserve">  </w:t>
      </w:r>
      <w:r w:rsidR="00507616" w:rsidRPr="002C595D">
        <w:rPr>
          <w:rFonts w:ascii="Times New Roman" w:hAnsi="Times New Roman" w:cs="Times New Roman"/>
          <w:b/>
          <w:i/>
          <w:lang w:val="en-US"/>
        </w:rPr>
        <w:t>(</w:t>
      </w:r>
      <w:r w:rsidR="00507616" w:rsidRPr="002C595D">
        <w:rPr>
          <w:rFonts w:ascii="Times New Roman" w:hAnsi="Times New Roman" w:cs="Times New Roman"/>
          <w:b/>
          <w:i/>
          <w:lang w:val="en-GB"/>
        </w:rPr>
        <w:t>5</w:t>
      </w:r>
      <w:r w:rsidR="00507616" w:rsidRPr="002C595D">
        <w:rPr>
          <w:rFonts w:ascii="Times New Roman" w:hAnsi="Times New Roman" w:cs="Times New Roman"/>
          <w:b/>
          <w:i/>
          <w:lang w:val="en-US"/>
        </w:rPr>
        <w:t>)</w:t>
      </w:r>
    </w:p>
    <w:p w:rsidR="00507616" w:rsidRPr="002C595D" w:rsidRDefault="00507616" w:rsidP="00507616">
      <w:pPr>
        <w:spacing w:line="360" w:lineRule="auto"/>
        <w:jc w:val="both"/>
        <w:rPr>
          <w:rFonts w:ascii="Times New Roman" w:hAnsi="Times New Roman" w:cs="Times New Roman"/>
          <w:lang w:val="en-US"/>
        </w:rPr>
      </w:pPr>
      <w:r w:rsidRPr="002C595D">
        <w:rPr>
          <w:rFonts w:ascii="Times New Roman" w:hAnsi="Times New Roman" w:cs="Times New Roman"/>
          <w:lang w:val="en-US"/>
        </w:rPr>
        <w:t xml:space="preserve">Where once again:  </w:t>
      </w:r>
    </w:p>
    <w:p w:rsidR="00507616" w:rsidRPr="002C595D" w:rsidRDefault="00DB2115" w:rsidP="00507616">
      <w:pPr>
        <w:pStyle w:val="ListParagraph"/>
        <w:numPr>
          <w:ilvl w:val="0"/>
          <w:numId w:val="8"/>
        </w:numPr>
        <w:spacing w:line="360" w:lineRule="auto"/>
        <w:jc w:val="both"/>
        <w:rPr>
          <w:rFonts w:ascii="Times New Roman" w:hAnsi="Times New Roman" w:cs="Times New Roman"/>
          <w:lang w:val="en-US"/>
        </w:rPr>
      </w:pPr>
      <w:r w:rsidRPr="00DB2115">
        <w:rPr>
          <w:rFonts w:ascii="Times New Roman" w:hAnsi="Times New Roman" w:cs="Times New Roman"/>
          <w:lang w:val="en-US"/>
        </w:rPr>
        <w:t xml:space="preserve">EqAll </w:t>
      </w:r>
      <w:r w:rsidR="00507616" w:rsidRPr="002C595D">
        <w:rPr>
          <w:rFonts w:ascii="Times New Roman" w:hAnsi="Times New Roman" w:cs="Times New Roman"/>
          <w:lang w:val="en-US"/>
        </w:rPr>
        <w:t>is the ratio of Equity to Total investments and  is the independent variable (Y</w:t>
      </w:r>
      <w:r w:rsidR="00507616" w:rsidRPr="002C595D">
        <w:rPr>
          <w:rFonts w:ascii="Times New Roman" w:hAnsi="Times New Roman" w:cs="Times New Roman"/>
          <w:vertAlign w:val="subscript"/>
          <w:lang w:val="en-US"/>
        </w:rPr>
        <w:t>i</w:t>
      </w:r>
      <w:r w:rsidR="00507616" w:rsidRPr="002C595D">
        <w:rPr>
          <w:rFonts w:ascii="Times New Roman" w:hAnsi="Times New Roman" w:cs="Times New Roman"/>
          <w:lang w:val="en-US"/>
        </w:rPr>
        <w:t>)</w:t>
      </w:r>
    </w:p>
    <w:p w:rsidR="00620BBC" w:rsidRPr="002C595D" w:rsidRDefault="00620BBC" w:rsidP="00507616">
      <w:pPr>
        <w:pStyle w:val="ListParagraph"/>
        <w:numPr>
          <w:ilvl w:val="0"/>
          <w:numId w:val="8"/>
        </w:numPr>
        <w:spacing w:line="360" w:lineRule="auto"/>
        <w:jc w:val="both"/>
        <w:rPr>
          <w:rFonts w:ascii="Times New Roman" w:hAnsi="Times New Roman" w:cs="Times New Roman"/>
          <w:lang w:val="en-US"/>
        </w:rPr>
      </w:pPr>
      <w:r w:rsidRPr="002C595D">
        <w:rPr>
          <w:rFonts w:ascii="Times New Roman" w:hAnsi="Times New Roman" w:cs="Times New Roman"/>
          <w:lang w:val="en-US"/>
        </w:rPr>
        <w:t xml:space="preserve">As </w:t>
      </w:r>
      <w:r w:rsidR="00E045DC" w:rsidRPr="002C595D">
        <w:rPr>
          <w:rFonts w:ascii="Times New Roman" w:hAnsi="Times New Roman" w:cs="Times New Roman"/>
          <w:lang w:val="en-US"/>
        </w:rPr>
        <w:t>“</w:t>
      </w:r>
      <w:r w:rsidRPr="002C595D">
        <w:rPr>
          <w:rFonts w:ascii="Times New Roman" w:hAnsi="Times New Roman" w:cs="Times New Roman"/>
          <w:lang w:val="en-US"/>
        </w:rPr>
        <w:t>Cultural Dimension</w:t>
      </w:r>
      <w:r w:rsidR="00E045DC" w:rsidRPr="002C595D">
        <w:rPr>
          <w:rFonts w:ascii="Times New Roman" w:hAnsi="Times New Roman" w:cs="Times New Roman"/>
          <w:lang w:val="en-US"/>
        </w:rPr>
        <w:t>”</w:t>
      </w:r>
      <w:r w:rsidRPr="002C595D">
        <w:rPr>
          <w:rFonts w:ascii="Times New Roman" w:hAnsi="Times New Roman" w:cs="Times New Roman"/>
          <w:lang w:val="en-US"/>
        </w:rPr>
        <w:t xml:space="preserve"> we use : </w:t>
      </w:r>
    </w:p>
    <w:p w:rsidR="00507616" w:rsidRPr="002C595D" w:rsidRDefault="00507616" w:rsidP="00B37D7A">
      <w:pPr>
        <w:pStyle w:val="ListParagraph"/>
        <w:spacing w:line="360" w:lineRule="auto"/>
        <w:ind w:left="1211"/>
        <w:jc w:val="both"/>
        <w:rPr>
          <w:rFonts w:ascii="Times New Roman" w:hAnsi="Times New Roman" w:cs="Times New Roman"/>
          <w:lang w:val="en-US"/>
        </w:rPr>
      </w:pPr>
      <w:r w:rsidRPr="002C595D">
        <w:rPr>
          <w:rFonts w:ascii="Times New Roman" w:hAnsi="Times New Roman" w:cs="Times New Roman"/>
          <w:lang w:val="en-US"/>
        </w:rPr>
        <w:t xml:space="preserve">PDI for the scores on  Power Distance </w:t>
      </w:r>
    </w:p>
    <w:p w:rsidR="00507616" w:rsidRPr="002C595D" w:rsidRDefault="00507616" w:rsidP="00B37D7A">
      <w:pPr>
        <w:pStyle w:val="ListParagraph"/>
        <w:spacing w:line="360" w:lineRule="auto"/>
        <w:ind w:left="1211"/>
        <w:jc w:val="both"/>
        <w:rPr>
          <w:rFonts w:ascii="Times New Roman" w:hAnsi="Times New Roman" w:cs="Times New Roman"/>
          <w:lang w:val="en-US"/>
        </w:rPr>
      </w:pPr>
      <w:r w:rsidRPr="002C595D">
        <w:rPr>
          <w:rFonts w:ascii="Times New Roman" w:hAnsi="Times New Roman" w:cs="Times New Roman"/>
          <w:lang w:val="en-US"/>
        </w:rPr>
        <w:t>IDV for scores in Individualism</w:t>
      </w:r>
    </w:p>
    <w:p w:rsidR="00507616" w:rsidRPr="002C595D" w:rsidRDefault="00507616" w:rsidP="00B37D7A">
      <w:pPr>
        <w:pStyle w:val="ListParagraph"/>
        <w:spacing w:line="360" w:lineRule="auto"/>
        <w:ind w:left="1211"/>
        <w:jc w:val="both"/>
        <w:rPr>
          <w:rFonts w:ascii="Times New Roman" w:hAnsi="Times New Roman" w:cs="Times New Roman"/>
          <w:lang w:val="en-US"/>
        </w:rPr>
      </w:pPr>
      <w:r w:rsidRPr="002C595D">
        <w:rPr>
          <w:rFonts w:ascii="Times New Roman" w:hAnsi="Times New Roman" w:cs="Times New Roman"/>
          <w:lang w:val="en-US"/>
        </w:rPr>
        <w:lastRenderedPageBreak/>
        <w:t>UAI for Uncertainty Avoidance scores</w:t>
      </w:r>
    </w:p>
    <w:p w:rsidR="00507616" w:rsidRPr="002C595D" w:rsidRDefault="00507616" w:rsidP="00B37D7A">
      <w:pPr>
        <w:pStyle w:val="ListParagraph"/>
        <w:spacing w:line="360" w:lineRule="auto"/>
        <w:ind w:left="1211"/>
        <w:jc w:val="both"/>
        <w:rPr>
          <w:rFonts w:ascii="Times New Roman" w:hAnsi="Times New Roman" w:cs="Times New Roman"/>
          <w:lang w:val="en-US"/>
        </w:rPr>
      </w:pPr>
      <w:r w:rsidRPr="002C595D">
        <w:rPr>
          <w:rFonts w:ascii="Times New Roman" w:hAnsi="Times New Roman" w:cs="Times New Roman"/>
          <w:lang w:val="en-US"/>
        </w:rPr>
        <w:t xml:space="preserve">MASC </w:t>
      </w:r>
      <w:r w:rsidR="00E045DC" w:rsidRPr="002C595D">
        <w:rPr>
          <w:rFonts w:ascii="Times New Roman" w:hAnsi="Times New Roman" w:cs="Times New Roman"/>
          <w:lang w:val="en-US"/>
        </w:rPr>
        <w:t xml:space="preserve">for </w:t>
      </w:r>
      <w:r w:rsidRPr="002C595D">
        <w:rPr>
          <w:rFonts w:ascii="Times New Roman" w:hAnsi="Times New Roman" w:cs="Times New Roman"/>
          <w:lang w:val="en-US"/>
        </w:rPr>
        <w:t>the score for the fourth cultural dimension, Masculinity</w:t>
      </w:r>
    </w:p>
    <w:p w:rsidR="00507616" w:rsidRPr="002C595D" w:rsidRDefault="00620BBC" w:rsidP="00507616">
      <w:pPr>
        <w:pStyle w:val="ListParagraph"/>
        <w:numPr>
          <w:ilvl w:val="0"/>
          <w:numId w:val="8"/>
        </w:numPr>
        <w:spacing w:line="360" w:lineRule="auto"/>
        <w:jc w:val="both"/>
        <w:rPr>
          <w:rFonts w:ascii="Times New Roman" w:hAnsi="Times New Roman" w:cs="Times New Roman"/>
          <w:lang w:val="en-US"/>
        </w:rPr>
      </w:pPr>
      <w:r w:rsidRPr="002C595D">
        <w:rPr>
          <w:rFonts w:ascii="Times New Roman" w:hAnsi="Times New Roman" w:cs="Times New Roman"/>
          <w:lang w:val="el-GR"/>
        </w:rPr>
        <w:t>β</w:t>
      </w:r>
      <w:r w:rsidRPr="002C595D">
        <w:rPr>
          <w:rFonts w:ascii="Times New Roman" w:hAnsi="Times New Roman" w:cs="Times New Roman"/>
          <w:vertAlign w:val="subscript"/>
          <w:lang w:val="en-US"/>
        </w:rPr>
        <w:t xml:space="preserve">i </w:t>
      </w:r>
      <w:r w:rsidR="00E045DC" w:rsidRPr="002C595D">
        <w:rPr>
          <w:rFonts w:ascii="Times New Roman" w:hAnsi="Times New Roman" w:cs="Times New Roman"/>
          <w:vertAlign w:val="subscript"/>
          <w:lang w:val="en-US"/>
        </w:rPr>
        <w:t xml:space="preserve"> </w:t>
      </w:r>
      <w:r w:rsidR="00507616" w:rsidRPr="002C595D">
        <w:rPr>
          <w:rFonts w:ascii="Times New Roman" w:hAnsi="Times New Roman" w:cs="Times New Roman"/>
          <w:lang w:val="en-US"/>
        </w:rPr>
        <w:t xml:space="preserve">are the coefficients </w:t>
      </w:r>
    </w:p>
    <w:p w:rsidR="00BF3EE6" w:rsidRPr="002C595D" w:rsidRDefault="00BF3EE6" w:rsidP="00507616">
      <w:pPr>
        <w:pStyle w:val="ListParagraph"/>
        <w:numPr>
          <w:ilvl w:val="0"/>
          <w:numId w:val="8"/>
        </w:numPr>
        <w:spacing w:line="360" w:lineRule="auto"/>
        <w:jc w:val="both"/>
        <w:rPr>
          <w:rFonts w:ascii="Times New Roman" w:hAnsi="Times New Roman" w:cs="Times New Roman"/>
          <w:lang w:val="en-US"/>
        </w:rPr>
      </w:pPr>
      <w:r w:rsidRPr="002C595D">
        <w:rPr>
          <w:rFonts w:ascii="Times New Roman" w:hAnsi="Times New Roman" w:cs="Times New Roman"/>
          <w:b/>
          <w:i/>
        </w:rPr>
        <w:t>ε</w:t>
      </w:r>
      <w:r w:rsidRPr="002C595D">
        <w:rPr>
          <w:rFonts w:ascii="Times New Roman" w:hAnsi="Times New Roman" w:cs="Times New Roman"/>
          <w:b/>
          <w:i/>
          <w:vertAlign w:val="subscript"/>
          <w:lang w:val="en-US"/>
        </w:rPr>
        <w:t xml:space="preserve">i, </w:t>
      </w:r>
      <w:r w:rsidRPr="002C595D">
        <w:rPr>
          <w:rFonts w:ascii="Times New Roman" w:hAnsi="Times New Roman" w:cs="Times New Roman"/>
          <w:lang w:val="en-US"/>
        </w:rPr>
        <w:t>is the standard error</w:t>
      </w:r>
    </w:p>
    <w:p w:rsidR="00E045DC" w:rsidRPr="002C595D" w:rsidRDefault="00E045DC" w:rsidP="00E045DC">
      <w:pPr>
        <w:pStyle w:val="ListParagraph"/>
        <w:numPr>
          <w:ilvl w:val="0"/>
          <w:numId w:val="8"/>
        </w:numPr>
        <w:spacing w:line="240" w:lineRule="auto"/>
        <w:jc w:val="both"/>
        <w:rPr>
          <w:rFonts w:ascii="Times New Roman" w:hAnsi="Times New Roman" w:cs="Times New Roman"/>
          <w:lang w:val="en-US"/>
        </w:rPr>
      </w:pPr>
      <w:r w:rsidRPr="002C595D">
        <w:rPr>
          <w:rFonts w:ascii="Times New Roman" w:hAnsi="Times New Roman" w:cs="Times New Roman"/>
          <w:lang w:val="en-US"/>
        </w:rPr>
        <w:t>And the Control variables:</w:t>
      </w:r>
    </w:p>
    <w:p w:rsidR="00E045DC" w:rsidRPr="002C595D" w:rsidRDefault="00E045DC" w:rsidP="00B37D7A">
      <w:pPr>
        <w:pStyle w:val="ListParagraph"/>
        <w:spacing w:line="360" w:lineRule="auto"/>
        <w:ind w:left="1211"/>
        <w:jc w:val="both"/>
        <w:rPr>
          <w:rFonts w:ascii="Times New Roman" w:hAnsi="Times New Roman" w:cs="Times New Roman"/>
          <w:lang w:val="en-US"/>
        </w:rPr>
      </w:pPr>
      <w:r w:rsidRPr="002C595D">
        <w:rPr>
          <w:rFonts w:ascii="Times New Roman" w:hAnsi="Times New Roman" w:cs="Times New Roman"/>
          <w:lang w:val="en-US"/>
        </w:rPr>
        <w:t>LEQINV is the equity limits as a proportion of investments.</w:t>
      </w:r>
    </w:p>
    <w:p w:rsidR="00E045DC" w:rsidRPr="002C595D" w:rsidRDefault="00E045DC" w:rsidP="00B37D7A">
      <w:pPr>
        <w:pStyle w:val="ListParagraph"/>
        <w:spacing w:line="360" w:lineRule="auto"/>
        <w:ind w:left="1211"/>
        <w:jc w:val="both"/>
        <w:rPr>
          <w:rFonts w:ascii="Times New Roman" w:hAnsi="Times New Roman" w:cs="Times New Roman"/>
          <w:lang w:val="en-US"/>
        </w:rPr>
      </w:pPr>
      <w:r w:rsidRPr="002C595D">
        <w:rPr>
          <w:rFonts w:ascii="Times New Roman" w:hAnsi="Times New Roman" w:cs="Times New Roman"/>
          <w:lang w:val="en-US"/>
        </w:rPr>
        <w:t xml:space="preserve">LNGDP is the natural logarithm (LN) of the GDP per capital </w:t>
      </w:r>
    </w:p>
    <w:p w:rsidR="00E045DC" w:rsidRPr="002C595D" w:rsidRDefault="00E045DC" w:rsidP="00B37D7A">
      <w:pPr>
        <w:pStyle w:val="ListParagraph"/>
        <w:spacing w:line="360" w:lineRule="auto"/>
        <w:ind w:left="1211"/>
        <w:jc w:val="both"/>
        <w:rPr>
          <w:rFonts w:ascii="Times New Roman" w:hAnsi="Times New Roman" w:cs="Times New Roman"/>
          <w:lang w:val="en-US"/>
        </w:rPr>
      </w:pPr>
      <w:r w:rsidRPr="002C595D">
        <w:rPr>
          <w:rFonts w:ascii="Times New Roman" w:hAnsi="Times New Roman" w:cs="Times New Roman"/>
          <w:lang w:val="en-US"/>
        </w:rPr>
        <w:t xml:space="preserve">LNMARCAP is the natural logarithm (LN) of the market capitalization as a percentage of GDP </w:t>
      </w:r>
    </w:p>
    <w:p w:rsidR="00E045DC" w:rsidRPr="002C595D" w:rsidRDefault="00E045DC" w:rsidP="00B37D7A">
      <w:pPr>
        <w:pStyle w:val="ListParagraph"/>
        <w:spacing w:line="360" w:lineRule="auto"/>
        <w:ind w:left="1211"/>
        <w:jc w:val="both"/>
        <w:rPr>
          <w:rFonts w:ascii="Times New Roman" w:hAnsi="Times New Roman" w:cs="Times New Roman"/>
          <w:lang w:val="en-US"/>
        </w:rPr>
      </w:pPr>
      <w:r w:rsidRPr="002C595D">
        <w:rPr>
          <w:rFonts w:ascii="Times New Roman" w:hAnsi="Times New Roman" w:cs="Times New Roman"/>
          <w:lang w:val="en-US"/>
        </w:rPr>
        <w:t>AGEDR is the age dependency ratio as a percentage of working-age population</w:t>
      </w:r>
    </w:p>
    <w:p w:rsidR="00E045DC" w:rsidRPr="002C595D" w:rsidRDefault="00E045DC" w:rsidP="00B37D7A">
      <w:pPr>
        <w:pStyle w:val="ListParagraph"/>
        <w:spacing w:line="360" w:lineRule="auto"/>
        <w:ind w:left="1211"/>
        <w:jc w:val="both"/>
        <w:rPr>
          <w:rFonts w:ascii="Times New Roman" w:hAnsi="Times New Roman" w:cs="Times New Roman"/>
          <w:lang w:val="en-US"/>
        </w:rPr>
      </w:pPr>
      <w:r w:rsidRPr="002C595D">
        <w:rPr>
          <w:rFonts w:ascii="Times New Roman" w:hAnsi="Times New Roman" w:cs="Times New Roman"/>
          <w:lang w:val="en-US"/>
        </w:rPr>
        <w:t>and DB is the relative share of total assets held by Defined Benefit plans.</w:t>
      </w:r>
    </w:p>
    <w:p w:rsidR="00E045DC" w:rsidRPr="00E045DC" w:rsidRDefault="00E045DC" w:rsidP="00E045DC">
      <w:pPr>
        <w:pStyle w:val="ListParagraph"/>
        <w:spacing w:line="240" w:lineRule="auto"/>
        <w:ind w:left="1440"/>
        <w:jc w:val="both"/>
        <w:rPr>
          <w:rFonts w:ascii="Times New Roman" w:hAnsi="Times New Roman" w:cs="Times New Roman"/>
          <w:sz w:val="24"/>
          <w:szCs w:val="24"/>
          <w:lang w:val="en-US"/>
        </w:rPr>
      </w:pPr>
    </w:p>
    <w:p w:rsidR="00CD11B1" w:rsidRPr="00DF7A09" w:rsidRDefault="00040751" w:rsidP="00DF7A09">
      <w:pPr>
        <w:rPr>
          <w:b/>
          <w:lang w:val="en-US"/>
        </w:rPr>
      </w:pPr>
      <w:r>
        <w:rPr>
          <w:b/>
          <w:lang w:val="en-US"/>
        </w:rPr>
        <w:t>T</w:t>
      </w:r>
      <w:r w:rsidR="002D207A" w:rsidRPr="0042423B">
        <w:rPr>
          <w:b/>
          <w:lang w:val="en-US"/>
        </w:rPr>
        <w:t>able 4.</w:t>
      </w:r>
      <w:r w:rsidR="008B6C03">
        <w:rPr>
          <w:b/>
          <w:lang w:val="en-US"/>
        </w:rPr>
        <w:t xml:space="preserve">6 </w:t>
      </w:r>
      <w:r w:rsidR="002D207A" w:rsidRPr="0042423B">
        <w:rPr>
          <w:b/>
          <w:lang w:val="en-US"/>
        </w:rPr>
        <w:t xml:space="preserve"> Summary of regression results for the </w:t>
      </w:r>
      <w:r w:rsidR="00DF7A09">
        <w:rPr>
          <w:b/>
          <w:lang w:val="en-US"/>
        </w:rPr>
        <w:t xml:space="preserve">five control variables: </w:t>
      </w:r>
      <w:r w:rsidR="002D207A" w:rsidRPr="0042423B">
        <w:rPr>
          <w:b/>
          <w:lang w:val="en-US"/>
        </w:rPr>
        <w:t>Developed countries.</w:t>
      </w:r>
    </w:p>
    <w:p w:rsidR="002D207A" w:rsidRDefault="00BF3EE6" w:rsidP="00420923">
      <w:pPr>
        <w:pStyle w:val="ListParagraph"/>
        <w:numPr>
          <w:ilvl w:val="0"/>
          <w:numId w:val="28"/>
        </w:numPr>
        <w:autoSpaceDE w:val="0"/>
        <w:autoSpaceDN w:val="0"/>
        <w:adjustRightInd w:val="0"/>
        <w:spacing w:after="0" w:line="240" w:lineRule="auto"/>
        <w:rPr>
          <w:rFonts w:ascii="Arial" w:hAnsi="Arial" w:cs="Arial"/>
          <w:b/>
          <w:sz w:val="18"/>
          <w:szCs w:val="18"/>
          <w:lang w:val="en-US"/>
        </w:rPr>
      </w:pPr>
      <w:r w:rsidRPr="00420923">
        <w:rPr>
          <w:rFonts w:ascii="Arial" w:hAnsi="Arial" w:cs="Arial"/>
          <w:b/>
          <w:sz w:val="18"/>
          <w:szCs w:val="18"/>
          <w:lang w:val="en-US"/>
        </w:rPr>
        <w:t>Individualism</w:t>
      </w:r>
    </w:p>
    <w:p w:rsidR="00420923" w:rsidRPr="00420923" w:rsidRDefault="00420923" w:rsidP="00420923">
      <w:pPr>
        <w:pStyle w:val="ListParagraph"/>
        <w:autoSpaceDE w:val="0"/>
        <w:autoSpaceDN w:val="0"/>
        <w:adjustRightInd w:val="0"/>
        <w:spacing w:after="0" w:line="240" w:lineRule="auto"/>
        <w:ind w:left="1080"/>
        <w:rPr>
          <w:rFonts w:ascii="Arial" w:hAnsi="Arial" w:cs="Arial"/>
          <w:b/>
          <w:sz w:val="18"/>
          <w:szCs w:val="18"/>
          <w:lang w:val="en-US"/>
        </w:rPr>
      </w:pPr>
    </w:p>
    <w:tbl>
      <w:tblPr>
        <w:tblStyle w:val="LightShading1"/>
        <w:tblW w:w="0" w:type="auto"/>
        <w:tblLook w:val="06A0"/>
      </w:tblPr>
      <w:tblGrid>
        <w:gridCol w:w="1524"/>
        <w:gridCol w:w="1195"/>
        <w:gridCol w:w="1341"/>
        <w:gridCol w:w="1341"/>
        <w:gridCol w:w="1341"/>
        <w:gridCol w:w="1341"/>
        <w:gridCol w:w="1341"/>
      </w:tblGrid>
      <w:tr w:rsidR="002D207A" w:rsidRPr="00420923" w:rsidTr="00A542E9">
        <w:trPr>
          <w:cnfStyle w:val="100000000000"/>
        </w:trPr>
        <w:tc>
          <w:tcPr>
            <w:cnfStyle w:val="001000000000"/>
            <w:tcW w:w="1524" w:type="dxa"/>
          </w:tcPr>
          <w:p w:rsidR="002D207A" w:rsidRPr="00A1756F" w:rsidRDefault="002D207A" w:rsidP="002D207A">
            <w:pPr>
              <w:jc w:val="both"/>
              <w:rPr>
                <w:rFonts w:ascii="Arial" w:hAnsi="Arial" w:cs="Arial"/>
                <w:i/>
                <w:lang w:val="en-US"/>
              </w:rPr>
            </w:pPr>
            <w:r>
              <w:rPr>
                <w:rFonts w:ascii="Arial" w:hAnsi="Arial" w:cs="Arial"/>
                <w:i/>
                <w:lang w:val="en-US"/>
              </w:rPr>
              <w:t>Variable</w:t>
            </w:r>
          </w:p>
        </w:tc>
        <w:tc>
          <w:tcPr>
            <w:tcW w:w="1195" w:type="dxa"/>
          </w:tcPr>
          <w:p w:rsidR="002D207A" w:rsidRPr="002D207A" w:rsidRDefault="002D207A" w:rsidP="007D3407">
            <w:pPr>
              <w:jc w:val="both"/>
              <w:cnfStyle w:val="100000000000"/>
              <w:rPr>
                <w:rFonts w:ascii="Arial" w:hAnsi="Arial" w:cs="Arial"/>
                <w:i/>
                <w:lang w:val="en-US"/>
              </w:rPr>
            </w:pPr>
            <w:r>
              <w:rPr>
                <w:rFonts w:ascii="Arial" w:hAnsi="Arial" w:cs="Arial"/>
                <w:i/>
                <w:lang w:val="en-US"/>
              </w:rPr>
              <w:t>Expected sign</w:t>
            </w:r>
          </w:p>
        </w:tc>
        <w:tc>
          <w:tcPr>
            <w:tcW w:w="1341" w:type="dxa"/>
          </w:tcPr>
          <w:p w:rsidR="002D207A" w:rsidRPr="002D207A" w:rsidRDefault="002D207A" w:rsidP="007D3407">
            <w:pPr>
              <w:jc w:val="both"/>
              <w:cnfStyle w:val="100000000000"/>
              <w:rPr>
                <w:rFonts w:ascii="Arial" w:hAnsi="Arial" w:cs="Arial"/>
                <w:i/>
                <w:lang w:val="en-US"/>
              </w:rPr>
            </w:pPr>
            <w:r w:rsidRPr="002D207A">
              <w:rPr>
                <w:rFonts w:ascii="Arial" w:hAnsi="Arial" w:cs="Arial"/>
                <w:i/>
                <w:lang w:val="en-US"/>
              </w:rPr>
              <w:t>Model 1</w:t>
            </w:r>
          </w:p>
        </w:tc>
        <w:tc>
          <w:tcPr>
            <w:tcW w:w="1341" w:type="dxa"/>
          </w:tcPr>
          <w:p w:rsidR="002D207A" w:rsidRPr="002D207A" w:rsidRDefault="002D207A">
            <w:pPr>
              <w:cnfStyle w:val="100000000000"/>
              <w:rPr>
                <w:rFonts w:ascii="Arial" w:hAnsi="Arial" w:cs="Arial"/>
                <w:i/>
                <w:lang w:val="en-US"/>
              </w:rPr>
            </w:pPr>
            <w:r w:rsidRPr="002D207A">
              <w:rPr>
                <w:rFonts w:ascii="Arial" w:hAnsi="Arial" w:cs="Arial"/>
                <w:i/>
                <w:lang w:val="en-US"/>
              </w:rPr>
              <w:t>Model 2</w:t>
            </w:r>
          </w:p>
        </w:tc>
        <w:tc>
          <w:tcPr>
            <w:tcW w:w="1341" w:type="dxa"/>
          </w:tcPr>
          <w:p w:rsidR="002D207A" w:rsidRPr="002D207A" w:rsidRDefault="002D207A" w:rsidP="002D207A">
            <w:pPr>
              <w:cnfStyle w:val="100000000000"/>
              <w:rPr>
                <w:rFonts w:ascii="Arial" w:hAnsi="Arial" w:cs="Arial"/>
                <w:i/>
                <w:lang w:val="en-US"/>
              </w:rPr>
            </w:pPr>
            <w:r w:rsidRPr="002D207A">
              <w:rPr>
                <w:rFonts w:ascii="Arial" w:hAnsi="Arial" w:cs="Arial"/>
                <w:i/>
                <w:lang w:val="en-US"/>
              </w:rPr>
              <w:t>Model 3</w:t>
            </w:r>
          </w:p>
        </w:tc>
        <w:tc>
          <w:tcPr>
            <w:tcW w:w="1341" w:type="dxa"/>
          </w:tcPr>
          <w:p w:rsidR="002D207A" w:rsidRPr="002D207A" w:rsidRDefault="002D207A" w:rsidP="002D207A">
            <w:pPr>
              <w:cnfStyle w:val="100000000000"/>
              <w:rPr>
                <w:rFonts w:ascii="Arial" w:hAnsi="Arial" w:cs="Arial"/>
                <w:i/>
                <w:lang w:val="en-US"/>
              </w:rPr>
            </w:pPr>
            <w:r w:rsidRPr="002D207A">
              <w:rPr>
                <w:rFonts w:ascii="Arial" w:hAnsi="Arial" w:cs="Arial"/>
                <w:i/>
                <w:lang w:val="en-US"/>
              </w:rPr>
              <w:t>Model 4</w:t>
            </w:r>
          </w:p>
        </w:tc>
        <w:tc>
          <w:tcPr>
            <w:tcW w:w="1341" w:type="dxa"/>
          </w:tcPr>
          <w:p w:rsidR="002D207A" w:rsidRPr="002D207A" w:rsidRDefault="002D207A">
            <w:pPr>
              <w:cnfStyle w:val="100000000000"/>
              <w:rPr>
                <w:rFonts w:ascii="Arial" w:hAnsi="Arial" w:cs="Arial"/>
                <w:i/>
                <w:lang w:val="en-US"/>
              </w:rPr>
            </w:pPr>
            <w:r w:rsidRPr="002D207A">
              <w:rPr>
                <w:rFonts w:ascii="Arial" w:hAnsi="Arial" w:cs="Arial"/>
                <w:i/>
                <w:lang w:val="en-US"/>
              </w:rPr>
              <w:t>Model 5</w:t>
            </w:r>
          </w:p>
        </w:tc>
      </w:tr>
      <w:tr w:rsidR="008B6C03" w:rsidRPr="00420923" w:rsidTr="00A542E9">
        <w:trPr>
          <w:trHeight w:val="315"/>
        </w:trPr>
        <w:tc>
          <w:tcPr>
            <w:cnfStyle w:val="001000000000"/>
            <w:tcW w:w="1524" w:type="dxa"/>
            <w:hideMark/>
          </w:tcPr>
          <w:p w:rsidR="008B6C03" w:rsidRPr="00420923" w:rsidRDefault="008B6C03" w:rsidP="008B6C03">
            <w:pPr>
              <w:jc w:val="center"/>
              <w:rPr>
                <w:rFonts w:ascii="Arial" w:eastAsia="Times New Roman" w:hAnsi="Arial" w:cs="Arial"/>
                <w:i/>
                <w:iCs/>
                <w:color w:val="000000"/>
                <w:lang w:val="en-GB"/>
              </w:rPr>
            </w:pPr>
            <w:r w:rsidRPr="00420923">
              <w:rPr>
                <w:rFonts w:ascii="Arial" w:eastAsia="Times New Roman" w:hAnsi="Arial" w:cs="Arial"/>
                <w:i/>
                <w:iCs/>
                <w:color w:val="000000"/>
                <w:lang w:val="en-GB"/>
              </w:rPr>
              <w:t> </w:t>
            </w:r>
          </w:p>
        </w:tc>
        <w:tc>
          <w:tcPr>
            <w:tcW w:w="1195" w:type="dxa"/>
            <w:hideMark/>
          </w:tcPr>
          <w:p w:rsidR="008B6C03" w:rsidRPr="00420923" w:rsidRDefault="008B6C03" w:rsidP="008B6C03">
            <w:pPr>
              <w:jc w:val="center"/>
              <w:cnfStyle w:val="000000000000"/>
              <w:rPr>
                <w:rFonts w:ascii="Arial" w:eastAsia="Times New Roman" w:hAnsi="Arial" w:cs="Arial"/>
                <w:b/>
                <w:bCs/>
                <w:i/>
                <w:iCs/>
                <w:color w:val="000000"/>
                <w:lang w:val="en-GB"/>
              </w:rPr>
            </w:pPr>
            <w:r w:rsidRPr="00420923">
              <w:rPr>
                <w:rFonts w:ascii="Arial" w:eastAsia="Times New Roman" w:hAnsi="Arial" w:cs="Arial"/>
                <w:b/>
                <w:bCs/>
                <w:i/>
                <w:iCs/>
                <w:color w:val="000000"/>
                <w:lang w:val="en-GB"/>
              </w:rPr>
              <w:t> </w:t>
            </w:r>
          </w:p>
        </w:tc>
        <w:tc>
          <w:tcPr>
            <w:tcW w:w="1341" w:type="dxa"/>
            <w:hideMark/>
          </w:tcPr>
          <w:p w:rsidR="008B6C03" w:rsidRPr="00420923" w:rsidRDefault="008B6C03" w:rsidP="008B6C03">
            <w:pPr>
              <w:jc w:val="center"/>
              <w:cnfStyle w:val="000000000000"/>
              <w:rPr>
                <w:rFonts w:ascii="Arial" w:eastAsia="Times New Roman" w:hAnsi="Arial" w:cs="Arial"/>
                <w:b/>
                <w:bCs/>
                <w:i/>
                <w:iCs/>
                <w:color w:val="000000"/>
                <w:lang w:val="en-GB"/>
              </w:rPr>
            </w:pPr>
            <w:r w:rsidRPr="00420923">
              <w:rPr>
                <w:rFonts w:ascii="Arial" w:eastAsia="Times New Roman" w:hAnsi="Arial" w:cs="Arial"/>
                <w:b/>
                <w:bCs/>
                <w:i/>
                <w:iCs/>
                <w:color w:val="000000"/>
                <w:lang w:val="en-GB"/>
              </w:rPr>
              <w:t> </w:t>
            </w:r>
          </w:p>
        </w:tc>
        <w:tc>
          <w:tcPr>
            <w:tcW w:w="1341" w:type="dxa"/>
            <w:hideMark/>
          </w:tcPr>
          <w:p w:rsidR="008B6C03" w:rsidRPr="00420923" w:rsidRDefault="008B6C03" w:rsidP="008B6C03">
            <w:pPr>
              <w:jc w:val="center"/>
              <w:cnfStyle w:val="000000000000"/>
              <w:rPr>
                <w:rFonts w:ascii="Arial" w:eastAsia="Times New Roman" w:hAnsi="Arial" w:cs="Arial"/>
                <w:b/>
                <w:bCs/>
                <w:i/>
                <w:iCs/>
                <w:color w:val="000000"/>
                <w:lang w:val="en-GB"/>
              </w:rPr>
            </w:pPr>
            <w:r w:rsidRPr="00420923">
              <w:rPr>
                <w:rFonts w:ascii="Arial" w:eastAsia="Times New Roman" w:hAnsi="Arial" w:cs="Arial"/>
                <w:b/>
                <w:bCs/>
                <w:i/>
                <w:iCs/>
                <w:color w:val="000000"/>
                <w:lang w:val="en-GB"/>
              </w:rPr>
              <w:t> </w:t>
            </w:r>
          </w:p>
        </w:tc>
        <w:tc>
          <w:tcPr>
            <w:tcW w:w="1341" w:type="dxa"/>
            <w:hideMark/>
          </w:tcPr>
          <w:p w:rsidR="008B6C03" w:rsidRPr="00420923" w:rsidRDefault="008B6C03" w:rsidP="008B6C03">
            <w:pPr>
              <w:jc w:val="center"/>
              <w:cnfStyle w:val="000000000000"/>
              <w:rPr>
                <w:rFonts w:ascii="Arial" w:eastAsia="Times New Roman" w:hAnsi="Arial" w:cs="Arial"/>
                <w:color w:val="000000"/>
                <w:sz w:val="18"/>
                <w:szCs w:val="18"/>
                <w:lang w:val="en-GB"/>
              </w:rPr>
            </w:pPr>
            <w:r w:rsidRPr="00420923">
              <w:rPr>
                <w:rFonts w:ascii="Arial" w:eastAsia="Times New Roman" w:hAnsi="Arial" w:cs="Arial"/>
                <w:color w:val="000000"/>
                <w:sz w:val="18"/>
                <w:szCs w:val="18"/>
                <w:lang w:val="en-GB"/>
              </w:rPr>
              <w:t> </w:t>
            </w:r>
          </w:p>
        </w:tc>
        <w:tc>
          <w:tcPr>
            <w:tcW w:w="1341" w:type="dxa"/>
            <w:hideMark/>
          </w:tcPr>
          <w:p w:rsidR="008B6C03" w:rsidRPr="00420923" w:rsidRDefault="008B6C03" w:rsidP="008B6C03">
            <w:pPr>
              <w:jc w:val="center"/>
              <w:cnfStyle w:val="000000000000"/>
              <w:rPr>
                <w:rFonts w:ascii="Arial" w:eastAsia="Times New Roman" w:hAnsi="Arial" w:cs="Arial"/>
                <w:color w:val="000000"/>
                <w:sz w:val="18"/>
                <w:szCs w:val="18"/>
                <w:lang w:val="en-GB"/>
              </w:rPr>
            </w:pPr>
            <w:r w:rsidRPr="00420923">
              <w:rPr>
                <w:rFonts w:ascii="Arial" w:eastAsia="Times New Roman" w:hAnsi="Arial" w:cs="Arial"/>
                <w:color w:val="000000"/>
                <w:sz w:val="18"/>
                <w:szCs w:val="18"/>
                <w:lang w:val="en-GB"/>
              </w:rPr>
              <w:t> </w:t>
            </w:r>
          </w:p>
        </w:tc>
        <w:tc>
          <w:tcPr>
            <w:tcW w:w="1341" w:type="dxa"/>
            <w:hideMark/>
          </w:tcPr>
          <w:p w:rsidR="008B6C03" w:rsidRPr="00420923" w:rsidRDefault="008B6C03" w:rsidP="008B6C03">
            <w:pPr>
              <w:jc w:val="center"/>
              <w:cnfStyle w:val="000000000000"/>
              <w:rPr>
                <w:rFonts w:ascii="Arial" w:eastAsia="Times New Roman" w:hAnsi="Arial" w:cs="Arial"/>
                <w:color w:val="000000"/>
                <w:sz w:val="18"/>
                <w:szCs w:val="18"/>
                <w:lang w:val="en-GB"/>
              </w:rPr>
            </w:pPr>
            <w:r w:rsidRPr="00420923">
              <w:rPr>
                <w:rFonts w:ascii="Arial" w:eastAsia="Times New Roman" w:hAnsi="Arial" w:cs="Arial"/>
                <w:color w:val="000000"/>
                <w:sz w:val="18"/>
                <w:szCs w:val="18"/>
                <w:lang w:val="en-GB"/>
              </w:rPr>
              <w:t> </w:t>
            </w:r>
          </w:p>
        </w:tc>
      </w:tr>
      <w:tr w:rsidR="008B6C03" w:rsidRPr="00420923" w:rsidTr="00A542E9">
        <w:trPr>
          <w:trHeight w:val="315"/>
        </w:trPr>
        <w:tc>
          <w:tcPr>
            <w:cnfStyle w:val="001000000000"/>
            <w:tcW w:w="1524" w:type="dxa"/>
            <w:hideMark/>
          </w:tcPr>
          <w:p w:rsidR="008B6C03" w:rsidRPr="00420923" w:rsidRDefault="008B6C03" w:rsidP="008B6C03">
            <w:pPr>
              <w:jc w:val="center"/>
              <w:rPr>
                <w:rFonts w:ascii="Arial" w:eastAsia="Times New Roman" w:hAnsi="Arial" w:cs="Arial"/>
                <w:color w:val="000000"/>
                <w:sz w:val="20"/>
                <w:szCs w:val="20"/>
                <w:lang w:val="en-GB"/>
              </w:rPr>
            </w:pPr>
            <w:r w:rsidRPr="00420923">
              <w:rPr>
                <w:rFonts w:ascii="Arial" w:eastAsia="Times New Roman" w:hAnsi="Arial" w:cs="Arial"/>
                <w:color w:val="000000"/>
                <w:sz w:val="20"/>
                <w:szCs w:val="20"/>
                <w:lang w:val="en-GB"/>
              </w:rPr>
              <w:t>IDV</w:t>
            </w:r>
          </w:p>
        </w:tc>
        <w:tc>
          <w:tcPr>
            <w:tcW w:w="1195" w:type="dxa"/>
            <w:hideMark/>
          </w:tcPr>
          <w:p w:rsidR="008B6C03" w:rsidRPr="00420923" w:rsidRDefault="008B6C03" w:rsidP="008B6C03">
            <w:pPr>
              <w:jc w:val="center"/>
              <w:cnfStyle w:val="000000000000"/>
              <w:rPr>
                <w:rFonts w:ascii="Arial" w:eastAsia="Times New Roman" w:hAnsi="Arial" w:cs="Arial"/>
                <w:color w:val="000000"/>
                <w:sz w:val="18"/>
                <w:szCs w:val="18"/>
                <w:lang w:val="en-GB"/>
              </w:rPr>
            </w:pPr>
            <w:r w:rsidRPr="00420923">
              <w:rPr>
                <w:rFonts w:ascii="Arial" w:eastAsia="Times New Roman" w:hAnsi="Arial" w:cs="Arial"/>
                <w:color w:val="000000"/>
                <w:sz w:val="18"/>
                <w:szCs w:val="18"/>
                <w:lang w:val="en-GB"/>
              </w:rPr>
              <w:t> </w:t>
            </w:r>
            <w:r w:rsidR="00D52B25">
              <w:rPr>
                <w:rFonts w:ascii="Arial" w:eastAsia="Times New Roman" w:hAnsi="Arial" w:cs="Arial"/>
                <w:color w:val="000000"/>
                <w:sz w:val="18"/>
                <w:szCs w:val="18"/>
                <w:lang w:val="en-GB"/>
              </w:rPr>
              <w:t>+</w:t>
            </w:r>
          </w:p>
        </w:tc>
        <w:tc>
          <w:tcPr>
            <w:tcW w:w="1341" w:type="dxa"/>
            <w:hideMark/>
          </w:tcPr>
          <w:p w:rsidR="008B6C03" w:rsidRPr="00420923" w:rsidRDefault="00FD6E94" w:rsidP="008B6C03">
            <w:pPr>
              <w:jc w:val="center"/>
              <w:cnfStyle w:val="000000000000"/>
              <w:rPr>
                <w:rFonts w:ascii="Arial" w:eastAsia="Times New Roman" w:hAnsi="Arial" w:cs="Arial"/>
                <w:color w:val="000000"/>
                <w:sz w:val="18"/>
                <w:szCs w:val="18"/>
                <w:lang w:val="en-GB"/>
              </w:rPr>
            </w:pPr>
            <w:r w:rsidRPr="00420923">
              <w:rPr>
                <w:rFonts w:ascii="Arial" w:eastAsia="Times New Roman" w:hAnsi="Arial" w:cs="Arial"/>
                <w:color w:val="000000"/>
                <w:sz w:val="18"/>
                <w:szCs w:val="18"/>
                <w:lang w:val="en-GB"/>
              </w:rPr>
              <w:t>0,25</w:t>
            </w:r>
            <w:r w:rsidR="00A00E69">
              <w:rPr>
                <w:rFonts w:ascii="Arial" w:eastAsia="Times New Roman" w:hAnsi="Arial" w:cs="Arial"/>
                <w:color w:val="000000"/>
                <w:sz w:val="18"/>
                <w:szCs w:val="18"/>
                <w:lang w:val="en-GB"/>
              </w:rPr>
              <w:t>9</w:t>
            </w:r>
          </w:p>
        </w:tc>
        <w:tc>
          <w:tcPr>
            <w:tcW w:w="1341" w:type="dxa"/>
            <w:hideMark/>
          </w:tcPr>
          <w:p w:rsidR="008B6C03" w:rsidRPr="00420923" w:rsidRDefault="00FD6E94" w:rsidP="008B6C03">
            <w:pPr>
              <w:jc w:val="center"/>
              <w:cnfStyle w:val="000000000000"/>
              <w:rPr>
                <w:rFonts w:ascii="Arial" w:eastAsia="Times New Roman" w:hAnsi="Arial" w:cs="Arial"/>
                <w:color w:val="000000"/>
                <w:sz w:val="18"/>
                <w:szCs w:val="18"/>
                <w:lang w:val="en-GB"/>
              </w:rPr>
            </w:pPr>
            <w:r w:rsidRPr="00420923">
              <w:rPr>
                <w:rFonts w:ascii="Arial" w:eastAsia="Times New Roman" w:hAnsi="Arial" w:cs="Arial"/>
                <w:color w:val="000000"/>
                <w:sz w:val="18"/>
                <w:szCs w:val="18"/>
                <w:lang w:val="en-GB"/>
              </w:rPr>
              <w:t>0,25</w:t>
            </w:r>
            <w:r w:rsidR="00A00E69">
              <w:rPr>
                <w:rFonts w:ascii="Arial" w:eastAsia="Times New Roman" w:hAnsi="Arial" w:cs="Arial"/>
                <w:color w:val="000000"/>
                <w:sz w:val="18"/>
                <w:szCs w:val="18"/>
                <w:lang w:val="en-GB"/>
              </w:rPr>
              <w:t>6</w:t>
            </w:r>
          </w:p>
        </w:tc>
        <w:tc>
          <w:tcPr>
            <w:tcW w:w="1341" w:type="dxa"/>
            <w:hideMark/>
          </w:tcPr>
          <w:p w:rsidR="008B6C03" w:rsidRPr="00420923" w:rsidRDefault="00FD6E94" w:rsidP="008B6C03">
            <w:pPr>
              <w:jc w:val="center"/>
              <w:cnfStyle w:val="000000000000"/>
              <w:rPr>
                <w:rFonts w:ascii="Arial" w:eastAsia="Times New Roman" w:hAnsi="Arial" w:cs="Arial"/>
                <w:color w:val="000000"/>
                <w:sz w:val="18"/>
                <w:szCs w:val="18"/>
                <w:lang w:val="en-GB"/>
              </w:rPr>
            </w:pPr>
            <w:r w:rsidRPr="00420923">
              <w:rPr>
                <w:rFonts w:ascii="Arial" w:eastAsia="Times New Roman" w:hAnsi="Arial" w:cs="Arial"/>
                <w:color w:val="000000"/>
                <w:sz w:val="18"/>
                <w:szCs w:val="18"/>
                <w:lang w:val="en-GB"/>
              </w:rPr>
              <w:t>0,286</w:t>
            </w:r>
          </w:p>
        </w:tc>
        <w:tc>
          <w:tcPr>
            <w:tcW w:w="1341" w:type="dxa"/>
            <w:hideMark/>
          </w:tcPr>
          <w:p w:rsidR="008B6C03" w:rsidRPr="00420923" w:rsidRDefault="00FD6E94" w:rsidP="008B6C03">
            <w:pPr>
              <w:jc w:val="center"/>
              <w:cnfStyle w:val="000000000000"/>
              <w:rPr>
                <w:rFonts w:ascii="Arial" w:eastAsia="Times New Roman" w:hAnsi="Arial" w:cs="Arial"/>
                <w:color w:val="000000"/>
                <w:sz w:val="18"/>
                <w:szCs w:val="18"/>
                <w:lang w:val="en-GB"/>
              </w:rPr>
            </w:pPr>
            <w:r w:rsidRPr="00420923">
              <w:rPr>
                <w:rFonts w:ascii="Arial" w:eastAsia="Times New Roman" w:hAnsi="Arial" w:cs="Arial"/>
                <w:color w:val="000000"/>
                <w:sz w:val="18"/>
                <w:szCs w:val="18"/>
                <w:lang w:val="en-GB"/>
              </w:rPr>
              <w:t>0,228</w:t>
            </w:r>
          </w:p>
        </w:tc>
        <w:tc>
          <w:tcPr>
            <w:tcW w:w="1341" w:type="dxa"/>
            <w:hideMark/>
          </w:tcPr>
          <w:p w:rsidR="008B6C03" w:rsidRPr="00420923" w:rsidRDefault="00FD6E94" w:rsidP="008B6C03">
            <w:pPr>
              <w:jc w:val="center"/>
              <w:cnfStyle w:val="000000000000"/>
              <w:rPr>
                <w:rFonts w:ascii="Arial" w:eastAsia="Times New Roman" w:hAnsi="Arial" w:cs="Arial"/>
                <w:color w:val="000000"/>
                <w:sz w:val="18"/>
                <w:szCs w:val="18"/>
                <w:lang w:val="en-GB"/>
              </w:rPr>
            </w:pPr>
            <w:r w:rsidRPr="00420923">
              <w:rPr>
                <w:rFonts w:ascii="Arial" w:eastAsia="Times New Roman" w:hAnsi="Arial" w:cs="Arial"/>
                <w:color w:val="000000"/>
                <w:sz w:val="18"/>
                <w:szCs w:val="18"/>
                <w:lang w:val="en-GB"/>
              </w:rPr>
              <w:t>0,2</w:t>
            </w:r>
            <w:r w:rsidR="00A00E69">
              <w:rPr>
                <w:rFonts w:ascii="Arial" w:eastAsia="Times New Roman" w:hAnsi="Arial" w:cs="Arial"/>
                <w:color w:val="000000"/>
                <w:sz w:val="18"/>
                <w:szCs w:val="18"/>
                <w:lang w:val="en-GB"/>
              </w:rPr>
              <w:t>30</w:t>
            </w:r>
          </w:p>
        </w:tc>
      </w:tr>
      <w:tr w:rsidR="008B6C03" w:rsidRPr="008B6C03" w:rsidTr="00A542E9">
        <w:trPr>
          <w:trHeight w:val="315"/>
        </w:trPr>
        <w:tc>
          <w:tcPr>
            <w:cnfStyle w:val="001000000000"/>
            <w:tcW w:w="1524" w:type="dxa"/>
            <w:hideMark/>
          </w:tcPr>
          <w:p w:rsidR="008B6C03" w:rsidRPr="00420923" w:rsidRDefault="008B6C03" w:rsidP="008B6C03">
            <w:pPr>
              <w:jc w:val="center"/>
              <w:rPr>
                <w:rFonts w:ascii="Arial" w:eastAsia="Times New Roman" w:hAnsi="Arial" w:cs="Arial"/>
                <w:color w:val="000000"/>
                <w:sz w:val="20"/>
                <w:szCs w:val="20"/>
                <w:lang w:val="en-GB"/>
              </w:rPr>
            </w:pPr>
            <w:r w:rsidRPr="00420923">
              <w:rPr>
                <w:rFonts w:ascii="Arial" w:eastAsia="Times New Roman" w:hAnsi="Arial" w:cs="Arial"/>
                <w:color w:val="000000"/>
                <w:sz w:val="20"/>
                <w:szCs w:val="20"/>
                <w:lang w:val="en-GB"/>
              </w:rPr>
              <w:t> </w:t>
            </w:r>
          </w:p>
        </w:tc>
        <w:tc>
          <w:tcPr>
            <w:tcW w:w="1195" w:type="dxa"/>
            <w:hideMark/>
          </w:tcPr>
          <w:p w:rsidR="008B6C03" w:rsidRPr="00420923" w:rsidRDefault="008B6C03" w:rsidP="008B6C03">
            <w:pPr>
              <w:jc w:val="center"/>
              <w:cnfStyle w:val="000000000000"/>
              <w:rPr>
                <w:rFonts w:ascii="Arial" w:eastAsia="Times New Roman" w:hAnsi="Arial" w:cs="Arial"/>
                <w:color w:val="000000"/>
                <w:sz w:val="18"/>
                <w:szCs w:val="18"/>
                <w:lang w:val="en-GB"/>
              </w:rPr>
            </w:pPr>
            <w:r w:rsidRPr="00420923">
              <w:rPr>
                <w:rFonts w:ascii="Arial" w:eastAsia="Times New Roman" w:hAnsi="Arial" w:cs="Arial"/>
                <w:color w:val="000000"/>
                <w:sz w:val="18"/>
                <w:szCs w:val="18"/>
                <w:lang w:val="en-GB"/>
              </w:rPr>
              <w:t> </w:t>
            </w:r>
          </w:p>
        </w:tc>
        <w:tc>
          <w:tcPr>
            <w:tcW w:w="1341" w:type="dxa"/>
            <w:hideMark/>
          </w:tcPr>
          <w:p w:rsidR="008B6C03" w:rsidRPr="008B6C03" w:rsidRDefault="00DF7A09" w:rsidP="00DF7A09">
            <w:pPr>
              <w:tabs>
                <w:tab w:val="center" w:pos="562"/>
              </w:tabs>
              <w:cnfStyle w:val="000000000000"/>
              <w:rPr>
                <w:rFonts w:ascii="Arial" w:eastAsia="Times New Roman" w:hAnsi="Arial" w:cs="Arial"/>
                <w:color w:val="000000"/>
                <w:sz w:val="18"/>
                <w:szCs w:val="18"/>
              </w:rPr>
            </w:pPr>
            <w:r w:rsidRPr="00420923">
              <w:rPr>
                <w:rFonts w:ascii="Arial" w:eastAsia="Times New Roman" w:hAnsi="Arial" w:cs="Arial"/>
                <w:color w:val="000000"/>
                <w:sz w:val="18"/>
                <w:szCs w:val="18"/>
                <w:lang w:val="en-GB"/>
              </w:rPr>
              <w:tab/>
            </w:r>
            <w:r>
              <w:rPr>
                <w:rFonts w:ascii="Arial" w:eastAsia="Times New Roman" w:hAnsi="Arial" w:cs="Arial"/>
                <w:color w:val="000000"/>
                <w:sz w:val="18"/>
                <w:szCs w:val="18"/>
              </w:rPr>
              <w:t>(</w:t>
            </w:r>
            <w:r w:rsidR="00A00E69">
              <w:rPr>
                <w:rFonts w:ascii="Arial" w:eastAsia="Times New Roman" w:hAnsi="Arial" w:cs="Arial"/>
                <w:color w:val="000000"/>
                <w:sz w:val="18"/>
                <w:szCs w:val="18"/>
              </w:rPr>
              <w:t>0,158</w:t>
            </w:r>
            <w:r>
              <w:rPr>
                <w:rFonts w:ascii="Arial" w:eastAsia="Times New Roman" w:hAnsi="Arial" w:cs="Arial"/>
                <w:color w:val="000000"/>
                <w:sz w:val="18"/>
                <w:szCs w:val="18"/>
              </w:rPr>
              <w:t>)</w:t>
            </w:r>
          </w:p>
        </w:tc>
        <w:tc>
          <w:tcPr>
            <w:tcW w:w="1341" w:type="dxa"/>
            <w:hideMark/>
          </w:tcPr>
          <w:p w:rsidR="008B6C03" w:rsidRPr="008B6C03" w:rsidRDefault="00DF7A09"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8B6C03" w:rsidRPr="008B6C03">
              <w:rPr>
                <w:rFonts w:ascii="Arial" w:eastAsia="Times New Roman" w:hAnsi="Arial" w:cs="Arial"/>
                <w:color w:val="000000"/>
                <w:sz w:val="18"/>
                <w:szCs w:val="18"/>
              </w:rPr>
              <w:t>0,</w:t>
            </w:r>
            <w:r w:rsidR="00A00E69">
              <w:rPr>
                <w:rFonts w:ascii="Arial" w:eastAsia="Times New Roman" w:hAnsi="Arial" w:cs="Arial"/>
                <w:color w:val="000000"/>
                <w:sz w:val="18"/>
                <w:szCs w:val="18"/>
              </w:rPr>
              <w:t>164</w:t>
            </w:r>
            <w:r>
              <w:rPr>
                <w:rFonts w:ascii="Arial" w:eastAsia="Times New Roman" w:hAnsi="Arial" w:cs="Arial"/>
                <w:color w:val="000000"/>
                <w:sz w:val="18"/>
                <w:szCs w:val="18"/>
              </w:rPr>
              <w:t>)</w:t>
            </w:r>
          </w:p>
        </w:tc>
        <w:tc>
          <w:tcPr>
            <w:tcW w:w="1341" w:type="dxa"/>
            <w:hideMark/>
          </w:tcPr>
          <w:p w:rsidR="008B6C03" w:rsidRPr="008B6C03" w:rsidRDefault="00DF7A09"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A00E69">
              <w:rPr>
                <w:rFonts w:ascii="Arial" w:eastAsia="Times New Roman" w:hAnsi="Arial" w:cs="Arial"/>
                <w:color w:val="000000"/>
                <w:sz w:val="18"/>
                <w:szCs w:val="18"/>
              </w:rPr>
              <w:t>0,171</w:t>
            </w:r>
            <w:r>
              <w:rPr>
                <w:rFonts w:ascii="Arial" w:eastAsia="Times New Roman" w:hAnsi="Arial" w:cs="Arial"/>
                <w:color w:val="000000"/>
                <w:sz w:val="18"/>
                <w:szCs w:val="18"/>
              </w:rPr>
              <w:t>)</w:t>
            </w:r>
          </w:p>
        </w:tc>
        <w:tc>
          <w:tcPr>
            <w:tcW w:w="1341" w:type="dxa"/>
            <w:hideMark/>
          </w:tcPr>
          <w:p w:rsidR="008B6C03" w:rsidRPr="008B6C03" w:rsidRDefault="00DF7A09"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A00E69">
              <w:rPr>
                <w:rFonts w:ascii="Arial" w:eastAsia="Times New Roman" w:hAnsi="Arial" w:cs="Arial"/>
                <w:color w:val="000000"/>
                <w:sz w:val="18"/>
                <w:szCs w:val="18"/>
              </w:rPr>
              <w:t>0,189</w:t>
            </w:r>
            <w:r>
              <w:rPr>
                <w:rFonts w:ascii="Arial" w:eastAsia="Times New Roman" w:hAnsi="Arial" w:cs="Arial"/>
                <w:color w:val="000000"/>
                <w:sz w:val="18"/>
                <w:szCs w:val="18"/>
              </w:rPr>
              <w:t>)</w:t>
            </w:r>
          </w:p>
        </w:tc>
        <w:tc>
          <w:tcPr>
            <w:tcW w:w="1341" w:type="dxa"/>
            <w:hideMark/>
          </w:tcPr>
          <w:p w:rsidR="008B6C03" w:rsidRPr="008B6C03" w:rsidRDefault="00DF7A09"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A00E69">
              <w:rPr>
                <w:rFonts w:ascii="Arial" w:eastAsia="Times New Roman" w:hAnsi="Arial" w:cs="Arial"/>
                <w:color w:val="000000"/>
                <w:sz w:val="18"/>
                <w:szCs w:val="18"/>
              </w:rPr>
              <w:t>0,213</w:t>
            </w:r>
            <w:r>
              <w:rPr>
                <w:rFonts w:ascii="Arial" w:eastAsia="Times New Roman" w:hAnsi="Arial" w:cs="Arial"/>
                <w:color w:val="000000"/>
                <w:sz w:val="18"/>
                <w:szCs w:val="18"/>
              </w:rPr>
              <w:t>)</w:t>
            </w:r>
          </w:p>
        </w:tc>
      </w:tr>
      <w:tr w:rsidR="008B6C03" w:rsidRPr="008B6C03" w:rsidTr="00A542E9">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LEQINV</w:t>
            </w:r>
          </w:p>
        </w:tc>
        <w:tc>
          <w:tcPr>
            <w:tcW w:w="1195" w:type="dxa"/>
            <w:hideMark/>
          </w:tcPr>
          <w:p w:rsidR="008B6C03" w:rsidRPr="008B6C03" w:rsidRDefault="00D52B25"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8B6C03" w:rsidRPr="008B6C03">
              <w:rPr>
                <w:rFonts w:ascii="Arial" w:eastAsia="Times New Roman" w:hAnsi="Arial" w:cs="Arial"/>
                <w:color w:val="000000"/>
                <w:sz w:val="18"/>
                <w:szCs w:val="18"/>
              </w:rPr>
              <w:t> </w:t>
            </w:r>
          </w:p>
        </w:tc>
        <w:tc>
          <w:tcPr>
            <w:tcW w:w="1341" w:type="dxa"/>
            <w:hideMark/>
          </w:tcPr>
          <w:p w:rsidR="008B6C03" w:rsidRPr="008B6C03" w:rsidRDefault="00FD6E94"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0,063</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0,06</w:t>
            </w:r>
            <w:r w:rsidR="00A00E69">
              <w:rPr>
                <w:rFonts w:ascii="Arial" w:eastAsia="Times New Roman" w:hAnsi="Arial" w:cs="Arial"/>
                <w:color w:val="000000"/>
                <w:sz w:val="18"/>
                <w:szCs w:val="18"/>
              </w:rPr>
              <w:t>5</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0,05</w:t>
            </w:r>
            <w:r w:rsidR="00A00E69">
              <w:rPr>
                <w:rFonts w:ascii="Arial" w:eastAsia="Times New Roman" w:hAnsi="Arial" w:cs="Arial"/>
                <w:color w:val="000000"/>
                <w:sz w:val="18"/>
                <w:szCs w:val="18"/>
              </w:rPr>
              <w:t>2</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0,093</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0,093</w:t>
            </w:r>
          </w:p>
        </w:tc>
      </w:tr>
      <w:tr w:rsidR="008B6C03" w:rsidRPr="008B6C03" w:rsidTr="00A542E9">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195"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DF7A09"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A00E69">
              <w:rPr>
                <w:rFonts w:ascii="Arial" w:eastAsia="Times New Roman" w:hAnsi="Arial" w:cs="Arial"/>
                <w:color w:val="000000"/>
                <w:sz w:val="18"/>
                <w:szCs w:val="18"/>
              </w:rPr>
              <w:t>0,095</w:t>
            </w:r>
            <w:r>
              <w:rPr>
                <w:rFonts w:ascii="Arial" w:eastAsia="Times New Roman" w:hAnsi="Arial" w:cs="Arial"/>
                <w:color w:val="000000"/>
                <w:sz w:val="18"/>
                <w:szCs w:val="18"/>
              </w:rPr>
              <w:t>)</w:t>
            </w:r>
          </w:p>
        </w:tc>
        <w:tc>
          <w:tcPr>
            <w:tcW w:w="1341" w:type="dxa"/>
            <w:hideMark/>
          </w:tcPr>
          <w:p w:rsidR="008B6C03" w:rsidRPr="008B6C03" w:rsidRDefault="00DF7A09"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A00E69">
              <w:rPr>
                <w:rFonts w:ascii="Arial" w:eastAsia="Times New Roman" w:hAnsi="Arial" w:cs="Arial"/>
                <w:color w:val="000000"/>
                <w:sz w:val="18"/>
                <w:szCs w:val="18"/>
              </w:rPr>
              <w:t>0,102</w:t>
            </w:r>
            <w:r>
              <w:rPr>
                <w:rFonts w:ascii="Arial" w:eastAsia="Times New Roman" w:hAnsi="Arial" w:cs="Arial"/>
                <w:color w:val="000000"/>
                <w:sz w:val="18"/>
                <w:szCs w:val="18"/>
              </w:rPr>
              <w:t>)</w:t>
            </w:r>
          </w:p>
        </w:tc>
        <w:tc>
          <w:tcPr>
            <w:tcW w:w="1341" w:type="dxa"/>
            <w:hideMark/>
          </w:tcPr>
          <w:p w:rsidR="008B6C03" w:rsidRPr="008B6C03" w:rsidRDefault="00DF7A09"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A00E69">
              <w:rPr>
                <w:rFonts w:ascii="Arial" w:eastAsia="Times New Roman" w:hAnsi="Arial" w:cs="Arial"/>
                <w:color w:val="000000"/>
                <w:sz w:val="18"/>
                <w:szCs w:val="18"/>
              </w:rPr>
              <w:t>0,111</w:t>
            </w:r>
            <w:r>
              <w:rPr>
                <w:rFonts w:ascii="Arial" w:eastAsia="Times New Roman" w:hAnsi="Arial" w:cs="Arial"/>
                <w:color w:val="000000"/>
                <w:sz w:val="18"/>
                <w:szCs w:val="18"/>
              </w:rPr>
              <w:t>)</w:t>
            </w:r>
          </w:p>
        </w:tc>
        <w:tc>
          <w:tcPr>
            <w:tcW w:w="1341" w:type="dxa"/>
            <w:hideMark/>
          </w:tcPr>
          <w:p w:rsidR="008B6C03" w:rsidRPr="008B6C03" w:rsidRDefault="00DF7A09"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A00E69">
              <w:rPr>
                <w:rFonts w:ascii="Arial" w:eastAsia="Times New Roman" w:hAnsi="Arial" w:cs="Arial"/>
                <w:color w:val="000000"/>
                <w:sz w:val="18"/>
                <w:szCs w:val="18"/>
              </w:rPr>
              <w:t>0,120</w:t>
            </w:r>
            <w:r>
              <w:rPr>
                <w:rFonts w:ascii="Arial" w:eastAsia="Times New Roman" w:hAnsi="Arial" w:cs="Arial"/>
                <w:color w:val="000000"/>
                <w:sz w:val="18"/>
                <w:szCs w:val="18"/>
              </w:rPr>
              <w:t>)</w:t>
            </w:r>
          </w:p>
        </w:tc>
        <w:tc>
          <w:tcPr>
            <w:tcW w:w="1341" w:type="dxa"/>
            <w:hideMark/>
          </w:tcPr>
          <w:p w:rsidR="008B6C03" w:rsidRPr="008B6C03" w:rsidRDefault="00DF7A09"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A00E69">
              <w:rPr>
                <w:rFonts w:ascii="Arial" w:eastAsia="Times New Roman" w:hAnsi="Arial" w:cs="Arial"/>
                <w:color w:val="000000"/>
                <w:sz w:val="18"/>
                <w:szCs w:val="18"/>
              </w:rPr>
              <w:t>0,125</w:t>
            </w:r>
            <w:r>
              <w:rPr>
                <w:rFonts w:ascii="Arial" w:eastAsia="Times New Roman" w:hAnsi="Arial" w:cs="Arial"/>
                <w:color w:val="000000"/>
                <w:sz w:val="18"/>
                <w:szCs w:val="18"/>
              </w:rPr>
              <w:t>)</w:t>
            </w:r>
          </w:p>
        </w:tc>
      </w:tr>
      <w:tr w:rsidR="008B6C03" w:rsidRPr="008B6C03" w:rsidTr="00A542E9">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LNGDP</w:t>
            </w:r>
          </w:p>
        </w:tc>
        <w:tc>
          <w:tcPr>
            <w:tcW w:w="1195"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r w:rsidR="00D52B25">
              <w:rPr>
                <w:rFonts w:ascii="Arial" w:eastAsia="Times New Roman" w:hAnsi="Arial" w:cs="Arial"/>
                <w:color w:val="000000"/>
                <w:sz w:val="18"/>
                <w:szCs w:val="18"/>
              </w:rPr>
              <w:t>+</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FD6E94">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0,00</w:t>
            </w:r>
            <w:r w:rsidR="00A00E69">
              <w:rPr>
                <w:rFonts w:ascii="Arial" w:eastAsia="Times New Roman" w:hAnsi="Arial" w:cs="Arial"/>
                <w:color w:val="000000"/>
                <w:sz w:val="18"/>
                <w:szCs w:val="18"/>
              </w:rPr>
              <w:t>1</w:t>
            </w:r>
          </w:p>
        </w:tc>
        <w:tc>
          <w:tcPr>
            <w:tcW w:w="1341" w:type="dxa"/>
            <w:hideMark/>
          </w:tcPr>
          <w:p w:rsidR="008B6C03" w:rsidRPr="008B6C03" w:rsidRDefault="00FD6E94"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0,006</w:t>
            </w:r>
          </w:p>
        </w:tc>
        <w:tc>
          <w:tcPr>
            <w:tcW w:w="1341" w:type="dxa"/>
            <w:hideMark/>
          </w:tcPr>
          <w:p w:rsidR="008B6C03" w:rsidRPr="008B6C03" w:rsidRDefault="00FD6E94"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0,00</w:t>
            </w:r>
            <w:r w:rsidR="00A00E69">
              <w:rPr>
                <w:rFonts w:ascii="Arial" w:eastAsia="Times New Roman" w:hAnsi="Arial" w:cs="Arial"/>
                <w:color w:val="000000"/>
                <w:sz w:val="18"/>
                <w:szCs w:val="18"/>
              </w:rPr>
              <w:t>7</w:t>
            </w:r>
          </w:p>
        </w:tc>
        <w:tc>
          <w:tcPr>
            <w:tcW w:w="1341" w:type="dxa"/>
            <w:hideMark/>
          </w:tcPr>
          <w:p w:rsidR="008B6C03" w:rsidRPr="008B6C03" w:rsidRDefault="00FD6E94"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0,00</w:t>
            </w:r>
            <w:r w:rsidR="00A00E69">
              <w:rPr>
                <w:rFonts w:ascii="Arial" w:eastAsia="Times New Roman" w:hAnsi="Arial" w:cs="Arial"/>
                <w:color w:val="000000"/>
                <w:sz w:val="18"/>
                <w:szCs w:val="18"/>
              </w:rPr>
              <w:t>7</w:t>
            </w:r>
          </w:p>
        </w:tc>
      </w:tr>
      <w:tr w:rsidR="008B6C03" w:rsidRPr="008B6C03" w:rsidTr="00A542E9">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195"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DF7A09"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A00E69">
              <w:rPr>
                <w:rFonts w:ascii="Arial" w:eastAsia="Times New Roman" w:hAnsi="Arial" w:cs="Arial"/>
                <w:color w:val="000000"/>
                <w:sz w:val="18"/>
                <w:szCs w:val="18"/>
              </w:rPr>
              <w:t>0,009</w:t>
            </w:r>
            <w:r>
              <w:rPr>
                <w:rFonts w:ascii="Arial" w:eastAsia="Times New Roman" w:hAnsi="Arial" w:cs="Arial"/>
                <w:color w:val="000000"/>
                <w:sz w:val="18"/>
                <w:szCs w:val="18"/>
              </w:rPr>
              <w:t>)</w:t>
            </w:r>
          </w:p>
        </w:tc>
        <w:tc>
          <w:tcPr>
            <w:tcW w:w="1341" w:type="dxa"/>
            <w:hideMark/>
          </w:tcPr>
          <w:p w:rsidR="008B6C03" w:rsidRPr="008B6C03" w:rsidRDefault="00DF7A09"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A00E69">
              <w:rPr>
                <w:rFonts w:ascii="Arial" w:eastAsia="Times New Roman" w:hAnsi="Arial" w:cs="Arial"/>
                <w:color w:val="000000"/>
                <w:sz w:val="18"/>
                <w:szCs w:val="18"/>
              </w:rPr>
              <w:t>0,014</w:t>
            </w:r>
            <w:r>
              <w:rPr>
                <w:rFonts w:ascii="Arial" w:eastAsia="Times New Roman" w:hAnsi="Arial" w:cs="Arial"/>
                <w:color w:val="000000"/>
                <w:sz w:val="18"/>
                <w:szCs w:val="18"/>
              </w:rPr>
              <w:t>)</w:t>
            </w:r>
          </w:p>
        </w:tc>
        <w:tc>
          <w:tcPr>
            <w:tcW w:w="1341" w:type="dxa"/>
            <w:hideMark/>
          </w:tcPr>
          <w:p w:rsidR="008B6C03" w:rsidRPr="008B6C03" w:rsidRDefault="00DF7A09"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A00E69">
              <w:rPr>
                <w:rFonts w:ascii="Arial" w:eastAsia="Times New Roman" w:hAnsi="Arial" w:cs="Arial"/>
                <w:color w:val="000000"/>
                <w:sz w:val="18"/>
                <w:szCs w:val="18"/>
              </w:rPr>
              <w:t>0,014</w:t>
            </w:r>
            <w:r>
              <w:rPr>
                <w:rFonts w:ascii="Arial" w:eastAsia="Times New Roman" w:hAnsi="Arial" w:cs="Arial"/>
                <w:color w:val="000000"/>
                <w:sz w:val="18"/>
                <w:szCs w:val="18"/>
              </w:rPr>
              <w:t>)</w:t>
            </w:r>
          </w:p>
        </w:tc>
        <w:tc>
          <w:tcPr>
            <w:tcW w:w="1341" w:type="dxa"/>
            <w:hideMark/>
          </w:tcPr>
          <w:p w:rsidR="008B6C03" w:rsidRPr="008B6C03" w:rsidRDefault="00DF7A09"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A00E69">
              <w:rPr>
                <w:rFonts w:ascii="Arial" w:eastAsia="Times New Roman" w:hAnsi="Arial" w:cs="Arial"/>
                <w:color w:val="000000"/>
                <w:sz w:val="18"/>
                <w:szCs w:val="18"/>
              </w:rPr>
              <w:t>0,015</w:t>
            </w:r>
            <w:r>
              <w:rPr>
                <w:rFonts w:ascii="Arial" w:eastAsia="Times New Roman" w:hAnsi="Arial" w:cs="Arial"/>
                <w:color w:val="000000"/>
                <w:sz w:val="18"/>
                <w:szCs w:val="18"/>
              </w:rPr>
              <w:t>)</w:t>
            </w:r>
          </w:p>
        </w:tc>
      </w:tr>
      <w:tr w:rsidR="008B6C03" w:rsidRPr="008B6C03" w:rsidTr="00A542E9">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LNMARCAP</w:t>
            </w:r>
          </w:p>
        </w:tc>
        <w:tc>
          <w:tcPr>
            <w:tcW w:w="1195"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r w:rsidR="00D52B25">
              <w:rPr>
                <w:rFonts w:ascii="Arial" w:eastAsia="Times New Roman" w:hAnsi="Arial" w:cs="Arial"/>
                <w:color w:val="000000"/>
                <w:sz w:val="18"/>
                <w:szCs w:val="18"/>
              </w:rPr>
              <w:t>+</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FD6E94" w:rsidP="00A00E69">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-0,01</w:t>
            </w:r>
            <w:r w:rsidR="00A00E69">
              <w:rPr>
                <w:rFonts w:ascii="Arial" w:eastAsia="Times New Roman" w:hAnsi="Arial" w:cs="Arial"/>
                <w:color w:val="000000"/>
                <w:sz w:val="18"/>
                <w:szCs w:val="18"/>
              </w:rPr>
              <w:t>8</w:t>
            </w:r>
          </w:p>
        </w:tc>
        <w:tc>
          <w:tcPr>
            <w:tcW w:w="1341" w:type="dxa"/>
            <w:hideMark/>
          </w:tcPr>
          <w:p w:rsidR="008B6C03" w:rsidRPr="008B6C03" w:rsidRDefault="008B6C03" w:rsidP="00A00E69">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-0,00</w:t>
            </w:r>
            <w:r w:rsidR="00A00E69">
              <w:rPr>
                <w:rFonts w:ascii="Arial" w:eastAsia="Times New Roman" w:hAnsi="Arial" w:cs="Arial"/>
                <w:color w:val="000000"/>
                <w:sz w:val="18"/>
                <w:szCs w:val="18"/>
              </w:rPr>
              <w:t>6</w:t>
            </w:r>
          </w:p>
        </w:tc>
        <w:tc>
          <w:tcPr>
            <w:tcW w:w="1341" w:type="dxa"/>
            <w:hideMark/>
          </w:tcPr>
          <w:p w:rsidR="008B6C03" w:rsidRPr="008B6C03" w:rsidRDefault="00FD6E94" w:rsidP="00A00E69">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-0,006</w:t>
            </w:r>
          </w:p>
        </w:tc>
      </w:tr>
      <w:tr w:rsidR="008B6C03" w:rsidRPr="008B6C03" w:rsidTr="00A542E9">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195"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DF7A09"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A00E69">
              <w:rPr>
                <w:rFonts w:ascii="Arial" w:eastAsia="Times New Roman" w:hAnsi="Arial" w:cs="Arial"/>
                <w:color w:val="000000"/>
                <w:sz w:val="18"/>
                <w:szCs w:val="18"/>
              </w:rPr>
              <w:t>0,033</w:t>
            </w:r>
            <w:r>
              <w:rPr>
                <w:rFonts w:ascii="Arial" w:eastAsia="Times New Roman" w:hAnsi="Arial" w:cs="Arial"/>
                <w:color w:val="000000"/>
                <w:sz w:val="18"/>
                <w:szCs w:val="18"/>
              </w:rPr>
              <w:t>)</w:t>
            </w:r>
          </w:p>
        </w:tc>
        <w:tc>
          <w:tcPr>
            <w:tcW w:w="1341" w:type="dxa"/>
            <w:hideMark/>
          </w:tcPr>
          <w:p w:rsidR="008B6C03" w:rsidRPr="008B6C03" w:rsidRDefault="00DF7A09"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A00E69">
              <w:rPr>
                <w:rFonts w:ascii="Arial" w:eastAsia="Times New Roman" w:hAnsi="Arial" w:cs="Arial"/>
                <w:color w:val="000000"/>
                <w:sz w:val="18"/>
                <w:szCs w:val="18"/>
              </w:rPr>
              <w:t>0,032</w:t>
            </w:r>
            <w:r>
              <w:rPr>
                <w:rFonts w:ascii="Arial" w:eastAsia="Times New Roman" w:hAnsi="Arial" w:cs="Arial"/>
                <w:color w:val="000000"/>
                <w:sz w:val="18"/>
                <w:szCs w:val="18"/>
              </w:rPr>
              <w:t>)</w:t>
            </w:r>
          </w:p>
        </w:tc>
        <w:tc>
          <w:tcPr>
            <w:tcW w:w="1341" w:type="dxa"/>
            <w:hideMark/>
          </w:tcPr>
          <w:p w:rsidR="008B6C03" w:rsidRPr="008B6C03" w:rsidRDefault="00DF7A09"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A00E69">
              <w:rPr>
                <w:rFonts w:ascii="Arial" w:eastAsia="Times New Roman" w:hAnsi="Arial" w:cs="Arial"/>
                <w:color w:val="000000"/>
                <w:sz w:val="18"/>
                <w:szCs w:val="18"/>
              </w:rPr>
              <w:t>0,038</w:t>
            </w:r>
            <w:r>
              <w:rPr>
                <w:rFonts w:ascii="Arial" w:eastAsia="Times New Roman" w:hAnsi="Arial" w:cs="Arial"/>
                <w:color w:val="000000"/>
                <w:sz w:val="18"/>
                <w:szCs w:val="18"/>
              </w:rPr>
              <w:t>)</w:t>
            </w:r>
          </w:p>
        </w:tc>
      </w:tr>
      <w:tr w:rsidR="008B6C03" w:rsidRPr="008B6C03" w:rsidTr="00A542E9">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AGEDR</w:t>
            </w:r>
          </w:p>
        </w:tc>
        <w:tc>
          <w:tcPr>
            <w:tcW w:w="1195"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r w:rsidR="00D52B25">
              <w:rPr>
                <w:rFonts w:ascii="Arial" w:eastAsia="Times New Roman" w:hAnsi="Arial" w:cs="Arial"/>
                <w:color w:val="000000"/>
                <w:sz w:val="18"/>
                <w:szCs w:val="18"/>
              </w:rPr>
              <w:t>-</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0,55</w:t>
            </w:r>
            <w:r w:rsidR="00A00E69">
              <w:rPr>
                <w:rFonts w:ascii="Arial" w:eastAsia="Times New Roman" w:hAnsi="Arial" w:cs="Arial"/>
                <w:color w:val="000000"/>
                <w:sz w:val="18"/>
                <w:szCs w:val="18"/>
              </w:rPr>
              <w:t>8</w:t>
            </w:r>
          </w:p>
        </w:tc>
        <w:tc>
          <w:tcPr>
            <w:tcW w:w="1341" w:type="dxa"/>
            <w:hideMark/>
          </w:tcPr>
          <w:p w:rsidR="008B6C03" w:rsidRPr="008B6C03" w:rsidRDefault="00FD6E94"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0,55</w:t>
            </w:r>
            <w:r w:rsidR="00A00E69">
              <w:rPr>
                <w:rFonts w:ascii="Arial" w:eastAsia="Times New Roman" w:hAnsi="Arial" w:cs="Arial"/>
                <w:color w:val="000000"/>
                <w:sz w:val="18"/>
                <w:szCs w:val="18"/>
              </w:rPr>
              <w:t>6</w:t>
            </w:r>
          </w:p>
        </w:tc>
      </w:tr>
      <w:tr w:rsidR="008B6C03" w:rsidRPr="008B6C03" w:rsidTr="00A542E9">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195"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DF7A09"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FD6E94">
              <w:rPr>
                <w:rFonts w:ascii="Arial" w:eastAsia="Times New Roman" w:hAnsi="Arial" w:cs="Arial"/>
                <w:color w:val="000000"/>
                <w:sz w:val="18"/>
                <w:szCs w:val="18"/>
              </w:rPr>
              <w:t>0</w:t>
            </w:r>
            <w:r w:rsidR="00A00E69">
              <w:rPr>
                <w:rFonts w:ascii="Arial" w:eastAsia="Times New Roman" w:hAnsi="Arial" w:cs="Arial"/>
                <w:color w:val="000000"/>
                <w:sz w:val="18"/>
                <w:szCs w:val="18"/>
              </w:rPr>
              <w:t>,564</w:t>
            </w:r>
            <w:r>
              <w:rPr>
                <w:rFonts w:ascii="Arial" w:eastAsia="Times New Roman" w:hAnsi="Arial" w:cs="Arial"/>
                <w:color w:val="000000"/>
                <w:sz w:val="18"/>
                <w:szCs w:val="18"/>
              </w:rPr>
              <w:t>)</w:t>
            </w:r>
          </w:p>
        </w:tc>
        <w:tc>
          <w:tcPr>
            <w:tcW w:w="1341" w:type="dxa"/>
            <w:hideMark/>
          </w:tcPr>
          <w:p w:rsidR="008B6C03" w:rsidRPr="008B6C03" w:rsidRDefault="00DF7A09"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A00E69">
              <w:rPr>
                <w:rFonts w:ascii="Arial" w:eastAsia="Times New Roman" w:hAnsi="Arial" w:cs="Arial"/>
                <w:color w:val="000000"/>
                <w:sz w:val="18"/>
                <w:szCs w:val="18"/>
              </w:rPr>
              <w:t>0,585</w:t>
            </w:r>
            <w:r>
              <w:rPr>
                <w:rFonts w:ascii="Arial" w:eastAsia="Times New Roman" w:hAnsi="Arial" w:cs="Arial"/>
                <w:color w:val="000000"/>
                <w:sz w:val="18"/>
                <w:szCs w:val="18"/>
              </w:rPr>
              <w:t>)</w:t>
            </w:r>
          </w:p>
        </w:tc>
      </w:tr>
      <w:tr w:rsidR="008B6C03" w:rsidRPr="008B6C03" w:rsidTr="00A542E9">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DB</w:t>
            </w:r>
          </w:p>
        </w:tc>
        <w:tc>
          <w:tcPr>
            <w:tcW w:w="1195"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r w:rsidR="00D52B25">
              <w:rPr>
                <w:rFonts w:ascii="Arial" w:eastAsia="Times New Roman" w:hAnsi="Arial" w:cs="Arial"/>
                <w:color w:val="000000"/>
                <w:sz w:val="18"/>
                <w:szCs w:val="18"/>
              </w:rPr>
              <w:t>-</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A00E69" w:rsidP="00A00E69">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-0,001</w:t>
            </w:r>
          </w:p>
        </w:tc>
      </w:tr>
      <w:tr w:rsidR="008B6C03" w:rsidRPr="008B6C03" w:rsidTr="00A542E9">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195"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DF7A09" w:rsidP="00A00E69">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A00E69">
              <w:rPr>
                <w:rFonts w:ascii="Arial" w:eastAsia="Times New Roman" w:hAnsi="Arial" w:cs="Arial"/>
                <w:color w:val="000000"/>
                <w:sz w:val="18"/>
                <w:szCs w:val="18"/>
              </w:rPr>
              <w:t>0,022</w:t>
            </w:r>
            <w:r>
              <w:rPr>
                <w:rFonts w:ascii="Arial" w:eastAsia="Times New Roman" w:hAnsi="Arial" w:cs="Arial"/>
                <w:color w:val="000000"/>
                <w:sz w:val="18"/>
                <w:szCs w:val="18"/>
              </w:rPr>
              <w:t>)</w:t>
            </w:r>
          </w:p>
        </w:tc>
      </w:tr>
      <w:tr w:rsidR="008B6C03" w:rsidRPr="008B6C03" w:rsidTr="00A542E9">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R</w:t>
            </w:r>
            <w:r w:rsidRPr="008B6C03">
              <w:rPr>
                <w:rFonts w:ascii="Arial" w:eastAsia="Times New Roman" w:hAnsi="Arial" w:cs="Arial"/>
                <w:color w:val="000000"/>
                <w:sz w:val="20"/>
                <w:szCs w:val="20"/>
                <w:vertAlign w:val="superscript"/>
              </w:rPr>
              <w:t>2</w:t>
            </w:r>
          </w:p>
        </w:tc>
        <w:tc>
          <w:tcPr>
            <w:tcW w:w="1195"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0,1497</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0,1499</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0,1608</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0,1941</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0,194</w:t>
            </w:r>
          </w:p>
        </w:tc>
      </w:tr>
      <w:tr w:rsidR="008B6C03" w:rsidRPr="008B6C03" w:rsidTr="00A542E9">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195"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r>
      <w:tr w:rsidR="008B6C03" w:rsidRPr="008B6C03" w:rsidTr="00A542E9">
        <w:trPr>
          <w:trHeight w:val="780"/>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Number of observations</w:t>
            </w:r>
          </w:p>
        </w:tc>
        <w:tc>
          <w:tcPr>
            <w:tcW w:w="1195"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30</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30</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30</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30</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30</w:t>
            </w:r>
          </w:p>
        </w:tc>
      </w:tr>
    </w:tbl>
    <w:p w:rsidR="002D207A" w:rsidRDefault="002D207A" w:rsidP="00475623">
      <w:pPr>
        <w:autoSpaceDE w:val="0"/>
        <w:autoSpaceDN w:val="0"/>
        <w:adjustRightInd w:val="0"/>
        <w:spacing w:after="0" w:line="240" w:lineRule="auto"/>
        <w:rPr>
          <w:rFonts w:ascii="Arial" w:hAnsi="Arial" w:cs="Arial"/>
          <w:sz w:val="18"/>
          <w:szCs w:val="18"/>
          <w:lang w:val="en-US"/>
        </w:rPr>
      </w:pPr>
    </w:p>
    <w:p w:rsidR="002D207A" w:rsidRDefault="002D207A" w:rsidP="00475623">
      <w:pPr>
        <w:autoSpaceDE w:val="0"/>
        <w:autoSpaceDN w:val="0"/>
        <w:adjustRightInd w:val="0"/>
        <w:spacing w:after="0" w:line="240" w:lineRule="auto"/>
        <w:rPr>
          <w:rFonts w:ascii="Arial" w:hAnsi="Arial" w:cs="Arial"/>
          <w:sz w:val="18"/>
          <w:szCs w:val="18"/>
          <w:lang w:val="en-US"/>
        </w:rPr>
      </w:pPr>
    </w:p>
    <w:p w:rsidR="002C595D" w:rsidRDefault="002C595D">
      <w:pPr>
        <w:rPr>
          <w:rFonts w:ascii="Arial" w:hAnsi="Arial" w:cs="Arial"/>
          <w:sz w:val="18"/>
          <w:szCs w:val="18"/>
          <w:lang w:val="en-US"/>
        </w:rPr>
      </w:pPr>
      <w:r>
        <w:rPr>
          <w:rFonts w:ascii="Arial" w:hAnsi="Arial" w:cs="Arial"/>
          <w:sz w:val="18"/>
          <w:szCs w:val="18"/>
          <w:lang w:val="en-US"/>
        </w:rPr>
        <w:br w:type="page"/>
      </w:r>
    </w:p>
    <w:p w:rsidR="002D207A" w:rsidRDefault="002D207A" w:rsidP="00475623">
      <w:pPr>
        <w:autoSpaceDE w:val="0"/>
        <w:autoSpaceDN w:val="0"/>
        <w:adjustRightInd w:val="0"/>
        <w:spacing w:after="0" w:line="240" w:lineRule="auto"/>
        <w:rPr>
          <w:rFonts w:ascii="Arial" w:hAnsi="Arial" w:cs="Arial"/>
          <w:sz w:val="18"/>
          <w:szCs w:val="18"/>
          <w:lang w:val="en-US"/>
        </w:rPr>
      </w:pPr>
    </w:p>
    <w:p w:rsidR="002D207A" w:rsidRDefault="00DF7A09" w:rsidP="00420923">
      <w:pPr>
        <w:pStyle w:val="ListParagraph"/>
        <w:numPr>
          <w:ilvl w:val="0"/>
          <w:numId w:val="28"/>
        </w:numPr>
        <w:autoSpaceDE w:val="0"/>
        <w:autoSpaceDN w:val="0"/>
        <w:adjustRightInd w:val="0"/>
        <w:spacing w:after="0" w:line="240" w:lineRule="auto"/>
        <w:rPr>
          <w:rFonts w:ascii="Arial" w:hAnsi="Arial" w:cs="Arial"/>
          <w:b/>
          <w:sz w:val="18"/>
          <w:szCs w:val="18"/>
          <w:lang w:val="en-US"/>
        </w:rPr>
      </w:pPr>
      <w:r w:rsidRPr="00420923">
        <w:rPr>
          <w:rFonts w:ascii="Arial" w:hAnsi="Arial" w:cs="Arial"/>
          <w:b/>
          <w:sz w:val="18"/>
          <w:szCs w:val="18"/>
          <w:lang w:val="en-US"/>
        </w:rPr>
        <w:t>Power Distance</w:t>
      </w:r>
    </w:p>
    <w:p w:rsidR="00420923" w:rsidRPr="00420923" w:rsidRDefault="00420923" w:rsidP="00420923">
      <w:pPr>
        <w:pStyle w:val="ListParagraph"/>
        <w:autoSpaceDE w:val="0"/>
        <w:autoSpaceDN w:val="0"/>
        <w:adjustRightInd w:val="0"/>
        <w:spacing w:after="0" w:line="240" w:lineRule="auto"/>
        <w:ind w:left="1080"/>
        <w:rPr>
          <w:rFonts w:ascii="Arial" w:hAnsi="Arial" w:cs="Arial"/>
          <w:b/>
          <w:sz w:val="18"/>
          <w:szCs w:val="18"/>
          <w:lang w:val="en-US"/>
        </w:rPr>
      </w:pPr>
    </w:p>
    <w:tbl>
      <w:tblPr>
        <w:tblStyle w:val="LightShading1"/>
        <w:tblW w:w="0" w:type="auto"/>
        <w:tblLook w:val="06A0"/>
      </w:tblPr>
      <w:tblGrid>
        <w:gridCol w:w="1524"/>
        <w:gridCol w:w="1195"/>
        <w:gridCol w:w="1341"/>
        <w:gridCol w:w="1341"/>
        <w:gridCol w:w="1341"/>
        <w:gridCol w:w="1341"/>
        <w:gridCol w:w="1341"/>
      </w:tblGrid>
      <w:tr w:rsidR="002D207A" w:rsidTr="00A542E9">
        <w:trPr>
          <w:cnfStyle w:val="100000000000"/>
        </w:trPr>
        <w:tc>
          <w:tcPr>
            <w:cnfStyle w:val="001000000000"/>
            <w:tcW w:w="1524" w:type="dxa"/>
          </w:tcPr>
          <w:p w:rsidR="002D207A" w:rsidRPr="00A1756F" w:rsidRDefault="002D207A" w:rsidP="007D3407">
            <w:pPr>
              <w:jc w:val="both"/>
              <w:rPr>
                <w:rFonts w:ascii="Arial" w:hAnsi="Arial" w:cs="Arial"/>
                <w:i/>
                <w:lang w:val="en-US"/>
              </w:rPr>
            </w:pPr>
            <w:r>
              <w:rPr>
                <w:rFonts w:ascii="Arial" w:hAnsi="Arial" w:cs="Arial"/>
                <w:i/>
                <w:lang w:val="en-US"/>
              </w:rPr>
              <w:t>Variable</w:t>
            </w:r>
          </w:p>
        </w:tc>
        <w:tc>
          <w:tcPr>
            <w:tcW w:w="1195" w:type="dxa"/>
          </w:tcPr>
          <w:p w:rsidR="002D207A" w:rsidRPr="002D207A" w:rsidRDefault="002D207A" w:rsidP="007D3407">
            <w:pPr>
              <w:jc w:val="both"/>
              <w:cnfStyle w:val="100000000000"/>
              <w:rPr>
                <w:rFonts w:ascii="Arial" w:hAnsi="Arial" w:cs="Arial"/>
                <w:i/>
                <w:lang w:val="en-US"/>
              </w:rPr>
            </w:pPr>
            <w:r>
              <w:rPr>
                <w:rFonts w:ascii="Arial" w:hAnsi="Arial" w:cs="Arial"/>
                <w:i/>
                <w:lang w:val="en-US"/>
              </w:rPr>
              <w:t>Expected sign</w:t>
            </w:r>
          </w:p>
        </w:tc>
        <w:tc>
          <w:tcPr>
            <w:tcW w:w="1341" w:type="dxa"/>
          </w:tcPr>
          <w:p w:rsidR="002D207A" w:rsidRPr="002D207A" w:rsidRDefault="002D207A" w:rsidP="007D3407">
            <w:pPr>
              <w:jc w:val="both"/>
              <w:cnfStyle w:val="100000000000"/>
              <w:rPr>
                <w:rFonts w:ascii="Arial" w:hAnsi="Arial" w:cs="Arial"/>
                <w:i/>
                <w:lang w:val="en-US"/>
              </w:rPr>
            </w:pPr>
            <w:r w:rsidRPr="002D207A">
              <w:rPr>
                <w:rFonts w:ascii="Arial" w:hAnsi="Arial" w:cs="Arial"/>
                <w:i/>
                <w:lang w:val="en-US"/>
              </w:rPr>
              <w:t>Model 1</w:t>
            </w:r>
          </w:p>
        </w:tc>
        <w:tc>
          <w:tcPr>
            <w:tcW w:w="1341" w:type="dxa"/>
          </w:tcPr>
          <w:p w:rsidR="002D207A" w:rsidRPr="002D207A" w:rsidRDefault="002D207A" w:rsidP="007D3407">
            <w:pPr>
              <w:cnfStyle w:val="100000000000"/>
              <w:rPr>
                <w:rFonts w:ascii="Arial" w:hAnsi="Arial" w:cs="Arial"/>
                <w:i/>
                <w:lang w:val="en-US"/>
              </w:rPr>
            </w:pPr>
            <w:r w:rsidRPr="002D207A">
              <w:rPr>
                <w:rFonts w:ascii="Arial" w:hAnsi="Arial" w:cs="Arial"/>
                <w:i/>
                <w:lang w:val="en-US"/>
              </w:rPr>
              <w:t>Model 2</w:t>
            </w:r>
          </w:p>
        </w:tc>
        <w:tc>
          <w:tcPr>
            <w:tcW w:w="1341" w:type="dxa"/>
          </w:tcPr>
          <w:p w:rsidR="002D207A" w:rsidRPr="002D207A" w:rsidRDefault="002D207A" w:rsidP="007D3407">
            <w:pPr>
              <w:cnfStyle w:val="100000000000"/>
              <w:rPr>
                <w:rFonts w:ascii="Arial" w:hAnsi="Arial" w:cs="Arial"/>
                <w:i/>
                <w:lang w:val="en-US"/>
              </w:rPr>
            </w:pPr>
            <w:r w:rsidRPr="002D207A">
              <w:rPr>
                <w:rFonts w:ascii="Arial" w:hAnsi="Arial" w:cs="Arial"/>
                <w:i/>
                <w:lang w:val="en-US"/>
              </w:rPr>
              <w:t>Model 3</w:t>
            </w:r>
          </w:p>
        </w:tc>
        <w:tc>
          <w:tcPr>
            <w:tcW w:w="1341" w:type="dxa"/>
          </w:tcPr>
          <w:p w:rsidR="002D207A" w:rsidRPr="002D207A" w:rsidRDefault="002D207A" w:rsidP="007D3407">
            <w:pPr>
              <w:cnfStyle w:val="100000000000"/>
              <w:rPr>
                <w:rFonts w:ascii="Arial" w:hAnsi="Arial" w:cs="Arial"/>
                <w:i/>
                <w:lang w:val="en-US"/>
              </w:rPr>
            </w:pPr>
            <w:r w:rsidRPr="002D207A">
              <w:rPr>
                <w:rFonts w:ascii="Arial" w:hAnsi="Arial" w:cs="Arial"/>
                <w:i/>
                <w:lang w:val="en-US"/>
              </w:rPr>
              <w:t>Model 4</w:t>
            </w:r>
          </w:p>
        </w:tc>
        <w:tc>
          <w:tcPr>
            <w:tcW w:w="1341" w:type="dxa"/>
          </w:tcPr>
          <w:p w:rsidR="002D207A" w:rsidRPr="002D207A" w:rsidRDefault="002D207A" w:rsidP="007D3407">
            <w:pPr>
              <w:cnfStyle w:val="100000000000"/>
              <w:rPr>
                <w:rFonts w:ascii="Arial" w:hAnsi="Arial" w:cs="Arial"/>
                <w:i/>
                <w:lang w:val="en-US"/>
              </w:rPr>
            </w:pPr>
            <w:r w:rsidRPr="002D207A">
              <w:rPr>
                <w:rFonts w:ascii="Arial" w:hAnsi="Arial" w:cs="Arial"/>
                <w:i/>
                <w:lang w:val="en-US"/>
              </w:rPr>
              <w:t>Model 5</w:t>
            </w:r>
          </w:p>
        </w:tc>
      </w:tr>
      <w:tr w:rsidR="008B6C03" w:rsidRPr="008B6C03" w:rsidTr="00A542E9">
        <w:trPr>
          <w:trHeight w:val="315"/>
        </w:trPr>
        <w:tc>
          <w:tcPr>
            <w:cnfStyle w:val="001000000000"/>
            <w:tcW w:w="1524" w:type="dxa"/>
            <w:hideMark/>
          </w:tcPr>
          <w:p w:rsidR="008B6C03" w:rsidRPr="008B6C03" w:rsidRDefault="008B6C03" w:rsidP="008B6C03">
            <w:pPr>
              <w:jc w:val="center"/>
              <w:rPr>
                <w:rFonts w:ascii="Arial" w:eastAsia="Times New Roman" w:hAnsi="Arial" w:cs="Arial"/>
                <w:i/>
                <w:iCs/>
                <w:color w:val="000000"/>
              </w:rPr>
            </w:pPr>
            <w:r w:rsidRPr="008B6C03">
              <w:rPr>
                <w:rFonts w:ascii="Arial" w:eastAsia="Times New Roman" w:hAnsi="Arial" w:cs="Arial"/>
                <w:i/>
                <w:iCs/>
                <w:color w:val="000000"/>
              </w:rPr>
              <w:t> </w:t>
            </w:r>
          </w:p>
        </w:tc>
        <w:tc>
          <w:tcPr>
            <w:tcW w:w="1195" w:type="dxa"/>
            <w:hideMark/>
          </w:tcPr>
          <w:p w:rsidR="008B6C03" w:rsidRPr="008B6C03" w:rsidRDefault="008B6C03" w:rsidP="008B6C03">
            <w:pPr>
              <w:jc w:val="center"/>
              <w:cnfStyle w:val="000000000000"/>
              <w:rPr>
                <w:rFonts w:ascii="Arial" w:eastAsia="Times New Roman" w:hAnsi="Arial" w:cs="Arial"/>
                <w:b/>
                <w:bCs/>
                <w:i/>
                <w:iCs/>
                <w:color w:val="000000"/>
              </w:rPr>
            </w:pPr>
            <w:r w:rsidRPr="008B6C03">
              <w:rPr>
                <w:rFonts w:ascii="Arial" w:eastAsia="Times New Roman" w:hAnsi="Arial" w:cs="Arial"/>
                <w:b/>
                <w:bCs/>
                <w:i/>
                <w:iCs/>
                <w:color w:val="000000"/>
              </w:rPr>
              <w:t> </w:t>
            </w:r>
          </w:p>
        </w:tc>
        <w:tc>
          <w:tcPr>
            <w:tcW w:w="1341" w:type="dxa"/>
            <w:hideMark/>
          </w:tcPr>
          <w:p w:rsidR="008B6C03" w:rsidRPr="008B6C03" w:rsidRDefault="008B6C03" w:rsidP="008B6C03">
            <w:pPr>
              <w:jc w:val="center"/>
              <w:cnfStyle w:val="000000000000"/>
              <w:rPr>
                <w:rFonts w:ascii="Arial" w:eastAsia="Times New Roman" w:hAnsi="Arial" w:cs="Arial"/>
                <w:b/>
                <w:bCs/>
                <w:i/>
                <w:iCs/>
                <w:color w:val="000000"/>
              </w:rPr>
            </w:pPr>
            <w:r w:rsidRPr="008B6C03">
              <w:rPr>
                <w:rFonts w:ascii="Arial" w:eastAsia="Times New Roman" w:hAnsi="Arial" w:cs="Arial"/>
                <w:b/>
                <w:bCs/>
                <w:i/>
                <w:iCs/>
                <w:color w:val="000000"/>
              </w:rPr>
              <w:t> </w:t>
            </w:r>
          </w:p>
        </w:tc>
        <w:tc>
          <w:tcPr>
            <w:tcW w:w="1341" w:type="dxa"/>
            <w:hideMark/>
          </w:tcPr>
          <w:p w:rsidR="008B6C03" w:rsidRPr="008B6C03" w:rsidRDefault="008B6C03" w:rsidP="008B6C03">
            <w:pPr>
              <w:jc w:val="center"/>
              <w:cnfStyle w:val="000000000000"/>
              <w:rPr>
                <w:rFonts w:ascii="Arial" w:eastAsia="Times New Roman" w:hAnsi="Arial" w:cs="Arial"/>
                <w:b/>
                <w:bCs/>
                <w:i/>
                <w:iCs/>
                <w:color w:val="000000"/>
              </w:rPr>
            </w:pPr>
            <w:r w:rsidRPr="008B6C03">
              <w:rPr>
                <w:rFonts w:ascii="Arial" w:eastAsia="Times New Roman" w:hAnsi="Arial" w:cs="Arial"/>
                <w:b/>
                <w:bCs/>
                <w:i/>
                <w:iCs/>
                <w:color w:val="000000"/>
              </w:rPr>
              <w:t> </w:t>
            </w:r>
          </w:p>
        </w:tc>
        <w:tc>
          <w:tcPr>
            <w:tcW w:w="1341" w:type="dxa"/>
            <w:hideMark/>
          </w:tcPr>
          <w:p w:rsidR="008B6C03" w:rsidRPr="008B6C03" w:rsidRDefault="008B6C03" w:rsidP="008B6C03">
            <w:pPr>
              <w:jc w:val="center"/>
              <w:cnfStyle w:val="000000000000"/>
              <w:rPr>
                <w:rFonts w:ascii="Arial" w:eastAsia="Times New Roman" w:hAnsi="Arial" w:cs="Arial"/>
                <w:b/>
                <w:bCs/>
                <w:i/>
                <w:iCs/>
                <w:color w:val="000000"/>
              </w:rPr>
            </w:pPr>
            <w:r w:rsidRPr="008B6C03">
              <w:rPr>
                <w:rFonts w:ascii="Arial" w:eastAsia="Times New Roman" w:hAnsi="Arial" w:cs="Arial"/>
                <w:b/>
                <w:bCs/>
                <w:i/>
                <w:iCs/>
                <w:color w:val="000000"/>
              </w:rPr>
              <w:t> </w:t>
            </w:r>
          </w:p>
        </w:tc>
        <w:tc>
          <w:tcPr>
            <w:tcW w:w="1341" w:type="dxa"/>
            <w:hideMark/>
          </w:tcPr>
          <w:p w:rsidR="008B6C03" w:rsidRPr="008B6C03" w:rsidRDefault="008B6C03" w:rsidP="008B6C03">
            <w:pPr>
              <w:jc w:val="center"/>
              <w:cnfStyle w:val="000000000000"/>
              <w:rPr>
                <w:rFonts w:ascii="Arial" w:eastAsia="Times New Roman" w:hAnsi="Arial" w:cs="Arial"/>
                <w:b/>
                <w:bCs/>
                <w:i/>
                <w:iCs/>
                <w:color w:val="000000"/>
              </w:rPr>
            </w:pPr>
            <w:r w:rsidRPr="008B6C03">
              <w:rPr>
                <w:rFonts w:ascii="Arial" w:eastAsia="Times New Roman" w:hAnsi="Arial" w:cs="Arial"/>
                <w:b/>
                <w:bCs/>
                <w:i/>
                <w:iCs/>
                <w:color w:val="000000"/>
              </w:rPr>
              <w:t> </w:t>
            </w:r>
          </w:p>
        </w:tc>
        <w:tc>
          <w:tcPr>
            <w:tcW w:w="1341" w:type="dxa"/>
            <w:hideMark/>
          </w:tcPr>
          <w:p w:rsidR="008B6C03" w:rsidRPr="008B6C03" w:rsidRDefault="008B6C03" w:rsidP="008B6C03">
            <w:pPr>
              <w:jc w:val="center"/>
              <w:cnfStyle w:val="000000000000"/>
              <w:rPr>
                <w:rFonts w:ascii="Arial" w:eastAsia="Times New Roman" w:hAnsi="Arial" w:cs="Arial"/>
                <w:b/>
                <w:bCs/>
                <w:i/>
                <w:iCs/>
                <w:color w:val="000000"/>
              </w:rPr>
            </w:pPr>
            <w:r w:rsidRPr="008B6C03">
              <w:rPr>
                <w:rFonts w:ascii="Arial" w:eastAsia="Times New Roman" w:hAnsi="Arial" w:cs="Arial"/>
                <w:b/>
                <w:bCs/>
                <w:i/>
                <w:iCs/>
                <w:color w:val="000000"/>
              </w:rPr>
              <w:t> </w:t>
            </w:r>
          </w:p>
        </w:tc>
      </w:tr>
      <w:tr w:rsidR="008B6C03" w:rsidRPr="008B6C03" w:rsidTr="00A542E9">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PDI</w:t>
            </w:r>
          </w:p>
        </w:tc>
        <w:tc>
          <w:tcPr>
            <w:tcW w:w="1195"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 </w:t>
            </w:r>
            <w:r w:rsidR="00D52B25">
              <w:rPr>
                <w:rFonts w:ascii="Arial" w:eastAsia="Times New Roman" w:hAnsi="Arial" w:cs="Arial"/>
                <w:color w:val="000000"/>
                <w:sz w:val="20"/>
                <w:szCs w:val="20"/>
              </w:rPr>
              <w:t>+</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-0,11</w:t>
            </w:r>
            <w:r w:rsidR="00A00E69">
              <w:rPr>
                <w:rFonts w:ascii="Arial" w:eastAsia="Times New Roman" w:hAnsi="Arial" w:cs="Arial"/>
                <w:color w:val="000000"/>
                <w:sz w:val="18"/>
                <w:szCs w:val="18"/>
              </w:rPr>
              <w:t>6</w:t>
            </w:r>
          </w:p>
        </w:tc>
        <w:tc>
          <w:tcPr>
            <w:tcW w:w="1341" w:type="dxa"/>
            <w:hideMark/>
          </w:tcPr>
          <w:p w:rsidR="008B6C03" w:rsidRPr="008B6C03" w:rsidRDefault="008B6C03" w:rsidP="00A00E69">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-0,106</w:t>
            </w:r>
          </w:p>
        </w:tc>
        <w:tc>
          <w:tcPr>
            <w:tcW w:w="1341" w:type="dxa"/>
            <w:hideMark/>
          </w:tcPr>
          <w:p w:rsidR="008B6C03" w:rsidRPr="008B6C03" w:rsidRDefault="003E6553"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-0,107</w:t>
            </w:r>
          </w:p>
        </w:tc>
        <w:tc>
          <w:tcPr>
            <w:tcW w:w="1341" w:type="dxa"/>
            <w:hideMark/>
          </w:tcPr>
          <w:p w:rsidR="008B6C03" w:rsidRPr="008B6C03" w:rsidRDefault="003E6553"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-0,080</w:t>
            </w:r>
          </w:p>
        </w:tc>
        <w:tc>
          <w:tcPr>
            <w:tcW w:w="1341" w:type="dxa"/>
            <w:hideMark/>
          </w:tcPr>
          <w:p w:rsidR="008B6C03" w:rsidRPr="008B6C03" w:rsidRDefault="003E6553"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0,074</w:t>
            </w:r>
          </w:p>
        </w:tc>
      </w:tr>
      <w:tr w:rsidR="008B6C03" w:rsidRPr="008B6C03" w:rsidTr="00A542E9">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195"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341" w:type="dxa"/>
            <w:hideMark/>
          </w:tcPr>
          <w:p w:rsidR="008B6C03" w:rsidRPr="008B6C03" w:rsidRDefault="005C00C5" w:rsidP="00A00E69">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3E6553">
              <w:rPr>
                <w:rFonts w:ascii="Arial" w:eastAsia="Times New Roman" w:hAnsi="Arial" w:cs="Arial"/>
                <w:color w:val="000000"/>
                <w:sz w:val="18"/>
                <w:szCs w:val="18"/>
              </w:rPr>
              <w:t>0,010</w:t>
            </w:r>
            <w:r>
              <w:rPr>
                <w:rFonts w:ascii="Arial" w:eastAsia="Times New Roman" w:hAnsi="Arial" w:cs="Arial"/>
                <w:color w:val="000000"/>
                <w:sz w:val="18"/>
                <w:szCs w:val="18"/>
              </w:rPr>
              <w:t>)</w:t>
            </w:r>
          </w:p>
        </w:tc>
        <w:tc>
          <w:tcPr>
            <w:tcW w:w="1341" w:type="dxa"/>
            <w:hideMark/>
          </w:tcPr>
          <w:p w:rsidR="008B6C03" w:rsidRPr="008B6C03" w:rsidRDefault="005C00C5" w:rsidP="00A00E69">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A00E69">
              <w:rPr>
                <w:rFonts w:ascii="Arial" w:eastAsia="Times New Roman" w:hAnsi="Arial" w:cs="Arial"/>
                <w:color w:val="000000"/>
                <w:sz w:val="18"/>
                <w:szCs w:val="18"/>
              </w:rPr>
              <w:t>0,106</w:t>
            </w:r>
            <w:r>
              <w:rPr>
                <w:rFonts w:ascii="Arial" w:eastAsia="Times New Roman" w:hAnsi="Arial" w:cs="Arial"/>
                <w:color w:val="000000"/>
                <w:sz w:val="18"/>
                <w:szCs w:val="18"/>
              </w:rPr>
              <w:t>)</w:t>
            </w:r>
          </w:p>
        </w:tc>
        <w:tc>
          <w:tcPr>
            <w:tcW w:w="1341" w:type="dxa"/>
            <w:hideMark/>
          </w:tcPr>
          <w:p w:rsidR="008B6C03" w:rsidRPr="008B6C03" w:rsidRDefault="005C00C5"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3E6553">
              <w:rPr>
                <w:rFonts w:ascii="Arial" w:eastAsia="Times New Roman" w:hAnsi="Arial" w:cs="Arial"/>
                <w:color w:val="000000"/>
                <w:sz w:val="18"/>
                <w:szCs w:val="18"/>
              </w:rPr>
              <w:t>0,113</w:t>
            </w:r>
            <w:r>
              <w:rPr>
                <w:rFonts w:ascii="Arial" w:eastAsia="Times New Roman" w:hAnsi="Arial" w:cs="Arial"/>
                <w:color w:val="000000"/>
                <w:sz w:val="18"/>
                <w:szCs w:val="18"/>
              </w:rPr>
              <w:t>)</w:t>
            </w:r>
          </w:p>
        </w:tc>
        <w:tc>
          <w:tcPr>
            <w:tcW w:w="1341" w:type="dxa"/>
            <w:hideMark/>
          </w:tcPr>
          <w:p w:rsidR="008B6C03" w:rsidRPr="008B6C03" w:rsidRDefault="005C00C5"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3E6553">
              <w:rPr>
                <w:rFonts w:ascii="Arial" w:eastAsia="Times New Roman" w:hAnsi="Arial" w:cs="Arial"/>
                <w:color w:val="000000"/>
                <w:sz w:val="18"/>
                <w:szCs w:val="18"/>
              </w:rPr>
              <w:t>0,123</w:t>
            </w:r>
            <w:r>
              <w:rPr>
                <w:rFonts w:ascii="Arial" w:eastAsia="Times New Roman" w:hAnsi="Arial" w:cs="Arial"/>
                <w:color w:val="000000"/>
                <w:sz w:val="18"/>
                <w:szCs w:val="18"/>
              </w:rPr>
              <w:t>)</w:t>
            </w:r>
          </w:p>
        </w:tc>
        <w:tc>
          <w:tcPr>
            <w:tcW w:w="1341" w:type="dxa"/>
            <w:hideMark/>
          </w:tcPr>
          <w:p w:rsidR="008B6C03" w:rsidRPr="008B6C03" w:rsidRDefault="005C00C5"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3E6553">
              <w:rPr>
                <w:rFonts w:ascii="Arial" w:eastAsia="Times New Roman" w:hAnsi="Arial" w:cs="Arial"/>
                <w:color w:val="000000"/>
                <w:sz w:val="18"/>
                <w:szCs w:val="18"/>
              </w:rPr>
              <w:t>0,141</w:t>
            </w:r>
            <w:r>
              <w:rPr>
                <w:rFonts w:ascii="Arial" w:eastAsia="Times New Roman" w:hAnsi="Arial" w:cs="Arial"/>
                <w:color w:val="000000"/>
                <w:sz w:val="18"/>
                <w:szCs w:val="18"/>
              </w:rPr>
              <w:t>)</w:t>
            </w:r>
          </w:p>
        </w:tc>
      </w:tr>
      <w:tr w:rsidR="008B6C03" w:rsidRPr="008B6C03" w:rsidTr="00A542E9">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LEQINV</w:t>
            </w:r>
          </w:p>
        </w:tc>
        <w:tc>
          <w:tcPr>
            <w:tcW w:w="1195"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 </w:t>
            </w:r>
            <w:r w:rsidR="00D52B25">
              <w:rPr>
                <w:rFonts w:ascii="Arial" w:eastAsia="Times New Roman" w:hAnsi="Arial" w:cs="Arial"/>
                <w:color w:val="000000"/>
                <w:sz w:val="20"/>
                <w:szCs w:val="20"/>
              </w:rPr>
              <w:t>-</w:t>
            </w:r>
          </w:p>
        </w:tc>
        <w:tc>
          <w:tcPr>
            <w:tcW w:w="1341"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0,0</w:t>
            </w:r>
            <w:r w:rsidR="003E6553">
              <w:rPr>
                <w:rFonts w:ascii="Arial" w:eastAsia="Times New Roman" w:hAnsi="Arial" w:cs="Arial"/>
                <w:color w:val="000000"/>
                <w:sz w:val="20"/>
                <w:szCs w:val="20"/>
              </w:rPr>
              <w:t>10</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0,104</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0,104382</w:t>
            </w:r>
          </w:p>
        </w:tc>
        <w:tc>
          <w:tcPr>
            <w:tcW w:w="1341" w:type="dxa"/>
            <w:hideMark/>
          </w:tcPr>
          <w:p w:rsidR="008B6C03" w:rsidRPr="008B6C03" w:rsidRDefault="003E6553" w:rsidP="003E655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0,145</w:t>
            </w:r>
          </w:p>
        </w:tc>
        <w:tc>
          <w:tcPr>
            <w:tcW w:w="1341" w:type="dxa"/>
            <w:hideMark/>
          </w:tcPr>
          <w:p w:rsidR="008B6C03" w:rsidRPr="008B6C03" w:rsidRDefault="003E6553"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0,145</w:t>
            </w:r>
          </w:p>
        </w:tc>
      </w:tr>
      <w:tr w:rsidR="008B6C03" w:rsidRPr="008B6C03" w:rsidTr="00A542E9">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195" w:type="dxa"/>
            <w:hideMark/>
          </w:tcPr>
          <w:p w:rsidR="008B6C03" w:rsidRPr="008B6C03" w:rsidRDefault="008B6C03" w:rsidP="008B6C03">
            <w:pPr>
              <w:jc w:val="center"/>
              <w:cnfStyle w:val="000000000000"/>
              <w:rPr>
                <w:rFonts w:ascii="Arial" w:eastAsia="Times New Roman" w:hAnsi="Arial" w:cs="Arial"/>
                <w:b/>
                <w:bCs/>
                <w:i/>
                <w:iCs/>
                <w:color w:val="000000"/>
              </w:rPr>
            </w:pPr>
            <w:r w:rsidRPr="008B6C03">
              <w:rPr>
                <w:rFonts w:ascii="Arial" w:eastAsia="Times New Roman" w:hAnsi="Arial" w:cs="Arial"/>
                <w:b/>
                <w:bCs/>
                <w:i/>
                <w:iCs/>
                <w:color w:val="000000"/>
              </w:rPr>
              <w:t> </w:t>
            </w:r>
          </w:p>
        </w:tc>
        <w:tc>
          <w:tcPr>
            <w:tcW w:w="1341" w:type="dxa"/>
            <w:hideMark/>
          </w:tcPr>
          <w:p w:rsidR="008B6C03" w:rsidRPr="008B6C03" w:rsidRDefault="005C00C5"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3E6553">
              <w:rPr>
                <w:rFonts w:ascii="Arial" w:eastAsia="Times New Roman" w:hAnsi="Arial" w:cs="Arial"/>
                <w:color w:val="000000"/>
                <w:sz w:val="18"/>
                <w:szCs w:val="18"/>
              </w:rPr>
              <w:t>0,09</w:t>
            </w:r>
            <w:r>
              <w:rPr>
                <w:rFonts w:ascii="Arial" w:eastAsia="Times New Roman" w:hAnsi="Arial" w:cs="Arial"/>
                <w:color w:val="000000"/>
                <w:sz w:val="18"/>
                <w:szCs w:val="18"/>
              </w:rPr>
              <w:t>)</w:t>
            </w:r>
          </w:p>
        </w:tc>
        <w:tc>
          <w:tcPr>
            <w:tcW w:w="1341" w:type="dxa"/>
            <w:hideMark/>
          </w:tcPr>
          <w:p w:rsidR="008B6C03" w:rsidRPr="008B6C03" w:rsidRDefault="005C00C5" w:rsidP="003E655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3E6553">
              <w:rPr>
                <w:rFonts w:ascii="Arial" w:eastAsia="Times New Roman" w:hAnsi="Arial" w:cs="Arial"/>
                <w:color w:val="000000"/>
                <w:sz w:val="18"/>
                <w:szCs w:val="18"/>
              </w:rPr>
              <w:t>0,101</w:t>
            </w:r>
            <w:r>
              <w:rPr>
                <w:rFonts w:ascii="Arial" w:eastAsia="Times New Roman" w:hAnsi="Arial" w:cs="Arial"/>
                <w:color w:val="000000"/>
                <w:sz w:val="18"/>
                <w:szCs w:val="18"/>
              </w:rPr>
              <w:t>)</w:t>
            </w:r>
          </w:p>
        </w:tc>
        <w:tc>
          <w:tcPr>
            <w:tcW w:w="1341" w:type="dxa"/>
            <w:hideMark/>
          </w:tcPr>
          <w:p w:rsidR="008B6C03" w:rsidRPr="008B6C03" w:rsidRDefault="005C00C5"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3E6553">
              <w:rPr>
                <w:rFonts w:ascii="Arial" w:eastAsia="Times New Roman" w:hAnsi="Arial" w:cs="Arial"/>
                <w:color w:val="000000"/>
                <w:sz w:val="18"/>
                <w:szCs w:val="18"/>
              </w:rPr>
              <w:t>0,104</w:t>
            </w:r>
            <w:r>
              <w:rPr>
                <w:rFonts w:ascii="Arial" w:eastAsia="Times New Roman" w:hAnsi="Arial" w:cs="Arial"/>
                <w:color w:val="000000"/>
                <w:sz w:val="18"/>
                <w:szCs w:val="18"/>
              </w:rPr>
              <w:t>)</w:t>
            </w:r>
          </w:p>
        </w:tc>
        <w:tc>
          <w:tcPr>
            <w:tcW w:w="1341" w:type="dxa"/>
            <w:hideMark/>
          </w:tcPr>
          <w:p w:rsidR="008B6C03" w:rsidRPr="008B6C03" w:rsidRDefault="005C00C5"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3E6553">
              <w:rPr>
                <w:rFonts w:ascii="Arial" w:eastAsia="Times New Roman" w:hAnsi="Arial" w:cs="Arial"/>
                <w:color w:val="000000"/>
                <w:sz w:val="18"/>
                <w:szCs w:val="18"/>
              </w:rPr>
              <w:t>0,106</w:t>
            </w:r>
            <w:r>
              <w:rPr>
                <w:rFonts w:ascii="Arial" w:eastAsia="Times New Roman" w:hAnsi="Arial" w:cs="Arial"/>
                <w:color w:val="000000"/>
                <w:sz w:val="18"/>
                <w:szCs w:val="18"/>
              </w:rPr>
              <w:t>)</w:t>
            </w:r>
          </w:p>
        </w:tc>
        <w:tc>
          <w:tcPr>
            <w:tcW w:w="1341" w:type="dxa"/>
            <w:hideMark/>
          </w:tcPr>
          <w:p w:rsidR="008B6C03" w:rsidRPr="008B6C03" w:rsidRDefault="005C00C5"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3E6553">
              <w:rPr>
                <w:rFonts w:ascii="Arial" w:eastAsia="Times New Roman" w:hAnsi="Arial" w:cs="Arial"/>
                <w:color w:val="000000"/>
                <w:sz w:val="18"/>
                <w:szCs w:val="18"/>
              </w:rPr>
              <w:t>0,109</w:t>
            </w:r>
            <w:r>
              <w:rPr>
                <w:rFonts w:ascii="Arial" w:eastAsia="Times New Roman" w:hAnsi="Arial" w:cs="Arial"/>
                <w:color w:val="000000"/>
                <w:sz w:val="18"/>
                <w:szCs w:val="18"/>
              </w:rPr>
              <w:t>)</w:t>
            </w:r>
          </w:p>
        </w:tc>
      </w:tr>
      <w:tr w:rsidR="008B6C03" w:rsidRPr="008B6C03" w:rsidTr="00A542E9">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LNGDP</w:t>
            </w:r>
          </w:p>
        </w:tc>
        <w:tc>
          <w:tcPr>
            <w:tcW w:w="1195"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 </w:t>
            </w:r>
            <w:r w:rsidR="00D52B25">
              <w:rPr>
                <w:rFonts w:ascii="Arial" w:eastAsia="Times New Roman" w:hAnsi="Arial" w:cs="Arial"/>
                <w:color w:val="000000"/>
                <w:sz w:val="20"/>
                <w:szCs w:val="20"/>
              </w:rPr>
              <w:t>+</w:t>
            </w:r>
          </w:p>
        </w:tc>
        <w:tc>
          <w:tcPr>
            <w:tcW w:w="1341"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0,00</w:t>
            </w:r>
            <w:r w:rsidR="003E6553">
              <w:rPr>
                <w:rFonts w:ascii="Arial" w:eastAsia="Times New Roman" w:hAnsi="Arial" w:cs="Arial"/>
                <w:color w:val="000000"/>
                <w:sz w:val="18"/>
                <w:szCs w:val="18"/>
              </w:rPr>
              <w:t>4</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0,003</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0,00</w:t>
            </w:r>
            <w:r w:rsidR="003E6553">
              <w:rPr>
                <w:rFonts w:ascii="Arial" w:eastAsia="Times New Roman" w:hAnsi="Arial" w:cs="Arial"/>
                <w:color w:val="000000"/>
                <w:sz w:val="18"/>
                <w:szCs w:val="18"/>
              </w:rPr>
              <w:t>5</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0,00</w:t>
            </w:r>
            <w:r w:rsidR="003E6553">
              <w:rPr>
                <w:rFonts w:ascii="Arial" w:eastAsia="Times New Roman" w:hAnsi="Arial" w:cs="Arial"/>
                <w:color w:val="000000"/>
                <w:sz w:val="18"/>
                <w:szCs w:val="18"/>
              </w:rPr>
              <w:t>5</w:t>
            </w:r>
          </w:p>
        </w:tc>
      </w:tr>
      <w:tr w:rsidR="008B6C03" w:rsidRPr="008B6C03" w:rsidTr="00A542E9">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195"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5C00C5" w:rsidP="003E655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3E6553">
              <w:rPr>
                <w:rFonts w:ascii="Arial" w:eastAsia="Times New Roman" w:hAnsi="Arial" w:cs="Arial"/>
                <w:color w:val="000000"/>
                <w:sz w:val="18"/>
                <w:szCs w:val="18"/>
              </w:rPr>
              <w:t>0,009</w:t>
            </w:r>
            <w:r>
              <w:rPr>
                <w:rFonts w:ascii="Arial" w:eastAsia="Times New Roman" w:hAnsi="Arial" w:cs="Arial"/>
                <w:color w:val="000000"/>
                <w:sz w:val="18"/>
                <w:szCs w:val="18"/>
              </w:rPr>
              <w:t>)</w:t>
            </w:r>
          </w:p>
        </w:tc>
        <w:tc>
          <w:tcPr>
            <w:tcW w:w="1341" w:type="dxa"/>
            <w:hideMark/>
          </w:tcPr>
          <w:p w:rsidR="008B6C03" w:rsidRPr="008B6C03" w:rsidRDefault="005C00C5"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3E6553">
              <w:rPr>
                <w:rFonts w:ascii="Arial" w:eastAsia="Times New Roman" w:hAnsi="Arial" w:cs="Arial"/>
                <w:color w:val="000000"/>
                <w:sz w:val="18"/>
                <w:szCs w:val="18"/>
              </w:rPr>
              <w:t>0,015</w:t>
            </w:r>
            <w:r>
              <w:rPr>
                <w:rFonts w:ascii="Arial" w:eastAsia="Times New Roman" w:hAnsi="Arial" w:cs="Arial"/>
                <w:color w:val="000000"/>
                <w:sz w:val="18"/>
                <w:szCs w:val="18"/>
              </w:rPr>
              <w:t>)</w:t>
            </w:r>
          </w:p>
        </w:tc>
        <w:tc>
          <w:tcPr>
            <w:tcW w:w="1341" w:type="dxa"/>
            <w:hideMark/>
          </w:tcPr>
          <w:p w:rsidR="008B6C03" w:rsidRPr="008B6C03" w:rsidRDefault="005C00C5"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3E6553">
              <w:rPr>
                <w:rFonts w:ascii="Arial" w:eastAsia="Times New Roman" w:hAnsi="Arial" w:cs="Arial"/>
                <w:color w:val="000000"/>
                <w:sz w:val="18"/>
                <w:szCs w:val="18"/>
              </w:rPr>
              <w:t>0,015</w:t>
            </w:r>
            <w:r>
              <w:rPr>
                <w:rFonts w:ascii="Arial" w:eastAsia="Times New Roman" w:hAnsi="Arial" w:cs="Arial"/>
                <w:color w:val="000000"/>
                <w:sz w:val="18"/>
                <w:szCs w:val="18"/>
              </w:rPr>
              <w:t>)</w:t>
            </w:r>
          </w:p>
        </w:tc>
        <w:tc>
          <w:tcPr>
            <w:tcW w:w="1341" w:type="dxa"/>
            <w:hideMark/>
          </w:tcPr>
          <w:p w:rsidR="008B6C03" w:rsidRPr="008B6C03" w:rsidRDefault="005C00C5"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3E6553">
              <w:rPr>
                <w:rFonts w:ascii="Arial" w:eastAsia="Times New Roman" w:hAnsi="Arial" w:cs="Arial"/>
                <w:color w:val="000000"/>
                <w:sz w:val="18"/>
                <w:szCs w:val="18"/>
              </w:rPr>
              <w:t>0,015</w:t>
            </w:r>
            <w:r>
              <w:rPr>
                <w:rFonts w:ascii="Arial" w:eastAsia="Times New Roman" w:hAnsi="Arial" w:cs="Arial"/>
                <w:color w:val="000000"/>
                <w:sz w:val="18"/>
                <w:szCs w:val="18"/>
              </w:rPr>
              <w:t>)</w:t>
            </w:r>
          </w:p>
        </w:tc>
      </w:tr>
      <w:tr w:rsidR="008B6C03" w:rsidRPr="008B6C03" w:rsidTr="00A542E9">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LNMARCAP</w:t>
            </w:r>
          </w:p>
        </w:tc>
        <w:tc>
          <w:tcPr>
            <w:tcW w:w="1195"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 </w:t>
            </w:r>
            <w:r w:rsidR="00D52B25">
              <w:rPr>
                <w:rFonts w:ascii="Arial" w:eastAsia="Times New Roman" w:hAnsi="Arial" w:cs="Arial"/>
                <w:color w:val="000000"/>
                <w:sz w:val="20"/>
                <w:szCs w:val="20"/>
              </w:rPr>
              <w:t>+</w:t>
            </w:r>
          </w:p>
        </w:tc>
        <w:tc>
          <w:tcPr>
            <w:tcW w:w="1341"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0,001</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0,01</w:t>
            </w:r>
            <w:r w:rsidR="003E6553">
              <w:rPr>
                <w:rFonts w:ascii="Arial" w:eastAsia="Times New Roman" w:hAnsi="Arial" w:cs="Arial"/>
                <w:color w:val="000000"/>
                <w:sz w:val="18"/>
                <w:szCs w:val="18"/>
              </w:rPr>
              <w:t>2</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0,01</w:t>
            </w:r>
            <w:r w:rsidR="003E6553">
              <w:rPr>
                <w:rFonts w:ascii="Arial" w:eastAsia="Times New Roman" w:hAnsi="Arial" w:cs="Arial"/>
                <w:color w:val="000000"/>
                <w:sz w:val="18"/>
                <w:szCs w:val="18"/>
              </w:rPr>
              <w:t>3</w:t>
            </w:r>
          </w:p>
        </w:tc>
      </w:tr>
      <w:tr w:rsidR="008B6C03" w:rsidRPr="008B6C03" w:rsidTr="00A542E9">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195"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5C00C5"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3E6553">
              <w:rPr>
                <w:rFonts w:ascii="Arial" w:eastAsia="Times New Roman" w:hAnsi="Arial" w:cs="Arial"/>
                <w:color w:val="000000"/>
                <w:sz w:val="18"/>
                <w:szCs w:val="18"/>
              </w:rPr>
              <w:t>0,033</w:t>
            </w:r>
            <w:r>
              <w:rPr>
                <w:rFonts w:ascii="Arial" w:eastAsia="Times New Roman" w:hAnsi="Arial" w:cs="Arial"/>
                <w:color w:val="000000"/>
                <w:sz w:val="18"/>
                <w:szCs w:val="18"/>
              </w:rPr>
              <w:t>)</w:t>
            </w:r>
          </w:p>
        </w:tc>
        <w:tc>
          <w:tcPr>
            <w:tcW w:w="1341" w:type="dxa"/>
            <w:hideMark/>
          </w:tcPr>
          <w:p w:rsidR="008B6C03" w:rsidRPr="008B6C03" w:rsidRDefault="005C00C5"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3E6553">
              <w:rPr>
                <w:rFonts w:ascii="Arial" w:eastAsia="Times New Roman" w:hAnsi="Arial" w:cs="Arial"/>
                <w:color w:val="000000"/>
                <w:sz w:val="18"/>
                <w:szCs w:val="18"/>
              </w:rPr>
              <w:t>0,029</w:t>
            </w:r>
            <w:r>
              <w:rPr>
                <w:rFonts w:ascii="Arial" w:eastAsia="Times New Roman" w:hAnsi="Arial" w:cs="Arial"/>
                <w:color w:val="000000"/>
                <w:sz w:val="18"/>
                <w:szCs w:val="18"/>
              </w:rPr>
              <w:t>)</w:t>
            </w:r>
          </w:p>
        </w:tc>
        <w:tc>
          <w:tcPr>
            <w:tcW w:w="1341" w:type="dxa"/>
            <w:hideMark/>
          </w:tcPr>
          <w:p w:rsidR="008B6C03" w:rsidRPr="008B6C03" w:rsidRDefault="005C00C5"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3E6553">
              <w:rPr>
                <w:rFonts w:ascii="Arial" w:eastAsia="Times New Roman" w:hAnsi="Arial" w:cs="Arial"/>
                <w:color w:val="000000"/>
                <w:sz w:val="18"/>
                <w:szCs w:val="18"/>
              </w:rPr>
              <w:t>0,032</w:t>
            </w:r>
            <w:r>
              <w:rPr>
                <w:rFonts w:ascii="Arial" w:eastAsia="Times New Roman" w:hAnsi="Arial" w:cs="Arial"/>
                <w:color w:val="000000"/>
                <w:sz w:val="18"/>
                <w:szCs w:val="18"/>
              </w:rPr>
              <w:t>)</w:t>
            </w:r>
          </w:p>
        </w:tc>
      </w:tr>
      <w:tr w:rsidR="008B6C03" w:rsidRPr="008B6C03" w:rsidTr="00A542E9">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AGEDR</w:t>
            </w:r>
          </w:p>
        </w:tc>
        <w:tc>
          <w:tcPr>
            <w:tcW w:w="1195"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 </w:t>
            </w:r>
            <w:r w:rsidR="00D52B25">
              <w:rPr>
                <w:rFonts w:ascii="Arial" w:eastAsia="Times New Roman" w:hAnsi="Arial" w:cs="Arial"/>
                <w:color w:val="000000"/>
                <w:sz w:val="20"/>
                <w:szCs w:val="20"/>
              </w:rPr>
              <w:t>-</w:t>
            </w:r>
          </w:p>
        </w:tc>
        <w:tc>
          <w:tcPr>
            <w:tcW w:w="1341"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0,73</w:t>
            </w:r>
            <w:r w:rsidR="003E6553">
              <w:rPr>
                <w:rFonts w:ascii="Arial" w:eastAsia="Times New Roman" w:hAnsi="Arial" w:cs="Arial"/>
                <w:color w:val="000000"/>
                <w:sz w:val="18"/>
                <w:szCs w:val="18"/>
              </w:rPr>
              <w:t>3</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0,737</w:t>
            </w:r>
          </w:p>
        </w:tc>
      </w:tr>
      <w:tr w:rsidR="008B6C03" w:rsidRPr="008B6C03" w:rsidTr="00A542E9">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195"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5C00C5"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3E6553">
              <w:rPr>
                <w:rFonts w:ascii="Arial" w:eastAsia="Times New Roman" w:hAnsi="Arial" w:cs="Arial"/>
                <w:color w:val="000000"/>
                <w:sz w:val="18"/>
                <w:szCs w:val="18"/>
              </w:rPr>
              <w:t>0,505</w:t>
            </w:r>
            <w:r>
              <w:rPr>
                <w:rFonts w:ascii="Arial" w:eastAsia="Times New Roman" w:hAnsi="Arial" w:cs="Arial"/>
                <w:color w:val="000000"/>
                <w:sz w:val="18"/>
                <w:szCs w:val="18"/>
              </w:rPr>
              <w:t>)</w:t>
            </w:r>
          </w:p>
        </w:tc>
        <w:tc>
          <w:tcPr>
            <w:tcW w:w="1341" w:type="dxa"/>
            <w:hideMark/>
          </w:tcPr>
          <w:p w:rsidR="008B6C03" w:rsidRPr="008B6C03" w:rsidRDefault="005C00C5"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3E6553">
              <w:rPr>
                <w:rFonts w:ascii="Arial" w:eastAsia="Times New Roman" w:hAnsi="Arial" w:cs="Arial"/>
                <w:color w:val="000000"/>
                <w:sz w:val="18"/>
                <w:szCs w:val="18"/>
              </w:rPr>
              <w:t>0,519</w:t>
            </w:r>
            <w:r>
              <w:rPr>
                <w:rFonts w:ascii="Arial" w:eastAsia="Times New Roman" w:hAnsi="Arial" w:cs="Arial"/>
                <w:color w:val="000000"/>
                <w:sz w:val="18"/>
                <w:szCs w:val="18"/>
              </w:rPr>
              <w:t>)</w:t>
            </w:r>
          </w:p>
        </w:tc>
      </w:tr>
      <w:tr w:rsidR="008B6C03" w:rsidRPr="008B6C03" w:rsidTr="00A542E9">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DB</w:t>
            </w:r>
          </w:p>
        </w:tc>
        <w:tc>
          <w:tcPr>
            <w:tcW w:w="1195"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 </w:t>
            </w:r>
            <w:r w:rsidR="00D52B25">
              <w:rPr>
                <w:rFonts w:ascii="Arial" w:eastAsia="Times New Roman" w:hAnsi="Arial" w:cs="Arial"/>
                <w:color w:val="000000"/>
                <w:sz w:val="20"/>
                <w:szCs w:val="20"/>
              </w:rPr>
              <w:t>-</w:t>
            </w:r>
          </w:p>
        </w:tc>
        <w:tc>
          <w:tcPr>
            <w:tcW w:w="1341"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0,00</w:t>
            </w:r>
            <w:r w:rsidR="003E6553">
              <w:rPr>
                <w:rFonts w:ascii="Arial" w:eastAsia="Times New Roman" w:hAnsi="Arial" w:cs="Arial"/>
                <w:color w:val="000000"/>
                <w:sz w:val="18"/>
                <w:szCs w:val="18"/>
              </w:rPr>
              <w:t>4</w:t>
            </w:r>
          </w:p>
        </w:tc>
      </w:tr>
      <w:tr w:rsidR="008B6C03" w:rsidRPr="008B6C03" w:rsidTr="00A542E9">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195"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5C00C5"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3E6553">
              <w:rPr>
                <w:rFonts w:ascii="Arial" w:eastAsia="Times New Roman" w:hAnsi="Arial" w:cs="Arial"/>
                <w:color w:val="000000"/>
                <w:sz w:val="18"/>
                <w:szCs w:val="18"/>
              </w:rPr>
              <w:t>0,020</w:t>
            </w:r>
            <w:r>
              <w:rPr>
                <w:rFonts w:ascii="Arial" w:eastAsia="Times New Roman" w:hAnsi="Arial" w:cs="Arial"/>
                <w:color w:val="000000"/>
                <w:sz w:val="18"/>
                <w:szCs w:val="18"/>
              </w:rPr>
              <w:t>)</w:t>
            </w:r>
          </w:p>
        </w:tc>
      </w:tr>
      <w:tr w:rsidR="008B6C03" w:rsidRPr="008B6C03" w:rsidTr="00A542E9">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R</w:t>
            </w:r>
            <w:r w:rsidRPr="008B6C03">
              <w:rPr>
                <w:rFonts w:ascii="Arial" w:eastAsia="Times New Roman" w:hAnsi="Arial" w:cs="Arial"/>
                <w:color w:val="000000"/>
                <w:sz w:val="20"/>
                <w:szCs w:val="20"/>
                <w:vertAlign w:val="superscript"/>
              </w:rPr>
              <w:t>2</w:t>
            </w:r>
          </w:p>
        </w:tc>
        <w:tc>
          <w:tcPr>
            <w:tcW w:w="1195"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341" w:type="dxa"/>
            <w:noWrap/>
            <w:hideMark/>
          </w:tcPr>
          <w:p w:rsidR="008B6C03" w:rsidRPr="008B6C03" w:rsidRDefault="008B6C03" w:rsidP="008B6C03">
            <w:pPr>
              <w:jc w:val="right"/>
              <w:cnfStyle w:val="000000000000"/>
              <w:rPr>
                <w:rFonts w:ascii="Calibri" w:eastAsia="Times New Roman" w:hAnsi="Calibri" w:cs="Times New Roman"/>
                <w:color w:val="000000"/>
              </w:rPr>
            </w:pPr>
            <w:r w:rsidRPr="008B6C03">
              <w:rPr>
                <w:rFonts w:ascii="Calibri" w:eastAsia="Times New Roman" w:hAnsi="Calibri" w:cs="Times New Roman"/>
                <w:color w:val="000000"/>
              </w:rPr>
              <w:t>0,08</w:t>
            </w:r>
            <w:r w:rsidR="003E6553">
              <w:rPr>
                <w:rFonts w:ascii="Calibri" w:eastAsia="Times New Roman" w:hAnsi="Calibri" w:cs="Times New Roman"/>
                <w:color w:val="000000"/>
              </w:rPr>
              <w:t>9</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0,091</w:t>
            </w:r>
          </w:p>
        </w:tc>
        <w:tc>
          <w:tcPr>
            <w:tcW w:w="1341" w:type="dxa"/>
            <w:hideMark/>
          </w:tcPr>
          <w:p w:rsidR="008B6C03" w:rsidRPr="008B6C03" w:rsidRDefault="003E6553"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0,09</w:t>
            </w:r>
            <w:r w:rsidR="008B6C03" w:rsidRPr="008B6C03">
              <w:rPr>
                <w:rFonts w:ascii="Arial" w:eastAsia="Times New Roman" w:hAnsi="Arial" w:cs="Arial"/>
                <w:color w:val="000000"/>
                <w:sz w:val="18"/>
                <w:szCs w:val="18"/>
              </w:rPr>
              <w:t>1</w:t>
            </w:r>
          </w:p>
        </w:tc>
        <w:tc>
          <w:tcPr>
            <w:tcW w:w="1341" w:type="dxa"/>
            <w:hideMark/>
          </w:tcPr>
          <w:p w:rsidR="008B6C03" w:rsidRPr="008B6C03" w:rsidRDefault="003E6553"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0,154</w:t>
            </w:r>
          </w:p>
        </w:tc>
        <w:tc>
          <w:tcPr>
            <w:tcW w:w="1341" w:type="dxa"/>
            <w:hideMark/>
          </w:tcPr>
          <w:p w:rsidR="008B6C03" w:rsidRPr="008B6C03" w:rsidRDefault="003E6553"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0,154</w:t>
            </w:r>
          </w:p>
        </w:tc>
      </w:tr>
      <w:tr w:rsidR="008B6C03" w:rsidRPr="008B6C03" w:rsidTr="00A542E9">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195"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r>
      <w:tr w:rsidR="008B6C03" w:rsidRPr="008B6C03" w:rsidTr="00A542E9">
        <w:trPr>
          <w:trHeight w:val="780"/>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Number of observations</w:t>
            </w:r>
          </w:p>
        </w:tc>
        <w:tc>
          <w:tcPr>
            <w:tcW w:w="1195"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30</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30</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30</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30</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30</w:t>
            </w:r>
          </w:p>
        </w:tc>
      </w:tr>
    </w:tbl>
    <w:p w:rsidR="002D207A" w:rsidRDefault="002D207A" w:rsidP="00475623">
      <w:pPr>
        <w:autoSpaceDE w:val="0"/>
        <w:autoSpaceDN w:val="0"/>
        <w:adjustRightInd w:val="0"/>
        <w:spacing w:after="0" w:line="240" w:lineRule="auto"/>
        <w:rPr>
          <w:rFonts w:ascii="Arial" w:hAnsi="Arial" w:cs="Arial"/>
          <w:sz w:val="18"/>
          <w:szCs w:val="18"/>
          <w:lang w:val="en-US"/>
        </w:rPr>
      </w:pPr>
    </w:p>
    <w:p w:rsidR="002D207A" w:rsidRDefault="002D207A" w:rsidP="00475623">
      <w:pPr>
        <w:autoSpaceDE w:val="0"/>
        <w:autoSpaceDN w:val="0"/>
        <w:adjustRightInd w:val="0"/>
        <w:spacing w:after="0" w:line="240" w:lineRule="auto"/>
        <w:rPr>
          <w:rFonts w:ascii="Arial" w:hAnsi="Arial" w:cs="Arial"/>
          <w:sz w:val="18"/>
          <w:szCs w:val="18"/>
          <w:lang w:val="en-US"/>
        </w:rPr>
      </w:pPr>
    </w:p>
    <w:p w:rsidR="002D207A" w:rsidRDefault="00DF7A09" w:rsidP="003E6553">
      <w:pPr>
        <w:pStyle w:val="ListParagraph"/>
        <w:numPr>
          <w:ilvl w:val="0"/>
          <w:numId w:val="28"/>
        </w:numPr>
        <w:autoSpaceDE w:val="0"/>
        <w:autoSpaceDN w:val="0"/>
        <w:adjustRightInd w:val="0"/>
        <w:spacing w:after="0" w:line="240" w:lineRule="auto"/>
        <w:jc w:val="center"/>
        <w:rPr>
          <w:rFonts w:ascii="Arial" w:hAnsi="Arial" w:cs="Arial"/>
          <w:b/>
          <w:sz w:val="18"/>
          <w:szCs w:val="18"/>
          <w:lang w:val="en-US"/>
        </w:rPr>
      </w:pPr>
      <w:r w:rsidRPr="00420923">
        <w:rPr>
          <w:rFonts w:ascii="Arial" w:hAnsi="Arial" w:cs="Arial"/>
          <w:b/>
          <w:sz w:val="18"/>
          <w:szCs w:val="18"/>
          <w:lang w:val="en-US"/>
        </w:rPr>
        <w:t>Masculinity</w:t>
      </w:r>
    </w:p>
    <w:p w:rsidR="00420923" w:rsidRPr="00420923" w:rsidRDefault="00420923" w:rsidP="003E6553">
      <w:pPr>
        <w:autoSpaceDE w:val="0"/>
        <w:autoSpaceDN w:val="0"/>
        <w:adjustRightInd w:val="0"/>
        <w:spacing w:after="0" w:line="240" w:lineRule="auto"/>
        <w:ind w:left="360"/>
        <w:jc w:val="center"/>
        <w:rPr>
          <w:rFonts w:ascii="Arial" w:hAnsi="Arial" w:cs="Arial"/>
          <w:b/>
          <w:sz w:val="18"/>
          <w:szCs w:val="18"/>
          <w:lang w:val="en-US"/>
        </w:rPr>
      </w:pPr>
    </w:p>
    <w:tbl>
      <w:tblPr>
        <w:tblStyle w:val="LightShading1"/>
        <w:tblW w:w="0" w:type="auto"/>
        <w:tblLook w:val="06A0"/>
      </w:tblPr>
      <w:tblGrid>
        <w:gridCol w:w="1524"/>
        <w:gridCol w:w="1195"/>
        <w:gridCol w:w="1341"/>
        <w:gridCol w:w="1341"/>
        <w:gridCol w:w="1341"/>
        <w:gridCol w:w="1341"/>
        <w:gridCol w:w="1341"/>
      </w:tblGrid>
      <w:tr w:rsidR="002D207A" w:rsidTr="00BF3EE6">
        <w:trPr>
          <w:cnfStyle w:val="100000000000"/>
        </w:trPr>
        <w:tc>
          <w:tcPr>
            <w:cnfStyle w:val="001000000000"/>
            <w:tcW w:w="1524" w:type="dxa"/>
          </w:tcPr>
          <w:p w:rsidR="002D207A" w:rsidRPr="00A1756F" w:rsidRDefault="002D207A" w:rsidP="003E6553">
            <w:pPr>
              <w:jc w:val="center"/>
              <w:rPr>
                <w:rFonts w:ascii="Arial" w:hAnsi="Arial" w:cs="Arial"/>
                <w:i/>
                <w:lang w:val="en-US"/>
              </w:rPr>
            </w:pPr>
            <w:r>
              <w:rPr>
                <w:rFonts w:ascii="Arial" w:hAnsi="Arial" w:cs="Arial"/>
                <w:i/>
                <w:lang w:val="en-US"/>
              </w:rPr>
              <w:t>Variable</w:t>
            </w:r>
          </w:p>
        </w:tc>
        <w:tc>
          <w:tcPr>
            <w:tcW w:w="1195" w:type="dxa"/>
          </w:tcPr>
          <w:p w:rsidR="002D207A" w:rsidRPr="002D207A" w:rsidRDefault="002D207A" w:rsidP="003E6553">
            <w:pPr>
              <w:jc w:val="center"/>
              <w:cnfStyle w:val="100000000000"/>
              <w:rPr>
                <w:rFonts w:ascii="Arial" w:hAnsi="Arial" w:cs="Arial"/>
                <w:i/>
                <w:lang w:val="en-US"/>
              </w:rPr>
            </w:pPr>
            <w:r>
              <w:rPr>
                <w:rFonts w:ascii="Arial" w:hAnsi="Arial" w:cs="Arial"/>
                <w:i/>
                <w:lang w:val="en-US"/>
              </w:rPr>
              <w:t>Expected sign</w:t>
            </w:r>
          </w:p>
        </w:tc>
        <w:tc>
          <w:tcPr>
            <w:tcW w:w="1341" w:type="dxa"/>
          </w:tcPr>
          <w:p w:rsidR="002D207A" w:rsidRPr="002D207A" w:rsidRDefault="002D207A" w:rsidP="003E6553">
            <w:pPr>
              <w:jc w:val="center"/>
              <w:cnfStyle w:val="100000000000"/>
              <w:rPr>
                <w:rFonts w:ascii="Arial" w:hAnsi="Arial" w:cs="Arial"/>
                <w:i/>
                <w:lang w:val="en-US"/>
              </w:rPr>
            </w:pPr>
            <w:r w:rsidRPr="002D207A">
              <w:rPr>
                <w:rFonts w:ascii="Arial" w:hAnsi="Arial" w:cs="Arial"/>
                <w:i/>
                <w:lang w:val="en-US"/>
              </w:rPr>
              <w:t>Model 1</w:t>
            </w:r>
          </w:p>
        </w:tc>
        <w:tc>
          <w:tcPr>
            <w:tcW w:w="1341" w:type="dxa"/>
          </w:tcPr>
          <w:p w:rsidR="002D207A" w:rsidRPr="002D207A" w:rsidRDefault="002D207A" w:rsidP="003E6553">
            <w:pPr>
              <w:jc w:val="center"/>
              <w:cnfStyle w:val="100000000000"/>
              <w:rPr>
                <w:rFonts w:ascii="Arial" w:hAnsi="Arial" w:cs="Arial"/>
                <w:i/>
                <w:lang w:val="en-US"/>
              </w:rPr>
            </w:pPr>
            <w:r w:rsidRPr="002D207A">
              <w:rPr>
                <w:rFonts w:ascii="Arial" w:hAnsi="Arial" w:cs="Arial"/>
                <w:i/>
                <w:lang w:val="en-US"/>
              </w:rPr>
              <w:t>Model 2</w:t>
            </w:r>
          </w:p>
        </w:tc>
        <w:tc>
          <w:tcPr>
            <w:tcW w:w="1341" w:type="dxa"/>
          </w:tcPr>
          <w:p w:rsidR="002D207A" w:rsidRPr="002D207A" w:rsidRDefault="002D207A" w:rsidP="003E6553">
            <w:pPr>
              <w:jc w:val="center"/>
              <w:cnfStyle w:val="100000000000"/>
              <w:rPr>
                <w:rFonts w:ascii="Arial" w:hAnsi="Arial" w:cs="Arial"/>
                <w:i/>
                <w:lang w:val="en-US"/>
              </w:rPr>
            </w:pPr>
            <w:r w:rsidRPr="002D207A">
              <w:rPr>
                <w:rFonts w:ascii="Arial" w:hAnsi="Arial" w:cs="Arial"/>
                <w:i/>
                <w:lang w:val="en-US"/>
              </w:rPr>
              <w:t>Model 3</w:t>
            </w:r>
          </w:p>
        </w:tc>
        <w:tc>
          <w:tcPr>
            <w:tcW w:w="1341" w:type="dxa"/>
          </w:tcPr>
          <w:p w:rsidR="002D207A" w:rsidRPr="002D207A" w:rsidRDefault="002D207A" w:rsidP="003E6553">
            <w:pPr>
              <w:jc w:val="center"/>
              <w:cnfStyle w:val="100000000000"/>
              <w:rPr>
                <w:rFonts w:ascii="Arial" w:hAnsi="Arial" w:cs="Arial"/>
                <w:i/>
                <w:lang w:val="en-US"/>
              </w:rPr>
            </w:pPr>
            <w:r w:rsidRPr="002D207A">
              <w:rPr>
                <w:rFonts w:ascii="Arial" w:hAnsi="Arial" w:cs="Arial"/>
                <w:i/>
                <w:lang w:val="en-US"/>
              </w:rPr>
              <w:t>Model 4</w:t>
            </w:r>
          </w:p>
        </w:tc>
        <w:tc>
          <w:tcPr>
            <w:tcW w:w="1341" w:type="dxa"/>
          </w:tcPr>
          <w:p w:rsidR="002D207A" w:rsidRPr="002D207A" w:rsidRDefault="002D207A" w:rsidP="003E6553">
            <w:pPr>
              <w:jc w:val="center"/>
              <w:cnfStyle w:val="100000000000"/>
              <w:rPr>
                <w:rFonts w:ascii="Arial" w:hAnsi="Arial" w:cs="Arial"/>
                <w:i/>
                <w:lang w:val="en-US"/>
              </w:rPr>
            </w:pPr>
            <w:r w:rsidRPr="002D207A">
              <w:rPr>
                <w:rFonts w:ascii="Arial" w:hAnsi="Arial" w:cs="Arial"/>
                <w:i/>
                <w:lang w:val="en-US"/>
              </w:rPr>
              <w:t>Model 5</w:t>
            </w:r>
          </w:p>
        </w:tc>
      </w:tr>
      <w:tr w:rsidR="008B6C03" w:rsidRPr="008B6C03" w:rsidTr="00BF3EE6">
        <w:trPr>
          <w:trHeight w:val="315"/>
        </w:trPr>
        <w:tc>
          <w:tcPr>
            <w:cnfStyle w:val="001000000000"/>
            <w:tcW w:w="1524" w:type="dxa"/>
            <w:hideMark/>
          </w:tcPr>
          <w:p w:rsidR="008B6C03" w:rsidRPr="008B6C03" w:rsidRDefault="008B6C03" w:rsidP="003E6553">
            <w:pPr>
              <w:jc w:val="center"/>
              <w:rPr>
                <w:rFonts w:ascii="Arial" w:eastAsia="Times New Roman" w:hAnsi="Arial" w:cs="Arial"/>
                <w:i/>
                <w:iCs/>
                <w:color w:val="000000"/>
              </w:rPr>
            </w:pPr>
          </w:p>
        </w:tc>
        <w:tc>
          <w:tcPr>
            <w:tcW w:w="1195" w:type="dxa"/>
            <w:hideMark/>
          </w:tcPr>
          <w:p w:rsidR="008B6C03" w:rsidRPr="008B6C03" w:rsidRDefault="008B6C03" w:rsidP="003E6553">
            <w:pPr>
              <w:jc w:val="center"/>
              <w:cnfStyle w:val="000000000000"/>
              <w:rPr>
                <w:rFonts w:ascii="Arial" w:eastAsia="Times New Roman" w:hAnsi="Arial" w:cs="Arial"/>
                <w:b/>
                <w:bCs/>
                <w:i/>
                <w:iCs/>
                <w:color w:val="000000"/>
              </w:rPr>
            </w:pPr>
          </w:p>
        </w:tc>
        <w:tc>
          <w:tcPr>
            <w:tcW w:w="1341" w:type="dxa"/>
            <w:hideMark/>
          </w:tcPr>
          <w:p w:rsidR="008B6C03" w:rsidRPr="008B6C03" w:rsidRDefault="008B6C03" w:rsidP="003E6553">
            <w:pPr>
              <w:jc w:val="center"/>
              <w:cnfStyle w:val="000000000000"/>
              <w:rPr>
                <w:rFonts w:ascii="Arial" w:eastAsia="Times New Roman" w:hAnsi="Arial" w:cs="Arial"/>
                <w:b/>
                <w:bCs/>
                <w:i/>
                <w:iCs/>
                <w:color w:val="000000"/>
              </w:rPr>
            </w:pPr>
          </w:p>
        </w:tc>
        <w:tc>
          <w:tcPr>
            <w:tcW w:w="1341" w:type="dxa"/>
            <w:hideMark/>
          </w:tcPr>
          <w:p w:rsidR="008B6C03" w:rsidRPr="008B6C03" w:rsidRDefault="008B6C03" w:rsidP="003E6553">
            <w:pPr>
              <w:jc w:val="center"/>
              <w:cnfStyle w:val="000000000000"/>
              <w:rPr>
                <w:rFonts w:ascii="Arial" w:eastAsia="Times New Roman" w:hAnsi="Arial" w:cs="Arial"/>
                <w:b/>
                <w:bCs/>
                <w:i/>
                <w:iCs/>
                <w:color w:val="000000"/>
              </w:rPr>
            </w:pPr>
          </w:p>
        </w:tc>
        <w:tc>
          <w:tcPr>
            <w:tcW w:w="1341" w:type="dxa"/>
            <w:hideMark/>
          </w:tcPr>
          <w:p w:rsidR="008B6C03" w:rsidRPr="008B6C03" w:rsidRDefault="008B6C03" w:rsidP="003E6553">
            <w:pPr>
              <w:jc w:val="center"/>
              <w:cnfStyle w:val="000000000000"/>
              <w:rPr>
                <w:rFonts w:ascii="Arial" w:eastAsia="Times New Roman" w:hAnsi="Arial" w:cs="Arial"/>
                <w:color w:val="000000"/>
                <w:sz w:val="18"/>
                <w:szCs w:val="18"/>
              </w:rPr>
            </w:pPr>
          </w:p>
        </w:tc>
        <w:tc>
          <w:tcPr>
            <w:tcW w:w="1341" w:type="dxa"/>
            <w:hideMark/>
          </w:tcPr>
          <w:p w:rsidR="008B6C03" w:rsidRPr="008B6C03" w:rsidRDefault="008B6C03" w:rsidP="003E6553">
            <w:pPr>
              <w:jc w:val="center"/>
              <w:cnfStyle w:val="000000000000"/>
              <w:rPr>
                <w:rFonts w:ascii="Arial" w:eastAsia="Times New Roman" w:hAnsi="Arial" w:cs="Arial"/>
                <w:color w:val="000000"/>
                <w:sz w:val="18"/>
                <w:szCs w:val="18"/>
              </w:rPr>
            </w:pPr>
          </w:p>
        </w:tc>
        <w:tc>
          <w:tcPr>
            <w:tcW w:w="1341" w:type="dxa"/>
            <w:hideMark/>
          </w:tcPr>
          <w:p w:rsidR="008B6C03" w:rsidRPr="008B6C03" w:rsidRDefault="008B6C03" w:rsidP="003E6553">
            <w:pPr>
              <w:jc w:val="center"/>
              <w:cnfStyle w:val="000000000000"/>
              <w:rPr>
                <w:rFonts w:ascii="Arial" w:eastAsia="Times New Roman" w:hAnsi="Arial" w:cs="Arial"/>
                <w:color w:val="000000"/>
                <w:sz w:val="18"/>
                <w:szCs w:val="18"/>
              </w:rPr>
            </w:pPr>
          </w:p>
        </w:tc>
      </w:tr>
      <w:tr w:rsidR="008B6C03" w:rsidRPr="008B6C03" w:rsidTr="00BF3EE6">
        <w:trPr>
          <w:trHeight w:val="315"/>
        </w:trPr>
        <w:tc>
          <w:tcPr>
            <w:cnfStyle w:val="001000000000"/>
            <w:tcW w:w="1524" w:type="dxa"/>
            <w:hideMark/>
          </w:tcPr>
          <w:p w:rsidR="008B6C03" w:rsidRPr="008B6C03" w:rsidRDefault="008B6C03" w:rsidP="003E655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MASC</w:t>
            </w:r>
          </w:p>
        </w:tc>
        <w:tc>
          <w:tcPr>
            <w:tcW w:w="1195" w:type="dxa"/>
            <w:hideMark/>
          </w:tcPr>
          <w:p w:rsidR="008B6C03" w:rsidRPr="008B6C03" w:rsidRDefault="00D52B25" w:rsidP="003E655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p>
        </w:tc>
        <w:tc>
          <w:tcPr>
            <w:tcW w:w="1341" w:type="dxa"/>
            <w:hideMark/>
          </w:tcPr>
          <w:p w:rsidR="008B6C03" w:rsidRPr="008B6C03" w:rsidRDefault="008B6C03" w:rsidP="003E655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-0,089</w:t>
            </w:r>
          </w:p>
        </w:tc>
        <w:tc>
          <w:tcPr>
            <w:tcW w:w="1341" w:type="dxa"/>
            <w:hideMark/>
          </w:tcPr>
          <w:p w:rsidR="008B6C03" w:rsidRPr="008B6C03" w:rsidRDefault="008B6C03" w:rsidP="003E655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-0,087</w:t>
            </w:r>
          </w:p>
        </w:tc>
        <w:tc>
          <w:tcPr>
            <w:tcW w:w="1341" w:type="dxa"/>
            <w:hideMark/>
          </w:tcPr>
          <w:p w:rsidR="008B6C03" w:rsidRPr="008B6C03" w:rsidRDefault="008B6C03" w:rsidP="003E655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-0,08</w:t>
            </w:r>
            <w:r w:rsidR="003E6553">
              <w:rPr>
                <w:rFonts w:ascii="Arial" w:eastAsia="Times New Roman" w:hAnsi="Arial" w:cs="Arial"/>
                <w:color w:val="000000"/>
                <w:sz w:val="18"/>
                <w:szCs w:val="18"/>
              </w:rPr>
              <w:t>7</w:t>
            </w:r>
          </w:p>
        </w:tc>
        <w:tc>
          <w:tcPr>
            <w:tcW w:w="1341" w:type="dxa"/>
            <w:hideMark/>
          </w:tcPr>
          <w:p w:rsidR="008B6C03" w:rsidRPr="008B6C03" w:rsidRDefault="008B6C03" w:rsidP="003E655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-0,08</w:t>
            </w:r>
            <w:r w:rsidR="003E6553">
              <w:rPr>
                <w:rFonts w:ascii="Arial" w:eastAsia="Times New Roman" w:hAnsi="Arial" w:cs="Arial"/>
                <w:color w:val="000000"/>
                <w:sz w:val="18"/>
                <w:szCs w:val="18"/>
              </w:rPr>
              <w:t>2</w:t>
            </w:r>
          </w:p>
        </w:tc>
        <w:tc>
          <w:tcPr>
            <w:tcW w:w="1341" w:type="dxa"/>
            <w:hideMark/>
          </w:tcPr>
          <w:p w:rsidR="008B6C03" w:rsidRPr="008B6C03" w:rsidRDefault="008B6C03" w:rsidP="003E655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-0,08</w:t>
            </w:r>
            <w:r w:rsidR="003E6553">
              <w:rPr>
                <w:rFonts w:ascii="Arial" w:eastAsia="Times New Roman" w:hAnsi="Arial" w:cs="Arial"/>
                <w:color w:val="000000"/>
                <w:sz w:val="18"/>
                <w:szCs w:val="18"/>
              </w:rPr>
              <w:t>1</w:t>
            </w:r>
          </w:p>
        </w:tc>
      </w:tr>
      <w:tr w:rsidR="008B6C03" w:rsidRPr="008B6C03" w:rsidTr="00BF3EE6">
        <w:trPr>
          <w:trHeight w:val="315"/>
        </w:trPr>
        <w:tc>
          <w:tcPr>
            <w:cnfStyle w:val="001000000000"/>
            <w:tcW w:w="1524" w:type="dxa"/>
            <w:hideMark/>
          </w:tcPr>
          <w:p w:rsidR="008B6C03" w:rsidRPr="008B6C03" w:rsidRDefault="008B6C03" w:rsidP="003E6553">
            <w:pPr>
              <w:jc w:val="center"/>
              <w:rPr>
                <w:rFonts w:ascii="Arial" w:eastAsia="Times New Roman" w:hAnsi="Arial" w:cs="Arial"/>
                <w:color w:val="000000"/>
                <w:sz w:val="20"/>
                <w:szCs w:val="20"/>
              </w:rPr>
            </w:pPr>
          </w:p>
        </w:tc>
        <w:tc>
          <w:tcPr>
            <w:tcW w:w="1195" w:type="dxa"/>
            <w:hideMark/>
          </w:tcPr>
          <w:p w:rsidR="008B6C03" w:rsidRPr="008B6C03" w:rsidRDefault="008B6C03" w:rsidP="003E6553">
            <w:pPr>
              <w:jc w:val="center"/>
              <w:cnfStyle w:val="000000000000"/>
              <w:rPr>
                <w:rFonts w:ascii="Arial" w:eastAsia="Times New Roman" w:hAnsi="Arial" w:cs="Arial"/>
                <w:color w:val="000000"/>
                <w:sz w:val="18"/>
                <w:szCs w:val="18"/>
              </w:rPr>
            </w:pPr>
          </w:p>
        </w:tc>
        <w:tc>
          <w:tcPr>
            <w:tcW w:w="1341" w:type="dxa"/>
            <w:hideMark/>
          </w:tcPr>
          <w:p w:rsidR="008B6C03" w:rsidRPr="008B6C03" w:rsidRDefault="005C00C5" w:rsidP="003E655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3E6553">
              <w:rPr>
                <w:rFonts w:ascii="Arial" w:eastAsia="Times New Roman" w:hAnsi="Arial" w:cs="Arial"/>
                <w:color w:val="000000"/>
                <w:sz w:val="18"/>
                <w:szCs w:val="18"/>
              </w:rPr>
              <w:t>0,084</w:t>
            </w:r>
            <w:r>
              <w:rPr>
                <w:rFonts w:ascii="Arial" w:eastAsia="Times New Roman" w:hAnsi="Arial" w:cs="Arial"/>
                <w:color w:val="000000"/>
                <w:sz w:val="18"/>
                <w:szCs w:val="18"/>
              </w:rPr>
              <w:t>)</w:t>
            </w:r>
          </w:p>
        </w:tc>
        <w:tc>
          <w:tcPr>
            <w:tcW w:w="1341" w:type="dxa"/>
            <w:hideMark/>
          </w:tcPr>
          <w:p w:rsidR="008B6C03" w:rsidRPr="008B6C03" w:rsidRDefault="005C00C5" w:rsidP="003E655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3E6553">
              <w:rPr>
                <w:rFonts w:ascii="Arial" w:eastAsia="Times New Roman" w:hAnsi="Arial" w:cs="Arial"/>
                <w:color w:val="000000"/>
                <w:sz w:val="18"/>
                <w:szCs w:val="18"/>
              </w:rPr>
              <w:t>0,087</w:t>
            </w:r>
            <w:r>
              <w:rPr>
                <w:rFonts w:ascii="Arial" w:eastAsia="Times New Roman" w:hAnsi="Arial" w:cs="Arial"/>
                <w:color w:val="000000"/>
                <w:sz w:val="18"/>
                <w:szCs w:val="18"/>
              </w:rPr>
              <w:t>)</w:t>
            </w:r>
          </w:p>
        </w:tc>
        <w:tc>
          <w:tcPr>
            <w:tcW w:w="1341" w:type="dxa"/>
            <w:hideMark/>
          </w:tcPr>
          <w:p w:rsidR="008B6C03" w:rsidRPr="008B6C03" w:rsidRDefault="005C00C5" w:rsidP="003E655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3E6553">
              <w:rPr>
                <w:rFonts w:ascii="Arial" w:eastAsia="Times New Roman" w:hAnsi="Arial" w:cs="Arial"/>
                <w:color w:val="000000"/>
                <w:sz w:val="18"/>
                <w:szCs w:val="18"/>
              </w:rPr>
              <w:t>0,092</w:t>
            </w:r>
            <w:r>
              <w:rPr>
                <w:rFonts w:ascii="Arial" w:eastAsia="Times New Roman" w:hAnsi="Arial" w:cs="Arial"/>
                <w:color w:val="000000"/>
                <w:sz w:val="18"/>
                <w:szCs w:val="18"/>
              </w:rPr>
              <w:t>)</w:t>
            </w:r>
          </w:p>
        </w:tc>
        <w:tc>
          <w:tcPr>
            <w:tcW w:w="1341" w:type="dxa"/>
            <w:hideMark/>
          </w:tcPr>
          <w:p w:rsidR="008B6C03" w:rsidRPr="008B6C03" w:rsidRDefault="005C00C5" w:rsidP="003E655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3E6553">
              <w:rPr>
                <w:rFonts w:ascii="Arial" w:eastAsia="Times New Roman" w:hAnsi="Arial" w:cs="Arial"/>
                <w:color w:val="000000"/>
                <w:sz w:val="18"/>
                <w:szCs w:val="18"/>
              </w:rPr>
              <w:t>0,092</w:t>
            </w:r>
            <w:r>
              <w:rPr>
                <w:rFonts w:ascii="Arial" w:eastAsia="Times New Roman" w:hAnsi="Arial" w:cs="Arial"/>
                <w:color w:val="000000"/>
                <w:sz w:val="18"/>
                <w:szCs w:val="18"/>
              </w:rPr>
              <w:t>)</w:t>
            </w:r>
          </w:p>
        </w:tc>
        <w:tc>
          <w:tcPr>
            <w:tcW w:w="1341" w:type="dxa"/>
            <w:hideMark/>
          </w:tcPr>
          <w:p w:rsidR="008B6C03" w:rsidRPr="008B6C03" w:rsidRDefault="005C00C5" w:rsidP="003E655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3E6553">
              <w:rPr>
                <w:rFonts w:ascii="Arial" w:eastAsia="Times New Roman" w:hAnsi="Arial" w:cs="Arial"/>
                <w:color w:val="000000"/>
                <w:sz w:val="18"/>
                <w:szCs w:val="18"/>
              </w:rPr>
              <w:t>0,101</w:t>
            </w:r>
            <w:r>
              <w:rPr>
                <w:rFonts w:ascii="Arial" w:eastAsia="Times New Roman" w:hAnsi="Arial" w:cs="Arial"/>
                <w:color w:val="000000"/>
                <w:sz w:val="18"/>
                <w:szCs w:val="18"/>
              </w:rPr>
              <w:t>)</w:t>
            </w:r>
          </w:p>
        </w:tc>
      </w:tr>
      <w:tr w:rsidR="008B6C03" w:rsidRPr="008B6C03" w:rsidTr="00BF3EE6">
        <w:trPr>
          <w:trHeight w:val="315"/>
        </w:trPr>
        <w:tc>
          <w:tcPr>
            <w:cnfStyle w:val="001000000000"/>
            <w:tcW w:w="1524" w:type="dxa"/>
            <w:hideMark/>
          </w:tcPr>
          <w:p w:rsidR="008B6C03" w:rsidRPr="008B6C03" w:rsidRDefault="008B6C03" w:rsidP="003E655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LEQINV</w:t>
            </w:r>
          </w:p>
        </w:tc>
        <w:tc>
          <w:tcPr>
            <w:tcW w:w="1195" w:type="dxa"/>
            <w:hideMark/>
          </w:tcPr>
          <w:p w:rsidR="008B6C03" w:rsidRPr="008B6C03" w:rsidRDefault="00D52B25" w:rsidP="003E655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p>
        </w:tc>
        <w:tc>
          <w:tcPr>
            <w:tcW w:w="1341" w:type="dxa"/>
            <w:hideMark/>
          </w:tcPr>
          <w:p w:rsidR="008B6C03" w:rsidRPr="008B6C03" w:rsidRDefault="008B6C03" w:rsidP="003E655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0,134</w:t>
            </w:r>
          </w:p>
        </w:tc>
        <w:tc>
          <w:tcPr>
            <w:tcW w:w="1341" w:type="dxa"/>
            <w:hideMark/>
          </w:tcPr>
          <w:p w:rsidR="008B6C03" w:rsidRPr="008B6C03" w:rsidRDefault="008B6C03" w:rsidP="003E655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0,137</w:t>
            </w:r>
          </w:p>
        </w:tc>
        <w:tc>
          <w:tcPr>
            <w:tcW w:w="1341" w:type="dxa"/>
            <w:hideMark/>
          </w:tcPr>
          <w:p w:rsidR="008B6C03" w:rsidRPr="008B6C03" w:rsidRDefault="008B6C03" w:rsidP="003E655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0,137</w:t>
            </w:r>
          </w:p>
        </w:tc>
        <w:tc>
          <w:tcPr>
            <w:tcW w:w="1341" w:type="dxa"/>
            <w:hideMark/>
          </w:tcPr>
          <w:p w:rsidR="008B6C03" w:rsidRPr="008B6C03" w:rsidRDefault="008B6C03" w:rsidP="003E655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0,17</w:t>
            </w:r>
            <w:r w:rsidR="003E6553">
              <w:rPr>
                <w:rFonts w:ascii="Arial" w:eastAsia="Times New Roman" w:hAnsi="Arial" w:cs="Arial"/>
                <w:color w:val="000000"/>
                <w:sz w:val="18"/>
                <w:szCs w:val="18"/>
              </w:rPr>
              <w:t>3</w:t>
            </w:r>
          </w:p>
        </w:tc>
        <w:tc>
          <w:tcPr>
            <w:tcW w:w="1341" w:type="dxa"/>
            <w:hideMark/>
          </w:tcPr>
          <w:p w:rsidR="008B6C03" w:rsidRPr="008B6C03" w:rsidRDefault="003E6553" w:rsidP="003E655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0,172</w:t>
            </w:r>
          </w:p>
        </w:tc>
      </w:tr>
      <w:tr w:rsidR="008B6C03" w:rsidRPr="008B6C03" w:rsidTr="00BF3EE6">
        <w:trPr>
          <w:trHeight w:val="315"/>
        </w:trPr>
        <w:tc>
          <w:tcPr>
            <w:cnfStyle w:val="001000000000"/>
            <w:tcW w:w="1524" w:type="dxa"/>
            <w:hideMark/>
          </w:tcPr>
          <w:p w:rsidR="008B6C03" w:rsidRPr="008B6C03" w:rsidRDefault="008B6C03" w:rsidP="003E6553">
            <w:pPr>
              <w:jc w:val="center"/>
              <w:rPr>
                <w:rFonts w:ascii="Arial" w:eastAsia="Times New Roman" w:hAnsi="Arial" w:cs="Arial"/>
                <w:color w:val="000000"/>
                <w:sz w:val="20"/>
                <w:szCs w:val="20"/>
              </w:rPr>
            </w:pPr>
          </w:p>
        </w:tc>
        <w:tc>
          <w:tcPr>
            <w:tcW w:w="1195" w:type="dxa"/>
            <w:hideMark/>
          </w:tcPr>
          <w:p w:rsidR="008B6C03" w:rsidRPr="008B6C03" w:rsidRDefault="008B6C03" w:rsidP="003E6553">
            <w:pPr>
              <w:jc w:val="center"/>
              <w:cnfStyle w:val="000000000000"/>
              <w:rPr>
                <w:rFonts w:ascii="Arial" w:eastAsia="Times New Roman" w:hAnsi="Arial" w:cs="Arial"/>
                <w:color w:val="000000"/>
                <w:sz w:val="18"/>
                <w:szCs w:val="18"/>
              </w:rPr>
            </w:pPr>
          </w:p>
        </w:tc>
        <w:tc>
          <w:tcPr>
            <w:tcW w:w="1341" w:type="dxa"/>
            <w:hideMark/>
          </w:tcPr>
          <w:p w:rsidR="008B6C03" w:rsidRPr="008B6C03" w:rsidRDefault="005C00C5" w:rsidP="003E655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3E6553">
              <w:rPr>
                <w:rFonts w:ascii="Arial" w:eastAsia="Times New Roman" w:hAnsi="Arial" w:cs="Arial"/>
                <w:color w:val="000000"/>
                <w:sz w:val="18"/>
                <w:szCs w:val="18"/>
              </w:rPr>
              <w:t>0,093</w:t>
            </w:r>
            <w:r>
              <w:rPr>
                <w:rFonts w:ascii="Arial" w:eastAsia="Times New Roman" w:hAnsi="Arial" w:cs="Arial"/>
                <w:color w:val="000000"/>
                <w:sz w:val="18"/>
                <w:szCs w:val="18"/>
              </w:rPr>
              <w:t>)</w:t>
            </w:r>
          </w:p>
        </w:tc>
        <w:tc>
          <w:tcPr>
            <w:tcW w:w="1341" w:type="dxa"/>
            <w:hideMark/>
          </w:tcPr>
          <w:p w:rsidR="008B6C03" w:rsidRPr="008B6C03" w:rsidRDefault="005C00C5" w:rsidP="003E655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3E6553">
              <w:rPr>
                <w:rFonts w:ascii="Arial" w:eastAsia="Times New Roman" w:hAnsi="Arial" w:cs="Arial"/>
                <w:color w:val="000000"/>
                <w:sz w:val="18"/>
                <w:szCs w:val="18"/>
              </w:rPr>
              <w:t>0,097</w:t>
            </w:r>
            <w:r>
              <w:rPr>
                <w:rFonts w:ascii="Arial" w:eastAsia="Times New Roman" w:hAnsi="Arial" w:cs="Arial"/>
                <w:color w:val="000000"/>
                <w:sz w:val="18"/>
                <w:szCs w:val="18"/>
              </w:rPr>
              <w:t>)</w:t>
            </w:r>
          </w:p>
        </w:tc>
        <w:tc>
          <w:tcPr>
            <w:tcW w:w="1341" w:type="dxa"/>
            <w:hideMark/>
          </w:tcPr>
          <w:p w:rsidR="008B6C03" w:rsidRPr="008B6C03" w:rsidRDefault="005C00C5" w:rsidP="003E655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3E6553">
              <w:rPr>
                <w:rFonts w:ascii="Arial" w:eastAsia="Times New Roman" w:hAnsi="Arial" w:cs="Arial"/>
                <w:color w:val="000000"/>
                <w:sz w:val="18"/>
                <w:szCs w:val="18"/>
              </w:rPr>
              <w:t>0,101</w:t>
            </w:r>
            <w:r>
              <w:rPr>
                <w:rFonts w:ascii="Arial" w:eastAsia="Times New Roman" w:hAnsi="Arial" w:cs="Arial"/>
                <w:color w:val="000000"/>
                <w:sz w:val="18"/>
                <w:szCs w:val="18"/>
              </w:rPr>
              <w:t>)</w:t>
            </w:r>
          </w:p>
        </w:tc>
        <w:tc>
          <w:tcPr>
            <w:tcW w:w="1341" w:type="dxa"/>
            <w:hideMark/>
          </w:tcPr>
          <w:p w:rsidR="008B6C03" w:rsidRPr="008B6C03" w:rsidRDefault="005C00C5" w:rsidP="003E655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3E6553">
              <w:rPr>
                <w:rFonts w:ascii="Arial" w:eastAsia="Times New Roman" w:hAnsi="Arial" w:cs="Arial"/>
                <w:color w:val="000000"/>
                <w:sz w:val="18"/>
                <w:szCs w:val="18"/>
              </w:rPr>
              <w:t>0,103</w:t>
            </w:r>
            <w:r>
              <w:rPr>
                <w:rFonts w:ascii="Arial" w:eastAsia="Times New Roman" w:hAnsi="Arial" w:cs="Arial"/>
                <w:color w:val="000000"/>
                <w:sz w:val="18"/>
                <w:szCs w:val="18"/>
              </w:rPr>
              <w:t>)</w:t>
            </w:r>
          </w:p>
        </w:tc>
        <w:tc>
          <w:tcPr>
            <w:tcW w:w="1341" w:type="dxa"/>
            <w:hideMark/>
          </w:tcPr>
          <w:p w:rsidR="008B6C03" w:rsidRPr="008B6C03" w:rsidRDefault="005C00C5" w:rsidP="003E655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3E6553">
              <w:rPr>
                <w:rFonts w:ascii="Arial" w:eastAsia="Times New Roman" w:hAnsi="Arial" w:cs="Arial"/>
                <w:color w:val="000000"/>
                <w:sz w:val="18"/>
                <w:szCs w:val="18"/>
              </w:rPr>
              <w:t>0,106</w:t>
            </w:r>
            <w:r>
              <w:rPr>
                <w:rFonts w:ascii="Arial" w:eastAsia="Times New Roman" w:hAnsi="Arial" w:cs="Arial"/>
                <w:color w:val="000000"/>
                <w:sz w:val="18"/>
                <w:szCs w:val="18"/>
              </w:rPr>
              <w:t>)</w:t>
            </w:r>
          </w:p>
        </w:tc>
      </w:tr>
      <w:tr w:rsidR="008B6C03" w:rsidRPr="008B6C03" w:rsidTr="00BF3EE6">
        <w:trPr>
          <w:trHeight w:val="315"/>
        </w:trPr>
        <w:tc>
          <w:tcPr>
            <w:cnfStyle w:val="001000000000"/>
            <w:tcW w:w="1524" w:type="dxa"/>
            <w:hideMark/>
          </w:tcPr>
          <w:p w:rsidR="008B6C03" w:rsidRPr="008B6C03" w:rsidRDefault="008B6C03" w:rsidP="003E655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LNGDP</w:t>
            </w:r>
          </w:p>
        </w:tc>
        <w:tc>
          <w:tcPr>
            <w:tcW w:w="1195" w:type="dxa"/>
            <w:hideMark/>
          </w:tcPr>
          <w:p w:rsidR="008B6C03" w:rsidRPr="008B6C03" w:rsidRDefault="00D52B25" w:rsidP="003E655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p>
        </w:tc>
        <w:tc>
          <w:tcPr>
            <w:tcW w:w="1341" w:type="dxa"/>
            <w:hideMark/>
          </w:tcPr>
          <w:p w:rsidR="008B6C03" w:rsidRPr="008B6C03" w:rsidRDefault="008B6C03" w:rsidP="003E6553">
            <w:pPr>
              <w:jc w:val="center"/>
              <w:cnfStyle w:val="000000000000"/>
              <w:rPr>
                <w:rFonts w:ascii="Arial" w:eastAsia="Times New Roman" w:hAnsi="Arial" w:cs="Arial"/>
                <w:color w:val="000000"/>
                <w:sz w:val="18"/>
                <w:szCs w:val="18"/>
              </w:rPr>
            </w:pPr>
          </w:p>
        </w:tc>
        <w:tc>
          <w:tcPr>
            <w:tcW w:w="1341" w:type="dxa"/>
            <w:hideMark/>
          </w:tcPr>
          <w:p w:rsidR="008B6C03" w:rsidRPr="008B6C03" w:rsidRDefault="008B6C03" w:rsidP="003E655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0,00</w:t>
            </w:r>
            <w:r w:rsidR="003E6553">
              <w:rPr>
                <w:rFonts w:ascii="Arial" w:eastAsia="Times New Roman" w:hAnsi="Arial" w:cs="Arial"/>
                <w:color w:val="000000"/>
                <w:sz w:val="18"/>
                <w:szCs w:val="18"/>
              </w:rPr>
              <w:t>5</w:t>
            </w:r>
          </w:p>
        </w:tc>
        <w:tc>
          <w:tcPr>
            <w:tcW w:w="1341" w:type="dxa"/>
            <w:hideMark/>
          </w:tcPr>
          <w:p w:rsidR="008B6C03" w:rsidRPr="008B6C03" w:rsidRDefault="008B6C03" w:rsidP="003E655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0,005</w:t>
            </w:r>
          </w:p>
        </w:tc>
        <w:tc>
          <w:tcPr>
            <w:tcW w:w="1341" w:type="dxa"/>
            <w:hideMark/>
          </w:tcPr>
          <w:p w:rsidR="008B6C03" w:rsidRPr="008B6C03" w:rsidRDefault="008B6C03" w:rsidP="003E655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0,00</w:t>
            </w:r>
            <w:r w:rsidR="003E6553">
              <w:rPr>
                <w:rFonts w:ascii="Arial" w:eastAsia="Times New Roman" w:hAnsi="Arial" w:cs="Arial"/>
                <w:color w:val="000000"/>
                <w:sz w:val="18"/>
                <w:szCs w:val="18"/>
              </w:rPr>
              <w:t>6</w:t>
            </w:r>
          </w:p>
        </w:tc>
        <w:tc>
          <w:tcPr>
            <w:tcW w:w="1341" w:type="dxa"/>
            <w:hideMark/>
          </w:tcPr>
          <w:p w:rsidR="008B6C03" w:rsidRPr="008B6C03" w:rsidRDefault="008B6C03" w:rsidP="003E655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0,00</w:t>
            </w:r>
            <w:r w:rsidR="003E6553">
              <w:rPr>
                <w:rFonts w:ascii="Arial" w:eastAsia="Times New Roman" w:hAnsi="Arial" w:cs="Arial"/>
                <w:color w:val="000000"/>
                <w:sz w:val="18"/>
                <w:szCs w:val="18"/>
              </w:rPr>
              <w:t>6</w:t>
            </w:r>
          </w:p>
        </w:tc>
      </w:tr>
      <w:tr w:rsidR="008B6C03" w:rsidRPr="008B6C03" w:rsidTr="00BF3EE6">
        <w:trPr>
          <w:trHeight w:val="315"/>
        </w:trPr>
        <w:tc>
          <w:tcPr>
            <w:cnfStyle w:val="001000000000"/>
            <w:tcW w:w="1524" w:type="dxa"/>
            <w:hideMark/>
          </w:tcPr>
          <w:p w:rsidR="008B6C03" w:rsidRPr="008B6C03" w:rsidRDefault="008B6C03" w:rsidP="003E6553">
            <w:pPr>
              <w:jc w:val="center"/>
              <w:rPr>
                <w:rFonts w:ascii="Arial" w:eastAsia="Times New Roman" w:hAnsi="Arial" w:cs="Arial"/>
                <w:color w:val="000000"/>
                <w:sz w:val="20"/>
                <w:szCs w:val="20"/>
              </w:rPr>
            </w:pPr>
          </w:p>
        </w:tc>
        <w:tc>
          <w:tcPr>
            <w:tcW w:w="1195" w:type="dxa"/>
            <w:hideMark/>
          </w:tcPr>
          <w:p w:rsidR="008B6C03" w:rsidRPr="008B6C03" w:rsidRDefault="008B6C03" w:rsidP="003E6553">
            <w:pPr>
              <w:jc w:val="center"/>
              <w:cnfStyle w:val="000000000000"/>
              <w:rPr>
                <w:rFonts w:ascii="Arial" w:eastAsia="Times New Roman" w:hAnsi="Arial" w:cs="Arial"/>
                <w:color w:val="000000"/>
                <w:sz w:val="18"/>
                <w:szCs w:val="18"/>
              </w:rPr>
            </w:pPr>
          </w:p>
        </w:tc>
        <w:tc>
          <w:tcPr>
            <w:tcW w:w="1341" w:type="dxa"/>
            <w:hideMark/>
          </w:tcPr>
          <w:p w:rsidR="008B6C03" w:rsidRPr="008B6C03" w:rsidRDefault="008B6C03" w:rsidP="003E6553">
            <w:pPr>
              <w:jc w:val="center"/>
              <w:cnfStyle w:val="000000000000"/>
              <w:rPr>
                <w:rFonts w:ascii="Arial" w:eastAsia="Times New Roman" w:hAnsi="Arial" w:cs="Arial"/>
                <w:color w:val="000000"/>
                <w:sz w:val="18"/>
                <w:szCs w:val="18"/>
              </w:rPr>
            </w:pPr>
          </w:p>
        </w:tc>
        <w:tc>
          <w:tcPr>
            <w:tcW w:w="1341" w:type="dxa"/>
            <w:hideMark/>
          </w:tcPr>
          <w:p w:rsidR="008B6C03" w:rsidRPr="008B6C03" w:rsidRDefault="005C00C5" w:rsidP="003E655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3E6553">
              <w:rPr>
                <w:rFonts w:ascii="Arial" w:eastAsia="Times New Roman" w:hAnsi="Arial" w:cs="Arial"/>
                <w:color w:val="000000"/>
                <w:sz w:val="18"/>
                <w:szCs w:val="18"/>
              </w:rPr>
              <w:t>0,010</w:t>
            </w:r>
            <w:r>
              <w:rPr>
                <w:rFonts w:ascii="Arial" w:eastAsia="Times New Roman" w:hAnsi="Arial" w:cs="Arial"/>
                <w:color w:val="000000"/>
                <w:sz w:val="18"/>
                <w:szCs w:val="18"/>
              </w:rPr>
              <w:t>)</w:t>
            </w:r>
          </w:p>
        </w:tc>
        <w:tc>
          <w:tcPr>
            <w:tcW w:w="1341" w:type="dxa"/>
            <w:hideMark/>
          </w:tcPr>
          <w:p w:rsidR="008B6C03" w:rsidRPr="008B6C03" w:rsidRDefault="005C00C5" w:rsidP="003E655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3E6553">
              <w:rPr>
                <w:rFonts w:ascii="Arial" w:eastAsia="Times New Roman" w:hAnsi="Arial" w:cs="Arial"/>
                <w:color w:val="000000"/>
                <w:sz w:val="18"/>
                <w:szCs w:val="18"/>
              </w:rPr>
              <w:t>0,015</w:t>
            </w:r>
            <w:r>
              <w:rPr>
                <w:rFonts w:ascii="Arial" w:eastAsia="Times New Roman" w:hAnsi="Arial" w:cs="Arial"/>
                <w:color w:val="000000"/>
                <w:sz w:val="18"/>
                <w:szCs w:val="18"/>
              </w:rPr>
              <w:t>)</w:t>
            </w:r>
          </w:p>
        </w:tc>
        <w:tc>
          <w:tcPr>
            <w:tcW w:w="1341" w:type="dxa"/>
            <w:hideMark/>
          </w:tcPr>
          <w:p w:rsidR="008B6C03" w:rsidRPr="008B6C03" w:rsidRDefault="005C00C5" w:rsidP="003E655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3E6553">
              <w:rPr>
                <w:rFonts w:ascii="Arial" w:eastAsia="Times New Roman" w:hAnsi="Arial" w:cs="Arial"/>
                <w:color w:val="000000"/>
                <w:sz w:val="18"/>
                <w:szCs w:val="18"/>
              </w:rPr>
              <w:t>0,014</w:t>
            </w:r>
            <w:r>
              <w:rPr>
                <w:rFonts w:ascii="Arial" w:eastAsia="Times New Roman" w:hAnsi="Arial" w:cs="Arial"/>
                <w:color w:val="000000"/>
                <w:sz w:val="18"/>
                <w:szCs w:val="18"/>
              </w:rPr>
              <w:t>)</w:t>
            </w:r>
          </w:p>
        </w:tc>
        <w:tc>
          <w:tcPr>
            <w:tcW w:w="1341" w:type="dxa"/>
            <w:hideMark/>
          </w:tcPr>
          <w:p w:rsidR="008B6C03" w:rsidRPr="008B6C03" w:rsidRDefault="005C00C5" w:rsidP="003E655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3E6553">
              <w:rPr>
                <w:rFonts w:ascii="Arial" w:eastAsia="Times New Roman" w:hAnsi="Arial" w:cs="Arial"/>
                <w:color w:val="000000"/>
                <w:sz w:val="18"/>
                <w:szCs w:val="18"/>
              </w:rPr>
              <w:t>0,015</w:t>
            </w:r>
            <w:r>
              <w:rPr>
                <w:rFonts w:ascii="Arial" w:eastAsia="Times New Roman" w:hAnsi="Arial" w:cs="Arial"/>
                <w:color w:val="000000"/>
                <w:sz w:val="18"/>
                <w:szCs w:val="18"/>
              </w:rPr>
              <w:t>)</w:t>
            </w:r>
          </w:p>
        </w:tc>
      </w:tr>
      <w:tr w:rsidR="008B6C03" w:rsidRPr="008B6C03" w:rsidTr="00BF3EE6">
        <w:trPr>
          <w:trHeight w:val="420"/>
        </w:trPr>
        <w:tc>
          <w:tcPr>
            <w:cnfStyle w:val="001000000000"/>
            <w:tcW w:w="1524" w:type="dxa"/>
            <w:hideMark/>
          </w:tcPr>
          <w:p w:rsidR="008B6C03" w:rsidRPr="008B6C03" w:rsidRDefault="008B6C03" w:rsidP="003E655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LNMARCAP</w:t>
            </w:r>
          </w:p>
        </w:tc>
        <w:tc>
          <w:tcPr>
            <w:tcW w:w="1195" w:type="dxa"/>
            <w:hideMark/>
          </w:tcPr>
          <w:p w:rsidR="008B6C03" w:rsidRPr="008B6C03" w:rsidRDefault="00D52B25" w:rsidP="003E655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p>
        </w:tc>
        <w:tc>
          <w:tcPr>
            <w:tcW w:w="1341" w:type="dxa"/>
            <w:hideMark/>
          </w:tcPr>
          <w:p w:rsidR="008B6C03" w:rsidRPr="008B6C03" w:rsidRDefault="008B6C03" w:rsidP="003E6553">
            <w:pPr>
              <w:jc w:val="center"/>
              <w:cnfStyle w:val="000000000000"/>
              <w:rPr>
                <w:rFonts w:ascii="Arial" w:eastAsia="Times New Roman" w:hAnsi="Arial" w:cs="Arial"/>
                <w:color w:val="000000"/>
                <w:sz w:val="18"/>
                <w:szCs w:val="18"/>
              </w:rPr>
            </w:pPr>
          </w:p>
        </w:tc>
        <w:tc>
          <w:tcPr>
            <w:tcW w:w="1341" w:type="dxa"/>
            <w:hideMark/>
          </w:tcPr>
          <w:p w:rsidR="008B6C03" w:rsidRPr="008B6C03" w:rsidRDefault="008B6C03" w:rsidP="003E6553">
            <w:pPr>
              <w:jc w:val="center"/>
              <w:cnfStyle w:val="000000000000"/>
              <w:rPr>
                <w:rFonts w:ascii="Arial" w:eastAsia="Times New Roman" w:hAnsi="Arial" w:cs="Arial"/>
                <w:color w:val="000000"/>
                <w:sz w:val="18"/>
                <w:szCs w:val="18"/>
              </w:rPr>
            </w:pPr>
          </w:p>
        </w:tc>
        <w:tc>
          <w:tcPr>
            <w:tcW w:w="1341" w:type="dxa"/>
            <w:hideMark/>
          </w:tcPr>
          <w:p w:rsidR="008B6C03" w:rsidRPr="008B6C03" w:rsidRDefault="008B6C03" w:rsidP="003E655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0,000</w:t>
            </w:r>
            <w:r w:rsidR="003E6553">
              <w:rPr>
                <w:rFonts w:ascii="Arial" w:eastAsia="Times New Roman" w:hAnsi="Arial" w:cs="Arial"/>
                <w:color w:val="000000"/>
                <w:sz w:val="18"/>
                <w:szCs w:val="18"/>
              </w:rPr>
              <w:t>4</w:t>
            </w:r>
          </w:p>
        </w:tc>
        <w:tc>
          <w:tcPr>
            <w:tcW w:w="1341" w:type="dxa"/>
            <w:hideMark/>
          </w:tcPr>
          <w:p w:rsidR="008B6C03" w:rsidRPr="008B6C03" w:rsidRDefault="008B6C03" w:rsidP="003E655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0,01</w:t>
            </w:r>
            <w:r w:rsidR="003E6553">
              <w:rPr>
                <w:rFonts w:ascii="Arial" w:eastAsia="Times New Roman" w:hAnsi="Arial" w:cs="Arial"/>
                <w:color w:val="000000"/>
                <w:sz w:val="18"/>
                <w:szCs w:val="18"/>
              </w:rPr>
              <w:t>2</w:t>
            </w:r>
          </w:p>
        </w:tc>
        <w:tc>
          <w:tcPr>
            <w:tcW w:w="1341" w:type="dxa"/>
            <w:hideMark/>
          </w:tcPr>
          <w:p w:rsidR="008B6C03" w:rsidRPr="008B6C03" w:rsidRDefault="008B6C03" w:rsidP="003E655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0,012</w:t>
            </w:r>
          </w:p>
        </w:tc>
      </w:tr>
      <w:tr w:rsidR="008B6C03" w:rsidRPr="008B6C03" w:rsidTr="00BF3EE6">
        <w:trPr>
          <w:trHeight w:val="315"/>
        </w:trPr>
        <w:tc>
          <w:tcPr>
            <w:cnfStyle w:val="001000000000"/>
            <w:tcW w:w="1524" w:type="dxa"/>
            <w:hideMark/>
          </w:tcPr>
          <w:p w:rsidR="008B6C03" w:rsidRPr="008B6C03" w:rsidRDefault="008B6C03" w:rsidP="003E6553">
            <w:pPr>
              <w:jc w:val="center"/>
              <w:rPr>
                <w:rFonts w:ascii="Arial" w:eastAsia="Times New Roman" w:hAnsi="Arial" w:cs="Arial"/>
                <w:color w:val="000000"/>
                <w:sz w:val="20"/>
                <w:szCs w:val="20"/>
              </w:rPr>
            </w:pPr>
          </w:p>
        </w:tc>
        <w:tc>
          <w:tcPr>
            <w:tcW w:w="1195" w:type="dxa"/>
            <w:hideMark/>
          </w:tcPr>
          <w:p w:rsidR="008B6C03" w:rsidRPr="008B6C03" w:rsidRDefault="008B6C03" w:rsidP="003E6553">
            <w:pPr>
              <w:jc w:val="center"/>
              <w:cnfStyle w:val="000000000000"/>
              <w:rPr>
                <w:rFonts w:ascii="Arial" w:eastAsia="Times New Roman" w:hAnsi="Arial" w:cs="Arial"/>
                <w:color w:val="000000"/>
                <w:sz w:val="18"/>
                <w:szCs w:val="18"/>
              </w:rPr>
            </w:pPr>
          </w:p>
        </w:tc>
        <w:tc>
          <w:tcPr>
            <w:tcW w:w="1341" w:type="dxa"/>
            <w:hideMark/>
          </w:tcPr>
          <w:p w:rsidR="008B6C03" w:rsidRPr="008B6C03" w:rsidRDefault="008B6C03" w:rsidP="003E6553">
            <w:pPr>
              <w:jc w:val="center"/>
              <w:cnfStyle w:val="000000000000"/>
              <w:rPr>
                <w:rFonts w:ascii="Arial" w:eastAsia="Times New Roman" w:hAnsi="Arial" w:cs="Arial"/>
                <w:color w:val="000000"/>
                <w:sz w:val="18"/>
                <w:szCs w:val="18"/>
              </w:rPr>
            </w:pPr>
          </w:p>
        </w:tc>
        <w:tc>
          <w:tcPr>
            <w:tcW w:w="1341" w:type="dxa"/>
            <w:hideMark/>
          </w:tcPr>
          <w:p w:rsidR="008B6C03" w:rsidRPr="008B6C03" w:rsidRDefault="008B6C03" w:rsidP="003E6553">
            <w:pPr>
              <w:jc w:val="center"/>
              <w:cnfStyle w:val="000000000000"/>
              <w:rPr>
                <w:rFonts w:ascii="Arial" w:eastAsia="Times New Roman" w:hAnsi="Arial" w:cs="Arial"/>
                <w:color w:val="000000"/>
                <w:sz w:val="18"/>
                <w:szCs w:val="18"/>
              </w:rPr>
            </w:pPr>
          </w:p>
        </w:tc>
        <w:tc>
          <w:tcPr>
            <w:tcW w:w="1341" w:type="dxa"/>
            <w:hideMark/>
          </w:tcPr>
          <w:p w:rsidR="008B6C03" w:rsidRPr="008B6C03" w:rsidRDefault="005C00C5" w:rsidP="003E655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3E6553">
              <w:rPr>
                <w:rFonts w:ascii="Arial" w:eastAsia="Times New Roman" w:hAnsi="Arial" w:cs="Arial"/>
                <w:color w:val="000000"/>
                <w:sz w:val="18"/>
                <w:szCs w:val="18"/>
              </w:rPr>
              <w:t>0,030</w:t>
            </w:r>
            <w:r>
              <w:rPr>
                <w:rFonts w:ascii="Arial" w:eastAsia="Times New Roman" w:hAnsi="Arial" w:cs="Arial"/>
                <w:color w:val="000000"/>
                <w:sz w:val="18"/>
                <w:szCs w:val="18"/>
              </w:rPr>
              <w:t>)</w:t>
            </w:r>
          </w:p>
        </w:tc>
        <w:tc>
          <w:tcPr>
            <w:tcW w:w="1341" w:type="dxa"/>
            <w:hideMark/>
          </w:tcPr>
          <w:p w:rsidR="008B6C03" w:rsidRPr="008B6C03" w:rsidRDefault="005C00C5" w:rsidP="003E655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3E6553">
              <w:rPr>
                <w:rFonts w:ascii="Arial" w:eastAsia="Times New Roman" w:hAnsi="Arial" w:cs="Arial"/>
                <w:color w:val="000000"/>
                <w:sz w:val="18"/>
                <w:szCs w:val="18"/>
              </w:rPr>
              <w:t>0,028</w:t>
            </w:r>
            <w:r>
              <w:rPr>
                <w:rFonts w:ascii="Arial" w:eastAsia="Times New Roman" w:hAnsi="Arial" w:cs="Arial"/>
                <w:color w:val="000000"/>
                <w:sz w:val="18"/>
                <w:szCs w:val="18"/>
              </w:rPr>
              <w:t>)</w:t>
            </w:r>
          </w:p>
        </w:tc>
        <w:tc>
          <w:tcPr>
            <w:tcW w:w="1341" w:type="dxa"/>
            <w:hideMark/>
          </w:tcPr>
          <w:p w:rsidR="008B6C03" w:rsidRPr="008B6C03" w:rsidRDefault="005C00C5" w:rsidP="003E655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3E6553">
              <w:rPr>
                <w:rFonts w:ascii="Arial" w:eastAsia="Times New Roman" w:hAnsi="Arial" w:cs="Arial"/>
                <w:color w:val="000000"/>
                <w:sz w:val="18"/>
                <w:szCs w:val="18"/>
              </w:rPr>
              <w:t>0,031</w:t>
            </w:r>
            <w:r>
              <w:rPr>
                <w:rFonts w:ascii="Arial" w:eastAsia="Times New Roman" w:hAnsi="Arial" w:cs="Arial"/>
                <w:color w:val="000000"/>
                <w:sz w:val="18"/>
                <w:szCs w:val="18"/>
              </w:rPr>
              <w:t>)</w:t>
            </w:r>
          </w:p>
        </w:tc>
      </w:tr>
      <w:tr w:rsidR="008B6C03" w:rsidRPr="008B6C03" w:rsidTr="00BF3EE6">
        <w:trPr>
          <w:trHeight w:val="315"/>
        </w:trPr>
        <w:tc>
          <w:tcPr>
            <w:cnfStyle w:val="001000000000"/>
            <w:tcW w:w="1524" w:type="dxa"/>
            <w:hideMark/>
          </w:tcPr>
          <w:p w:rsidR="008B6C03" w:rsidRPr="008B6C03" w:rsidRDefault="008B6C03" w:rsidP="003E655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AGEDR</w:t>
            </w:r>
          </w:p>
        </w:tc>
        <w:tc>
          <w:tcPr>
            <w:tcW w:w="1195" w:type="dxa"/>
            <w:hideMark/>
          </w:tcPr>
          <w:p w:rsidR="008B6C03" w:rsidRPr="008B6C03" w:rsidRDefault="00D52B25" w:rsidP="003E655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p>
        </w:tc>
        <w:tc>
          <w:tcPr>
            <w:tcW w:w="1341" w:type="dxa"/>
            <w:hideMark/>
          </w:tcPr>
          <w:p w:rsidR="008B6C03" w:rsidRPr="008B6C03" w:rsidRDefault="008B6C03" w:rsidP="003E6553">
            <w:pPr>
              <w:jc w:val="center"/>
              <w:cnfStyle w:val="000000000000"/>
              <w:rPr>
                <w:rFonts w:ascii="Arial" w:eastAsia="Times New Roman" w:hAnsi="Arial" w:cs="Arial"/>
                <w:color w:val="000000"/>
                <w:sz w:val="18"/>
                <w:szCs w:val="18"/>
              </w:rPr>
            </w:pPr>
          </w:p>
        </w:tc>
        <w:tc>
          <w:tcPr>
            <w:tcW w:w="1341" w:type="dxa"/>
            <w:hideMark/>
          </w:tcPr>
          <w:p w:rsidR="008B6C03" w:rsidRPr="008B6C03" w:rsidRDefault="008B6C03" w:rsidP="003E6553">
            <w:pPr>
              <w:jc w:val="center"/>
              <w:cnfStyle w:val="000000000000"/>
              <w:rPr>
                <w:rFonts w:ascii="Arial" w:eastAsia="Times New Roman" w:hAnsi="Arial" w:cs="Arial"/>
                <w:color w:val="000000"/>
                <w:sz w:val="18"/>
                <w:szCs w:val="18"/>
              </w:rPr>
            </w:pPr>
          </w:p>
        </w:tc>
        <w:tc>
          <w:tcPr>
            <w:tcW w:w="1341" w:type="dxa"/>
            <w:hideMark/>
          </w:tcPr>
          <w:p w:rsidR="008B6C03" w:rsidRPr="008B6C03" w:rsidRDefault="008B6C03" w:rsidP="003E6553">
            <w:pPr>
              <w:jc w:val="center"/>
              <w:cnfStyle w:val="000000000000"/>
              <w:rPr>
                <w:rFonts w:ascii="Arial" w:eastAsia="Times New Roman" w:hAnsi="Arial" w:cs="Arial"/>
                <w:color w:val="000000"/>
                <w:sz w:val="18"/>
                <w:szCs w:val="18"/>
              </w:rPr>
            </w:pPr>
          </w:p>
        </w:tc>
        <w:tc>
          <w:tcPr>
            <w:tcW w:w="1341" w:type="dxa"/>
            <w:hideMark/>
          </w:tcPr>
          <w:p w:rsidR="008B6C03" w:rsidRPr="008B6C03" w:rsidRDefault="008B6C03" w:rsidP="003E655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0,75</w:t>
            </w:r>
            <w:r w:rsidR="003E6553">
              <w:rPr>
                <w:rFonts w:ascii="Arial" w:eastAsia="Times New Roman" w:hAnsi="Arial" w:cs="Arial"/>
                <w:color w:val="000000"/>
                <w:sz w:val="18"/>
                <w:szCs w:val="18"/>
              </w:rPr>
              <w:t>4</w:t>
            </w:r>
          </w:p>
        </w:tc>
        <w:tc>
          <w:tcPr>
            <w:tcW w:w="1341" w:type="dxa"/>
            <w:hideMark/>
          </w:tcPr>
          <w:p w:rsidR="008B6C03" w:rsidRPr="008B6C03" w:rsidRDefault="008B6C03" w:rsidP="003E655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0,754</w:t>
            </w:r>
          </w:p>
        </w:tc>
      </w:tr>
      <w:tr w:rsidR="008B6C03" w:rsidRPr="008B6C03" w:rsidTr="00BF3EE6">
        <w:trPr>
          <w:trHeight w:val="315"/>
        </w:trPr>
        <w:tc>
          <w:tcPr>
            <w:cnfStyle w:val="001000000000"/>
            <w:tcW w:w="1524" w:type="dxa"/>
            <w:hideMark/>
          </w:tcPr>
          <w:p w:rsidR="008B6C03" w:rsidRPr="008B6C03" w:rsidRDefault="008B6C03" w:rsidP="003E6553">
            <w:pPr>
              <w:jc w:val="center"/>
              <w:rPr>
                <w:rFonts w:ascii="Arial" w:eastAsia="Times New Roman" w:hAnsi="Arial" w:cs="Arial"/>
                <w:color w:val="000000"/>
                <w:sz w:val="20"/>
                <w:szCs w:val="20"/>
              </w:rPr>
            </w:pPr>
          </w:p>
        </w:tc>
        <w:tc>
          <w:tcPr>
            <w:tcW w:w="1195" w:type="dxa"/>
            <w:hideMark/>
          </w:tcPr>
          <w:p w:rsidR="008B6C03" w:rsidRPr="008B6C03" w:rsidRDefault="008B6C03" w:rsidP="003E6553">
            <w:pPr>
              <w:jc w:val="center"/>
              <w:cnfStyle w:val="000000000000"/>
              <w:rPr>
                <w:rFonts w:ascii="Arial" w:eastAsia="Times New Roman" w:hAnsi="Arial" w:cs="Arial"/>
                <w:color w:val="000000"/>
                <w:sz w:val="18"/>
                <w:szCs w:val="18"/>
              </w:rPr>
            </w:pPr>
          </w:p>
        </w:tc>
        <w:tc>
          <w:tcPr>
            <w:tcW w:w="1341" w:type="dxa"/>
            <w:hideMark/>
          </w:tcPr>
          <w:p w:rsidR="008B6C03" w:rsidRPr="008B6C03" w:rsidRDefault="008B6C03" w:rsidP="003E6553">
            <w:pPr>
              <w:jc w:val="center"/>
              <w:cnfStyle w:val="000000000000"/>
              <w:rPr>
                <w:rFonts w:ascii="Arial" w:eastAsia="Times New Roman" w:hAnsi="Arial" w:cs="Arial"/>
                <w:color w:val="000000"/>
                <w:sz w:val="18"/>
                <w:szCs w:val="18"/>
              </w:rPr>
            </w:pPr>
          </w:p>
        </w:tc>
        <w:tc>
          <w:tcPr>
            <w:tcW w:w="1341" w:type="dxa"/>
            <w:hideMark/>
          </w:tcPr>
          <w:p w:rsidR="008B6C03" w:rsidRPr="008B6C03" w:rsidRDefault="008B6C03" w:rsidP="003E6553">
            <w:pPr>
              <w:jc w:val="center"/>
              <w:cnfStyle w:val="000000000000"/>
              <w:rPr>
                <w:rFonts w:ascii="Arial" w:eastAsia="Times New Roman" w:hAnsi="Arial" w:cs="Arial"/>
                <w:color w:val="000000"/>
                <w:sz w:val="18"/>
                <w:szCs w:val="18"/>
              </w:rPr>
            </w:pPr>
          </w:p>
        </w:tc>
        <w:tc>
          <w:tcPr>
            <w:tcW w:w="1341" w:type="dxa"/>
            <w:hideMark/>
          </w:tcPr>
          <w:p w:rsidR="008B6C03" w:rsidRPr="008B6C03" w:rsidRDefault="008B6C03" w:rsidP="003E6553">
            <w:pPr>
              <w:jc w:val="center"/>
              <w:cnfStyle w:val="000000000000"/>
              <w:rPr>
                <w:rFonts w:ascii="Arial" w:eastAsia="Times New Roman" w:hAnsi="Arial" w:cs="Arial"/>
                <w:color w:val="000000"/>
                <w:sz w:val="18"/>
                <w:szCs w:val="18"/>
              </w:rPr>
            </w:pPr>
          </w:p>
        </w:tc>
        <w:tc>
          <w:tcPr>
            <w:tcW w:w="1341" w:type="dxa"/>
            <w:hideMark/>
          </w:tcPr>
          <w:p w:rsidR="008B6C03" w:rsidRPr="008B6C03" w:rsidRDefault="005C00C5" w:rsidP="003E655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3E6553">
              <w:rPr>
                <w:rFonts w:ascii="Arial" w:eastAsia="Times New Roman" w:hAnsi="Arial" w:cs="Arial"/>
                <w:color w:val="000000"/>
                <w:sz w:val="18"/>
                <w:szCs w:val="18"/>
              </w:rPr>
              <w:t>0,475</w:t>
            </w:r>
            <w:r>
              <w:rPr>
                <w:rFonts w:ascii="Arial" w:eastAsia="Times New Roman" w:hAnsi="Arial" w:cs="Arial"/>
                <w:color w:val="000000"/>
                <w:sz w:val="18"/>
                <w:szCs w:val="18"/>
              </w:rPr>
              <w:t>)</w:t>
            </w:r>
          </w:p>
        </w:tc>
        <w:tc>
          <w:tcPr>
            <w:tcW w:w="1341" w:type="dxa"/>
            <w:hideMark/>
          </w:tcPr>
          <w:p w:rsidR="008B6C03" w:rsidRPr="008B6C03" w:rsidRDefault="005C00C5" w:rsidP="003E655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3E6553">
              <w:rPr>
                <w:rFonts w:ascii="Arial" w:eastAsia="Times New Roman" w:hAnsi="Arial" w:cs="Arial"/>
                <w:color w:val="000000"/>
                <w:sz w:val="18"/>
                <w:szCs w:val="18"/>
              </w:rPr>
              <w:t>0,486</w:t>
            </w:r>
            <w:r>
              <w:rPr>
                <w:rFonts w:ascii="Arial" w:eastAsia="Times New Roman" w:hAnsi="Arial" w:cs="Arial"/>
                <w:color w:val="000000"/>
                <w:sz w:val="18"/>
                <w:szCs w:val="18"/>
              </w:rPr>
              <w:t>)</w:t>
            </w:r>
          </w:p>
        </w:tc>
      </w:tr>
      <w:tr w:rsidR="008B6C03" w:rsidRPr="008B6C03" w:rsidTr="00BF3EE6">
        <w:trPr>
          <w:trHeight w:val="315"/>
        </w:trPr>
        <w:tc>
          <w:tcPr>
            <w:cnfStyle w:val="001000000000"/>
            <w:tcW w:w="1524" w:type="dxa"/>
            <w:hideMark/>
          </w:tcPr>
          <w:p w:rsidR="008B6C03" w:rsidRPr="008B6C03" w:rsidRDefault="008B6C03" w:rsidP="003E655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DB</w:t>
            </w:r>
          </w:p>
        </w:tc>
        <w:tc>
          <w:tcPr>
            <w:tcW w:w="1195" w:type="dxa"/>
            <w:hideMark/>
          </w:tcPr>
          <w:p w:rsidR="008B6C03" w:rsidRPr="008B6C03" w:rsidRDefault="00D52B25" w:rsidP="003E655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p>
        </w:tc>
        <w:tc>
          <w:tcPr>
            <w:tcW w:w="1341" w:type="dxa"/>
            <w:hideMark/>
          </w:tcPr>
          <w:p w:rsidR="008B6C03" w:rsidRPr="008B6C03" w:rsidRDefault="008B6C03" w:rsidP="003E6553">
            <w:pPr>
              <w:jc w:val="center"/>
              <w:cnfStyle w:val="000000000000"/>
              <w:rPr>
                <w:rFonts w:ascii="Arial" w:eastAsia="Times New Roman" w:hAnsi="Arial" w:cs="Arial"/>
                <w:color w:val="000000"/>
                <w:sz w:val="18"/>
                <w:szCs w:val="18"/>
              </w:rPr>
            </w:pPr>
          </w:p>
        </w:tc>
        <w:tc>
          <w:tcPr>
            <w:tcW w:w="1341" w:type="dxa"/>
            <w:hideMark/>
          </w:tcPr>
          <w:p w:rsidR="008B6C03" w:rsidRPr="008B6C03" w:rsidRDefault="008B6C03" w:rsidP="003E6553">
            <w:pPr>
              <w:jc w:val="center"/>
              <w:cnfStyle w:val="000000000000"/>
              <w:rPr>
                <w:rFonts w:ascii="Arial" w:eastAsia="Times New Roman" w:hAnsi="Arial" w:cs="Arial"/>
                <w:color w:val="000000"/>
                <w:sz w:val="18"/>
                <w:szCs w:val="18"/>
              </w:rPr>
            </w:pPr>
          </w:p>
        </w:tc>
        <w:tc>
          <w:tcPr>
            <w:tcW w:w="1341" w:type="dxa"/>
            <w:hideMark/>
          </w:tcPr>
          <w:p w:rsidR="008B6C03" w:rsidRPr="008B6C03" w:rsidRDefault="008B6C03" w:rsidP="003E6553">
            <w:pPr>
              <w:jc w:val="center"/>
              <w:cnfStyle w:val="000000000000"/>
              <w:rPr>
                <w:rFonts w:ascii="Arial" w:eastAsia="Times New Roman" w:hAnsi="Arial" w:cs="Arial"/>
                <w:color w:val="000000"/>
                <w:sz w:val="18"/>
                <w:szCs w:val="18"/>
              </w:rPr>
            </w:pPr>
          </w:p>
        </w:tc>
        <w:tc>
          <w:tcPr>
            <w:tcW w:w="1341" w:type="dxa"/>
            <w:hideMark/>
          </w:tcPr>
          <w:p w:rsidR="008B6C03" w:rsidRPr="008B6C03" w:rsidRDefault="008B6C03" w:rsidP="003E6553">
            <w:pPr>
              <w:jc w:val="center"/>
              <w:cnfStyle w:val="000000000000"/>
              <w:rPr>
                <w:rFonts w:ascii="Arial" w:eastAsia="Times New Roman" w:hAnsi="Arial" w:cs="Arial"/>
                <w:color w:val="000000"/>
                <w:sz w:val="18"/>
                <w:szCs w:val="18"/>
              </w:rPr>
            </w:pPr>
          </w:p>
        </w:tc>
        <w:tc>
          <w:tcPr>
            <w:tcW w:w="1341" w:type="dxa"/>
            <w:hideMark/>
          </w:tcPr>
          <w:p w:rsidR="008B6C03" w:rsidRPr="008B6C03" w:rsidRDefault="008B6C03" w:rsidP="003E655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0,00</w:t>
            </w:r>
            <w:r w:rsidR="003E6553">
              <w:rPr>
                <w:rFonts w:ascii="Arial" w:eastAsia="Times New Roman" w:hAnsi="Arial" w:cs="Arial"/>
                <w:color w:val="000000"/>
                <w:sz w:val="18"/>
                <w:szCs w:val="18"/>
              </w:rPr>
              <w:t>1</w:t>
            </w:r>
          </w:p>
        </w:tc>
      </w:tr>
      <w:tr w:rsidR="008B6C03" w:rsidRPr="008B6C03" w:rsidTr="00BF3EE6">
        <w:trPr>
          <w:trHeight w:val="315"/>
        </w:trPr>
        <w:tc>
          <w:tcPr>
            <w:cnfStyle w:val="001000000000"/>
            <w:tcW w:w="1524" w:type="dxa"/>
            <w:hideMark/>
          </w:tcPr>
          <w:p w:rsidR="008B6C03" w:rsidRPr="008B6C03" w:rsidRDefault="008B6C03" w:rsidP="003E6553">
            <w:pPr>
              <w:jc w:val="center"/>
              <w:rPr>
                <w:rFonts w:ascii="Arial" w:eastAsia="Times New Roman" w:hAnsi="Arial" w:cs="Arial"/>
                <w:color w:val="000000"/>
                <w:sz w:val="20"/>
                <w:szCs w:val="20"/>
              </w:rPr>
            </w:pPr>
          </w:p>
        </w:tc>
        <w:tc>
          <w:tcPr>
            <w:tcW w:w="1195" w:type="dxa"/>
            <w:hideMark/>
          </w:tcPr>
          <w:p w:rsidR="008B6C03" w:rsidRPr="008B6C03" w:rsidRDefault="008B6C03" w:rsidP="003E6553">
            <w:pPr>
              <w:jc w:val="center"/>
              <w:cnfStyle w:val="000000000000"/>
              <w:rPr>
                <w:rFonts w:ascii="Arial" w:eastAsia="Times New Roman" w:hAnsi="Arial" w:cs="Arial"/>
                <w:color w:val="000000"/>
                <w:sz w:val="18"/>
                <w:szCs w:val="18"/>
              </w:rPr>
            </w:pPr>
          </w:p>
        </w:tc>
        <w:tc>
          <w:tcPr>
            <w:tcW w:w="1341" w:type="dxa"/>
            <w:hideMark/>
          </w:tcPr>
          <w:p w:rsidR="008B6C03" w:rsidRPr="008B6C03" w:rsidRDefault="008B6C03" w:rsidP="003E6553">
            <w:pPr>
              <w:jc w:val="center"/>
              <w:cnfStyle w:val="000000000000"/>
              <w:rPr>
                <w:rFonts w:ascii="Arial" w:eastAsia="Times New Roman" w:hAnsi="Arial" w:cs="Arial"/>
                <w:color w:val="000000"/>
                <w:sz w:val="18"/>
                <w:szCs w:val="18"/>
              </w:rPr>
            </w:pPr>
          </w:p>
        </w:tc>
        <w:tc>
          <w:tcPr>
            <w:tcW w:w="1341" w:type="dxa"/>
            <w:hideMark/>
          </w:tcPr>
          <w:p w:rsidR="008B6C03" w:rsidRPr="008B6C03" w:rsidRDefault="008B6C03" w:rsidP="003E6553">
            <w:pPr>
              <w:jc w:val="center"/>
              <w:cnfStyle w:val="000000000000"/>
              <w:rPr>
                <w:rFonts w:ascii="Arial" w:eastAsia="Times New Roman" w:hAnsi="Arial" w:cs="Arial"/>
                <w:color w:val="000000"/>
                <w:sz w:val="18"/>
                <w:szCs w:val="18"/>
              </w:rPr>
            </w:pPr>
          </w:p>
        </w:tc>
        <w:tc>
          <w:tcPr>
            <w:tcW w:w="1341" w:type="dxa"/>
            <w:hideMark/>
          </w:tcPr>
          <w:p w:rsidR="008B6C03" w:rsidRPr="008B6C03" w:rsidRDefault="008B6C03" w:rsidP="003E6553">
            <w:pPr>
              <w:jc w:val="center"/>
              <w:cnfStyle w:val="000000000000"/>
              <w:rPr>
                <w:rFonts w:ascii="Arial" w:eastAsia="Times New Roman" w:hAnsi="Arial" w:cs="Arial"/>
                <w:color w:val="000000"/>
                <w:sz w:val="18"/>
                <w:szCs w:val="18"/>
              </w:rPr>
            </w:pPr>
          </w:p>
        </w:tc>
        <w:tc>
          <w:tcPr>
            <w:tcW w:w="1341" w:type="dxa"/>
            <w:hideMark/>
          </w:tcPr>
          <w:p w:rsidR="008B6C03" w:rsidRPr="008B6C03" w:rsidRDefault="008B6C03" w:rsidP="003E6553">
            <w:pPr>
              <w:jc w:val="center"/>
              <w:cnfStyle w:val="000000000000"/>
              <w:rPr>
                <w:rFonts w:ascii="Arial" w:eastAsia="Times New Roman" w:hAnsi="Arial" w:cs="Arial"/>
                <w:color w:val="000000"/>
                <w:sz w:val="18"/>
                <w:szCs w:val="18"/>
              </w:rPr>
            </w:pPr>
          </w:p>
        </w:tc>
        <w:tc>
          <w:tcPr>
            <w:tcW w:w="1341" w:type="dxa"/>
            <w:hideMark/>
          </w:tcPr>
          <w:p w:rsidR="008B6C03" w:rsidRPr="008B6C03" w:rsidRDefault="005C00C5" w:rsidP="003E655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3E6553">
              <w:rPr>
                <w:rFonts w:ascii="Arial" w:eastAsia="Times New Roman" w:hAnsi="Arial" w:cs="Arial"/>
                <w:color w:val="000000"/>
                <w:sz w:val="18"/>
                <w:szCs w:val="18"/>
              </w:rPr>
              <w:t>0,018</w:t>
            </w:r>
            <w:r>
              <w:rPr>
                <w:rFonts w:ascii="Arial" w:eastAsia="Times New Roman" w:hAnsi="Arial" w:cs="Arial"/>
                <w:color w:val="000000"/>
                <w:sz w:val="18"/>
                <w:szCs w:val="18"/>
              </w:rPr>
              <w:t>)</w:t>
            </w:r>
          </w:p>
        </w:tc>
      </w:tr>
      <w:tr w:rsidR="008B6C03" w:rsidRPr="008B6C03" w:rsidTr="00BF3EE6">
        <w:trPr>
          <w:trHeight w:val="315"/>
        </w:trPr>
        <w:tc>
          <w:tcPr>
            <w:cnfStyle w:val="001000000000"/>
            <w:tcW w:w="1524" w:type="dxa"/>
            <w:hideMark/>
          </w:tcPr>
          <w:p w:rsidR="008B6C03" w:rsidRPr="008B6C03" w:rsidRDefault="008B6C03" w:rsidP="003E655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R</w:t>
            </w:r>
            <w:r w:rsidRPr="008B6C03">
              <w:rPr>
                <w:rFonts w:ascii="Arial" w:eastAsia="Times New Roman" w:hAnsi="Arial" w:cs="Arial"/>
                <w:color w:val="000000"/>
                <w:sz w:val="20"/>
                <w:szCs w:val="20"/>
                <w:vertAlign w:val="superscript"/>
              </w:rPr>
              <w:t>2</w:t>
            </w:r>
          </w:p>
        </w:tc>
        <w:tc>
          <w:tcPr>
            <w:tcW w:w="1195" w:type="dxa"/>
            <w:hideMark/>
          </w:tcPr>
          <w:p w:rsidR="008B6C03" w:rsidRPr="008B6C03" w:rsidRDefault="008B6C03" w:rsidP="003E6553">
            <w:pPr>
              <w:jc w:val="center"/>
              <w:cnfStyle w:val="000000000000"/>
              <w:rPr>
                <w:rFonts w:ascii="Arial" w:eastAsia="Times New Roman" w:hAnsi="Arial" w:cs="Arial"/>
                <w:color w:val="000000"/>
                <w:sz w:val="18"/>
                <w:szCs w:val="18"/>
              </w:rPr>
            </w:pPr>
          </w:p>
        </w:tc>
        <w:tc>
          <w:tcPr>
            <w:tcW w:w="1341" w:type="dxa"/>
            <w:hideMark/>
          </w:tcPr>
          <w:p w:rsidR="008B6C03" w:rsidRPr="008B6C03" w:rsidRDefault="008B6C03" w:rsidP="003E655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0,09</w:t>
            </w:r>
            <w:r w:rsidR="003E6553">
              <w:rPr>
                <w:rFonts w:ascii="Arial" w:eastAsia="Times New Roman" w:hAnsi="Arial" w:cs="Arial"/>
                <w:color w:val="000000"/>
                <w:sz w:val="18"/>
                <w:szCs w:val="18"/>
              </w:rPr>
              <w:t>1</w:t>
            </w:r>
          </w:p>
        </w:tc>
        <w:tc>
          <w:tcPr>
            <w:tcW w:w="1341" w:type="dxa"/>
            <w:hideMark/>
          </w:tcPr>
          <w:p w:rsidR="008B6C03" w:rsidRPr="008B6C03" w:rsidRDefault="008B6C03" w:rsidP="003E655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0,09</w:t>
            </w:r>
            <w:r w:rsidR="003E6553">
              <w:rPr>
                <w:rFonts w:ascii="Arial" w:eastAsia="Times New Roman" w:hAnsi="Arial" w:cs="Arial"/>
                <w:color w:val="000000"/>
                <w:sz w:val="18"/>
                <w:szCs w:val="18"/>
              </w:rPr>
              <w:t>7</w:t>
            </w:r>
          </w:p>
        </w:tc>
        <w:tc>
          <w:tcPr>
            <w:tcW w:w="1341" w:type="dxa"/>
            <w:noWrap/>
            <w:hideMark/>
          </w:tcPr>
          <w:p w:rsidR="008B6C03" w:rsidRPr="008B6C03" w:rsidRDefault="008B6C03" w:rsidP="003E6553">
            <w:pPr>
              <w:jc w:val="center"/>
              <w:cnfStyle w:val="000000000000"/>
              <w:rPr>
                <w:rFonts w:ascii="Calibri" w:eastAsia="Times New Roman" w:hAnsi="Calibri" w:cs="Times New Roman"/>
                <w:color w:val="000000"/>
              </w:rPr>
            </w:pPr>
            <w:r w:rsidRPr="008B6C03">
              <w:rPr>
                <w:rFonts w:ascii="Calibri" w:eastAsia="Times New Roman" w:hAnsi="Calibri" w:cs="Times New Roman"/>
                <w:color w:val="000000"/>
              </w:rPr>
              <w:t>0,09</w:t>
            </w:r>
            <w:r w:rsidR="003E6553">
              <w:rPr>
                <w:rFonts w:ascii="Calibri" w:eastAsia="Times New Roman" w:hAnsi="Calibri" w:cs="Times New Roman"/>
                <w:color w:val="000000"/>
              </w:rPr>
              <w:t>7</w:t>
            </w:r>
          </w:p>
        </w:tc>
        <w:tc>
          <w:tcPr>
            <w:tcW w:w="1341" w:type="dxa"/>
            <w:hideMark/>
          </w:tcPr>
          <w:p w:rsidR="008B6C03" w:rsidRPr="008B6C03" w:rsidRDefault="008B6C03" w:rsidP="003E655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0,164</w:t>
            </w:r>
          </w:p>
        </w:tc>
        <w:tc>
          <w:tcPr>
            <w:tcW w:w="1341" w:type="dxa"/>
            <w:hideMark/>
          </w:tcPr>
          <w:p w:rsidR="008B6C03" w:rsidRPr="008B6C03" w:rsidRDefault="008B6C03" w:rsidP="003E655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0,164</w:t>
            </w:r>
          </w:p>
        </w:tc>
      </w:tr>
      <w:tr w:rsidR="008B6C03" w:rsidRPr="008B6C03" w:rsidTr="00BF3EE6">
        <w:trPr>
          <w:trHeight w:val="315"/>
        </w:trPr>
        <w:tc>
          <w:tcPr>
            <w:cnfStyle w:val="001000000000"/>
            <w:tcW w:w="1524" w:type="dxa"/>
            <w:hideMark/>
          </w:tcPr>
          <w:p w:rsidR="008B6C03" w:rsidRPr="008B6C03" w:rsidRDefault="008B6C03" w:rsidP="003E6553">
            <w:pPr>
              <w:jc w:val="center"/>
              <w:rPr>
                <w:rFonts w:ascii="Arial" w:eastAsia="Times New Roman" w:hAnsi="Arial" w:cs="Arial"/>
                <w:color w:val="000000"/>
                <w:sz w:val="20"/>
                <w:szCs w:val="20"/>
              </w:rPr>
            </w:pPr>
          </w:p>
        </w:tc>
        <w:tc>
          <w:tcPr>
            <w:tcW w:w="1195" w:type="dxa"/>
            <w:hideMark/>
          </w:tcPr>
          <w:p w:rsidR="008B6C03" w:rsidRPr="008B6C03" w:rsidRDefault="008B6C03" w:rsidP="003E6553">
            <w:pPr>
              <w:jc w:val="center"/>
              <w:cnfStyle w:val="000000000000"/>
              <w:rPr>
                <w:rFonts w:ascii="Arial" w:eastAsia="Times New Roman" w:hAnsi="Arial" w:cs="Arial"/>
                <w:color w:val="000000"/>
                <w:sz w:val="18"/>
                <w:szCs w:val="18"/>
              </w:rPr>
            </w:pPr>
          </w:p>
        </w:tc>
        <w:tc>
          <w:tcPr>
            <w:tcW w:w="1341" w:type="dxa"/>
            <w:hideMark/>
          </w:tcPr>
          <w:p w:rsidR="008B6C03" w:rsidRPr="008B6C03" w:rsidRDefault="008B6C03" w:rsidP="003E6553">
            <w:pPr>
              <w:jc w:val="center"/>
              <w:cnfStyle w:val="000000000000"/>
              <w:rPr>
                <w:rFonts w:ascii="Arial" w:eastAsia="Times New Roman" w:hAnsi="Arial" w:cs="Arial"/>
                <w:color w:val="000000"/>
                <w:sz w:val="18"/>
                <w:szCs w:val="18"/>
              </w:rPr>
            </w:pPr>
          </w:p>
        </w:tc>
        <w:tc>
          <w:tcPr>
            <w:tcW w:w="1341" w:type="dxa"/>
            <w:hideMark/>
          </w:tcPr>
          <w:p w:rsidR="008B6C03" w:rsidRPr="008B6C03" w:rsidRDefault="008B6C03" w:rsidP="003E6553">
            <w:pPr>
              <w:jc w:val="center"/>
              <w:cnfStyle w:val="000000000000"/>
              <w:rPr>
                <w:rFonts w:ascii="Arial" w:eastAsia="Times New Roman" w:hAnsi="Arial" w:cs="Arial"/>
                <w:color w:val="000000"/>
                <w:sz w:val="18"/>
                <w:szCs w:val="18"/>
              </w:rPr>
            </w:pPr>
          </w:p>
        </w:tc>
        <w:tc>
          <w:tcPr>
            <w:tcW w:w="1341" w:type="dxa"/>
            <w:hideMark/>
          </w:tcPr>
          <w:p w:rsidR="008B6C03" w:rsidRPr="008B6C03" w:rsidRDefault="008B6C03" w:rsidP="003E6553">
            <w:pPr>
              <w:jc w:val="center"/>
              <w:cnfStyle w:val="000000000000"/>
              <w:rPr>
                <w:rFonts w:ascii="Arial" w:eastAsia="Times New Roman" w:hAnsi="Arial" w:cs="Arial"/>
                <w:color w:val="000000"/>
                <w:sz w:val="18"/>
                <w:szCs w:val="18"/>
              </w:rPr>
            </w:pPr>
          </w:p>
        </w:tc>
        <w:tc>
          <w:tcPr>
            <w:tcW w:w="1341" w:type="dxa"/>
            <w:hideMark/>
          </w:tcPr>
          <w:p w:rsidR="008B6C03" w:rsidRPr="008B6C03" w:rsidRDefault="008B6C03" w:rsidP="003E6553">
            <w:pPr>
              <w:jc w:val="center"/>
              <w:cnfStyle w:val="000000000000"/>
              <w:rPr>
                <w:rFonts w:ascii="Arial" w:eastAsia="Times New Roman" w:hAnsi="Arial" w:cs="Arial"/>
                <w:color w:val="000000"/>
                <w:sz w:val="18"/>
                <w:szCs w:val="18"/>
              </w:rPr>
            </w:pPr>
          </w:p>
        </w:tc>
        <w:tc>
          <w:tcPr>
            <w:tcW w:w="1341" w:type="dxa"/>
            <w:hideMark/>
          </w:tcPr>
          <w:p w:rsidR="008B6C03" w:rsidRPr="008B6C03" w:rsidRDefault="008B6C03" w:rsidP="003E6553">
            <w:pPr>
              <w:jc w:val="center"/>
              <w:cnfStyle w:val="000000000000"/>
              <w:rPr>
                <w:rFonts w:ascii="Arial" w:eastAsia="Times New Roman" w:hAnsi="Arial" w:cs="Arial"/>
                <w:color w:val="000000"/>
                <w:sz w:val="18"/>
                <w:szCs w:val="18"/>
              </w:rPr>
            </w:pPr>
          </w:p>
        </w:tc>
      </w:tr>
      <w:tr w:rsidR="008B6C03" w:rsidRPr="008B6C03" w:rsidTr="00BF3EE6">
        <w:trPr>
          <w:trHeight w:val="570"/>
        </w:trPr>
        <w:tc>
          <w:tcPr>
            <w:cnfStyle w:val="001000000000"/>
            <w:tcW w:w="1524" w:type="dxa"/>
            <w:hideMark/>
          </w:tcPr>
          <w:p w:rsidR="008B6C03" w:rsidRPr="008B6C03" w:rsidRDefault="008B6C03" w:rsidP="003E655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Number of observations</w:t>
            </w:r>
          </w:p>
        </w:tc>
        <w:tc>
          <w:tcPr>
            <w:tcW w:w="1195" w:type="dxa"/>
            <w:hideMark/>
          </w:tcPr>
          <w:p w:rsidR="008B6C03" w:rsidRPr="008B6C03" w:rsidRDefault="008B6C03" w:rsidP="003E6553">
            <w:pPr>
              <w:jc w:val="center"/>
              <w:cnfStyle w:val="000000000000"/>
              <w:rPr>
                <w:rFonts w:ascii="Arial" w:eastAsia="Times New Roman" w:hAnsi="Arial" w:cs="Arial"/>
                <w:color w:val="000000"/>
                <w:sz w:val="18"/>
                <w:szCs w:val="18"/>
              </w:rPr>
            </w:pPr>
          </w:p>
        </w:tc>
        <w:tc>
          <w:tcPr>
            <w:tcW w:w="1341" w:type="dxa"/>
            <w:hideMark/>
          </w:tcPr>
          <w:p w:rsidR="008B6C03" w:rsidRPr="008B6C03" w:rsidRDefault="008B6C03" w:rsidP="003E655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30</w:t>
            </w:r>
          </w:p>
        </w:tc>
        <w:tc>
          <w:tcPr>
            <w:tcW w:w="1341" w:type="dxa"/>
            <w:hideMark/>
          </w:tcPr>
          <w:p w:rsidR="008B6C03" w:rsidRPr="008B6C03" w:rsidRDefault="008B6C03" w:rsidP="003E655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30</w:t>
            </w:r>
          </w:p>
        </w:tc>
        <w:tc>
          <w:tcPr>
            <w:tcW w:w="1341" w:type="dxa"/>
            <w:hideMark/>
          </w:tcPr>
          <w:p w:rsidR="008B6C03" w:rsidRPr="008B6C03" w:rsidRDefault="008B6C03" w:rsidP="003E655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30</w:t>
            </w:r>
          </w:p>
        </w:tc>
        <w:tc>
          <w:tcPr>
            <w:tcW w:w="1341" w:type="dxa"/>
            <w:hideMark/>
          </w:tcPr>
          <w:p w:rsidR="008B6C03" w:rsidRPr="008B6C03" w:rsidRDefault="008B6C03" w:rsidP="003E655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30</w:t>
            </w:r>
          </w:p>
        </w:tc>
        <w:tc>
          <w:tcPr>
            <w:tcW w:w="1341" w:type="dxa"/>
            <w:hideMark/>
          </w:tcPr>
          <w:p w:rsidR="008B6C03" w:rsidRPr="008B6C03" w:rsidRDefault="008B6C03" w:rsidP="003E655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30</w:t>
            </w:r>
          </w:p>
        </w:tc>
      </w:tr>
    </w:tbl>
    <w:p w:rsidR="002D207A" w:rsidRDefault="002D207A" w:rsidP="00475623">
      <w:pPr>
        <w:autoSpaceDE w:val="0"/>
        <w:autoSpaceDN w:val="0"/>
        <w:adjustRightInd w:val="0"/>
        <w:spacing w:after="0" w:line="240" w:lineRule="auto"/>
        <w:rPr>
          <w:rFonts w:ascii="Arial" w:hAnsi="Arial" w:cs="Arial"/>
          <w:sz w:val="18"/>
          <w:szCs w:val="18"/>
          <w:lang w:val="en-US"/>
        </w:rPr>
      </w:pPr>
    </w:p>
    <w:p w:rsidR="002D207A" w:rsidRDefault="002D207A" w:rsidP="00475623">
      <w:pPr>
        <w:autoSpaceDE w:val="0"/>
        <w:autoSpaceDN w:val="0"/>
        <w:adjustRightInd w:val="0"/>
        <w:spacing w:after="0" w:line="240" w:lineRule="auto"/>
        <w:rPr>
          <w:rFonts w:ascii="Arial" w:hAnsi="Arial" w:cs="Arial"/>
          <w:sz w:val="18"/>
          <w:szCs w:val="18"/>
          <w:lang w:val="en-US"/>
        </w:rPr>
      </w:pPr>
    </w:p>
    <w:p w:rsidR="002D207A" w:rsidRDefault="00DF7A09" w:rsidP="00420923">
      <w:pPr>
        <w:pStyle w:val="ListParagraph"/>
        <w:numPr>
          <w:ilvl w:val="0"/>
          <w:numId w:val="28"/>
        </w:numPr>
        <w:autoSpaceDE w:val="0"/>
        <w:autoSpaceDN w:val="0"/>
        <w:adjustRightInd w:val="0"/>
        <w:spacing w:after="0" w:line="240" w:lineRule="auto"/>
        <w:rPr>
          <w:rFonts w:ascii="Arial" w:hAnsi="Arial" w:cs="Arial"/>
          <w:b/>
          <w:sz w:val="18"/>
          <w:szCs w:val="18"/>
          <w:lang w:val="en-US"/>
        </w:rPr>
      </w:pPr>
      <w:r w:rsidRPr="00420923">
        <w:rPr>
          <w:rFonts w:ascii="Arial" w:hAnsi="Arial" w:cs="Arial"/>
          <w:b/>
          <w:sz w:val="18"/>
          <w:szCs w:val="18"/>
          <w:lang w:val="en-US"/>
        </w:rPr>
        <w:lastRenderedPageBreak/>
        <w:t>Uncertainty Avoidance</w:t>
      </w:r>
    </w:p>
    <w:p w:rsidR="00420923" w:rsidRPr="00420923" w:rsidRDefault="00420923" w:rsidP="00420923">
      <w:pPr>
        <w:pStyle w:val="ListParagraph"/>
        <w:autoSpaceDE w:val="0"/>
        <w:autoSpaceDN w:val="0"/>
        <w:adjustRightInd w:val="0"/>
        <w:spacing w:after="0" w:line="240" w:lineRule="auto"/>
        <w:ind w:left="1080"/>
        <w:rPr>
          <w:rFonts w:ascii="Arial" w:hAnsi="Arial" w:cs="Arial"/>
          <w:b/>
          <w:sz w:val="18"/>
          <w:szCs w:val="18"/>
          <w:lang w:val="en-US"/>
        </w:rPr>
      </w:pPr>
    </w:p>
    <w:tbl>
      <w:tblPr>
        <w:tblStyle w:val="LightShading1"/>
        <w:tblW w:w="0" w:type="auto"/>
        <w:tblLook w:val="06A0"/>
      </w:tblPr>
      <w:tblGrid>
        <w:gridCol w:w="1524"/>
        <w:gridCol w:w="1195"/>
        <w:gridCol w:w="1341"/>
        <w:gridCol w:w="1341"/>
        <w:gridCol w:w="1341"/>
        <w:gridCol w:w="1341"/>
        <w:gridCol w:w="1341"/>
      </w:tblGrid>
      <w:tr w:rsidR="002D207A" w:rsidTr="00BF3EE6">
        <w:trPr>
          <w:cnfStyle w:val="100000000000"/>
        </w:trPr>
        <w:tc>
          <w:tcPr>
            <w:cnfStyle w:val="001000000000"/>
            <w:tcW w:w="1524" w:type="dxa"/>
          </w:tcPr>
          <w:p w:rsidR="002D207A" w:rsidRPr="00A1756F" w:rsidRDefault="002D207A" w:rsidP="007D3407">
            <w:pPr>
              <w:jc w:val="both"/>
              <w:rPr>
                <w:rFonts w:ascii="Arial" w:hAnsi="Arial" w:cs="Arial"/>
                <w:i/>
                <w:lang w:val="en-US"/>
              </w:rPr>
            </w:pPr>
            <w:r>
              <w:rPr>
                <w:rFonts w:ascii="Arial" w:hAnsi="Arial" w:cs="Arial"/>
                <w:i/>
                <w:lang w:val="en-US"/>
              </w:rPr>
              <w:t>Variable</w:t>
            </w:r>
          </w:p>
        </w:tc>
        <w:tc>
          <w:tcPr>
            <w:tcW w:w="1195" w:type="dxa"/>
          </w:tcPr>
          <w:p w:rsidR="002D207A" w:rsidRPr="002D207A" w:rsidRDefault="002D207A" w:rsidP="007D3407">
            <w:pPr>
              <w:jc w:val="both"/>
              <w:cnfStyle w:val="100000000000"/>
              <w:rPr>
                <w:rFonts w:ascii="Arial" w:hAnsi="Arial" w:cs="Arial"/>
                <w:i/>
                <w:lang w:val="en-US"/>
              </w:rPr>
            </w:pPr>
            <w:r>
              <w:rPr>
                <w:rFonts w:ascii="Arial" w:hAnsi="Arial" w:cs="Arial"/>
                <w:i/>
                <w:lang w:val="en-US"/>
              </w:rPr>
              <w:t>Expected sign</w:t>
            </w:r>
          </w:p>
        </w:tc>
        <w:tc>
          <w:tcPr>
            <w:tcW w:w="1341" w:type="dxa"/>
          </w:tcPr>
          <w:p w:rsidR="002D207A" w:rsidRPr="002D207A" w:rsidRDefault="002D207A" w:rsidP="007D3407">
            <w:pPr>
              <w:jc w:val="both"/>
              <w:cnfStyle w:val="100000000000"/>
              <w:rPr>
                <w:rFonts w:ascii="Arial" w:hAnsi="Arial" w:cs="Arial"/>
                <w:i/>
                <w:lang w:val="en-US"/>
              </w:rPr>
            </w:pPr>
            <w:r w:rsidRPr="002D207A">
              <w:rPr>
                <w:rFonts w:ascii="Arial" w:hAnsi="Arial" w:cs="Arial"/>
                <w:i/>
                <w:lang w:val="en-US"/>
              </w:rPr>
              <w:t>Model 1</w:t>
            </w:r>
          </w:p>
        </w:tc>
        <w:tc>
          <w:tcPr>
            <w:tcW w:w="1341" w:type="dxa"/>
          </w:tcPr>
          <w:p w:rsidR="002D207A" w:rsidRPr="002D207A" w:rsidRDefault="002D207A" w:rsidP="007D3407">
            <w:pPr>
              <w:cnfStyle w:val="100000000000"/>
              <w:rPr>
                <w:rFonts w:ascii="Arial" w:hAnsi="Arial" w:cs="Arial"/>
                <w:i/>
                <w:lang w:val="en-US"/>
              </w:rPr>
            </w:pPr>
            <w:r w:rsidRPr="002D207A">
              <w:rPr>
                <w:rFonts w:ascii="Arial" w:hAnsi="Arial" w:cs="Arial"/>
                <w:i/>
                <w:lang w:val="en-US"/>
              </w:rPr>
              <w:t>Model 2</w:t>
            </w:r>
          </w:p>
        </w:tc>
        <w:tc>
          <w:tcPr>
            <w:tcW w:w="1341" w:type="dxa"/>
          </w:tcPr>
          <w:p w:rsidR="002D207A" w:rsidRPr="002D207A" w:rsidRDefault="002D207A" w:rsidP="007D3407">
            <w:pPr>
              <w:cnfStyle w:val="100000000000"/>
              <w:rPr>
                <w:rFonts w:ascii="Arial" w:hAnsi="Arial" w:cs="Arial"/>
                <w:i/>
                <w:lang w:val="en-US"/>
              </w:rPr>
            </w:pPr>
            <w:r w:rsidRPr="002D207A">
              <w:rPr>
                <w:rFonts w:ascii="Arial" w:hAnsi="Arial" w:cs="Arial"/>
                <w:i/>
                <w:lang w:val="en-US"/>
              </w:rPr>
              <w:t>Model 3</w:t>
            </w:r>
          </w:p>
        </w:tc>
        <w:tc>
          <w:tcPr>
            <w:tcW w:w="1341" w:type="dxa"/>
          </w:tcPr>
          <w:p w:rsidR="002D207A" w:rsidRPr="002D207A" w:rsidRDefault="002D207A" w:rsidP="007D3407">
            <w:pPr>
              <w:cnfStyle w:val="100000000000"/>
              <w:rPr>
                <w:rFonts w:ascii="Arial" w:hAnsi="Arial" w:cs="Arial"/>
                <w:i/>
                <w:lang w:val="en-US"/>
              </w:rPr>
            </w:pPr>
            <w:r w:rsidRPr="002D207A">
              <w:rPr>
                <w:rFonts w:ascii="Arial" w:hAnsi="Arial" w:cs="Arial"/>
                <w:i/>
                <w:lang w:val="en-US"/>
              </w:rPr>
              <w:t>Model 4</w:t>
            </w:r>
          </w:p>
        </w:tc>
        <w:tc>
          <w:tcPr>
            <w:tcW w:w="1341" w:type="dxa"/>
          </w:tcPr>
          <w:p w:rsidR="002D207A" w:rsidRPr="002D207A" w:rsidRDefault="002D207A" w:rsidP="007D3407">
            <w:pPr>
              <w:cnfStyle w:val="100000000000"/>
              <w:rPr>
                <w:rFonts w:ascii="Arial" w:hAnsi="Arial" w:cs="Arial"/>
                <w:i/>
                <w:lang w:val="en-US"/>
              </w:rPr>
            </w:pPr>
            <w:r w:rsidRPr="002D207A">
              <w:rPr>
                <w:rFonts w:ascii="Arial" w:hAnsi="Arial" w:cs="Arial"/>
                <w:i/>
                <w:lang w:val="en-US"/>
              </w:rPr>
              <w:t>Model 5</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i/>
                <w:iCs/>
                <w:color w:val="000000"/>
              </w:rPr>
            </w:pPr>
            <w:r w:rsidRPr="008B6C03">
              <w:rPr>
                <w:rFonts w:ascii="Arial" w:eastAsia="Times New Roman" w:hAnsi="Arial" w:cs="Arial"/>
                <w:i/>
                <w:iCs/>
                <w:color w:val="000000"/>
              </w:rPr>
              <w:t> </w:t>
            </w:r>
          </w:p>
        </w:tc>
        <w:tc>
          <w:tcPr>
            <w:tcW w:w="1195"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UAI</w:t>
            </w:r>
          </w:p>
        </w:tc>
        <w:tc>
          <w:tcPr>
            <w:tcW w:w="1195"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r w:rsidR="00D52B25">
              <w:rPr>
                <w:rFonts w:ascii="Arial" w:eastAsia="Times New Roman" w:hAnsi="Arial" w:cs="Arial"/>
                <w:color w:val="000000"/>
                <w:sz w:val="18"/>
                <w:szCs w:val="18"/>
              </w:rPr>
              <w:t>-</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0,00</w:t>
            </w:r>
            <w:r w:rsidR="003E6553">
              <w:rPr>
                <w:rFonts w:ascii="Arial" w:eastAsia="Times New Roman" w:hAnsi="Arial" w:cs="Arial"/>
                <w:color w:val="000000"/>
                <w:sz w:val="18"/>
                <w:szCs w:val="18"/>
              </w:rPr>
              <w:t>6</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0,023</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0,02</w:t>
            </w:r>
            <w:r w:rsidR="003E6553">
              <w:rPr>
                <w:rFonts w:ascii="Arial" w:eastAsia="Times New Roman" w:hAnsi="Arial" w:cs="Arial"/>
                <w:color w:val="000000"/>
                <w:sz w:val="18"/>
                <w:szCs w:val="18"/>
              </w:rPr>
              <w:t>2</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w:t>
            </w:r>
            <w:r w:rsidR="003E6553">
              <w:rPr>
                <w:rFonts w:ascii="Arial" w:eastAsia="Times New Roman" w:hAnsi="Arial" w:cs="Arial"/>
                <w:color w:val="000000"/>
                <w:sz w:val="18"/>
                <w:szCs w:val="18"/>
              </w:rPr>
              <w:t>70</w:t>
            </w:r>
          </w:p>
        </w:tc>
        <w:tc>
          <w:tcPr>
            <w:tcW w:w="1341" w:type="dxa"/>
            <w:hideMark/>
          </w:tcPr>
          <w:p w:rsidR="008B6C03" w:rsidRPr="008B6C03" w:rsidRDefault="003E6553"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0,138</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195"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5C00C5"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3E6553">
              <w:rPr>
                <w:rFonts w:ascii="Arial" w:eastAsia="Times New Roman" w:hAnsi="Arial" w:cs="Arial"/>
                <w:color w:val="000000"/>
                <w:sz w:val="18"/>
                <w:szCs w:val="18"/>
              </w:rPr>
              <w:t>0,120</w:t>
            </w:r>
            <w:r>
              <w:rPr>
                <w:rFonts w:ascii="Arial" w:eastAsia="Times New Roman" w:hAnsi="Arial" w:cs="Arial"/>
                <w:color w:val="000000"/>
                <w:sz w:val="18"/>
                <w:szCs w:val="18"/>
              </w:rPr>
              <w:t>)</w:t>
            </w:r>
          </w:p>
        </w:tc>
        <w:tc>
          <w:tcPr>
            <w:tcW w:w="1341" w:type="dxa"/>
            <w:hideMark/>
          </w:tcPr>
          <w:p w:rsidR="008B6C03" w:rsidRPr="008B6C03" w:rsidRDefault="005C00C5"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3E6553">
              <w:rPr>
                <w:rFonts w:ascii="Arial" w:eastAsia="Times New Roman" w:hAnsi="Arial" w:cs="Arial"/>
                <w:color w:val="000000"/>
                <w:sz w:val="18"/>
                <w:szCs w:val="18"/>
              </w:rPr>
              <w:t>0,127</w:t>
            </w:r>
            <w:r>
              <w:rPr>
                <w:rFonts w:ascii="Arial" w:eastAsia="Times New Roman" w:hAnsi="Arial" w:cs="Arial"/>
                <w:color w:val="000000"/>
                <w:sz w:val="18"/>
                <w:szCs w:val="18"/>
              </w:rPr>
              <w:t>)</w:t>
            </w:r>
          </w:p>
        </w:tc>
        <w:tc>
          <w:tcPr>
            <w:tcW w:w="1341" w:type="dxa"/>
            <w:hideMark/>
          </w:tcPr>
          <w:p w:rsidR="008B6C03" w:rsidRPr="008B6C03" w:rsidRDefault="005C00C5"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3E6553">
              <w:rPr>
                <w:rFonts w:ascii="Arial" w:eastAsia="Times New Roman" w:hAnsi="Arial" w:cs="Arial"/>
                <w:color w:val="000000"/>
                <w:sz w:val="18"/>
                <w:szCs w:val="18"/>
              </w:rPr>
              <w:t>0,130</w:t>
            </w:r>
            <w:r>
              <w:rPr>
                <w:rFonts w:ascii="Arial" w:eastAsia="Times New Roman" w:hAnsi="Arial" w:cs="Arial"/>
                <w:color w:val="000000"/>
                <w:sz w:val="18"/>
                <w:szCs w:val="18"/>
              </w:rPr>
              <w:t>)</w:t>
            </w:r>
          </w:p>
        </w:tc>
        <w:tc>
          <w:tcPr>
            <w:tcW w:w="1341" w:type="dxa"/>
            <w:hideMark/>
          </w:tcPr>
          <w:p w:rsidR="008B6C03" w:rsidRPr="008B6C03" w:rsidRDefault="005C00C5"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8B6C03" w:rsidRPr="008B6C03">
              <w:rPr>
                <w:rFonts w:ascii="Arial" w:eastAsia="Times New Roman" w:hAnsi="Arial" w:cs="Arial"/>
                <w:color w:val="000000"/>
                <w:sz w:val="18"/>
                <w:szCs w:val="18"/>
              </w:rPr>
              <w:t>0</w:t>
            </w:r>
            <w:r w:rsidR="003E6553">
              <w:rPr>
                <w:rFonts w:ascii="Arial" w:eastAsia="Times New Roman" w:hAnsi="Arial" w:cs="Arial"/>
                <w:color w:val="000000"/>
                <w:sz w:val="18"/>
                <w:szCs w:val="18"/>
              </w:rPr>
              <w:t>,128</w:t>
            </w:r>
            <w:r>
              <w:rPr>
                <w:rFonts w:ascii="Arial" w:eastAsia="Times New Roman" w:hAnsi="Arial" w:cs="Arial"/>
                <w:color w:val="000000"/>
                <w:sz w:val="18"/>
                <w:szCs w:val="18"/>
              </w:rPr>
              <w:t>)</w:t>
            </w:r>
          </w:p>
        </w:tc>
        <w:tc>
          <w:tcPr>
            <w:tcW w:w="1341" w:type="dxa"/>
            <w:hideMark/>
          </w:tcPr>
          <w:p w:rsidR="008B6C03" w:rsidRPr="008B6C03" w:rsidRDefault="005C00C5"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3E6553">
              <w:rPr>
                <w:rFonts w:ascii="Arial" w:eastAsia="Times New Roman" w:hAnsi="Arial" w:cs="Arial"/>
                <w:color w:val="000000"/>
                <w:sz w:val="18"/>
                <w:szCs w:val="18"/>
              </w:rPr>
              <w:t>0,195</w:t>
            </w:r>
            <w:r>
              <w:rPr>
                <w:rFonts w:ascii="Arial" w:eastAsia="Times New Roman" w:hAnsi="Arial" w:cs="Arial"/>
                <w:color w:val="000000"/>
                <w:sz w:val="18"/>
                <w:szCs w:val="18"/>
              </w:rPr>
              <w:t>)</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LEQINV</w:t>
            </w:r>
          </w:p>
        </w:tc>
        <w:tc>
          <w:tcPr>
            <w:tcW w:w="1195"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r w:rsidR="00D52B25">
              <w:rPr>
                <w:rFonts w:ascii="Arial" w:eastAsia="Times New Roman" w:hAnsi="Arial" w:cs="Arial"/>
                <w:color w:val="000000"/>
                <w:sz w:val="18"/>
                <w:szCs w:val="18"/>
              </w:rPr>
              <w:t>-</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0,123</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0,130</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0,129</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0,178</w:t>
            </w:r>
          </w:p>
        </w:tc>
        <w:tc>
          <w:tcPr>
            <w:tcW w:w="1341" w:type="dxa"/>
            <w:hideMark/>
          </w:tcPr>
          <w:p w:rsidR="008B6C03" w:rsidRPr="008B6C03" w:rsidRDefault="003E6553"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0,189</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195"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5C00C5"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3E6553">
              <w:rPr>
                <w:rFonts w:ascii="Arial" w:eastAsia="Times New Roman" w:hAnsi="Arial" w:cs="Arial"/>
                <w:color w:val="000000"/>
                <w:sz w:val="18"/>
                <w:szCs w:val="18"/>
              </w:rPr>
              <w:t>0,088</w:t>
            </w:r>
            <w:r>
              <w:rPr>
                <w:rFonts w:ascii="Arial" w:eastAsia="Times New Roman" w:hAnsi="Arial" w:cs="Arial"/>
                <w:color w:val="000000"/>
                <w:sz w:val="18"/>
                <w:szCs w:val="18"/>
              </w:rPr>
              <w:t>)</w:t>
            </w:r>
          </w:p>
        </w:tc>
        <w:tc>
          <w:tcPr>
            <w:tcW w:w="1341" w:type="dxa"/>
            <w:hideMark/>
          </w:tcPr>
          <w:p w:rsidR="008B6C03" w:rsidRPr="008B6C03" w:rsidRDefault="005C00C5"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3E6553">
              <w:rPr>
                <w:rFonts w:ascii="Arial" w:eastAsia="Times New Roman" w:hAnsi="Arial" w:cs="Arial"/>
                <w:color w:val="000000"/>
                <w:sz w:val="18"/>
                <w:szCs w:val="18"/>
              </w:rPr>
              <w:t>0,094</w:t>
            </w:r>
            <w:r>
              <w:rPr>
                <w:rFonts w:ascii="Arial" w:eastAsia="Times New Roman" w:hAnsi="Arial" w:cs="Arial"/>
                <w:color w:val="000000"/>
                <w:sz w:val="18"/>
                <w:szCs w:val="18"/>
              </w:rPr>
              <w:t>)</w:t>
            </w:r>
          </w:p>
        </w:tc>
        <w:tc>
          <w:tcPr>
            <w:tcW w:w="1341" w:type="dxa"/>
            <w:hideMark/>
          </w:tcPr>
          <w:p w:rsidR="008B6C03" w:rsidRPr="008B6C03" w:rsidRDefault="005C00C5"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3E6553">
              <w:rPr>
                <w:rFonts w:ascii="Arial" w:eastAsia="Times New Roman" w:hAnsi="Arial" w:cs="Arial"/>
                <w:color w:val="000000"/>
                <w:sz w:val="18"/>
                <w:szCs w:val="18"/>
              </w:rPr>
              <w:t>0,097</w:t>
            </w:r>
            <w:r>
              <w:rPr>
                <w:rFonts w:ascii="Arial" w:eastAsia="Times New Roman" w:hAnsi="Arial" w:cs="Arial"/>
                <w:color w:val="000000"/>
                <w:sz w:val="18"/>
                <w:szCs w:val="18"/>
              </w:rPr>
              <w:t>)</w:t>
            </w:r>
          </w:p>
        </w:tc>
        <w:tc>
          <w:tcPr>
            <w:tcW w:w="1341" w:type="dxa"/>
            <w:hideMark/>
          </w:tcPr>
          <w:p w:rsidR="008B6C03" w:rsidRPr="008B6C03" w:rsidRDefault="005C00C5"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3E6553">
              <w:rPr>
                <w:rFonts w:ascii="Arial" w:eastAsia="Times New Roman" w:hAnsi="Arial" w:cs="Arial"/>
                <w:color w:val="000000"/>
                <w:sz w:val="18"/>
                <w:szCs w:val="18"/>
              </w:rPr>
              <w:t>0,097</w:t>
            </w:r>
            <w:r>
              <w:rPr>
                <w:rFonts w:ascii="Arial" w:eastAsia="Times New Roman" w:hAnsi="Arial" w:cs="Arial"/>
                <w:color w:val="000000"/>
                <w:sz w:val="18"/>
                <w:szCs w:val="18"/>
              </w:rPr>
              <w:t>)</w:t>
            </w:r>
          </w:p>
        </w:tc>
        <w:tc>
          <w:tcPr>
            <w:tcW w:w="1341" w:type="dxa"/>
            <w:hideMark/>
          </w:tcPr>
          <w:p w:rsidR="008B6C03" w:rsidRPr="008B6C03" w:rsidRDefault="005C00C5"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3E6553">
              <w:rPr>
                <w:rFonts w:ascii="Arial" w:eastAsia="Times New Roman" w:hAnsi="Arial" w:cs="Arial"/>
                <w:color w:val="000000"/>
                <w:sz w:val="18"/>
                <w:szCs w:val="18"/>
              </w:rPr>
              <w:t>0,099</w:t>
            </w:r>
            <w:r>
              <w:rPr>
                <w:rFonts w:ascii="Arial" w:eastAsia="Times New Roman" w:hAnsi="Arial" w:cs="Arial"/>
                <w:color w:val="000000"/>
                <w:sz w:val="18"/>
                <w:szCs w:val="18"/>
              </w:rPr>
              <w:t>)</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LNGDP</w:t>
            </w:r>
          </w:p>
        </w:tc>
        <w:tc>
          <w:tcPr>
            <w:tcW w:w="1195"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r w:rsidR="00D52B25">
              <w:rPr>
                <w:rFonts w:ascii="Arial" w:eastAsia="Times New Roman" w:hAnsi="Arial" w:cs="Arial"/>
                <w:color w:val="000000"/>
                <w:sz w:val="18"/>
                <w:szCs w:val="18"/>
              </w:rPr>
              <w:t>+</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0,00</w:t>
            </w:r>
            <w:r w:rsidR="003E6553">
              <w:rPr>
                <w:rFonts w:ascii="Arial" w:eastAsia="Times New Roman" w:hAnsi="Arial" w:cs="Arial"/>
                <w:color w:val="000000"/>
                <w:sz w:val="18"/>
                <w:szCs w:val="18"/>
              </w:rPr>
              <w:t>7</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0,007</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0,00</w:t>
            </w:r>
            <w:r w:rsidR="003E6553">
              <w:rPr>
                <w:rFonts w:ascii="Arial" w:eastAsia="Times New Roman" w:hAnsi="Arial" w:cs="Arial"/>
                <w:color w:val="000000"/>
                <w:sz w:val="18"/>
                <w:szCs w:val="18"/>
              </w:rPr>
              <w:t>8</w:t>
            </w:r>
          </w:p>
        </w:tc>
        <w:tc>
          <w:tcPr>
            <w:tcW w:w="1341" w:type="dxa"/>
            <w:hideMark/>
          </w:tcPr>
          <w:p w:rsidR="008B6C03" w:rsidRPr="008B6C03" w:rsidRDefault="003E6553"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0,007</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195"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5C00C5"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3E6553">
              <w:rPr>
                <w:rFonts w:ascii="Arial" w:eastAsia="Times New Roman" w:hAnsi="Arial" w:cs="Arial"/>
                <w:color w:val="000000"/>
                <w:sz w:val="18"/>
                <w:szCs w:val="18"/>
              </w:rPr>
              <w:t>0,009</w:t>
            </w:r>
            <w:r>
              <w:rPr>
                <w:rFonts w:ascii="Arial" w:eastAsia="Times New Roman" w:hAnsi="Arial" w:cs="Arial"/>
                <w:color w:val="000000"/>
                <w:sz w:val="18"/>
                <w:szCs w:val="18"/>
              </w:rPr>
              <w:t>)</w:t>
            </w:r>
          </w:p>
        </w:tc>
        <w:tc>
          <w:tcPr>
            <w:tcW w:w="1341" w:type="dxa"/>
            <w:hideMark/>
          </w:tcPr>
          <w:p w:rsidR="008B6C03" w:rsidRPr="008B6C03" w:rsidRDefault="005C00C5"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3E6553">
              <w:rPr>
                <w:rFonts w:ascii="Arial" w:eastAsia="Times New Roman" w:hAnsi="Arial" w:cs="Arial"/>
                <w:color w:val="000000"/>
                <w:sz w:val="18"/>
                <w:szCs w:val="18"/>
              </w:rPr>
              <w:t>0,015</w:t>
            </w:r>
            <w:r>
              <w:rPr>
                <w:rFonts w:ascii="Arial" w:eastAsia="Times New Roman" w:hAnsi="Arial" w:cs="Arial"/>
                <w:color w:val="000000"/>
                <w:sz w:val="18"/>
                <w:szCs w:val="18"/>
              </w:rPr>
              <w:t>)</w:t>
            </w:r>
          </w:p>
        </w:tc>
        <w:tc>
          <w:tcPr>
            <w:tcW w:w="1341" w:type="dxa"/>
            <w:hideMark/>
          </w:tcPr>
          <w:p w:rsidR="008B6C03" w:rsidRPr="008B6C03" w:rsidRDefault="005C00C5"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3E6553">
              <w:rPr>
                <w:rFonts w:ascii="Arial" w:eastAsia="Times New Roman" w:hAnsi="Arial" w:cs="Arial"/>
                <w:color w:val="000000"/>
                <w:sz w:val="18"/>
                <w:szCs w:val="18"/>
              </w:rPr>
              <w:t>0,015</w:t>
            </w:r>
            <w:r>
              <w:rPr>
                <w:rFonts w:ascii="Arial" w:eastAsia="Times New Roman" w:hAnsi="Arial" w:cs="Arial"/>
                <w:color w:val="000000"/>
                <w:sz w:val="18"/>
                <w:szCs w:val="18"/>
              </w:rPr>
              <w:t>)</w:t>
            </w:r>
          </w:p>
        </w:tc>
        <w:tc>
          <w:tcPr>
            <w:tcW w:w="1341" w:type="dxa"/>
            <w:hideMark/>
          </w:tcPr>
          <w:p w:rsidR="008B6C03" w:rsidRPr="008B6C03" w:rsidRDefault="005C00C5"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3E6553">
              <w:rPr>
                <w:rFonts w:ascii="Arial" w:eastAsia="Times New Roman" w:hAnsi="Arial" w:cs="Arial"/>
                <w:color w:val="000000"/>
                <w:sz w:val="18"/>
                <w:szCs w:val="18"/>
              </w:rPr>
              <w:t>0,015</w:t>
            </w:r>
            <w:r>
              <w:rPr>
                <w:rFonts w:ascii="Arial" w:eastAsia="Times New Roman" w:hAnsi="Arial" w:cs="Arial"/>
                <w:color w:val="000000"/>
                <w:sz w:val="18"/>
                <w:szCs w:val="18"/>
              </w:rPr>
              <w:t>)</w:t>
            </w:r>
          </w:p>
        </w:tc>
      </w:tr>
      <w:tr w:rsidR="008B6C03" w:rsidRPr="008B6C03" w:rsidTr="00BF3EE6">
        <w:trPr>
          <w:trHeight w:val="420"/>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LNMARCAP</w:t>
            </w:r>
          </w:p>
        </w:tc>
        <w:tc>
          <w:tcPr>
            <w:tcW w:w="1195"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r w:rsidR="00D52B25">
              <w:rPr>
                <w:rFonts w:ascii="Arial" w:eastAsia="Times New Roman" w:hAnsi="Arial" w:cs="Arial"/>
                <w:color w:val="000000"/>
                <w:sz w:val="18"/>
                <w:szCs w:val="18"/>
              </w:rPr>
              <w:t>+</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-0,001</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0,01</w:t>
            </w:r>
            <w:r w:rsidR="003E6553">
              <w:rPr>
                <w:rFonts w:ascii="Arial" w:eastAsia="Times New Roman" w:hAnsi="Arial" w:cs="Arial"/>
                <w:color w:val="000000"/>
                <w:sz w:val="18"/>
                <w:szCs w:val="18"/>
              </w:rPr>
              <w:t>5</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0,028</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195"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5C00C5"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3E6553">
              <w:rPr>
                <w:rFonts w:ascii="Arial" w:eastAsia="Times New Roman" w:hAnsi="Arial" w:cs="Arial"/>
                <w:color w:val="000000"/>
                <w:sz w:val="18"/>
                <w:szCs w:val="18"/>
              </w:rPr>
              <w:t>0,032</w:t>
            </w:r>
            <w:r>
              <w:rPr>
                <w:rFonts w:ascii="Arial" w:eastAsia="Times New Roman" w:hAnsi="Arial" w:cs="Arial"/>
                <w:color w:val="000000"/>
                <w:sz w:val="18"/>
                <w:szCs w:val="18"/>
              </w:rPr>
              <w:t>)</w:t>
            </w:r>
          </w:p>
        </w:tc>
        <w:tc>
          <w:tcPr>
            <w:tcW w:w="1341" w:type="dxa"/>
            <w:hideMark/>
          </w:tcPr>
          <w:p w:rsidR="008B6C03" w:rsidRPr="008B6C03" w:rsidRDefault="005C00C5"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3E6553">
              <w:rPr>
                <w:rFonts w:ascii="Arial" w:eastAsia="Times New Roman" w:hAnsi="Arial" w:cs="Arial"/>
                <w:color w:val="000000"/>
                <w:sz w:val="18"/>
                <w:szCs w:val="18"/>
              </w:rPr>
              <w:t>0,032</w:t>
            </w:r>
            <w:r>
              <w:rPr>
                <w:rFonts w:ascii="Arial" w:eastAsia="Times New Roman" w:hAnsi="Arial" w:cs="Arial"/>
                <w:color w:val="000000"/>
                <w:sz w:val="18"/>
                <w:szCs w:val="18"/>
              </w:rPr>
              <w:t>)</w:t>
            </w:r>
          </w:p>
        </w:tc>
        <w:tc>
          <w:tcPr>
            <w:tcW w:w="1341" w:type="dxa"/>
            <w:hideMark/>
          </w:tcPr>
          <w:p w:rsidR="008B6C03" w:rsidRPr="008B6C03" w:rsidRDefault="005C00C5"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3E6553">
              <w:rPr>
                <w:rFonts w:ascii="Arial" w:eastAsia="Times New Roman" w:hAnsi="Arial" w:cs="Arial"/>
                <w:color w:val="000000"/>
                <w:sz w:val="18"/>
                <w:szCs w:val="18"/>
              </w:rPr>
              <w:t>0,045</w:t>
            </w:r>
            <w:r>
              <w:rPr>
                <w:rFonts w:ascii="Arial" w:eastAsia="Times New Roman" w:hAnsi="Arial" w:cs="Arial"/>
                <w:color w:val="000000"/>
                <w:sz w:val="18"/>
                <w:szCs w:val="18"/>
              </w:rPr>
              <w:t>)</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AGEDR</w:t>
            </w:r>
          </w:p>
        </w:tc>
        <w:tc>
          <w:tcPr>
            <w:tcW w:w="1195"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r w:rsidR="00D52B25">
              <w:rPr>
                <w:rFonts w:ascii="Arial" w:eastAsia="Times New Roman" w:hAnsi="Arial" w:cs="Arial"/>
                <w:color w:val="000000"/>
                <w:sz w:val="18"/>
                <w:szCs w:val="18"/>
              </w:rPr>
              <w:t>-</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0,83</w:t>
            </w:r>
            <w:r w:rsidR="003E6553">
              <w:rPr>
                <w:rFonts w:ascii="Arial" w:eastAsia="Times New Roman" w:hAnsi="Arial" w:cs="Arial"/>
                <w:color w:val="000000"/>
                <w:sz w:val="18"/>
                <w:szCs w:val="18"/>
              </w:rPr>
              <w:t>1</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0,90</w:t>
            </w:r>
            <w:r w:rsidR="003E6553">
              <w:rPr>
                <w:rFonts w:ascii="Arial" w:eastAsia="Times New Roman" w:hAnsi="Arial" w:cs="Arial"/>
                <w:color w:val="000000"/>
                <w:sz w:val="18"/>
                <w:szCs w:val="18"/>
              </w:rPr>
              <w:t>3</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195"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5C00C5"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3E6553">
              <w:rPr>
                <w:rFonts w:ascii="Arial" w:eastAsia="Times New Roman" w:hAnsi="Arial" w:cs="Arial"/>
                <w:color w:val="000000"/>
                <w:sz w:val="18"/>
                <w:szCs w:val="18"/>
              </w:rPr>
              <w:t>0,538</w:t>
            </w:r>
            <w:r>
              <w:rPr>
                <w:rFonts w:ascii="Arial" w:eastAsia="Times New Roman" w:hAnsi="Arial" w:cs="Arial"/>
                <w:color w:val="000000"/>
                <w:sz w:val="18"/>
                <w:szCs w:val="18"/>
              </w:rPr>
              <w:t>)</w:t>
            </w:r>
          </w:p>
        </w:tc>
        <w:tc>
          <w:tcPr>
            <w:tcW w:w="1341" w:type="dxa"/>
            <w:hideMark/>
          </w:tcPr>
          <w:p w:rsidR="008B6C03" w:rsidRPr="008B6C03" w:rsidRDefault="005C00C5"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3E6553">
              <w:rPr>
                <w:rFonts w:ascii="Arial" w:eastAsia="Times New Roman" w:hAnsi="Arial" w:cs="Arial"/>
                <w:color w:val="000000"/>
                <w:sz w:val="18"/>
                <w:szCs w:val="18"/>
              </w:rPr>
              <w:t>0,590</w:t>
            </w:r>
            <w:r>
              <w:rPr>
                <w:rFonts w:ascii="Arial" w:eastAsia="Times New Roman" w:hAnsi="Arial" w:cs="Arial"/>
                <w:color w:val="000000"/>
                <w:sz w:val="18"/>
                <w:szCs w:val="18"/>
              </w:rPr>
              <w:t>)</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DB</w:t>
            </w:r>
          </w:p>
        </w:tc>
        <w:tc>
          <w:tcPr>
            <w:tcW w:w="1195"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r w:rsidR="00D52B25">
              <w:rPr>
                <w:rFonts w:ascii="Arial" w:eastAsia="Times New Roman" w:hAnsi="Arial" w:cs="Arial"/>
                <w:color w:val="000000"/>
                <w:sz w:val="18"/>
                <w:szCs w:val="18"/>
              </w:rPr>
              <w:t>-</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0,023</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195"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5C00C5"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3E6553">
              <w:rPr>
                <w:rFonts w:ascii="Arial" w:eastAsia="Times New Roman" w:hAnsi="Arial" w:cs="Arial"/>
                <w:color w:val="000000"/>
                <w:sz w:val="18"/>
                <w:szCs w:val="18"/>
              </w:rPr>
              <w:t>0,031</w:t>
            </w:r>
            <w:r>
              <w:rPr>
                <w:rFonts w:ascii="Arial" w:eastAsia="Times New Roman" w:hAnsi="Arial" w:cs="Arial"/>
                <w:color w:val="000000"/>
                <w:sz w:val="18"/>
                <w:szCs w:val="18"/>
              </w:rPr>
              <w:t>)</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R</w:t>
            </w:r>
            <w:r w:rsidRPr="008B6C03">
              <w:rPr>
                <w:rFonts w:ascii="Arial" w:eastAsia="Times New Roman" w:hAnsi="Arial" w:cs="Arial"/>
                <w:color w:val="000000"/>
                <w:sz w:val="20"/>
                <w:szCs w:val="20"/>
                <w:vertAlign w:val="superscript"/>
              </w:rPr>
              <w:t>2</w:t>
            </w:r>
          </w:p>
        </w:tc>
        <w:tc>
          <w:tcPr>
            <w:tcW w:w="1195"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0,06</w:t>
            </w:r>
            <w:r w:rsidR="003E6553">
              <w:rPr>
                <w:rFonts w:ascii="Arial" w:eastAsia="Times New Roman" w:hAnsi="Arial" w:cs="Arial"/>
                <w:color w:val="000000"/>
                <w:sz w:val="18"/>
                <w:szCs w:val="18"/>
              </w:rPr>
              <w:t>8</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0,07</w:t>
            </w:r>
            <w:r w:rsidR="003E6553">
              <w:rPr>
                <w:rFonts w:ascii="Arial" w:eastAsia="Times New Roman" w:hAnsi="Arial" w:cs="Arial"/>
                <w:color w:val="000000"/>
                <w:sz w:val="18"/>
                <w:szCs w:val="18"/>
              </w:rPr>
              <w:t>6</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0,07</w:t>
            </w:r>
            <w:r w:rsidR="003E6553">
              <w:rPr>
                <w:rFonts w:ascii="Arial" w:eastAsia="Times New Roman" w:hAnsi="Arial" w:cs="Arial"/>
                <w:color w:val="000000"/>
                <w:sz w:val="18"/>
                <w:szCs w:val="18"/>
              </w:rPr>
              <w:t>6</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0,153</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0,170</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195"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r>
      <w:tr w:rsidR="008B6C03" w:rsidRPr="008B6C03" w:rsidTr="00BF3EE6">
        <w:trPr>
          <w:trHeight w:val="570"/>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Number of observations</w:t>
            </w:r>
          </w:p>
        </w:tc>
        <w:tc>
          <w:tcPr>
            <w:tcW w:w="1195"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30</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30</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30</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30</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30</w:t>
            </w:r>
          </w:p>
        </w:tc>
      </w:tr>
    </w:tbl>
    <w:p w:rsidR="0017001F" w:rsidRPr="0017001F" w:rsidRDefault="0017001F" w:rsidP="00475623">
      <w:pPr>
        <w:autoSpaceDE w:val="0"/>
        <w:autoSpaceDN w:val="0"/>
        <w:adjustRightInd w:val="0"/>
        <w:spacing w:after="0" w:line="240" w:lineRule="auto"/>
        <w:rPr>
          <w:rFonts w:ascii="Times New Roman" w:hAnsi="Times New Roman" w:cs="Times New Roman"/>
          <w:sz w:val="20"/>
          <w:szCs w:val="20"/>
          <w:lang w:val="en-US"/>
        </w:rPr>
      </w:pPr>
      <w:r w:rsidRPr="0017001F">
        <w:rPr>
          <w:rFonts w:ascii="Times New Roman" w:hAnsi="Times New Roman" w:cs="Times New Roman"/>
          <w:sz w:val="20"/>
          <w:szCs w:val="20"/>
          <w:lang w:val="en-US"/>
        </w:rPr>
        <w:t xml:space="preserve">The four tables above present the regression results for the multiple and single models, each table for one of the dimensions, particularly for the Developed countries. No statistically significant results could be found. </w:t>
      </w:r>
    </w:p>
    <w:p w:rsidR="0017001F" w:rsidRDefault="0017001F" w:rsidP="00475623">
      <w:pPr>
        <w:autoSpaceDE w:val="0"/>
        <w:autoSpaceDN w:val="0"/>
        <w:adjustRightInd w:val="0"/>
        <w:spacing w:after="0" w:line="240" w:lineRule="auto"/>
        <w:rPr>
          <w:rFonts w:ascii="Arial" w:hAnsi="Arial" w:cs="Arial"/>
          <w:sz w:val="18"/>
          <w:szCs w:val="18"/>
          <w:lang w:val="en-US"/>
        </w:rPr>
      </w:pPr>
    </w:p>
    <w:p w:rsidR="0017001F" w:rsidRDefault="0017001F" w:rsidP="00475623">
      <w:pPr>
        <w:autoSpaceDE w:val="0"/>
        <w:autoSpaceDN w:val="0"/>
        <w:adjustRightInd w:val="0"/>
        <w:spacing w:after="0" w:line="240" w:lineRule="auto"/>
        <w:rPr>
          <w:rFonts w:ascii="Arial" w:hAnsi="Arial" w:cs="Arial"/>
          <w:sz w:val="18"/>
          <w:szCs w:val="18"/>
          <w:lang w:val="en-US"/>
        </w:rPr>
      </w:pPr>
    </w:p>
    <w:p w:rsidR="0017001F" w:rsidRDefault="0017001F" w:rsidP="00475623">
      <w:pPr>
        <w:autoSpaceDE w:val="0"/>
        <w:autoSpaceDN w:val="0"/>
        <w:adjustRightInd w:val="0"/>
        <w:spacing w:after="0" w:line="240" w:lineRule="auto"/>
        <w:rPr>
          <w:rFonts w:ascii="Arial" w:hAnsi="Arial" w:cs="Arial"/>
          <w:sz w:val="18"/>
          <w:szCs w:val="18"/>
          <w:lang w:val="en-US"/>
        </w:rPr>
      </w:pPr>
    </w:p>
    <w:p w:rsidR="0017001F" w:rsidRDefault="0017001F" w:rsidP="00475623">
      <w:pPr>
        <w:autoSpaceDE w:val="0"/>
        <w:autoSpaceDN w:val="0"/>
        <w:adjustRightInd w:val="0"/>
        <w:spacing w:after="0" w:line="240" w:lineRule="auto"/>
        <w:rPr>
          <w:rFonts w:ascii="Arial" w:hAnsi="Arial" w:cs="Arial"/>
          <w:sz w:val="18"/>
          <w:szCs w:val="18"/>
          <w:lang w:val="en-US"/>
        </w:rPr>
      </w:pPr>
    </w:p>
    <w:p w:rsidR="00AD5ACF" w:rsidRDefault="00AD5ACF" w:rsidP="00475623">
      <w:pPr>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lang w:val="en-US"/>
        </w:rPr>
        <w:t>As we can conclude from the tables above, no control variable can influence the risk appetite of pension funds when it comes to the Developed countries. The only control variable that seems to follow a pattern is the GDP, which for all the four cultural dimensions seems to be positively correlated with equity allocation. The relative shares of Defined benefit plans, although not statistically significant, gives a negative outcome in relation with the equity holdings for all four dimensions as well.</w:t>
      </w:r>
      <w:r>
        <w:rPr>
          <w:rFonts w:ascii="Times New Roman" w:hAnsi="Times New Roman" w:cs="Times New Roman"/>
          <w:lang w:val="en-US"/>
        </w:rPr>
        <w:br/>
      </w:r>
    </w:p>
    <w:p w:rsidR="00AD5ACF" w:rsidRPr="0017001F" w:rsidRDefault="00AD5ACF" w:rsidP="00475623">
      <w:pPr>
        <w:autoSpaceDE w:val="0"/>
        <w:autoSpaceDN w:val="0"/>
        <w:adjustRightInd w:val="0"/>
        <w:spacing w:after="0" w:line="240" w:lineRule="auto"/>
        <w:rPr>
          <w:rFonts w:ascii="Times New Roman" w:hAnsi="Times New Roman" w:cs="Times New Roman"/>
          <w:lang w:val="en-US"/>
        </w:rPr>
        <w:sectPr w:rsidR="00AD5ACF" w:rsidRPr="0017001F" w:rsidSect="0065304C">
          <w:pgSz w:w="11906" w:h="16838"/>
          <w:pgMar w:top="1418" w:right="1134" w:bottom="1418" w:left="1418" w:header="708" w:footer="113" w:gutter="0"/>
          <w:cols w:space="708"/>
          <w:docGrid w:linePitch="360"/>
        </w:sectPr>
      </w:pPr>
    </w:p>
    <w:p w:rsidR="0065304C" w:rsidRDefault="0065304C" w:rsidP="0065304C">
      <w:pPr>
        <w:autoSpaceDE w:val="0"/>
        <w:autoSpaceDN w:val="0"/>
        <w:adjustRightInd w:val="0"/>
        <w:spacing w:after="0" w:line="240" w:lineRule="auto"/>
        <w:rPr>
          <w:rFonts w:ascii="Arial" w:hAnsi="Arial" w:cs="Arial"/>
          <w:b/>
          <w:i/>
          <w:lang w:val="en-US"/>
        </w:rPr>
      </w:pPr>
      <w:r w:rsidRPr="004011A1">
        <w:rPr>
          <w:rFonts w:ascii="Arial" w:hAnsi="Arial" w:cs="Arial"/>
          <w:b/>
          <w:i/>
          <w:lang w:val="en-US"/>
        </w:rPr>
        <w:lastRenderedPageBreak/>
        <w:t>4.3.2 Developing countries</w:t>
      </w:r>
    </w:p>
    <w:p w:rsidR="0065304C" w:rsidRPr="00475623" w:rsidRDefault="0065304C" w:rsidP="0065304C">
      <w:pPr>
        <w:autoSpaceDE w:val="0"/>
        <w:autoSpaceDN w:val="0"/>
        <w:adjustRightInd w:val="0"/>
        <w:spacing w:after="0" w:line="240" w:lineRule="auto"/>
        <w:rPr>
          <w:rFonts w:ascii="Arial" w:hAnsi="Arial" w:cs="Arial"/>
          <w:sz w:val="18"/>
          <w:szCs w:val="18"/>
          <w:lang w:val="en-US"/>
        </w:rPr>
      </w:pPr>
    </w:p>
    <w:p w:rsidR="0065304C" w:rsidRDefault="0065304C" w:rsidP="0065304C">
      <w:pPr>
        <w:pStyle w:val="ListParagraph"/>
        <w:ind w:left="0"/>
        <w:rPr>
          <w:lang w:val="en-US"/>
        </w:rPr>
      </w:pPr>
      <w:r>
        <w:rPr>
          <w:lang w:val="en-US"/>
        </w:rPr>
        <w:t>In our second sample, Hong Kong holds the higher equity holdings among the 19 countries, with 54, 1% of its total assets invested in equity. In comparison to the Developed countries, Developing appear to have much lower scores in Individualism, with a mean of 29 in comparison with 62 for the Developed countries.  On the contrary, Power Distance is much higher here, fluctuating around 62, compared to only 48 for the Developed. Uncertainty Avoidance and Masculinity do not show great differences between the two sub-samples.</w:t>
      </w:r>
    </w:p>
    <w:p w:rsidR="0065304C" w:rsidRDefault="0065304C" w:rsidP="0065304C">
      <w:pPr>
        <w:pStyle w:val="ListParagraph"/>
        <w:ind w:left="0"/>
        <w:rPr>
          <w:lang w:val="en-US"/>
        </w:rPr>
      </w:pPr>
    </w:p>
    <w:p w:rsidR="0065304C" w:rsidRDefault="0065304C" w:rsidP="0065304C">
      <w:pPr>
        <w:pStyle w:val="ListParagraph"/>
        <w:ind w:left="0"/>
        <w:rPr>
          <w:lang w:val="en-US"/>
        </w:rPr>
      </w:pPr>
      <w:r>
        <w:rPr>
          <w:lang w:val="en-US"/>
        </w:rPr>
        <w:t xml:space="preserve">Regarding to the control variables, we can see that Limits in Equity Investments </w:t>
      </w:r>
      <w:r>
        <w:rPr>
          <w:lang w:val="en-GB"/>
        </w:rPr>
        <w:t>(</w:t>
      </w:r>
      <w:r>
        <w:rPr>
          <w:lang w:val="en-US"/>
        </w:rPr>
        <w:t xml:space="preserve">EQINV) are much lower in the Developing countries, allowing for a riskier appetite, according to our theory. </w:t>
      </w:r>
    </w:p>
    <w:p w:rsidR="0065304C" w:rsidRPr="00A618A0" w:rsidRDefault="0065304C" w:rsidP="0065304C">
      <w:pPr>
        <w:pStyle w:val="ListParagraph"/>
        <w:ind w:left="0"/>
        <w:rPr>
          <w:lang w:val="en-US"/>
        </w:rPr>
      </w:pPr>
    </w:p>
    <w:p w:rsidR="0065304C" w:rsidRPr="0042423B" w:rsidRDefault="0065304C" w:rsidP="0065304C">
      <w:pPr>
        <w:spacing w:line="360" w:lineRule="auto"/>
        <w:jc w:val="both"/>
        <w:rPr>
          <w:b/>
          <w:lang w:val="en-US"/>
        </w:rPr>
      </w:pPr>
      <w:r w:rsidRPr="0042423B">
        <w:rPr>
          <w:b/>
          <w:lang w:val="en-US"/>
        </w:rPr>
        <w:t>Table 4.</w:t>
      </w:r>
      <w:r w:rsidR="00D47B51">
        <w:rPr>
          <w:b/>
          <w:lang w:val="en-US"/>
        </w:rPr>
        <w:t>7</w:t>
      </w:r>
      <w:r w:rsidRPr="0042423B">
        <w:rPr>
          <w:b/>
          <w:lang w:val="en-US"/>
        </w:rPr>
        <w:t xml:space="preserve"> Descriptive statistics for the Developing countries.</w:t>
      </w:r>
    </w:p>
    <w:tbl>
      <w:tblPr>
        <w:tblW w:w="5252" w:type="pct"/>
        <w:tblLook w:val="04A0"/>
      </w:tblPr>
      <w:tblGrid>
        <w:gridCol w:w="1630"/>
        <w:gridCol w:w="1234"/>
        <w:gridCol w:w="1222"/>
        <w:gridCol w:w="1222"/>
        <w:gridCol w:w="1222"/>
        <w:gridCol w:w="1222"/>
        <w:gridCol w:w="1222"/>
        <w:gridCol w:w="1228"/>
        <w:gridCol w:w="1281"/>
        <w:gridCol w:w="1726"/>
        <w:gridCol w:w="1726"/>
      </w:tblGrid>
      <w:tr w:rsidR="0065304C" w:rsidRPr="00317759" w:rsidTr="0065304C">
        <w:trPr>
          <w:trHeight w:val="274"/>
        </w:trPr>
        <w:tc>
          <w:tcPr>
            <w:tcW w:w="546" w:type="pct"/>
            <w:tcBorders>
              <w:top w:val="single" w:sz="4" w:space="0" w:color="000000"/>
              <w:left w:val="nil"/>
              <w:bottom w:val="single" w:sz="4" w:space="0" w:color="000000"/>
              <w:right w:val="nil"/>
            </w:tcBorders>
            <w:shd w:val="clear" w:color="auto" w:fill="auto"/>
            <w:noWrap/>
            <w:vAlign w:val="bottom"/>
            <w:hideMark/>
          </w:tcPr>
          <w:p w:rsidR="0065304C" w:rsidRPr="00C20494" w:rsidRDefault="0065304C" w:rsidP="00507616">
            <w:pPr>
              <w:spacing w:after="0" w:line="240" w:lineRule="auto"/>
              <w:rPr>
                <w:rFonts w:ascii="Calibri" w:eastAsia="Times New Roman" w:hAnsi="Calibri" w:cs="Times New Roman"/>
                <w:b/>
                <w:bCs/>
                <w:color w:val="000000"/>
                <w:lang w:val="en-US" w:eastAsia="el-GR"/>
              </w:rPr>
            </w:pPr>
          </w:p>
        </w:tc>
        <w:tc>
          <w:tcPr>
            <w:tcW w:w="413" w:type="pct"/>
            <w:tcBorders>
              <w:top w:val="single" w:sz="4" w:space="0" w:color="000000"/>
              <w:left w:val="nil"/>
              <w:bottom w:val="single" w:sz="4" w:space="0" w:color="000000"/>
              <w:right w:val="nil"/>
            </w:tcBorders>
            <w:shd w:val="clear" w:color="auto" w:fill="auto"/>
            <w:noWrap/>
            <w:vAlign w:val="bottom"/>
            <w:hideMark/>
          </w:tcPr>
          <w:p w:rsidR="0065304C" w:rsidRPr="00782D4B" w:rsidRDefault="0065304C" w:rsidP="00507616">
            <w:pPr>
              <w:spacing w:after="0" w:line="240" w:lineRule="auto"/>
              <w:jc w:val="center"/>
              <w:rPr>
                <w:rFonts w:ascii="Calibri" w:eastAsia="Times New Roman" w:hAnsi="Calibri" w:cs="Times New Roman"/>
                <w:b/>
                <w:bCs/>
                <w:color w:val="000000"/>
                <w:lang w:val="en-US" w:eastAsia="el-GR"/>
              </w:rPr>
            </w:pPr>
            <w:r w:rsidRPr="00782D4B">
              <w:rPr>
                <w:rFonts w:ascii="Calibri" w:eastAsia="Times New Roman" w:hAnsi="Calibri" w:cs="Times New Roman"/>
                <w:b/>
                <w:bCs/>
                <w:color w:val="000000"/>
                <w:lang w:val="en-US" w:eastAsia="el-GR"/>
              </w:rPr>
              <w:t>EqAll</w:t>
            </w:r>
          </w:p>
        </w:tc>
        <w:tc>
          <w:tcPr>
            <w:tcW w:w="409" w:type="pct"/>
            <w:tcBorders>
              <w:top w:val="single" w:sz="4" w:space="0" w:color="000000"/>
              <w:left w:val="nil"/>
              <w:bottom w:val="single" w:sz="4" w:space="0" w:color="000000"/>
              <w:right w:val="nil"/>
            </w:tcBorders>
            <w:shd w:val="clear" w:color="auto" w:fill="auto"/>
            <w:noWrap/>
            <w:vAlign w:val="bottom"/>
            <w:hideMark/>
          </w:tcPr>
          <w:p w:rsidR="0065304C" w:rsidRPr="00782D4B" w:rsidRDefault="0065304C" w:rsidP="00507616">
            <w:pPr>
              <w:spacing w:after="0" w:line="240" w:lineRule="auto"/>
              <w:jc w:val="center"/>
              <w:rPr>
                <w:rFonts w:ascii="Calibri" w:eastAsia="Times New Roman" w:hAnsi="Calibri" w:cs="Times New Roman"/>
                <w:b/>
                <w:bCs/>
                <w:color w:val="000000"/>
                <w:lang w:val="en-US" w:eastAsia="el-GR"/>
              </w:rPr>
            </w:pPr>
            <w:r w:rsidRPr="00782D4B">
              <w:rPr>
                <w:rFonts w:ascii="Calibri" w:eastAsia="Times New Roman" w:hAnsi="Calibri" w:cs="Times New Roman"/>
                <w:b/>
                <w:bCs/>
                <w:color w:val="000000"/>
                <w:lang w:val="en-US" w:eastAsia="el-GR"/>
              </w:rPr>
              <w:t>IDV</w:t>
            </w:r>
          </w:p>
        </w:tc>
        <w:tc>
          <w:tcPr>
            <w:tcW w:w="409" w:type="pct"/>
            <w:tcBorders>
              <w:top w:val="single" w:sz="4" w:space="0" w:color="000000"/>
              <w:left w:val="nil"/>
              <w:bottom w:val="single" w:sz="4" w:space="0" w:color="000000"/>
              <w:right w:val="nil"/>
            </w:tcBorders>
            <w:shd w:val="clear" w:color="auto" w:fill="auto"/>
            <w:noWrap/>
            <w:vAlign w:val="bottom"/>
            <w:hideMark/>
          </w:tcPr>
          <w:p w:rsidR="0065304C" w:rsidRPr="00782D4B" w:rsidRDefault="0065304C" w:rsidP="00507616">
            <w:pPr>
              <w:spacing w:after="0" w:line="240" w:lineRule="auto"/>
              <w:jc w:val="center"/>
              <w:rPr>
                <w:rFonts w:ascii="Calibri" w:eastAsia="Times New Roman" w:hAnsi="Calibri" w:cs="Times New Roman"/>
                <w:b/>
                <w:bCs/>
                <w:color w:val="000000"/>
                <w:lang w:val="en-US" w:eastAsia="el-GR"/>
              </w:rPr>
            </w:pPr>
            <w:r w:rsidRPr="00782D4B">
              <w:rPr>
                <w:rFonts w:ascii="Calibri" w:eastAsia="Times New Roman" w:hAnsi="Calibri" w:cs="Times New Roman"/>
                <w:b/>
                <w:bCs/>
                <w:color w:val="000000"/>
                <w:lang w:val="en-US" w:eastAsia="el-GR"/>
              </w:rPr>
              <w:t>MASC</w:t>
            </w:r>
          </w:p>
        </w:tc>
        <w:tc>
          <w:tcPr>
            <w:tcW w:w="409" w:type="pct"/>
            <w:tcBorders>
              <w:top w:val="single" w:sz="4" w:space="0" w:color="000000"/>
              <w:left w:val="nil"/>
              <w:bottom w:val="single" w:sz="4" w:space="0" w:color="000000"/>
              <w:right w:val="nil"/>
            </w:tcBorders>
            <w:shd w:val="clear" w:color="auto" w:fill="auto"/>
            <w:noWrap/>
            <w:vAlign w:val="bottom"/>
            <w:hideMark/>
          </w:tcPr>
          <w:p w:rsidR="0065304C" w:rsidRPr="00782D4B" w:rsidRDefault="0065304C" w:rsidP="00507616">
            <w:pPr>
              <w:spacing w:after="0" w:line="240" w:lineRule="auto"/>
              <w:jc w:val="center"/>
              <w:rPr>
                <w:rFonts w:ascii="Calibri" w:eastAsia="Times New Roman" w:hAnsi="Calibri" w:cs="Times New Roman"/>
                <w:b/>
                <w:bCs/>
                <w:color w:val="000000"/>
                <w:lang w:val="en-US" w:eastAsia="el-GR"/>
              </w:rPr>
            </w:pPr>
            <w:r w:rsidRPr="00782D4B">
              <w:rPr>
                <w:rFonts w:ascii="Calibri" w:eastAsia="Times New Roman" w:hAnsi="Calibri" w:cs="Times New Roman"/>
                <w:b/>
                <w:bCs/>
                <w:color w:val="000000"/>
                <w:lang w:val="en-US" w:eastAsia="el-GR"/>
              </w:rPr>
              <w:t>PDI</w:t>
            </w:r>
          </w:p>
        </w:tc>
        <w:tc>
          <w:tcPr>
            <w:tcW w:w="409" w:type="pct"/>
            <w:tcBorders>
              <w:top w:val="single" w:sz="4" w:space="0" w:color="000000"/>
              <w:left w:val="nil"/>
              <w:bottom w:val="single" w:sz="4" w:space="0" w:color="000000"/>
              <w:right w:val="nil"/>
            </w:tcBorders>
            <w:shd w:val="clear" w:color="auto" w:fill="auto"/>
            <w:noWrap/>
            <w:vAlign w:val="bottom"/>
            <w:hideMark/>
          </w:tcPr>
          <w:p w:rsidR="0065304C" w:rsidRPr="00782D4B" w:rsidRDefault="0065304C" w:rsidP="00507616">
            <w:pPr>
              <w:spacing w:after="0" w:line="240" w:lineRule="auto"/>
              <w:jc w:val="center"/>
              <w:rPr>
                <w:rFonts w:ascii="Calibri" w:eastAsia="Times New Roman" w:hAnsi="Calibri" w:cs="Times New Roman"/>
                <w:b/>
                <w:bCs/>
                <w:color w:val="000000"/>
                <w:lang w:val="en-US" w:eastAsia="el-GR"/>
              </w:rPr>
            </w:pPr>
            <w:r w:rsidRPr="00782D4B">
              <w:rPr>
                <w:rFonts w:ascii="Calibri" w:eastAsia="Times New Roman" w:hAnsi="Calibri" w:cs="Times New Roman"/>
                <w:b/>
                <w:bCs/>
                <w:color w:val="000000"/>
                <w:lang w:val="en-US" w:eastAsia="el-GR"/>
              </w:rPr>
              <w:t>UAI</w:t>
            </w:r>
          </w:p>
        </w:tc>
        <w:tc>
          <w:tcPr>
            <w:tcW w:w="409" w:type="pct"/>
            <w:tcBorders>
              <w:top w:val="single" w:sz="4" w:space="0" w:color="000000"/>
              <w:left w:val="nil"/>
              <w:bottom w:val="single" w:sz="4" w:space="0" w:color="000000"/>
              <w:right w:val="nil"/>
            </w:tcBorders>
            <w:shd w:val="clear" w:color="auto" w:fill="auto"/>
            <w:noWrap/>
            <w:vAlign w:val="bottom"/>
            <w:hideMark/>
          </w:tcPr>
          <w:p w:rsidR="0065304C" w:rsidRPr="00782D4B" w:rsidRDefault="0065304C" w:rsidP="00507616">
            <w:pPr>
              <w:spacing w:after="0" w:line="240" w:lineRule="auto"/>
              <w:jc w:val="center"/>
              <w:rPr>
                <w:rFonts w:ascii="Calibri" w:eastAsia="Times New Roman" w:hAnsi="Calibri" w:cs="Times New Roman"/>
                <w:b/>
                <w:bCs/>
                <w:color w:val="000000"/>
                <w:lang w:val="en-US" w:eastAsia="el-GR"/>
              </w:rPr>
            </w:pPr>
            <w:r w:rsidRPr="00782D4B">
              <w:rPr>
                <w:rFonts w:ascii="Calibri" w:eastAsia="Times New Roman" w:hAnsi="Calibri" w:cs="Times New Roman"/>
                <w:b/>
                <w:bCs/>
                <w:color w:val="000000"/>
                <w:lang w:val="en-US" w:eastAsia="el-GR"/>
              </w:rPr>
              <w:t>AGEDR</w:t>
            </w:r>
          </w:p>
        </w:tc>
        <w:tc>
          <w:tcPr>
            <w:tcW w:w="411" w:type="pct"/>
            <w:tcBorders>
              <w:top w:val="single" w:sz="4" w:space="0" w:color="000000"/>
              <w:left w:val="nil"/>
              <w:bottom w:val="single" w:sz="4" w:space="0" w:color="000000"/>
              <w:right w:val="nil"/>
            </w:tcBorders>
            <w:shd w:val="clear" w:color="auto" w:fill="auto"/>
            <w:noWrap/>
            <w:vAlign w:val="bottom"/>
            <w:hideMark/>
          </w:tcPr>
          <w:p w:rsidR="0065304C" w:rsidRPr="00782D4B" w:rsidRDefault="0065304C" w:rsidP="00507616">
            <w:pPr>
              <w:spacing w:after="0" w:line="240" w:lineRule="auto"/>
              <w:jc w:val="center"/>
              <w:rPr>
                <w:rFonts w:ascii="Calibri" w:eastAsia="Times New Roman" w:hAnsi="Calibri" w:cs="Times New Roman"/>
                <w:b/>
                <w:bCs/>
                <w:color w:val="000000"/>
                <w:lang w:val="en-US" w:eastAsia="el-GR"/>
              </w:rPr>
            </w:pPr>
            <w:r w:rsidRPr="00782D4B">
              <w:rPr>
                <w:rFonts w:ascii="Calibri" w:eastAsia="Times New Roman" w:hAnsi="Calibri" w:cs="Times New Roman"/>
                <w:b/>
                <w:bCs/>
                <w:color w:val="000000"/>
                <w:lang w:val="en-US" w:eastAsia="el-GR"/>
              </w:rPr>
              <w:t>LEQINV</w:t>
            </w:r>
          </w:p>
        </w:tc>
        <w:tc>
          <w:tcPr>
            <w:tcW w:w="429" w:type="pct"/>
            <w:tcBorders>
              <w:top w:val="single" w:sz="4" w:space="0" w:color="000000"/>
              <w:left w:val="nil"/>
              <w:bottom w:val="single" w:sz="4" w:space="0" w:color="000000"/>
              <w:right w:val="nil"/>
            </w:tcBorders>
            <w:shd w:val="clear" w:color="auto" w:fill="auto"/>
            <w:noWrap/>
            <w:vAlign w:val="bottom"/>
            <w:hideMark/>
          </w:tcPr>
          <w:p w:rsidR="0065304C" w:rsidRPr="00782D4B" w:rsidRDefault="0065304C" w:rsidP="00507616">
            <w:pPr>
              <w:spacing w:after="0" w:line="240" w:lineRule="auto"/>
              <w:jc w:val="center"/>
              <w:rPr>
                <w:rFonts w:ascii="Calibri" w:eastAsia="Times New Roman" w:hAnsi="Calibri" w:cs="Times New Roman"/>
                <w:b/>
                <w:bCs/>
                <w:color w:val="000000"/>
                <w:lang w:val="en-US" w:eastAsia="el-GR"/>
              </w:rPr>
            </w:pPr>
            <w:r w:rsidRPr="00782D4B">
              <w:rPr>
                <w:rFonts w:ascii="Calibri" w:eastAsia="Times New Roman" w:hAnsi="Calibri" w:cs="Times New Roman"/>
                <w:b/>
                <w:bCs/>
                <w:color w:val="000000"/>
                <w:lang w:val="en-US" w:eastAsia="el-GR"/>
              </w:rPr>
              <w:t>LNGDP</w:t>
            </w:r>
          </w:p>
        </w:tc>
        <w:tc>
          <w:tcPr>
            <w:tcW w:w="578" w:type="pct"/>
            <w:tcBorders>
              <w:top w:val="single" w:sz="4" w:space="0" w:color="000000"/>
              <w:left w:val="nil"/>
              <w:bottom w:val="single" w:sz="4" w:space="0" w:color="000000"/>
              <w:right w:val="nil"/>
            </w:tcBorders>
            <w:shd w:val="clear" w:color="auto" w:fill="auto"/>
            <w:noWrap/>
            <w:vAlign w:val="bottom"/>
            <w:hideMark/>
          </w:tcPr>
          <w:p w:rsidR="0065304C" w:rsidRPr="00782D4B" w:rsidRDefault="0065304C" w:rsidP="00507616">
            <w:pPr>
              <w:spacing w:after="0" w:line="240" w:lineRule="auto"/>
              <w:jc w:val="center"/>
              <w:rPr>
                <w:rFonts w:ascii="Calibri" w:eastAsia="Times New Roman" w:hAnsi="Calibri" w:cs="Times New Roman"/>
                <w:b/>
                <w:bCs/>
                <w:color w:val="000000"/>
                <w:lang w:val="en-US" w:eastAsia="el-GR"/>
              </w:rPr>
            </w:pPr>
            <w:r w:rsidRPr="00782D4B">
              <w:rPr>
                <w:rFonts w:ascii="Calibri" w:eastAsia="Times New Roman" w:hAnsi="Calibri" w:cs="Times New Roman"/>
                <w:b/>
                <w:bCs/>
                <w:color w:val="000000"/>
                <w:lang w:val="en-US" w:eastAsia="el-GR"/>
              </w:rPr>
              <w:t>LNMARCAP</w:t>
            </w:r>
          </w:p>
        </w:tc>
        <w:tc>
          <w:tcPr>
            <w:tcW w:w="578" w:type="pct"/>
            <w:tcBorders>
              <w:top w:val="single" w:sz="4" w:space="0" w:color="000000"/>
              <w:left w:val="nil"/>
              <w:bottom w:val="single" w:sz="4" w:space="0" w:color="000000"/>
              <w:right w:val="nil"/>
            </w:tcBorders>
          </w:tcPr>
          <w:p w:rsidR="0065304C" w:rsidRPr="00782D4B" w:rsidRDefault="0065304C" w:rsidP="00507616">
            <w:pPr>
              <w:spacing w:after="0" w:line="240" w:lineRule="auto"/>
              <w:jc w:val="center"/>
              <w:rPr>
                <w:rFonts w:ascii="Calibri" w:eastAsia="Times New Roman" w:hAnsi="Calibri" w:cs="Times New Roman"/>
                <w:b/>
                <w:bCs/>
                <w:color w:val="000000"/>
                <w:lang w:val="en-US" w:eastAsia="el-GR"/>
              </w:rPr>
            </w:pPr>
            <w:r>
              <w:rPr>
                <w:rFonts w:ascii="Calibri" w:eastAsia="Times New Roman" w:hAnsi="Calibri" w:cs="Times New Roman"/>
                <w:b/>
                <w:bCs/>
                <w:color w:val="000000"/>
                <w:lang w:val="en-US" w:eastAsia="el-GR"/>
              </w:rPr>
              <w:t>DB</w:t>
            </w:r>
          </w:p>
        </w:tc>
      </w:tr>
      <w:tr w:rsidR="0065304C" w:rsidRPr="00317759" w:rsidTr="0065304C">
        <w:trPr>
          <w:trHeight w:val="274"/>
        </w:trPr>
        <w:tc>
          <w:tcPr>
            <w:tcW w:w="546" w:type="pct"/>
            <w:tcBorders>
              <w:top w:val="nil"/>
              <w:left w:val="nil"/>
              <w:bottom w:val="nil"/>
              <w:right w:val="nil"/>
            </w:tcBorders>
            <w:shd w:val="clear" w:color="auto" w:fill="auto"/>
            <w:noWrap/>
            <w:vAlign w:val="bottom"/>
            <w:hideMark/>
          </w:tcPr>
          <w:p w:rsidR="0065304C" w:rsidRPr="00782D4B" w:rsidRDefault="0065304C" w:rsidP="00507616">
            <w:pPr>
              <w:spacing w:after="0" w:line="240" w:lineRule="auto"/>
              <w:rPr>
                <w:rFonts w:ascii="Calibri" w:eastAsia="Times New Roman" w:hAnsi="Calibri" w:cs="Times New Roman"/>
                <w:b/>
                <w:bCs/>
                <w:color w:val="000000"/>
                <w:lang w:val="en-US" w:eastAsia="el-GR"/>
              </w:rPr>
            </w:pPr>
            <w:r w:rsidRPr="00782D4B">
              <w:rPr>
                <w:rFonts w:ascii="Calibri" w:eastAsia="Times New Roman" w:hAnsi="Calibri" w:cs="Times New Roman"/>
                <w:b/>
                <w:bCs/>
                <w:color w:val="000000"/>
                <w:lang w:val="en-US" w:eastAsia="el-GR"/>
              </w:rPr>
              <w:t> Mean</w:t>
            </w:r>
          </w:p>
        </w:tc>
        <w:tc>
          <w:tcPr>
            <w:tcW w:w="413" w:type="pct"/>
            <w:tcBorders>
              <w:top w:val="nil"/>
              <w:left w:val="nil"/>
              <w:bottom w:val="nil"/>
              <w:right w:val="nil"/>
            </w:tcBorders>
            <w:shd w:val="clear" w:color="auto" w:fill="auto"/>
            <w:noWrap/>
            <w:vAlign w:val="bottom"/>
            <w:hideMark/>
          </w:tcPr>
          <w:p w:rsidR="0065304C" w:rsidRPr="00782D4B" w:rsidRDefault="0065304C" w:rsidP="00507616">
            <w:pPr>
              <w:spacing w:after="0" w:line="240" w:lineRule="auto"/>
              <w:jc w:val="center"/>
              <w:rPr>
                <w:rFonts w:ascii="Calibri" w:eastAsia="Times New Roman" w:hAnsi="Calibri" w:cs="Times New Roman"/>
                <w:color w:val="000000"/>
                <w:lang w:val="en-US" w:eastAsia="el-GR"/>
              </w:rPr>
            </w:pPr>
            <w:r w:rsidRPr="00782D4B">
              <w:rPr>
                <w:rFonts w:ascii="Calibri" w:eastAsia="Times New Roman" w:hAnsi="Calibri" w:cs="Times New Roman"/>
                <w:color w:val="000000"/>
                <w:lang w:val="en-US" w:eastAsia="el-GR"/>
              </w:rPr>
              <w:t>0.16</w:t>
            </w:r>
            <w:r w:rsidR="003E6553">
              <w:rPr>
                <w:rFonts w:ascii="Calibri" w:eastAsia="Times New Roman" w:hAnsi="Calibri" w:cs="Times New Roman"/>
                <w:color w:val="000000"/>
                <w:lang w:val="en-US" w:eastAsia="el-GR"/>
              </w:rPr>
              <w:t>4</w:t>
            </w:r>
          </w:p>
        </w:tc>
        <w:tc>
          <w:tcPr>
            <w:tcW w:w="409" w:type="pct"/>
            <w:tcBorders>
              <w:top w:val="nil"/>
              <w:left w:val="nil"/>
              <w:bottom w:val="nil"/>
              <w:right w:val="nil"/>
            </w:tcBorders>
            <w:shd w:val="clear" w:color="auto" w:fill="auto"/>
            <w:noWrap/>
            <w:vAlign w:val="bottom"/>
            <w:hideMark/>
          </w:tcPr>
          <w:p w:rsidR="0065304C" w:rsidRPr="004E2867" w:rsidRDefault="0065304C" w:rsidP="003E6553">
            <w:pPr>
              <w:spacing w:after="0" w:line="240" w:lineRule="auto"/>
              <w:jc w:val="center"/>
              <w:rPr>
                <w:rFonts w:ascii="Calibri" w:eastAsia="Times New Roman" w:hAnsi="Calibri" w:cs="Times New Roman"/>
                <w:color w:val="000000"/>
                <w:lang w:val="en-US" w:eastAsia="el-GR"/>
              </w:rPr>
            </w:pPr>
            <w:r w:rsidRPr="00782D4B">
              <w:rPr>
                <w:rFonts w:ascii="Calibri" w:eastAsia="Times New Roman" w:hAnsi="Calibri" w:cs="Times New Roman"/>
                <w:color w:val="000000"/>
                <w:lang w:val="en-US" w:eastAsia="el-GR"/>
              </w:rPr>
              <w:t>0.293</w:t>
            </w:r>
          </w:p>
        </w:tc>
        <w:tc>
          <w:tcPr>
            <w:tcW w:w="409" w:type="pct"/>
            <w:tcBorders>
              <w:top w:val="nil"/>
              <w:left w:val="nil"/>
              <w:bottom w:val="nil"/>
              <w:right w:val="nil"/>
            </w:tcBorders>
            <w:shd w:val="clear" w:color="auto" w:fill="auto"/>
            <w:noWrap/>
            <w:vAlign w:val="bottom"/>
            <w:hideMark/>
          </w:tcPr>
          <w:p w:rsidR="0065304C" w:rsidRPr="004E2867" w:rsidRDefault="0065304C" w:rsidP="003E6553">
            <w:pPr>
              <w:spacing w:after="0" w:line="240" w:lineRule="auto"/>
              <w:jc w:val="center"/>
              <w:rPr>
                <w:rFonts w:ascii="Calibri" w:eastAsia="Times New Roman" w:hAnsi="Calibri" w:cs="Times New Roman"/>
                <w:color w:val="000000"/>
                <w:lang w:val="en-US" w:eastAsia="el-GR"/>
              </w:rPr>
            </w:pPr>
            <w:r w:rsidRPr="00782D4B">
              <w:rPr>
                <w:rFonts w:ascii="Calibri" w:eastAsia="Times New Roman" w:hAnsi="Calibri" w:cs="Times New Roman"/>
                <w:color w:val="000000"/>
                <w:lang w:val="en-US" w:eastAsia="el-GR"/>
              </w:rPr>
              <w:t>0</w:t>
            </w:r>
            <w:r w:rsidRPr="00317759">
              <w:rPr>
                <w:rFonts w:ascii="Calibri" w:eastAsia="Times New Roman" w:hAnsi="Calibri" w:cs="Times New Roman"/>
                <w:color w:val="000000"/>
                <w:lang w:val="en-GB" w:eastAsia="el-GR"/>
              </w:rPr>
              <w:t>.482</w:t>
            </w:r>
          </w:p>
        </w:tc>
        <w:tc>
          <w:tcPr>
            <w:tcW w:w="409" w:type="pct"/>
            <w:tcBorders>
              <w:top w:val="nil"/>
              <w:left w:val="nil"/>
              <w:bottom w:val="nil"/>
              <w:right w:val="nil"/>
            </w:tcBorders>
            <w:shd w:val="clear" w:color="auto" w:fill="auto"/>
            <w:noWrap/>
            <w:vAlign w:val="bottom"/>
            <w:hideMark/>
          </w:tcPr>
          <w:p w:rsidR="0065304C" w:rsidRPr="004E2867" w:rsidRDefault="003E6553" w:rsidP="003E6553">
            <w:pPr>
              <w:spacing w:after="0" w:line="240" w:lineRule="auto"/>
              <w:jc w:val="center"/>
              <w:rPr>
                <w:rFonts w:ascii="Calibri" w:eastAsia="Times New Roman" w:hAnsi="Calibri" w:cs="Times New Roman"/>
                <w:color w:val="000000"/>
                <w:lang w:val="en-US" w:eastAsia="el-GR"/>
              </w:rPr>
            </w:pPr>
            <w:r>
              <w:rPr>
                <w:rFonts w:ascii="Calibri" w:eastAsia="Times New Roman" w:hAnsi="Calibri" w:cs="Times New Roman"/>
                <w:color w:val="000000"/>
                <w:lang w:val="en-GB" w:eastAsia="el-GR"/>
              </w:rPr>
              <w:t>0.617</w:t>
            </w:r>
          </w:p>
        </w:tc>
        <w:tc>
          <w:tcPr>
            <w:tcW w:w="409" w:type="pct"/>
            <w:tcBorders>
              <w:top w:val="nil"/>
              <w:left w:val="nil"/>
              <w:bottom w:val="nil"/>
              <w:right w:val="nil"/>
            </w:tcBorders>
            <w:shd w:val="clear" w:color="auto" w:fill="auto"/>
            <w:noWrap/>
            <w:vAlign w:val="bottom"/>
            <w:hideMark/>
          </w:tcPr>
          <w:p w:rsidR="0065304C" w:rsidRPr="00C20494" w:rsidRDefault="0065304C" w:rsidP="003E6553">
            <w:pPr>
              <w:spacing w:after="0" w:line="240" w:lineRule="auto"/>
              <w:jc w:val="center"/>
              <w:rPr>
                <w:rFonts w:ascii="Calibri" w:eastAsia="Times New Roman" w:hAnsi="Calibri" w:cs="Times New Roman"/>
                <w:color w:val="000000"/>
                <w:lang w:val="en-US" w:eastAsia="el-GR"/>
              </w:rPr>
            </w:pPr>
            <w:r w:rsidRPr="00317759">
              <w:rPr>
                <w:rFonts w:ascii="Calibri" w:eastAsia="Times New Roman" w:hAnsi="Calibri" w:cs="Times New Roman"/>
                <w:color w:val="000000"/>
                <w:lang w:val="en-GB" w:eastAsia="el-GR"/>
              </w:rPr>
              <w:t>0.684</w:t>
            </w:r>
          </w:p>
        </w:tc>
        <w:tc>
          <w:tcPr>
            <w:tcW w:w="409" w:type="pct"/>
            <w:tcBorders>
              <w:top w:val="nil"/>
              <w:left w:val="nil"/>
              <w:bottom w:val="nil"/>
              <w:right w:val="nil"/>
            </w:tcBorders>
            <w:shd w:val="clear" w:color="auto" w:fill="auto"/>
            <w:noWrap/>
            <w:vAlign w:val="bottom"/>
            <w:hideMark/>
          </w:tcPr>
          <w:p w:rsidR="0065304C" w:rsidRPr="00C20494" w:rsidRDefault="003E6553" w:rsidP="003E6553">
            <w:pPr>
              <w:spacing w:after="0" w:line="240" w:lineRule="auto"/>
              <w:jc w:val="center"/>
              <w:rPr>
                <w:rFonts w:ascii="Calibri" w:eastAsia="Times New Roman" w:hAnsi="Calibri" w:cs="Times New Roman"/>
                <w:color w:val="000000"/>
                <w:lang w:val="en-US" w:eastAsia="el-GR"/>
              </w:rPr>
            </w:pPr>
            <w:r>
              <w:rPr>
                <w:rFonts w:ascii="Calibri" w:eastAsia="Times New Roman" w:hAnsi="Calibri" w:cs="Times New Roman"/>
                <w:color w:val="000000"/>
                <w:lang w:val="en-GB" w:eastAsia="el-GR"/>
              </w:rPr>
              <w:t>0.480</w:t>
            </w:r>
          </w:p>
        </w:tc>
        <w:tc>
          <w:tcPr>
            <w:tcW w:w="411" w:type="pct"/>
            <w:tcBorders>
              <w:top w:val="nil"/>
              <w:left w:val="nil"/>
              <w:bottom w:val="nil"/>
              <w:right w:val="nil"/>
            </w:tcBorders>
            <w:shd w:val="clear" w:color="auto" w:fill="auto"/>
            <w:noWrap/>
            <w:vAlign w:val="bottom"/>
            <w:hideMark/>
          </w:tcPr>
          <w:p w:rsidR="0065304C" w:rsidRPr="00C20494" w:rsidRDefault="0065304C" w:rsidP="003E6553">
            <w:pPr>
              <w:spacing w:after="0" w:line="240" w:lineRule="auto"/>
              <w:jc w:val="center"/>
              <w:rPr>
                <w:rFonts w:ascii="Calibri" w:eastAsia="Times New Roman" w:hAnsi="Calibri" w:cs="Times New Roman"/>
                <w:color w:val="000000"/>
                <w:lang w:val="en-US" w:eastAsia="el-GR"/>
              </w:rPr>
            </w:pPr>
            <w:r w:rsidRPr="00317759">
              <w:rPr>
                <w:rFonts w:ascii="Calibri" w:eastAsia="Times New Roman" w:hAnsi="Calibri" w:cs="Times New Roman"/>
                <w:color w:val="000000"/>
                <w:lang w:val="en-GB" w:eastAsia="el-GR"/>
              </w:rPr>
              <w:t>0.474</w:t>
            </w:r>
          </w:p>
        </w:tc>
        <w:tc>
          <w:tcPr>
            <w:tcW w:w="429" w:type="pct"/>
            <w:tcBorders>
              <w:top w:val="nil"/>
              <w:left w:val="nil"/>
              <w:bottom w:val="nil"/>
              <w:right w:val="nil"/>
            </w:tcBorders>
            <w:shd w:val="clear" w:color="auto" w:fill="auto"/>
            <w:noWrap/>
            <w:vAlign w:val="bottom"/>
            <w:hideMark/>
          </w:tcPr>
          <w:p w:rsidR="0065304C" w:rsidRPr="00C20494" w:rsidRDefault="0065304C" w:rsidP="00507616">
            <w:pPr>
              <w:spacing w:after="0" w:line="240" w:lineRule="auto"/>
              <w:jc w:val="center"/>
              <w:rPr>
                <w:rFonts w:ascii="Calibri" w:eastAsia="Times New Roman" w:hAnsi="Calibri" w:cs="Times New Roman"/>
                <w:color w:val="000000"/>
                <w:lang w:val="en-US" w:eastAsia="el-GR"/>
              </w:rPr>
            </w:pPr>
            <w:r w:rsidRPr="00317759">
              <w:rPr>
                <w:rFonts w:ascii="Calibri" w:eastAsia="Times New Roman" w:hAnsi="Calibri" w:cs="Times New Roman"/>
                <w:color w:val="000000"/>
                <w:lang w:val="en-GB" w:eastAsia="el-GR"/>
              </w:rPr>
              <w:t>9.695</w:t>
            </w:r>
          </w:p>
        </w:tc>
        <w:tc>
          <w:tcPr>
            <w:tcW w:w="578" w:type="pct"/>
            <w:tcBorders>
              <w:top w:val="nil"/>
              <w:left w:val="nil"/>
              <w:bottom w:val="nil"/>
              <w:right w:val="nil"/>
            </w:tcBorders>
            <w:shd w:val="clear" w:color="auto" w:fill="auto"/>
            <w:noWrap/>
            <w:vAlign w:val="bottom"/>
            <w:hideMark/>
          </w:tcPr>
          <w:p w:rsidR="0065304C" w:rsidRPr="00C20494" w:rsidRDefault="003E6553" w:rsidP="003E6553">
            <w:pPr>
              <w:spacing w:after="0" w:line="240" w:lineRule="auto"/>
              <w:jc w:val="center"/>
              <w:rPr>
                <w:rFonts w:ascii="Calibri" w:eastAsia="Times New Roman" w:hAnsi="Calibri" w:cs="Times New Roman"/>
                <w:color w:val="000000"/>
                <w:lang w:val="en-US" w:eastAsia="el-GR"/>
              </w:rPr>
            </w:pPr>
            <w:r>
              <w:rPr>
                <w:rFonts w:ascii="Calibri" w:eastAsia="Times New Roman" w:hAnsi="Calibri" w:cs="Times New Roman"/>
                <w:color w:val="000000"/>
                <w:lang w:val="en-GB" w:eastAsia="el-GR"/>
              </w:rPr>
              <w:t>3.522</w:t>
            </w:r>
          </w:p>
        </w:tc>
        <w:tc>
          <w:tcPr>
            <w:tcW w:w="578" w:type="pct"/>
            <w:tcBorders>
              <w:top w:val="nil"/>
              <w:left w:val="nil"/>
              <w:bottom w:val="nil"/>
              <w:right w:val="nil"/>
            </w:tcBorders>
          </w:tcPr>
          <w:p w:rsidR="0065304C" w:rsidRPr="00317759" w:rsidRDefault="0065304C" w:rsidP="00507616">
            <w:pPr>
              <w:spacing w:after="0" w:line="240" w:lineRule="auto"/>
              <w:jc w:val="center"/>
              <w:rPr>
                <w:rFonts w:ascii="Calibri" w:eastAsia="Times New Roman" w:hAnsi="Calibri" w:cs="Times New Roman"/>
                <w:color w:val="000000"/>
                <w:lang w:val="en-GB" w:eastAsia="el-GR"/>
              </w:rPr>
            </w:pPr>
            <w:r>
              <w:rPr>
                <w:rFonts w:ascii="Calibri" w:eastAsia="Times New Roman" w:hAnsi="Calibri" w:cs="Times New Roman"/>
                <w:color w:val="000000"/>
                <w:lang w:val="en-GB" w:eastAsia="el-GR"/>
              </w:rPr>
              <w:t>0.12</w:t>
            </w:r>
            <w:r w:rsidR="003E6553">
              <w:rPr>
                <w:rFonts w:ascii="Calibri" w:eastAsia="Times New Roman" w:hAnsi="Calibri" w:cs="Times New Roman"/>
                <w:color w:val="000000"/>
                <w:lang w:val="en-GB" w:eastAsia="el-GR"/>
              </w:rPr>
              <w:t>8</w:t>
            </w:r>
          </w:p>
        </w:tc>
      </w:tr>
      <w:tr w:rsidR="0065304C" w:rsidRPr="004E2867" w:rsidTr="0065304C">
        <w:trPr>
          <w:trHeight w:val="274"/>
        </w:trPr>
        <w:tc>
          <w:tcPr>
            <w:tcW w:w="546" w:type="pct"/>
            <w:tcBorders>
              <w:top w:val="nil"/>
              <w:left w:val="nil"/>
              <w:bottom w:val="nil"/>
              <w:right w:val="nil"/>
            </w:tcBorders>
            <w:shd w:val="clear" w:color="auto" w:fill="auto"/>
            <w:noWrap/>
            <w:vAlign w:val="bottom"/>
            <w:hideMark/>
          </w:tcPr>
          <w:p w:rsidR="0065304C" w:rsidRPr="004E2867" w:rsidRDefault="0065304C" w:rsidP="00507616">
            <w:pPr>
              <w:spacing w:after="0" w:line="240" w:lineRule="auto"/>
              <w:rPr>
                <w:rFonts w:ascii="Calibri" w:eastAsia="Times New Roman" w:hAnsi="Calibri" w:cs="Times New Roman"/>
                <w:b/>
                <w:bCs/>
                <w:color w:val="000000"/>
                <w:lang w:eastAsia="el-GR"/>
              </w:rPr>
            </w:pPr>
            <w:r w:rsidRPr="00317759">
              <w:rPr>
                <w:rFonts w:ascii="Calibri" w:eastAsia="Times New Roman" w:hAnsi="Calibri" w:cs="Times New Roman"/>
                <w:b/>
                <w:bCs/>
                <w:color w:val="000000"/>
                <w:lang w:val="en-GB" w:eastAsia="el-GR"/>
              </w:rPr>
              <w:t> Me</w:t>
            </w:r>
            <w:r w:rsidRPr="004E2867">
              <w:rPr>
                <w:rFonts w:ascii="Calibri" w:eastAsia="Times New Roman" w:hAnsi="Calibri" w:cs="Times New Roman"/>
                <w:b/>
                <w:bCs/>
                <w:color w:val="000000"/>
                <w:lang w:eastAsia="el-GR"/>
              </w:rPr>
              <w:t>dian</w:t>
            </w:r>
          </w:p>
        </w:tc>
        <w:tc>
          <w:tcPr>
            <w:tcW w:w="413" w:type="pct"/>
            <w:tcBorders>
              <w:top w:val="nil"/>
              <w:left w:val="nil"/>
              <w:bottom w:val="nil"/>
              <w:right w:val="nil"/>
            </w:tcBorders>
            <w:shd w:val="clear" w:color="auto" w:fill="auto"/>
            <w:noWrap/>
            <w:vAlign w:val="bottom"/>
            <w:hideMark/>
          </w:tcPr>
          <w:p w:rsidR="0065304C" w:rsidRPr="004E2867" w:rsidRDefault="0065304C" w:rsidP="00507616">
            <w:pPr>
              <w:spacing w:after="0" w:line="240" w:lineRule="auto"/>
              <w:jc w:val="center"/>
              <w:rPr>
                <w:rFonts w:ascii="Calibri" w:eastAsia="Times New Roman" w:hAnsi="Calibri" w:cs="Times New Roman"/>
                <w:color w:val="000000"/>
                <w:lang w:eastAsia="el-GR"/>
              </w:rPr>
            </w:pPr>
            <w:r w:rsidRPr="004E2867">
              <w:rPr>
                <w:rFonts w:ascii="Calibri" w:eastAsia="Times New Roman" w:hAnsi="Calibri" w:cs="Times New Roman"/>
                <w:color w:val="000000"/>
                <w:lang w:eastAsia="el-GR"/>
              </w:rPr>
              <w:t>0.121</w:t>
            </w:r>
          </w:p>
        </w:tc>
        <w:tc>
          <w:tcPr>
            <w:tcW w:w="409" w:type="pct"/>
            <w:tcBorders>
              <w:top w:val="nil"/>
              <w:left w:val="nil"/>
              <w:bottom w:val="nil"/>
              <w:right w:val="nil"/>
            </w:tcBorders>
            <w:shd w:val="clear" w:color="auto" w:fill="auto"/>
            <w:noWrap/>
            <w:vAlign w:val="bottom"/>
            <w:hideMark/>
          </w:tcPr>
          <w:p w:rsidR="0065304C" w:rsidRPr="004E2867" w:rsidRDefault="0065304C" w:rsidP="00507616">
            <w:pPr>
              <w:spacing w:after="0" w:line="240" w:lineRule="auto"/>
              <w:jc w:val="center"/>
              <w:rPr>
                <w:rFonts w:ascii="Calibri" w:eastAsia="Times New Roman" w:hAnsi="Calibri" w:cs="Times New Roman"/>
                <w:color w:val="000000"/>
                <w:lang w:eastAsia="el-GR"/>
              </w:rPr>
            </w:pPr>
            <w:r w:rsidRPr="004E2867">
              <w:rPr>
                <w:rFonts w:ascii="Calibri" w:eastAsia="Times New Roman" w:hAnsi="Calibri" w:cs="Times New Roman"/>
                <w:color w:val="000000"/>
                <w:lang w:eastAsia="el-GR"/>
              </w:rPr>
              <w:t>0.25</w:t>
            </w:r>
            <w:r w:rsidR="003E6553">
              <w:rPr>
                <w:rFonts w:ascii="Calibri" w:eastAsia="Times New Roman" w:hAnsi="Calibri" w:cs="Times New Roman"/>
                <w:color w:val="000000"/>
                <w:lang w:eastAsia="el-GR"/>
              </w:rPr>
              <w:t>0</w:t>
            </w:r>
          </w:p>
        </w:tc>
        <w:tc>
          <w:tcPr>
            <w:tcW w:w="409" w:type="pct"/>
            <w:tcBorders>
              <w:top w:val="nil"/>
              <w:left w:val="nil"/>
              <w:bottom w:val="nil"/>
              <w:right w:val="nil"/>
            </w:tcBorders>
            <w:shd w:val="clear" w:color="auto" w:fill="auto"/>
            <w:noWrap/>
            <w:vAlign w:val="bottom"/>
            <w:hideMark/>
          </w:tcPr>
          <w:p w:rsidR="0065304C" w:rsidRPr="004E2867" w:rsidRDefault="0065304C" w:rsidP="00507616">
            <w:pPr>
              <w:spacing w:after="0" w:line="240" w:lineRule="auto"/>
              <w:jc w:val="center"/>
              <w:rPr>
                <w:rFonts w:ascii="Calibri" w:eastAsia="Times New Roman" w:hAnsi="Calibri" w:cs="Times New Roman"/>
                <w:color w:val="000000"/>
                <w:lang w:eastAsia="el-GR"/>
              </w:rPr>
            </w:pPr>
            <w:r w:rsidRPr="004E2867">
              <w:rPr>
                <w:rFonts w:ascii="Calibri" w:eastAsia="Times New Roman" w:hAnsi="Calibri" w:cs="Times New Roman"/>
                <w:color w:val="000000"/>
                <w:lang w:eastAsia="el-GR"/>
              </w:rPr>
              <w:t>0.47</w:t>
            </w:r>
            <w:r w:rsidR="003E6553">
              <w:rPr>
                <w:rFonts w:ascii="Calibri" w:eastAsia="Times New Roman" w:hAnsi="Calibri" w:cs="Times New Roman"/>
                <w:color w:val="000000"/>
                <w:lang w:eastAsia="el-GR"/>
              </w:rPr>
              <w:t>0</w:t>
            </w:r>
          </w:p>
        </w:tc>
        <w:tc>
          <w:tcPr>
            <w:tcW w:w="409" w:type="pct"/>
            <w:tcBorders>
              <w:top w:val="nil"/>
              <w:left w:val="nil"/>
              <w:bottom w:val="nil"/>
              <w:right w:val="nil"/>
            </w:tcBorders>
            <w:shd w:val="clear" w:color="auto" w:fill="auto"/>
            <w:noWrap/>
            <w:vAlign w:val="bottom"/>
            <w:hideMark/>
          </w:tcPr>
          <w:p w:rsidR="0065304C" w:rsidRPr="004E2867" w:rsidRDefault="0065304C" w:rsidP="00507616">
            <w:pPr>
              <w:spacing w:after="0" w:line="240" w:lineRule="auto"/>
              <w:jc w:val="center"/>
              <w:rPr>
                <w:rFonts w:ascii="Calibri" w:eastAsia="Times New Roman" w:hAnsi="Calibri" w:cs="Times New Roman"/>
                <w:color w:val="000000"/>
                <w:lang w:eastAsia="el-GR"/>
              </w:rPr>
            </w:pPr>
            <w:r w:rsidRPr="004E2867">
              <w:rPr>
                <w:rFonts w:ascii="Calibri" w:eastAsia="Times New Roman" w:hAnsi="Calibri" w:cs="Times New Roman"/>
                <w:color w:val="000000"/>
                <w:lang w:eastAsia="el-GR"/>
              </w:rPr>
              <w:t>0.64</w:t>
            </w:r>
            <w:r w:rsidR="003E6553">
              <w:rPr>
                <w:rFonts w:ascii="Calibri" w:eastAsia="Times New Roman" w:hAnsi="Calibri" w:cs="Times New Roman"/>
                <w:color w:val="000000"/>
                <w:lang w:eastAsia="el-GR"/>
              </w:rPr>
              <w:t>9</w:t>
            </w:r>
          </w:p>
        </w:tc>
        <w:tc>
          <w:tcPr>
            <w:tcW w:w="409" w:type="pct"/>
            <w:tcBorders>
              <w:top w:val="nil"/>
              <w:left w:val="nil"/>
              <w:bottom w:val="nil"/>
              <w:right w:val="nil"/>
            </w:tcBorders>
            <w:shd w:val="clear" w:color="auto" w:fill="auto"/>
            <w:noWrap/>
            <w:vAlign w:val="bottom"/>
            <w:hideMark/>
          </w:tcPr>
          <w:p w:rsidR="0065304C" w:rsidRPr="004E2867" w:rsidRDefault="0065304C" w:rsidP="00507616">
            <w:pPr>
              <w:spacing w:after="0" w:line="240" w:lineRule="auto"/>
              <w:jc w:val="center"/>
              <w:rPr>
                <w:rFonts w:ascii="Calibri" w:eastAsia="Times New Roman" w:hAnsi="Calibri" w:cs="Times New Roman"/>
                <w:color w:val="000000"/>
                <w:lang w:eastAsia="el-GR"/>
              </w:rPr>
            </w:pPr>
            <w:r w:rsidRPr="004E2867">
              <w:rPr>
                <w:rFonts w:ascii="Calibri" w:eastAsia="Times New Roman" w:hAnsi="Calibri" w:cs="Times New Roman"/>
                <w:color w:val="000000"/>
                <w:lang w:eastAsia="el-GR"/>
              </w:rPr>
              <w:t>0.8</w:t>
            </w:r>
            <w:r w:rsidR="003E6553">
              <w:rPr>
                <w:rFonts w:ascii="Calibri" w:eastAsia="Times New Roman" w:hAnsi="Calibri" w:cs="Times New Roman"/>
                <w:color w:val="000000"/>
                <w:lang w:eastAsia="el-GR"/>
              </w:rPr>
              <w:t>00</w:t>
            </w:r>
          </w:p>
        </w:tc>
        <w:tc>
          <w:tcPr>
            <w:tcW w:w="409" w:type="pct"/>
            <w:tcBorders>
              <w:top w:val="nil"/>
              <w:left w:val="nil"/>
              <w:bottom w:val="nil"/>
              <w:right w:val="nil"/>
            </w:tcBorders>
            <w:shd w:val="clear" w:color="auto" w:fill="auto"/>
            <w:noWrap/>
            <w:vAlign w:val="bottom"/>
            <w:hideMark/>
          </w:tcPr>
          <w:p w:rsidR="0065304C" w:rsidRPr="00C20494" w:rsidRDefault="003E6553" w:rsidP="003E6553">
            <w:pPr>
              <w:spacing w:after="0" w:line="240" w:lineRule="auto"/>
              <w:jc w:val="center"/>
              <w:rPr>
                <w:rFonts w:ascii="Calibri" w:eastAsia="Times New Roman" w:hAnsi="Calibri" w:cs="Times New Roman"/>
                <w:color w:val="000000"/>
                <w:lang w:val="en-US" w:eastAsia="el-GR"/>
              </w:rPr>
            </w:pPr>
            <w:r>
              <w:rPr>
                <w:rFonts w:ascii="Calibri" w:eastAsia="Times New Roman" w:hAnsi="Calibri" w:cs="Times New Roman"/>
                <w:color w:val="000000"/>
                <w:lang w:eastAsia="el-GR"/>
              </w:rPr>
              <w:t>0.485</w:t>
            </w:r>
          </w:p>
        </w:tc>
        <w:tc>
          <w:tcPr>
            <w:tcW w:w="411" w:type="pct"/>
            <w:tcBorders>
              <w:top w:val="nil"/>
              <w:left w:val="nil"/>
              <w:bottom w:val="nil"/>
              <w:right w:val="nil"/>
            </w:tcBorders>
            <w:shd w:val="clear" w:color="auto" w:fill="auto"/>
            <w:noWrap/>
            <w:vAlign w:val="bottom"/>
            <w:hideMark/>
          </w:tcPr>
          <w:p w:rsidR="0065304C" w:rsidRPr="004E2867" w:rsidRDefault="0065304C" w:rsidP="00507616">
            <w:pPr>
              <w:spacing w:after="0" w:line="240" w:lineRule="auto"/>
              <w:jc w:val="center"/>
              <w:rPr>
                <w:rFonts w:ascii="Calibri" w:eastAsia="Times New Roman" w:hAnsi="Calibri" w:cs="Times New Roman"/>
                <w:color w:val="000000"/>
                <w:lang w:eastAsia="el-GR"/>
              </w:rPr>
            </w:pPr>
            <w:r w:rsidRPr="004E2867">
              <w:rPr>
                <w:rFonts w:ascii="Calibri" w:eastAsia="Times New Roman" w:hAnsi="Calibri" w:cs="Times New Roman"/>
                <w:color w:val="000000"/>
                <w:lang w:eastAsia="el-GR"/>
              </w:rPr>
              <w:t>0.4</w:t>
            </w:r>
            <w:r w:rsidR="003E6553">
              <w:rPr>
                <w:rFonts w:ascii="Calibri" w:eastAsia="Times New Roman" w:hAnsi="Calibri" w:cs="Times New Roman"/>
                <w:color w:val="000000"/>
                <w:lang w:eastAsia="el-GR"/>
              </w:rPr>
              <w:t>00</w:t>
            </w:r>
          </w:p>
        </w:tc>
        <w:tc>
          <w:tcPr>
            <w:tcW w:w="429" w:type="pct"/>
            <w:tcBorders>
              <w:top w:val="nil"/>
              <w:left w:val="nil"/>
              <w:bottom w:val="nil"/>
              <w:right w:val="nil"/>
            </w:tcBorders>
            <w:shd w:val="clear" w:color="auto" w:fill="auto"/>
            <w:noWrap/>
            <w:vAlign w:val="bottom"/>
            <w:hideMark/>
          </w:tcPr>
          <w:p w:rsidR="0065304C" w:rsidRPr="00C20494" w:rsidRDefault="0065304C" w:rsidP="003E6553">
            <w:pPr>
              <w:spacing w:after="0" w:line="240" w:lineRule="auto"/>
              <w:jc w:val="center"/>
              <w:rPr>
                <w:rFonts w:ascii="Calibri" w:eastAsia="Times New Roman" w:hAnsi="Calibri" w:cs="Times New Roman"/>
                <w:color w:val="000000"/>
                <w:lang w:val="en-US" w:eastAsia="el-GR"/>
              </w:rPr>
            </w:pPr>
            <w:r w:rsidRPr="004E2867">
              <w:rPr>
                <w:rFonts w:ascii="Calibri" w:eastAsia="Times New Roman" w:hAnsi="Calibri" w:cs="Times New Roman"/>
                <w:color w:val="000000"/>
                <w:lang w:eastAsia="el-GR"/>
              </w:rPr>
              <w:t>9.778</w:t>
            </w:r>
          </w:p>
        </w:tc>
        <w:tc>
          <w:tcPr>
            <w:tcW w:w="578" w:type="pct"/>
            <w:tcBorders>
              <w:top w:val="nil"/>
              <w:left w:val="nil"/>
              <w:bottom w:val="nil"/>
              <w:right w:val="nil"/>
            </w:tcBorders>
            <w:shd w:val="clear" w:color="auto" w:fill="auto"/>
            <w:noWrap/>
            <w:vAlign w:val="bottom"/>
            <w:hideMark/>
          </w:tcPr>
          <w:p w:rsidR="0065304C" w:rsidRPr="00C20494" w:rsidRDefault="0065304C" w:rsidP="003E6553">
            <w:pPr>
              <w:spacing w:after="0" w:line="240" w:lineRule="auto"/>
              <w:jc w:val="center"/>
              <w:rPr>
                <w:rFonts w:ascii="Calibri" w:eastAsia="Times New Roman" w:hAnsi="Calibri" w:cs="Times New Roman"/>
                <w:color w:val="000000"/>
                <w:lang w:val="en-US" w:eastAsia="el-GR"/>
              </w:rPr>
            </w:pPr>
            <w:r>
              <w:rPr>
                <w:rFonts w:ascii="Calibri" w:eastAsia="Times New Roman" w:hAnsi="Calibri" w:cs="Times New Roman"/>
                <w:color w:val="000000"/>
                <w:lang w:eastAsia="el-GR"/>
              </w:rPr>
              <w:t>3.912</w:t>
            </w:r>
          </w:p>
        </w:tc>
        <w:tc>
          <w:tcPr>
            <w:tcW w:w="578" w:type="pct"/>
            <w:tcBorders>
              <w:top w:val="nil"/>
              <w:left w:val="nil"/>
              <w:bottom w:val="nil"/>
              <w:right w:val="nil"/>
            </w:tcBorders>
          </w:tcPr>
          <w:p w:rsidR="0065304C" w:rsidRDefault="0065304C" w:rsidP="003E6553">
            <w:pPr>
              <w:spacing w:after="0" w:line="240" w:lineRule="auto"/>
              <w:jc w:val="center"/>
              <w:rPr>
                <w:rFonts w:ascii="Calibri" w:eastAsia="Times New Roman" w:hAnsi="Calibri" w:cs="Times New Roman"/>
                <w:color w:val="000000"/>
                <w:lang w:eastAsia="el-GR"/>
              </w:rPr>
            </w:pPr>
            <w:r>
              <w:rPr>
                <w:rFonts w:ascii="Calibri" w:eastAsia="Times New Roman" w:hAnsi="Calibri" w:cs="Times New Roman"/>
                <w:color w:val="000000"/>
                <w:lang w:eastAsia="el-GR"/>
              </w:rPr>
              <w:t>0.000</w:t>
            </w:r>
          </w:p>
        </w:tc>
      </w:tr>
      <w:tr w:rsidR="0065304C" w:rsidRPr="004E2867" w:rsidTr="0065304C">
        <w:trPr>
          <w:trHeight w:val="274"/>
        </w:trPr>
        <w:tc>
          <w:tcPr>
            <w:tcW w:w="546" w:type="pct"/>
            <w:tcBorders>
              <w:top w:val="nil"/>
              <w:left w:val="nil"/>
              <w:bottom w:val="nil"/>
              <w:right w:val="nil"/>
            </w:tcBorders>
            <w:shd w:val="clear" w:color="auto" w:fill="auto"/>
            <w:noWrap/>
            <w:vAlign w:val="bottom"/>
            <w:hideMark/>
          </w:tcPr>
          <w:p w:rsidR="0065304C" w:rsidRPr="004E2867" w:rsidRDefault="0065304C" w:rsidP="00507616">
            <w:pPr>
              <w:spacing w:after="0" w:line="240" w:lineRule="auto"/>
              <w:rPr>
                <w:rFonts w:ascii="Calibri" w:eastAsia="Times New Roman" w:hAnsi="Calibri" w:cs="Times New Roman"/>
                <w:b/>
                <w:bCs/>
                <w:color w:val="000000"/>
                <w:lang w:eastAsia="el-GR"/>
              </w:rPr>
            </w:pPr>
            <w:r w:rsidRPr="004E2867">
              <w:rPr>
                <w:rFonts w:ascii="Calibri" w:eastAsia="Times New Roman" w:hAnsi="Calibri" w:cs="Times New Roman"/>
                <w:b/>
                <w:bCs/>
                <w:color w:val="000000"/>
                <w:lang w:eastAsia="el-GR"/>
              </w:rPr>
              <w:t> Maximum</w:t>
            </w:r>
          </w:p>
        </w:tc>
        <w:tc>
          <w:tcPr>
            <w:tcW w:w="413" w:type="pct"/>
            <w:tcBorders>
              <w:top w:val="nil"/>
              <w:left w:val="nil"/>
              <w:bottom w:val="nil"/>
              <w:right w:val="nil"/>
            </w:tcBorders>
            <w:shd w:val="clear" w:color="auto" w:fill="auto"/>
            <w:noWrap/>
            <w:vAlign w:val="bottom"/>
            <w:hideMark/>
          </w:tcPr>
          <w:p w:rsidR="0065304C" w:rsidRPr="004E2867" w:rsidRDefault="0065304C" w:rsidP="00507616">
            <w:pPr>
              <w:spacing w:after="0" w:line="240" w:lineRule="auto"/>
              <w:jc w:val="center"/>
              <w:rPr>
                <w:rFonts w:ascii="Calibri" w:eastAsia="Times New Roman" w:hAnsi="Calibri" w:cs="Times New Roman"/>
                <w:color w:val="000000"/>
                <w:lang w:eastAsia="el-GR"/>
              </w:rPr>
            </w:pPr>
            <w:r w:rsidRPr="004E2867">
              <w:rPr>
                <w:rFonts w:ascii="Calibri" w:eastAsia="Times New Roman" w:hAnsi="Calibri" w:cs="Times New Roman"/>
                <w:color w:val="000000"/>
                <w:lang w:eastAsia="el-GR"/>
              </w:rPr>
              <w:t>0.54</w:t>
            </w:r>
            <w:r w:rsidR="003E6553">
              <w:rPr>
                <w:rFonts w:ascii="Calibri" w:eastAsia="Times New Roman" w:hAnsi="Calibri" w:cs="Times New Roman"/>
                <w:color w:val="000000"/>
                <w:lang w:eastAsia="el-GR"/>
              </w:rPr>
              <w:t>1</w:t>
            </w:r>
          </w:p>
        </w:tc>
        <w:tc>
          <w:tcPr>
            <w:tcW w:w="409" w:type="pct"/>
            <w:tcBorders>
              <w:top w:val="nil"/>
              <w:left w:val="nil"/>
              <w:bottom w:val="nil"/>
              <w:right w:val="nil"/>
            </w:tcBorders>
            <w:shd w:val="clear" w:color="auto" w:fill="auto"/>
            <w:noWrap/>
            <w:vAlign w:val="bottom"/>
            <w:hideMark/>
          </w:tcPr>
          <w:p w:rsidR="0065304C" w:rsidRPr="004E2867" w:rsidRDefault="0065304C" w:rsidP="00507616">
            <w:pPr>
              <w:spacing w:after="0" w:line="240" w:lineRule="auto"/>
              <w:jc w:val="center"/>
              <w:rPr>
                <w:rFonts w:ascii="Calibri" w:eastAsia="Times New Roman" w:hAnsi="Calibri" w:cs="Times New Roman"/>
                <w:color w:val="000000"/>
                <w:lang w:eastAsia="el-GR"/>
              </w:rPr>
            </w:pPr>
            <w:r w:rsidRPr="004E2867">
              <w:rPr>
                <w:rFonts w:ascii="Calibri" w:eastAsia="Times New Roman" w:hAnsi="Calibri" w:cs="Times New Roman"/>
                <w:color w:val="000000"/>
                <w:lang w:eastAsia="el-GR"/>
              </w:rPr>
              <w:t>0.65</w:t>
            </w:r>
            <w:r w:rsidR="003E6553">
              <w:rPr>
                <w:rFonts w:ascii="Calibri" w:eastAsia="Times New Roman" w:hAnsi="Calibri" w:cs="Times New Roman"/>
                <w:color w:val="000000"/>
                <w:lang w:eastAsia="el-GR"/>
              </w:rPr>
              <w:t>0</w:t>
            </w:r>
          </w:p>
        </w:tc>
        <w:tc>
          <w:tcPr>
            <w:tcW w:w="409" w:type="pct"/>
            <w:tcBorders>
              <w:top w:val="nil"/>
              <w:left w:val="nil"/>
              <w:bottom w:val="nil"/>
              <w:right w:val="nil"/>
            </w:tcBorders>
            <w:shd w:val="clear" w:color="auto" w:fill="auto"/>
            <w:noWrap/>
            <w:vAlign w:val="bottom"/>
            <w:hideMark/>
          </w:tcPr>
          <w:p w:rsidR="0065304C" w:rsidRPr="004E2867" w:rsidRDefault="0065304C" w:rsidP="00507616">
            <w:pPr>
              <w:spacing w:after="0" w:line="240" w:lineRule="auto"/>
              <w:jc w:val="center"/>
              <w:rPr>
                <w:rFonts w:ascii="Calibri" w:eastAsia="Times New Roman" w:hAnsi="Calibri" w:cs="Times New Roman"/>
                <w:color w:val="000000"/>
                <w:lang w:eastAsia="el-GR"/>
              </w:rPr>
            </w:pPr>
            <w:r w:rsidRPr="004E2867">
              <w:rPr>
                <w:rFonts w:ascii="Calibri" w:eastAsia="Times New Roman" w:hAnsi="Calibri" w:cs="Times New Roman"/>
                <w:color w:val="000000"/>
                <w:lang w:eastAsia="el-GR"/>
              </w:rPr>
              <w:t>0.69</w:t>
            </w:r>
            <w:r w:rsidR="003E6553">
              <w:rPr>
                <w:rFonts w:ascii="Calibri" w:eastAsia="Times New Roman" w:hAnsi="Calibri" w:cs="Times New Roman"/>
                <w:color w:val="000000"/>
                <w:lang w:eastAsia="el-GR"/>
              </w:rPr>
              <w:t>0</w:t>
            </w:r>
          </w:p>
        </w:tc>
        <w:tc>
          <w:tcPr>
            <w:tcW w:w="409" w:type="pct"/>
            <w:tcBorders>
              <w:top w:val="nil"/>
              <w:left w:val="nil"/>
              <w:bottom w:val="nil"/>
              <w:right w:val="nil"/>
            </w:tcBorders>
            <w:shd w:val="clear" w:color="auto" w:fill="auto"/>
            <w:noWrap/>
            <w:vAlign w:val="bottom"/>
            <w:hideMark/>
          </w:tcPr>
          <w:p w:rsidR="0065304C" w:rsidRPr="004E2867" w:rsidRDefault="0065304C" w:rsidP="00507616">
            <w:pPr>
              <w:spacing w:after="0" w:line="240" w:lineRule="auto"/>
              <w:jc w:val="center"/>
              <w:rPr>
                <w:rFonts w:ascii="Calibri" w:eastAsia="Times New Roman" w:hAnsi="Calibri" w:cs="Times New Roman"/>
                <w:color w:val="000000"/>
                <w:lang w:eastAsia="el-GR"/>
              </w:rPr>
            </w:pPr>
            <w:r w:rsidRPr="004E2867">
              <w:rPr>
                <w:rFonts w:ascii="Calibri" w:eastAsia="Times New Roman" w:hAnsi="Calibri" w:cs="Times New Roman"/>
                <w:color w:val="000000"/>
                <w:lang w:eastAsia="el-GR"/>
              </w:rPr>
              <w:t>0.86</w:t>
            </w:r>
            <w:r w:rsidR="003E6553">
              <w:rPr>
                <w:rFonts w:ascii="Calibri" w:eastAsia="Times New Roman" w:hAnsi="Calibri" w:cs="Times New Roman"/>
                <w:color w:val="000000"/>
                <w:lang w:eastAsia="el-GR"/>
              </w:rPr>
              <w:t>9</w:t>
            </w:r>
          </w:p>
        </w:tc>
        <w:tc>
          <w:tcPr>
            <w:tcW w:w="409" w:type="pct"/>
            <w:tcBorders>
              <w:top w:val="nil"/>
              <w:left w:val="nil"/>
              <w:bottom w:val="nil"/>
              <w:right w:val="nil"/>
            </w:tcBorders>
            <w:shd w:val="clear" w:color="auto" w:fill="auto"/>
            <w:noWrap/>
            <w:vAlign w:val="bottom"/>
            <w:hideMark/>
          </w:tcPr>
          <w:p w:rsidR="0065304C" w:rsidRPr="004E2867" w:rsidRDefault="0065304C" w:rsidP="00507616">
            <w:pPr>
              <w:spacing w:after="0" w:line="240" w:lineRule="auto"/>
              <w:jc w:val="center"/>
              <w:rPr>
                <w:rFonts w:ascii="Calibri" w:eastAsia="Times New Roman" w:hAnsi="Calibri" w:cs="Times New Roman"/>
                <w:color w:val="000000"/>
                <w:lang w:eastAsia="el-GR"/>
              </w:rPr>
            </w:pPr>
            <w:r w:rsidRPr="004E2867">
              <w:rPr>
                <w:rFonts w:ascii="Calibri" w:eastAsia="Times New Roman" w:hAnsi="Calibri" w:cs="Times New Roman"/>
                <w:color w:val="000000"/>
                <w:lang w:eastAsia="el-GR"/>
              </w:rPr>
              <w:t>0.92</w:t>
            </w:r>
            <w:r w:rsidR="003E6553">
              <w:rPr>
                <w:rFonts w:ascii="Calibri" w:eastAsia="Times New Roman" w:hAnsi="Calibri" w:cs="Times New Roman"/>
                <w:color w:val="000000"/>
                <w:lang w:eastAsia="el-GR"/>
              </w:rPr>
              <w:t>0</w:t>
            </w:r>
          </w:p>
        </w:tc>
        <w:tc>
          <w:tcPr>
            <w:tcW w:w="409" w:type="pct"/>
            <w:tcBorders>
              <w:top w:val="nil"/>
              <w:left w:val="nil"/>
              <w:bottom w:val="nil"/>
              <w:right w:val="nil"/>
            </w:tcBorders>
            <w:shd w:val="clear" w:color="auto" w:fill="auto"/>
            <w:noWrap/>
            <w:vAlign w:val="bottom"/>
            <w:hideMark/>
          </w:tcPr>
          <w:p w:rsidR="0065304C" w:rsidRPr="00C20494" w:rsidRDefault="0065304C" w:rsidP="003E6553">
            <w:pPr>
              <w:spacing w:after="0" w:line="240" w:lineRule="auto"/>
              <w:jc w:val="center"/>
              <w:rPr>
                <w:rFonts w:ascii="Calibri" w:eastAsia="Times New Roman" w:hAnsi="Calibri" w:cs="Times New Roman"/>
                <w:color w:val="000000"/>
                <w:lang w:val="en-US" w:eastAsia="el-GR"/>
              </w:rPr>
            </w:pPr>
            <w:r w:rsidRPr="004E2867">
              <w:rPr>
                <w:rFonts w:ascii="Calibri" w:eastAsia="Times New Roman" w:hAnsi="Calibri" w:cs="Times New Roman"/>
                <w:color w:val="000000"/>
                <w:lang w:eastAsia="el-GR"/>
              </w:rPr>
              <w:t>0.60</w:t>
            </w:r>
            <w:r w:rsidR="003E6553">
              <w:rPr>
                <w:rFonts w:ascii="Calibri" w:eastAsia="Times New Roman" w:hAnsi="Calibri" w:cs="Times New Roman"/>
                <w:color w:val="000000"/>
                <w:lang w:eastAsia="el-GR"/>
              </w:rPr>
              <w:t>2</w:t>
            </w:r>
          </w:p>
        </w:tc>
        <w:tc>
          <w:tcPr>
            <w:tcW w:w="411" w:type="pct"/>
            <w:tcBorders>
              <w:top w:val="nil"/>
              <w:left w:val="nil"/>
              <w:bottom w:val="nil"/>
              <w:right w:val="nil"/>
            </w:tcBorders>
            <w:shd w:val="clear" w:color="auto" w:fill="auto"/>
            <w:noWrap/>
            <w:vAlign w:val="bottom"/>
            <w:hideMark/>
          </w:tcPr>
          <w:p w:rsidR="0065304C" w:rsidRPr="004E2867" w:rsidRDefault="0065304C" w:rsidP="00507616">
            <w:pPr>
              <w:spacing w:after="0" w:line="240" w:lineRule="auto"/>
              <w:jc w:val="center"/>
              <w:rPr>
                <w:rFonts w:ascii="Calibri" w:eastAsia="Times New Roman" w:hAnsi="Calibri" w:cs="Times New Roman"/>
                <w:color w:val="000000"/>
                <w:lang w:eastAsia="el-GR"/>
              </w:rPr>
            </w:pPr>
            <w:r w:rsidRPr="004E2867">
              <w:rPr>
                <w:rFonts w:ascii="Calibri" w:eastAsia="Times New Roman" w:hAnsi="Calibri" w:cs="Times New Roman"/>
                <w:color w:val="000000"/>
                <w:lang w:eastAsia="el-GR"/>
              </w:rPr>
              <w:t>1</w:t>
            </w:r>
            <w:r w:rsidR="003E6553">
              <w:rPr>
                <w:rFonts w:ascii="Calibri" w:eastAsia="Times New Roman" w:hAnsi="Calibri" w:cs="Times New Roman"/>
                <w:color w:val="000000"/>
                <w:lang w:eastAsia="el-GR"/>
              </w:rPr>
              <w:t>.000</w:t>
            </w:r>
          </w:p>
        </w:tc>
        <w:tc>
          <w:tcPr>
            <w:tcW w:w="429" w:type="pct"/>
            <w:tcBorders>
              <w:top w:val="nil"/>
              <w:left w:val="nil"/>
              <w:bottom w:val="nil"/>
              <w:right w:val="nil"/>
            </w:tcBorders>
            <w:shd w:val="clear" w:color="auto" w:fill="auto"/>
            <w:noWrap/>
            <w:vAlign w:val="bottom"/>
            <w:hideMark/>
          </w:tcPr>
          <w:p w:rsidR="0065304C" w:rsidRPr="00C20494" w:rsidRDefault="0065304C" w:rsidP="003E6553">
            <w:pPr>
              <w:spacing w:after="0" w:line="240" w:lineRule="auto"/>
              <w:jc w:val="center"/>
              <w:rPr>
                <w:rFonts w:ascii="Calibri" w:eastAsia="Times New Roman" w:hAnsi="Calibri" w:cs="Times New Roman"/>
                <w:color w:val="000000"/>
                <w:lang w:val="en-US" w:eastAsia="el-GR"/>
              </w:rPr>
            </w:pPr>
            <w:r w:rsidRPr="004E2867">
              <w:rPr>
                <w:rFonts w:ascii="Calibri" w:eastAsia="Times New Roman" w:hAnsi="Calibri" w:cs="Times New Roman"/>
                <w:color w:val="000000"/>
                <w:lang w:eastAsia="el-GR"/>
              </w:rPr>
              <w:t>11.018</w:t>
            </w:r>
          </w:p>
        </w:tc>
        <w:tc>
          <w:tcPr>
            <w:tcW w:w="578" w:type="pct"/>
            <w:tcBorders>
              <w:top w:val="nil"/>
              <w:left w:val="nil"/>
              <w:bottom w:val="nil"/>
              <w:right w:val="nil"/>
            </w:tcBorders>
            <w:shd w:val="clear" w:color="auto" w:fill="auto"/>
            <w:noWrap/>
            <w:vAlign w:val="bottom"/>
            <w:hideMark/>
          </w:tcPr>
          <w:p w:rsidR="0065304C" w:rsidRPr="00C20494" w:rsidRDefault="0065304C" w:rsidP="00507616">
            <w:pPr>
              <w:spacing w:after="0" w:line="240" w:lineRule="auto"/>
              <w:jc w:val="center"/>
              <w:rPr>
                <w:rFonts w:ascii="Calibri" w:eastAsia="Times New Roman" w:hAnsi="Calibri" w:cs="Times New Roman"/>
                <w:color w:val="000000"/>
                <w:lang w:val="en-US" w:eastAsia="el-GR"/>
              </w:rPr>
            </w:pPr>
            <w:r w:rsidRPr="004E2867">
              <w:rPr>
                <w:rFonts w:ascii="Calibri" w:eastAsia="Times New Roman" w:hAnsi="Calibri" w:cs="Times New Roman"/>
                <w:color w:val="000000"/>
                <w:lang w:eastAsia="el-GR"/>
              </w:rPr>
              <w:t>4.77</w:t>
            </w:r>
            <w:r>
              <w:rPr>
                <w:rFonts w:ascii="Calibri" w:eastAsia="Times New Roman" w:hAnsi="Calibri" w:cs="Times New Roman"/>
                <w:color w:val="000000"/>
                <w:lang w:eastAsia="el-GR"/>
              </w:rPr>
              <w:t>7</w:t>
            </w:r>
          </w:p>
        </w:tc>
        <w:tc>
          <w:tcPr>
            <w:tcW w:w="578" w:type="pct"/>
            <w:tcBorders>
              <w:top w:val="nil"/>
              <w:left w:val="nil"/>
              <w:bottom w:val="nil"/>
              <w:right w:val="nil"/>
            </w:tcBorders>
          </w:tcPr>
          <w:p w:rsidR="0065304C" w:rsidRPr="004E2867" w:rsidRDefault="0065304C" w:rsidP="003E6553">
            <w:pPr>
              <w:spacing w:after="0" w:line="240" w:lineRule="auto"/>
              <w:jc w:val="center"/>
              <w:rPr>
                <w:rFonts w:ascii="Calibri" w:eastAsia="Times New Roman" w:hAnsi="Calibri" w:cs="Times New Roman"/>
                <w:color w:val="000000"/>
                <w:lang w:eastAsia="el-GR"/>
              </w:rPr>
            </w:pPr>
            <w:r>
              <w:rPr>
                <w:rFonts w:ascii="Calibri" w:eastAsia="Times New Roman" w:hAnsi="Calibri" w:cs="Times New Roman"/>
                <w:color w:val="000000"/>
                <w:lang w:eastAsia="el-GR"/>
              </w:rPr>
              <w:t>0.895</w:t>
            </w:r>
          </w:p>
        </w:tc>
      </w:tr>
      <w:tr w:rsidR="0065304C" w:rsidRPr="004E2867" w:rsidTr="0065304C">
        <w:trPr>
          <w:trHeight w:val="274"/>
        </w:trPr>
        <w:tc>
          <w:tcPr>
            <w:tcW w:w="546" w:type="pct"/>
            <w:tcBorders>
              <w:top w:val="nil"/>
              <w:left w:val="nil"/>
              <w:bottom w:val="nil"/>
              <w:right w:val="nil"/>
            </w:tcBorders>
            <w:shd w:val="clear" w:color="auto" w:fill="auto"/>
            <w:noWrap/>
            <w:vAlign w:val="bottom"/>
            <w:hideMark/>
          </w:tcPr>
          <w:p w:rsidR="0065304C" w:rsidRPr="004E2867" w:rsidRDefault="0065304C" w:rsidP="00507616">
            <w:pPr>
              <w:spacing w:after="0" w:line="240" w:lineRule="auto"/>
              <w:rPr>
                <w:rFonts w:ascii="Calibri" w:eastAsia="Times New Roman" w:hAnsi="Calibri" w:cs="Times New Roman"/>
                <w:b/>
                <w:bCs/>
                <w:color w:val="000000"/>
                <w:lang w:eastAsia="el-GR"/>
              </w:rPr>
            </w:pPr>
            <w:r w:rsidRPr="004E2867">
              <w:rPr>
                <w:rFonts w:ascii="Calibri" w:eastAsia="Times New Roman" w:hAnsi="Calibri" w:cs="Times New Roman"/>
                <w:b/>
                <w:bCs/>
                <w:color w:val="000000"/>
                <w:lang w:eastAsia="el-GR"/>
              </w:rPr>
              <w:t> Minimum</w:t>
            </w:r>
          </w:p>
        </w:tc>
        <w:tc>
          <w:tcPr>
            <w:tcW w:w="413" w:type="pct"/>
            <w:tcBorders>
              <w:top w:val="nil"/>
              <w:left w:val="nil"/>
              <w:bottom w:val="nil"/>
              <w:right w:val="nil"/>
            </w:tcBorders>
            <w:shd w:val="clear" w:color="auto" w:fill="auto"/>
            <w:noWrap/>
            <w:vAlign w:val="bottom"/>
            <w:hideMark/>
          </w:tcPr>
          <w:p w:rsidR="0065304C" w:rsidRPr="004E2867" w:rsidRDefault="0065304C" w:rsidP="00507616">
            <w:pPr>
              <w:spacing w:after="0" w:line="240" w:lineRule="auto"/>
              <w:jc w:val="center"/>
              <w:rPr>
                <w:rFonts w:ascii="Calibri" w:eastAsia="Times New Roman" w:hAnsi="Calibri" w:cs="Times New Roman"/>
                <w:color w:val="000000"/>
                <w:lang w:eastAsia="el-GR"/>
              </w:rPr>
            </w:pPr>
            <w:r w:rsidRPr="004E2867">
              <w:rPr>
                <w:rFonts w:ascii="Calibri" w:eastAsia="Times New Roman" w:hAnsi="Calibri" w:cs="Times New Roman"/>
                <w:color w:val="000000"/>
                <w:lang w:eastAsia="el-GR"/>
              </w:rPr>
              <w:t>0</w:t>
            </w:r>
            <w:r w:rsidR="003E6553">
              <w:rPr>
                <w:rFonts w:ascii="Calibri" w:eastAsia="Times New Roman" w:hAnsi="Calibri" w:cs="Times New Roman"/>
                <w:color w:val="000000"/>
                <w:lang w:eastAsia="el-GR"/>
              </w:rPr>
              <w:t>.000</w:t>
            </w:r>
          </w:p>
        </w:tc>
        <w:tc>
          <w:tcPr>
            <w:tcW w:w="409" w:type="pct"/>
            <w:tcBorders>
              <w:top w:val="nil"/>
              <w:left w:val="nil"/>
              <w:bottom w:val="nil"/>
              <w:right w:val="nil"/>
            </w:tcBorders>
            <w:shd w:val="clear" w:color="auto" w:fill="auto"/>
            <w:noWrap/>
            <w:vAlign w:val="bottom"/>
            <w:hideMark/>
          </w:tcPr>
          <w:p w:rsidR="0065304C" w:rsidRPr="004E2867" w:rsidRDefault="0065304C" w:rsidP="00507616">
            <w:pPr>
              <w:spacing w:after="0" w:line="240" w:lineRule="auto"/>
              <w:jc w:val="center"/>
              <w:rPr>
                <w:rFonts w:ascii="Calibri" w:eastAsia="Times New Roman" w:hAnsi="Calibri" w:cs="Times New Roman"/>
                <w:color w:val="000000"/>
                <w:lang w:eastAsia="el-GR"/>
              </w:rPr>
            </w:pPr>
            <w:r w:rsidRPr="004E2867">
              <w:rPr>
                <w:rFonts w:ascii="Calibri" w:eastAsia="Times New Roman" w:hAnsi="Calibri" w:cs="Times New Roman"/>
                <w:color w:val="000000"/>
                <w:lang w:eastAsia="el-GR"/>
              </w:rPr>
              <w:t>0.13</w:t>
            </w:r>
            <w:r w:rsidR="003E6553">
              <w:rPr>
                <w:rFonts w:ascii="Calibri" w:eastAsia="Times New Roman" w:hAnsi="Calibri" w:cs="Times New Roman"/>
                <w:color w:val="000000"/>
                <w:lang w:eastAsia="el-GR"/>
              </w:rPr>
              <w:t>0</w:t>
            </w:r>
          </w:p>
        </w:tc>
        <w:tc>
          <w:tcPr>
            <w:tcW w:w="409" w:type="pct"/>
            <w:tcBorders>
              <w:top w:val="nil"/>
              <w:left w:val="nil"/>
              <w:bottom w:val="nil"/>
              <w:right w:val="nil"/>
            </w:tcBorders>
            <w:shd w:val="clear" w:color="auto" w:fill="auto"/>
            <w:noWrap/>
            <w:vAlign w:val="bottom"/>
            <w:hideMark/>
          </w:tcPr>
          <w:p w:rsidR="0065304C" w:rsidRPr="004E2867" w:rsidRDefault="0065304C" w:rsidP="00507616">
            <w:pPr>
              <w:spacing w:after="0" w:line="240" w:lineRule="auto"/>
              <w:jc w:val="center"/>
              <w:rPr>
                <w:rFonts w:ascii="Calibri" w:eastAsia="Times New Roman" w:hAnsi="Calibri" w:cs="Times New Roman"/>
                <w:color w:val="000000"/>
                <w:lang w:eastAsia="el-GR"/>
              </w:rPr>
            </w:pPr>
            <w:r w:rsidRPr="004E2867">
              <w:rPr>
                <w:rFonts w:ascii="Calibri" w:eastAsia="Times New Roman" w:hAnsi="Calibri" w:cs="Times New Roman"/>
                <w:color w:val="000000"/>
                <w:lang w:eastAsia="el-GR"/>
              </w:rPr>
              <w:t>0.21</w:t>
            </w:r>
            <w:r w:rsidR="003E6553">
              <w:rPr>
                <w:rFonts w:ascii="Calibri" w:eastAsia="Times New Roman" w:hAnsi="Calibri" w:cs="Times New Roman"/>
                <w:color w:val="000000"/>
                <w:lang w:eastAsia="el-GR"/>
              </w:rPr>
              <w:t>0</w:t>
            </w:r>
          </w:p>
        </w:tc>
        <w:tc>
          <w:tcPr>
            <w:tcW w:w="409" w:type="pct"/>
            <w:tcBorders>
              <w:top w:val="nil"/>
              <w:left w:val="nil"/>
              <w:bottom w:val="nil"/>
              <w:right w:val="nil"/>
            </w:tcBorders>
            <w:shd w:val="clear" w:color="auto" w:fill="auto"/>
            <w:noWrap/>
            <w:vAlign w:val="bottom"/>
            <w:hideMark/>
          </w:tcPr>
          <w:p w:rsidR="0065304C" w:rsidRPr="004E2867" w:rsidRDefault="0065304C" w:rsidP="00507616">
            <w:pPr>
              <w:spacing w:after="0" w:line="240" w:lineRule="auto"/>
              <w:jc w:val="center"/>
              <w:rPr>
                <w:rFonts w:ascii="Calibri" w:eastAsia="Times New Roman" w:hAnsi="Calibri" w:cs="Times New Roman"/>
                <w:color w:val="000000"/>
                <w:lang w:eastAsia="el-GR"/>
              </w:rPr>
            </w:pPr>
            <w:r w:rsidRPr="004E2867">
              <w:rPr>
                <w:rFonts w:ascii="Calibri" w:eastAsia="Times New Roman" w:hAnsi="Calibri" w:cs="Times New Roman"/>
                <w:color w:val="000000"/>
                <w:lang w:eastAsia="el-GR"/>
              </w:rPr>
              <w:t>0.13</w:t>
            </w:r>
            <w:r w:rsidR="003E6553">
              <w:rPr>
                <w:rFonts w:ascii="Calibri" w:eastAsia="Times New Roman" w:hAnsi="Calibri" w:cs="Times New Roman"/>
                <w:color w:val="000000"/>
                <w:lang w:eastAsia="el-GR"/>
              </w:rPr>
              <w:t>0</w:t>
            </w:r>
          </w:p>
        </w:tc>
        <w:tc>
          <w:tcPr>
            <w:tcW w:w="409" w:type="pct"/>
            <w:tcBorders>
              <w:top w:val="nil"/>
              <w:left w:val="nil"/>
              <w:bottom w:val="nil"/>
              <w:right w:val="nil"/>
            </w:tcBorders>
            <w:shd w:val="clear" w:color="auto" w:fill="auto"/>
            <w:noWrap/>
            <w:vAlign w:val="bottom"/>
            <w:hideMark/>
          </w:tcPr>
          <w:p w:rsidR="0065304C" w:rsidRPr="004E2867" w:rsidRDefault="0065304C" w:rsidP="00507616">
            <w:pPr>
              <w:spacing w:after="0" w:line="240" w:lineRule="auto"/>
              <w:jc w:val="center"/>
              <w:rPr>
                <w:rFonts w:ascii="Calibri" w:eastAsia="Times New Roman" w:hAnsi="Calibri" w:cs="Times New Roman"/>
                <w:color w:val="000000"/>
                <w:lang w:eastAsia="el-GR"/>
              </w:rPr>
            </w:pPr>
            <w:r w:rsidRPr="004E2867">
              <w:rPr>
                <w:rFonts w:ascii="Calibri" w:eastAsia="Times New Roman" w:hAnsi="Calibri" w:cs="Times New Roman"/>
                <w:color w:val="000000"/>
                <w:lang w:eastAsia="el-GR"/>
              </w:rPr>
              <w:t>0.13</w:t>
            </w:r>
            <w:r w:rsidR="003E6553">
              <w:rPr>
                <w:rFonts w:ascii="Calibri" w:eastAsia="Times New Roman" w:hAnsi="Calibri" w:cs="Times New Roman"/>
                <w:color w:val="000000"/>
                <w:lang w:eastAsia="el-GR"/>
              </w:rPr>
              <w:t>0</w:t>
            </w:r>
          </w:p>
        </w:tc>
        <w:tc>
          <w:tcPr>
            <w:tcW w:w="409" w:type="pct"/>
            <w:tcBorders>
              <w:top w:val="nil"/>
              <w:left w:val="nil"/>
              <w:bottom w:val="nil"/>
              <w:right w:val="nil"/>
            </w:tcBorders>
            <w:shd w:val="clear" w:color="auto" w:fill="auto"/>
            <w:noWrap/>
            <w:vAlign w:val="bottom"/>
            <w:hideMark/>
          </w:tcPr>
          <w:p w:rsidR="0065304C" w:rsidRPr="00C20494" w:rsidRDefault="003E6553" w:rsidP="003E6553">
            <w:pPr>
              <w:spacing w:after="0" w:line="240" w:lineRule="auto"/>
              <w:jc w:val="center"/>
              <w:rPr>
                <w:rFonts w:ascii="Calibri" w:eastAsia="Times New Roman" w:hAnsi="Calibri" w:cs="Times New Roman"/>
                <w:color w:val="000000"/>
                <w:lang w:val="en-US" w:eastAsia="el-GR"/>
              </w:rPr>
            </w:pPr>
            <w:r>
              <w:rPr>
                <w:rFonts w:ascii="Calibri" w:eastAsia="Times New Roman" w:hAnsi="Calibri" w:cs="Times New Roman"/>
                <w:color w:val="000000"/>
                <w:lang w:eastAsia="el-GR"/>
              </w:rPr>
              <w:t>0.375</w:t>
            </w:r>
          </w:p>
        </w:tc>
        <w:tc>
          <w:tcPr>
            <w:tcW w:w="411" w:type="pct"/>
            <w:tcBorders>
              <w:top w:val="nil"/>
              <w:left w:val="nil"/>
              <w:bottom w:val="nil"/>
              <w:right w:val="nil"/>
            </w:tcBorders>
            <w:shd w:val="clear" w:color="auto" w:fill="auto"/>
            <w:noWrap/>
            <w:vAlign w:val="bottom"/>
            <w:hideMark/>
          </w:tcPr>
          <w:p w:rsidR="0065304C" w:rsidRPr="004E2867" w:rsidRDefault="0065304C" w:rsidP="00507616">
            <w:pPr>
              <w:spacing w:after="0" w:line="240" w:lineRule="auto"/>
              <w:jc w:val="center"/>
              <w:rPr>
                <w:rFonts w:ascii="Calibri" w:eastAsia="Times New Roman" w:hAnsi="Calibri" w:cs="Times New Roman"/>
                <w:color w:val="000000"/>
                <w:lang w:eastAsia="el-GR"/>
              </w:rPr>
            </w:pPr>
            <w:r w:rsidRPr="004E2867">
              <w:rPr>
                <w:rFonts w:ascii="Calibri" w:eastAsia="Times New Roman" w:hAnsi="Calibri" w:cs="Times New Roman"/>
                <w:color w:val="000000"/>
                <w:lang w:eastAsia="el-GR"/>
              </w:rPr>
              <w:t>0</w:t>
            </w:r>
            <w:r w:rsidR="003E6553">
              <w:rPr>
                <w:rFonts w:ascii="Calibri" w:eastAsia="Times New Roman" w:hAnsi="Calibri" w:cs="Times New Roman"/>
                <w:color w:val="000000"/>
                <w:lang w:eastAsia="el-GR"/>
              </w:rPr>
              <w:t>.000</w:t>
            </w:r>
          </w:p>
        </w:tc>
        <w:tc>
          <w:tcPr>
            <w:tcW w:w="429" w:type="pct"/>
            <w:tcBorders>
              <w:top w:val="nil"/>
              <w:left w:val="nil"/>
              <w:bottom w:val="nil"/>
              <w:right w:val="nil"/>
            </w:tcBorders>
            <w:shd w:val="clear" w:color="auto" w:fill="auto"/>
            <w:noWrap/>
            <w:vAlign w:val="bottom"/>
            <w:hideMark/>
          </w:tcPr>
          <w:p w:rsidR="0065304C" w:rsidRPr="00C20494" w:rsidRDefault="0065304C" w:rsidP="00507616">
            <w:pPr>
              <w:spacing w:after="0" w:line="240" w:lineRule="auto"/>
              <w:jc w:val="center"/>
              <w:rPr>
                <w:rFonts w:ascii="Calibri" w:eastAsia="Times New Roman" w:hAnsi="Calibri" w:cs="Times New Roman"/>
                <w:color w:val="000000"/>
                <w:lang w:val="en-US" w:eastAsia="el-GR"/>
              </w:rPr>
            </w:pPr>
            <w:r>
              <w:rPr>
                <w:rFonts w:ascii="Calibri" w:eastAsia="Times New Roman" w:hAnsi="Calibri" w:cs="Times New Roman"/>
                <w:color w:val="000000"/>
                <w:lang w:eastAsia="el-GR"/>
              </w:rPr>
              <w:t>7.30</w:t>
            </w:r>
            <w:r w:rsidR="003E6553">
              <w:rPr>
                <w:rFonts w:ascii="Calibri" w:eastAsia="Times New Roman" w:hAnsi="Calibri" w:cs="Times New Roman"/>
                <w:color w:val="000000"/>
                <w:lang w:eastAsia="el-GR"/>
              </w:rPr>
              <w:t>6</w:t>
            </w:r>
          </w:p>
        </w:tc>
        <w:tc>
          <w:tcPr>
            <w:tcW w:w="578" w:type="pct"/>
            <w:tcBorders>
              <w:top w:val="nil"/>
              <w:left w:val="nil"/>
              <w:bottom w:val="nil"/>
              <w:right w:val="nil"/>
            </w:tcBorders>
            <w:shd w:val="clear" w:color="auto" w:fill="auto"/>
            <w:noWrap/>
            <w:vAlign w:val="bottom"/>
            <w:hideMark/>
          </w:tcPr>
          <w:p w:rsidR="0065304C" w:rsidRPr="00C20494" w:rsidRDefault="003E6553" w:rsidP="003E6553">
            <w:pPr>
              <w:spacing w:after="0" w:line="240" w:lineRule="auto"/>
              <w:jc w:val="center"/>
              <w:rPr>
                <w:rFonts w:ascii="Calibri" w:eastAsia="Times New Roman" w:hAnsi="Calibri" w:cs="Times New Roman"/>
                <w:color w:val="000000"/>
                <w:lang w:val="en-US" w:eastAsia="el-GR"/>
              </w:rPr>
            </w:pPr>
            <w:r>
              <w:rPr>
                <w:rFonts w:ascii="Calibri" w:eastAsia="Times New Roman" w:hAnsi="Calibri" w:cs="Times New Roman"/>
                <w:color w:val="000000"/>
                <w:lang w:eastAsia="el-GR"/>
              </w:rPr>
              <w:t>1.262</w:t>
            </w:r>
          </w:p>
        </w:tc>
        <w:tc>
          <w:tcPr>
            <w:tcW w:w="578" w:type="pct"/>
            <w:tcBorders>
              <w:top w:val="nil"/>
              <w:left w:val="nil"/>
              <w:bottom w:val="nil"/>
              <w:right w:val="nil"/>
            </w:tcBorders>
          </w:tcPr>
          <w:p w:rsidR="0065304C" w:rsidRDefault="0065304C" w:rsidP="00507616">
            <w:pPr>
              <w:spacing w:after="0" w:line="240" w:lineRule="auto"/>
              <w:jc w:val="center"/>
              <w:rPr>
                <w:rFonts w:ascii="Calibri" w:eastAsia="Times New Roman" w:hAnsi="Calibri" w:cs="Times New Roman"/>
                <w:color w:val="000000"/>
                <w:lang w:eastAsia="el-GR"/>
              </w:rPr>
            </w:pPr>
            <w:r>
              <w:rPr>
                <w:rFonts w:ascii="Calibri" w:eastAsia="Times New Roman" w:hAnsi="Calibri" w:cs="Times New Roman"/>
                <w:color w:val="000000"/>
                <w:lang w:eastAsia="el-GR"/>
              </w:rPr>
              <w:t>0</w:t>
            </w:r>
            <w:r w:rsidR="003E6553">
              <w:rPr>
                <w:rFonts w:ascii="Calibri" w:eastAsia="Times New Roman" w:hAnsi="Calibri" w:cs="Times New Roman"/>
                <w:color w:val="000000"/>
                <w:lang w:eastAsia="el-GR"/>
              </w:rPr>
              <w:t>.000</w:t>
            </w:r>
          </w:p>
        </w:tc>
      </w:tr>
      <w:tr w:rsidR="0065304C" w:rsidRPr="004E2867" w:rsidTr="0065304C">
        <w:trPr>
          <w:trHeight w:val="274"/>
        </w:trPr>
        <w:tc>
          <w:tcPr>
            <w:tcW w:w="546" w:type="pct"/>
            <w:tcBorders>
              <w:top w:val="nil"/>
              <w:left w:val="nil"/>
              <w:bottom w:val="nil"/>
              <w:right w:val="nil"/>
            </w:tcBorders>
            <w:shd w:val="clear" w:color="auto" w:fill="auto"/>
            <w:noWrap/>
            <w:vAlign w:val="bottom"/>
            <w:hideMark/>
          </w:tcPr>
          <w:p w:rsidR="0065304C" w:rsidRPr="004E2867" w:rsidRDefault="0065304C" w:rsidP="00507616">
            <w:pPr>
              <w:spacing w:after="0" w:line="240" w:lineRule="auto"/>
              <w:rPr>
                <w:rFonts w:ascii="Calibri" w:eastAsia="Times New Roman" w:hAnsi="Calibri" w:cs="Times New Roman"/>
                <w:b/>
                <w:bCs/>
                <w:color w:val="000000"/>
                <w:lang w:eastAsia="el-GR"/>
              </w:rPr>
            </w:pPr>
            <w:r w:rsidRPr="004E2867">
              <w:rPr>
                <w:rFonts w:ascii="Calibri" w:eastAsia="Times New Roman" w:hAnsi="Calibri" w:cs="Times New Roman"/>
                <w:b/>
                <w:bCs/>
                <w:color w:val="000000"/>
                <w:lang w:eastAsia="el-GR"/>
              </w:rPr>
              <w:t> Std. Dev.</w:t>
            </w:r>
          </w:p>
        </w:tc>
        <w:tc>
          <w:tcPr>
            <w:tcW w:w="413" w:type="pct"/>
            <w:tcBorders>
              <w:top w:val="nil"/>
              <w:left w:val="nil"/>
              <w:bottom w:val="nil"/>
              <w:right w:val="nil"/>
            </w:tcBorders>
            <w:shd w:val="clear" w:color="auto" w:fill="auto"/>
            <w:noWrap/>
            <w:vAlign w:val="bottom"/>
            <w:hideMark/>
          </w:tcPr>
          <w:p w:rsidR="0065304C" w:rsidRPr="004E2867" w:rsidRDefault="0065304C" w:rsidP="00507616">
            <w:pPr>
              <w:spacing w:after="0" w:line="240" w:lineRule="auto"/>
              <w:jc w:val="center"/>
              <w:rPr>
                <w:rFonts w:ascii="Calibri" w:eastAsia="Times New Roman" w:hAnsi="Calibri" w:cs="Times New Roman"/>
                <w:color w:val="000000"/>
                <w:lang w:eastAsia="el-GR"/>
              </w:rPr>
            </w:pPr>
            <w:r w:rsidRPr="004E2867">
              <w:rPr>
                <w:rFonts w:ascii="Calibri" w:eastAsia="Times New Roman" w:hAnsi="Calibri" w:cs="Times New Roman"/>
                <w:color w:val="000000"/>
                <w:lang w:eastAsia="el-GR"/>
              </w:rPr>
              <w:t>0.173</w:t>
            </w:r>
          </w:p>
        </w:tc>
        <w:tc>
          <w:tcPr>
            <w:tcW w:w="409" w:type="pct"/>
            <w:tcBorders>
              <w:top w:val="nil"/>
              <w:left w:val="nil"/>
              <w:bottom w:val="nil"/>
              <w:right w:val="nil"/>
            </w:tcBorders>
            <w:shd w:val="clear" w:color="auto" w:fill="auto"/>
            <w:noWrap/>
            <w:vAlign w:val="bottom"/>
            <w:hideMark/>
          </w:tcPr>
          <w:p w:rsidR="0065304C" w:rsidRPr="004E2867" w:rsidRDefault="0065304C" w:rsidP="00507616">
            <w:pPr>
              <w:spacing w:after="0" w:line="240" w:lineRule="auto"/>
              <w:jc w:val="center"/>
              <w:rPr>
                <w:rFonts w:ascii="Calibri" w:eastAsia="Times New Roman" w:hAnsi="Calibri" w:cs="Times New Roman"/>
                <w:color w:val="000000"/>
                <w:lang w:eastAsia="el-GR"/>
              </w:rPr>
            </w:pPr>
            <w:r w:rsidRPr="004E2867">
              <w:rPr>
                <w:rFonts w:ascii="Calibri" w:eastAsia="Times New Roman" w:hAnsi="Calibri" w:cs="Times New Roman"/>
                <w:color w:val="000000"/>
                <w:lang w:eastAsia="el-GR"/>
              </w:rPr>
              <w:t>0.15</w:t>
            </w:r>
            <w:r w:rsidR="003E6553">
              <w:rPr>
                <w:rFonts w:ascii="Calibri" w:eastAsia="Times New Roman" w:hAnsi="Calibri" w:cs="Times New Roman"/>
                <w:color w:val="000000"/>
                <w:lang w:eastAsia="el-GR"/>
              </w:rPr>
              <w:t>6</w:t>
            </w:r>
          </w:p>
        </w:tc>
        <w:tc>
          <w:tcPr>
            <w:tcW w:w="409" w:type="pct"/>
            <w:tcBorders>
              <w:top w:val="nil"/>
              <w:left w:val="nil"/>
              <w:bottom w:val="nil"/>
              <w:right w:val="nil"/>
            </w:tcBorders>
            <w:shd w:val="clear" w:color="auto" w:fill="auto"/>
            <w:noWrap/>
            <w:vAlign w:val="bottom"/>
            <w:hideMark/>
          </w:tcPr>
          <w:p w:rsidR="0065304C" w:rsidRPr="004E2867" w:rsidRDefault="003E6553" w:rsidP="003E6553">
            <w:pPr>
              <w:spacing w:after="0" w:line="240" w:lineRule="auto"/>
              <w:jc w:val="center"/>
              <w:rPr>
                <w:rFonts w:ascii="Calibri" w:eastAsia="Times New Roman" w:hAnsi="Calibri" w:cs="Times New Roman"/>
                <w:color w:val="000000"/>
                <w:lang w:val="en-US" w:eastAsia="el-GR"/>
              </w:rPr>
            </w:pPr>
            <w:r>
              <w:rPr>
                <w:rFonts w:ascii="Calibri" w:eastAsia="Times New Roman" w:hAnsi="Calibri" w:cs="Times New Roman"/>
                <w:color w:val="000000"/>
                <w:lang w:eastAsia="el-GR"/>
              </w:rPr>
              <w:t>0.133</w:t>
            </w:r>
          </w:p>
        </w:tc>
        <w:tc>
          <w:tcPr>
            <w:tcW w:w="409" w:type="pct"/>
            <w:tcBorders>
              <w:top w:val="nil"/>
              <w:left w:val="nil"/>
              <w:bottom w:val="nil"/>
              <w:right w:val="nil"/>
            </w:tcBorders>
            <w:shd w:val="clear" w:color="auto" w:fill="auto"/>
            <w:noWrap/>
            <w:vAlign w:val="bottom"/>
            <w:hideMark/>
          </w:tcPr>
          <w:p w:rsidR="0065304C" w:rsidRPr="004E2867" w:rsidRDefault="0065304C" w:rsidP="003E6553">
            <w:pPr>
              <w:spacing w:after="0" w:line="240" w:lineRule="auto"/>
              <w:jc w:val="center"/>
              <w:rPr>
                <w:rFonts w:ascii="Calibri" w:eastAsia="Times New Roman" w:hAnsi="Calibri" w:cs="Times New Roman"/>
                <w:color w:val="000000"/>
                <w:lang w:val="en-US" w:eastAsia="el-GR"/>
              </w:rPr>
            </w:pPr>
            <w:r w:rsidRPr="004E2867">
              <w:rPr>
                <w:rFonts w:ascii="Calibri" w:eastAsia="Times New Roman" w:hAnsi="Calibri" w:cs="Times New Roman"/>
                <w:color w:val="000000"/>
                <w:lang w:eastAsia="el-GR"/>
              </w:rPr>
              <w:t>0.18</w:t>
            </w:r>
            <w:r w:rsidR="003E6553">
              <w:rPr>
                <w:rFonts w:ascii="Calibri" w:eastAsia="Times New Roman" w:hAnsi="Calibri" w:cs="Times New Roman"/>
                <w:color w:val="000000"/>
                <w:lang w:eastAsia="el-GR"/>
              </w:rPr>
              <w:t>2</w:t>
            </w:r>
          </w:p>
        </w:tc>
        <w:tc>
          <w:tcPr>
            <w:tcW w:w="409" w:type="pct"/>
            <w:tcBorders>
              <w:top w:val="nil"/>
              <w:left w:val="nil"/>
              <w:bottom w:val="nil"/>
              <w:right w:val="nil"/>
            </w:tcBorders>
            <w:shd w:val="clear" w:color="auto" w:fill="auto"/>
            <w:noWrap/>
            <w:vAlign w:val="bottom"/>
            <w:hideMark/>
          </w:tcPr>
          <w:p w:rsidR="0065304C" w:rsidRPr="00C20494" w:rsidRDefault="003E6553" w:rsidP="003E6553">
            <w:pPr>
              <w:spacing w:after="0" w:line="240" w:lineRule="auto"/>
              <w:jc w:val="center"/>
              <w:rPr>
                <w:rFonts w:ascii="Calibri" w:eastAsia="Times New Roman" w:hAnsi="Calibri" w:cs="Times New Roman"/>
                <w:color w:val="000000"/>
                <w:lang w:val="en-US" w:eastAsia="el-GR"/>
              </w:rPr>
            </w:pPr>
            <w:r>
              <w:rPr>
                <w:rFonts w:ascii="Calibri" w:eastAsia="Times New Roman" w:hAnsi="Calibri" w:cs="Times New Roman"/>
                <w:color w:val="000000"/>
                <w:lang w:eastAsia="el-GR"/>
              </w:rPr>
              <w:t>0.231</w:t>
            </w:r>
          </w:p>
        </w:tc>
        <w:tc>
          <w:tcPr>
            <w:tcW w:w="409" w:type="pct"/>
            <w:tcBorders>
              <w:top w:val="nil"/>
              <w:left w:val="nil"/>
              <w:bottom w:val="nil"/>
              <w:right w:val="nil"/>
            </w:tcBorders>
            <w:shd w:val="clear" w:color="auto" w:fill="auto"/>
            <w:noWrap/>
            <w:vAlign w:val="bottom"/>
            <w:hideMark/>
          </w:tcPr>
          <w:p w:rsidR="0065304C" w:rsidRPr="00C20494" w:rsidRDefault="0065304C" w:rsidP="003E6553">
            <w:pPr>
              <w:spacing w:after="0" w:line="240" w:lineRule="auto"/>
              <w:jc w:val="center"/>
              <w:rPr>
                <w:rFonts w:ascii="Calibri" w:eastAsia="Times New Roman" w:hAnsi="Calibri" w:cs="Times New Roman"/>
                <w:color w:val="000000"/>
                <w:lang w:val="en-US" w:eastAsia="el-GR"/>
              </w:rPr>
            </w:pPr>
            <w:r w:rsidRPr="004E2867">
              <w:rPr>
                <w:rFonts w:ascii="Calibri" w:eastAsia="Times New Roman" w:hAnsi="Calibri" w:cs="Times New Roman"/>
                <w:color w:val="000000"/>
                <w:lang w:eastAsia="el-GR"/>
              </w:rPr>
              <w:t>0.069</w:t>
            </w:r>
          </w:p>
        </w:tc>
        <w:tc>
          <w:tcPr>
            <w:tcW w:w="411" w:type="pct"/>
            <w:tcBorders>
              <w:top w:val="nil"/>
              <w:left w:val="nil"/>
              <w:bottom w:val="nil"/>
              <w:right w:val="nil"/>
            </w:tcBorders>
            <w:shd w:val="clear" w:color="auto" w:fill="auto"/>
            <w:noWrap/>
            <w:vAlign w:val="bottom"/>
            <w:hideMark/>
          </w:tcPr>
          <w:p w:rsidR="0065304C" w:rsidRPr="00C20494" w:rsidRDefault="0065304C" w:rsidP="003E6553">
            <w:pPr>
              <w:spacing w:after="0" w:line="240" w:lineRule="auto"/>
              <w:jc w:val="center"/>
              <w:rPr>
                <w:rFonts w:ascii="Calibri" w:eastAsia="Times New Roman" w:hAnsi="Calibri" w:cs="Times New Roman"/>
                <w:color w:val="000000"/>
                <w:lang w:val="en-US" w:eastAsia="el-GR"/>
              </w:rPr>
            </w:pPr>
            <w:r>
              <w:rPr>
                <w:rFonts w:ascii="Calibri" w:eastAsia="Times New Roman" w:hAnsi="Calibri" w:cs="Times New Roman"/>
                <w:color w:val="000000"/>
                <w:lang w:eastAsia="el-GR"/>
              </w:rPr>
              <w:t>0.383</w:t>
            </w:r>
          </w:p>
        </w:tc>
        <w:tc>
          <w:tcPr>
            <w:tcW w:w="429" w:type="pct"/>
            <w:tcBorders>
              <w:top w:val="nil"/>
              <w:left w:val="nil"/>
              <w:bottom w:val="nil"/>
              <w:right w:val="nil"/>
            </w:tcBorders>
            <w:shd w:val="clear" w:color="auto" w:fill="auto"/>
            <w:noWrap/>
            <w:vAlign w:val="bottom"/>
            <w:hideMark/>
          </w:tcPr>
          <w:p w:rsidR="0065304C" w:rsidRPr="00C20494" w:rsidRDefault="0065304C" w:rsidP="003E6553">
            <w:pPr>
              <w:spacing w:after="0" w:line="240" w:lineRule="auto"/>
              <w:jc w:val="center"/>
              <w:rPr>
                <w:rFonts w:ascii="Calibri" w:eastAsia="Times New Roman" w:hAnsi="Calibri" w:cs="Times New Roman"/>
                <w:color w:val="000000"/>
                <w:lang w:val="en-US" w:eastAsia="el-GR"/>
              </w:rPr>
            </w:pPr>
            <w:r>
              <w:rPr>
                <w:rFonts w:ascii="Calibri" w:eastAsia="Times New Roman" w:hAnsi="Calibri" w:cs="Times New Roman"/>
                <w:color w:val="000000"/>
                <w:lang w:eastAsia="el-GR"/>
              </w:rPr>
              <w:t>0.978</w:t>
            </w:r>
          </w:p>
        </w:tc>
        <w:tc>
          <w:tcPr>
            <w:tcW w:w="578" w:type="pct"/>
            <w:tcBorders>
              <w:top w:val="nil"/>
              <w:left w:val="nil"/>
              <w:bottom w:val="nil"/>
              <w:right w:val="nil"/>
            </w:tcBorders>
            <w:shd w:val="clear" w:color="auto" w:fill="auto"/>
            <w:noWrap/>
            <w:vAlign w:val="bottom"/>
            <w:hideMark/>
          </w:tcPr>
          <w:p w:rsidR="0065304C" w:rsidRPr="00C20494" w:rsidRDefault="0065304C" w:rsidP="00507616">
            <w:pPr>
              <w:spacing w:after="0" w:line="240" w:lineRule="auto"/>
              <w:jc w:val="center"/>
              <w:rPr>
                <w:rFonts w:ascii="Calibri" w:eastAsia="Times New Roman" w:hAnsi="Calibri" w:cs="Times New Roman"/>
                <w:color w:val="000000"/>
                <w:lang w:val="en-US" w:eastAsia="el-GR"/>
              </w:rPr>
            </w:pPr>
            <w:r>
              <w:rPr>
                <w:rFonts w:ascii="Calibri" w:eastAsia="Times New Roman" w:hAnsi="Calibri" w:cs="Times New Roman"/>
                <w:color w:val="000000"/>
                <w:lang w:eastAsia="el-GR"/>
              </w:rPr>
              <w:t>0.996</w:t>
            </w:r>
          </w:p>
        </w:tc>
        <w:tc>
          <w:tcPr>
            <w:tcW w:w="578" w:type="pct"/>
            <w:tcBorders>
              <w:top w:val="nil"/>
              <w:left w:val="nil"/>
              <w:bottom w:val="nil"/>
              <w:right w:val="nil"/>
            </w:tcBorders>
          </w:tcPr>
          <w:p w:rsidR="0065304C" w:rsidRDefault="003E6553" w:rsidP="003E6553">
            <w:pPr>
              <w:spacing w:after="0" w:line="240" w:lineRule="auto"/>
              <w:jc w:val="center"/>
              <w:rPr>
                <w:rFonts w:ascii="Calibri" w:eastAsia="Times New Roman" w:hAnsi="Calibri" w:cs="Times New Roman"/>
                <w:color w:val="000000"/>
                <w:lang w:eastAsia="el-GR"/>
              </w:rPr>
            </w:pPr>
            <w:r>
              <w:rPr>
                <w:rFonts w:ascii="Calibri" w:eastAsia="Times New Roman" w:hAnsi="Calibri" w:cs="Times New Roman"/>
                <w:color w:val="000000"/>
                <w:lang w:eastAsia="el-GR"/>
              </w:rPr>
              <w:t>0.289</w:t>
            </w:r>
          </w:p>
        </w:tc>
      </w:tr>
      <w:tr w:rsidR="0065304C" w:rsidRPr="004E2867" w:rsidTr="0065304C">
        <w:trPr>
          <w:trHeight w:val="274"/>
        </w:trPr>
        <w:tc>
          <w:tcPr>
            <w:tcW w:w="546" w:type="pct"/>
            <w:tcBorders>
              <w:top w:val="nil"/>
              <w:left w:val="nil"/>
              <w:bottom w:val="nil"/>
              <w:right w:val="nil"/>
            </w:tcBorders>
            <w:shd w:val="clear" w:color="auto" w:fill="auto"/>
            <w:noWrap/>
            <w:vAlign w:val="bottom"/>
            <w:hideMark/>
          </w:tcPr>
          <w:p w:rsidR="0065304C" w:rsidRPr="004E2867" w:rsidRDefault="0065304C" w:rsidP="00507616">
            <w:pPr>
              <w:spacing w:after="0" w:line="240" w:lineRule="auto"/>
              <w:rPr>
                <w:rFonts w:ascii="Calibri" w:eastAsia="Times New Roman" w:hAnsi="Calibri" w:cs="Times New Roman"/>
                <w:b/>
                <w:bCs/>
                <w:color w:val="000000"/>
                <w:lang w:eastAsia="el-GR"/>
              </w:rPr>
            </w:pPr>
          </w:p>
        </w:tc>
        <w:tc>
          <w:tcPr>
            <w:tcW w:w="413" w:type="pct"/>
            <w:tcBorders>
              <w:top w:val="nil"/>
              <w:left w:val="nil"/>
              <w:bottom w:val="nil"/>
              <w:right w:val="nil"/>
            </w:tcBorders>
            <w:shd w:val="clear" w:color="auto" w:fill="auto"/>
            <w:noWrap/>
            <w:vAlign w:val="bottom"/>
            <w:hideMark/>
          </w:tcPr>
          <w:p w:rsidR="0065304C" w:rsidRPr="004E2867" w:rsidRDefault="0065304C" w:rsidP="00507616">
            <w:pPr>
              <w:spacing w:after="0" w:line="240" w:lineRule="auto"/>
              <w:jc w:val="center"/>
              <w:rPr>
                <w:rFonts w:ascii="Calibri" w:eastAsia="Times New Roman" w:hAnsi="Calibri" w:cs="Times New Roman"/>
                <w:color w:val="000000"/>
                <w:lang w:eastAsia="el-GR"/>
              </w:rPr>
            </w:pPr>
          </w:p>
        </w:tc>
        <w:tc>
          <w:tcPr>
            <w:tcW w:w="409" w:type="pct"/>
            <w:tcBorders>
              <w:top w:val="nil"/>
              <w:left w:val="nil"/>
              <w:bottom w:val="nil"/>
              <w:right w:val="nil"/>
            </w:tcBorders>
            <w:shd w:val="clear" w:color="auto" w:fill="auto"/>
            <w:noWrap/>
            <w:vAlign w:val="bottom"/>
            <w:hideMark/>
          </w:tcPr>
          <w:p w:rsidR="0065304C" w:rsidRPr="004E2867" w:rsidRDefault="0065304C" w:rsidP="00507616">
            <w:pPr>
              <w:spacing w:after="0" w:line="240" w:lineRule="auto"/>
              <w:jc w:val="center"/>
              <w:rPr>
                <w:rFonts w:ascii="Calibri" w:eastAsia="Times New Roman" w:hAnsi="Calibri" w:cs="Times New Roman"/>
                <w:color w:val="000000"/>
                <w:lang w:eastAsia="el-GR"/>
              </w:rPr>
            </w:pPr>
          </w:p>
        </w:tc>
        <w:tc>
          <w:tcPr>
            <w:tcW w:w="409" w:type="pct"/>
            <w:tcBorders>
              <w:top w:val="nil"/>
              <w:left w:val="nil"/>
              <w:bottom w:val="nil"/>
              <w:right w:val="nil"/>
            </w:tcBorders>
            <w:shd w:val="clear" w:color="auto" w:fill="auto"/>
            <w:noWrap/>
            <w:vAlign w:val="bottom"/>
            <w:hideMark/>
          </w:tcPr>
          <w:p w:rsidR="0065304C" w:rsidRPr="004E2867" w:rsidRDefault="0065304C" w:rsidP="00507616">
            <w:pPr>
              <w:spacing w:after="0" w:line="240" w:lineRule="auto"/>
              <w:jc w:val="center"/>
              <w:rPr>
                <w:rFonts w:ascii="Calibri" w:eastAsia="Times New Roman" w:hAnsi="Calibri" w:cs="Times New Roman"/>
                <w:color w:val="000000"/>
                <w:lang w:eastAsia="el-GR"/>
              </w:rPr>
            </w:pPr>
          </w:p>
        </w:tc>
        <w:tc>
          <w:tcPr>
            <w:tcW w:w="409" w:type="pct"/>
            <w:tcBorders>
              <w:top w:val="nil"/>
              <w:left w:val="nil"/>
              <w:bottom w:val="nil"/>
              <w:right w:val="nil"/>
            </w:tcBorders>
            <w:shd w:val="clear" w:color="auto" w:fill="auto"/>
            <w:noWrap/>
            <w:vAlign w:val="bottom"/>
            <w:hideMark/>
          </w:tcPr>
          <w:p w:rsidR="0065304C" w:rsidRPr="004E2867" w:rsidRDefault="0065304C" w:rsidP="00507616">
            <w:pPr>
              <w:spacing w:after="0" w:line="240" w:lineRule="auto"/>
              <w:jc w:val="center"/>
              <w:rPr>
                <w:rFonts w:ascii="Calibri" w:eastAsia="Times New Roman" w:hAnsi="Calibri" w:cs="Times New Roman"/>
                <w:color w:val="000000"/>
                <w:lang w:eastAsia="el-GR"/>
              </w:rPr>
            </w:pPr>
          </w:p>
        </w:tc>
        <w:tc>
          <w:tcPr>
            <w:tcW w:w="409" w:type="pct"/>
            <w:tcBorders>
              <w:top w:val="nil"/>
              <w:left w:val="nil"/>
              <w:bottom w:val="nil"/>
              <w:right w:val="nil"/>
            </w:tcBorders>
            <w:shd w:val="clear" w:color="auto" w:fill="auto"/>
            <w:noWrap/>
            <w:vAlign w:val="bottom"/>
            <w:hideMark/>
          </w:tcPr>
          <w:p w:rsidR="0065304C" w:rsidRPr="004E2867" w:rsidRDefault="0065304C" w:rsidP="00507616">
            <w:pPr>
              <w:spacing w:after="0" w:line="240" w:lineRule="auto"/>
              <w:jc w:val="center"/>
              <w:rPr>
                <w:rFonts w:ascii="Calibri" w:eastAsia="Times New Roman" w:hAnsi="Calibri" w:cs="Times New Roman"/>
                <w:color w:val="000000"/>
                <w:lang w:eastAsia="el-GR"/>
              </w:rPr>
            </w:pPr>
          </w:p>
        </w:tc>
        <w:tc>
          <w:tcPr>
            <w:tcW w:w="409" w:type="pct"/>
            <w:tcBorders>
              <w:top w:val="nil"/>
              <w:left w:val="nil"/>
              <w:bottom w:val="nil"/>
              <w:right w:val="nil"/>
            </w:tcBorders>
            <w:shd w:val="clear" w:color="auto" w:fill="auto"/>
            <w:noWrap/>
            <w:vAlign w:val="bottom"/>
            <w:hideMark/>
          </w:tcPr>
          <w:p w:rsidR="0065304C" w:rsidRPr="004E2867" w:rsidRDefault="0065304C" w:rsidP="00507616">
            <w:pPr>
              <w:spacing w:after="0" w:line="240" w:lineRule="auto"/>
              <w:jc w:val="center"/>
              <w:rPr>
                <w:rFonts w:ascii="Calibri" w:eastAsia="Times New Roman" w:hAnsi="Calibri" w:cs="Times New Roman"/>
                <w:color w:val="000000"/>
                <w:lang w:eastAsia="el-GR"/>
              </w:rPr>
            </w:pPr>
          </w:p>
        </w:tc>
        <w:tc>
          <w:tcPr>
            <w:tcW w:w="411" w:type="pct"/>
            <w:tcBorders>
              <w:top w:val="nil"/>
              <w:left w:val="nil"/>
              <w:bottom w:val="nil"/>
              <w:right w:val="nil"/>
            </w:tcBorders>
            <w:shd w:val="clear" w:color="auto" w:fill="auto"/>
            <w:noWrap/>
            <w:vAlign w:val="bottom"/>
            <w:hideMark/>
          </w:tcPr>
          <w:p w:rsidR="0065304C" w:rsidRPr="004E2867" w:rsidRDefault="0065304C" w:rsidP="00507616">
            <w:pPr>
              <w:spacing w:after="0" w:line="240" w:lineRule="auto"/>
              <w:jc w:val="center"/>
              <w:rPr>
                <w:rFonts w:ascii="Calibri" w:eastAsia="Times New Roman" w:hAnsi="Calibri" w:cs="Times New Roman"/>
                <w:color w:val="000000"/>
                <w:lang w:eastAsia="el-GR"/>
              </w:rPr>
            </w:pPr>
          </w:p>
        </w:tc>
        <w:tc>
          <w:tcPr>
            <w:tcW w:w="429" w:type="pct"/>
            <w:tcBorders>
              <w:top w:val="nil"/>
              <w:left w:val="nil"/>
              <w:bottom w:val="nil"/>
              <w:right w:val="nil"/>
            </w:tcBorders>
            <w:shd w:val="clear" w:color="auto" w:fill="auto"/>
            <w:noWrap/>
            <w:vAlign w:val="bottom"/>
            <w:hideMark/>
          </w:tcPr>
          <w:p w:rsidR="0065304C" w:rsidRPr="004E2867" w:rsidRDefault="0065304C" w:rsidP="00507616">
            <w:pPr>
              <w:spacing w:after="0" w:line="240" w:lineRule="auto"/>
              <w:jc w:val="center"/>
              <w:rPr>
                <w:rFonts w:ascii="Calibri" w:eastAsia="Times New Roman" w:hAnsi="Calibri" w:cs="Times New Roman"/>
                <w:color w:val="000000"/>
                <w:lang w:eastAsia="el-GR"/>
              </w:rPr>
            </w:pPr>
          </w:p>
        </w:tc>
        <w:tc>
          <w:tcPr>
            <w:tcW w:w="578" w:type="pct"/>
            <w:tcBorders>
              <w:top w:val="nil"/>
              <w:left w:val="nil"/>
              <w:bottom w:val="nil"/>
              <w:right w:val="nil"/>
            </w:tcBorders>
            <w:shd w:val="clear" w:color="auto" w:fill="auto"/>
            <w:noWrap/>
            <w:vAlign w:val="bottom"/>
            <w:hideMark/>
          </w:tcPr>
          <w:p w:rsidR="0065304C" w:rsidRPr="004E2867" w:rsidRDefault="0065304C" w:rsidP="00507616">
            <w:pPr>
              <w:spacing w:after="0" w:line="240" w:lineRule="auto"/>
              <w:jc w:val="center"/>
              <w:rPr>
                <w:rFonts w:ascii="Calibri" w:eastAsia="Times New Roman" w:hAnsi="Calibri" w:cs="Times New Roman"/>
                <w:color w:val="000000"/>
                <w:lang w:eastAsia="el-GR"/>
              </w:rPr>
            </w:pPr>
          </w:p>
        </w:tc>
        <w:tc>
          <w:tcPr>
            <w:tcW w:w="578" w:type="pct"/>
            <w:tcBorders>
              <w:top w:val="nil"/>
              <w:left w:val="nil"/>
              <w:bottom w:val="nil"/>
              <w:right w:val="nil"/>
            </w:tcBorders>
          </w:tcPr>
          <w:p w:rsidR="0065304C" w:rsidRPr="004E2867" w:rsidRDefault="0065304C" w:rsidP="00507616">
            <w:pPr>
              <w:spacing w:after="0" w:line="240" w:lineRule="auto"/>
              <w:jc w:val="center"/>
              <w:rPr>
                <w:rFonts w:ascii="Calibri" w:eastAsia="Times New Roman" w:hAnsi="Calibri" w:cs="Times New Roman"/>
                <w:color w:val="000000"/>
                <w:lang w:eastAsia="el-GR"/>
              </w:rPr>
            </w:pPr>
          </w:p>
        </w:tc>
      </w:tr>
      <w:tr w:rsidR="0065304C" w:rsidRPr="004E2867" w:rsidTr="0065304C">
        <w:trPr>
          <w:trHeight w:val="274"/>
        </w:trPr>
        <w:tc>
          <w:tcPr>
            <w:tcW w:w="959" w:type="pct"/>
            <w:gridSpan w:val="2"/>
            <w:tcBorders>
              <w:top w:val="nil"/>
              <w:left w:val="nil"/>
              <w:bottom w:val="single" w:sz="4" w:space="0" w:color="000000"/>
              <w:right w:val="nil"/>
            </w:tcBorders>
            <w:shd w:val="clear" w:color="auto" w:fill="auto"/>
            <w:noWrap/>
            <w:vAlign w:val="bottom"/>
            <w:hideMark/>
          </w:tcPr>
          <w:p w:rsidR="0065304C" w:rsidRPr="00C20494" w:rsidRDefault="0065304C" w:rsidP="00507616">
            <w:pPr>
              <w:spacing w:after="0" w:line="240" w:lineRule="auto"/>
              <w:rPr>
                <w:rFonts w:ascii="Calibri" w:eastAsia="Times New Roman" w:hAnsi="Calibri" w:cs="Times New Roman"/>
                <w:b/>
                <w:bCs/>
                <w:color w:val="000000"/>
                <w:lang w:val="en-US" w:eastAsia="el-GR"/>
              </w:rPr>
            </w:pPr>
            <w:r w:rsidRPr="004E2867">
              <w:rPr>
                <w:rFonts w:ascii="Calibri" w:eastAsia="Times New Roman" w:hAnsi="Calibri" w:cs="Times New Roman"/>
                <w:b/>
                <w:bCs/>
                <w:color w:val="000000"/>
                <w:lang w:eastAsia="el-GR"/>
              </w:rPr>
              <w:t>Observations</w:t>
            </w:r>
            <w:r>
              <w:rPr>
                <w:rFonts w:ascii="Calibri" w:eastAsia="Times New Roman" w:hAnsi="Calibri" w:cs="Times New Roman"/>
                <w:b/>
                <w:bCs/>
                <w:color w:val="000000"/>
                <w:lang w:val="en-US" w:eastAsia="el-GR"/>
              </w:rPr>
              <w:t xml:space="preserve">        </w:t>
            </w:r>
            <w:r w:rsidRPr="00C20494">
              <w:rPr>
                <w:rFonts w:ascii="Calibri" w:eastAsia="Times New Roman" w:hAnsi="Calibri" w:cs="Times New Roman"/>
                <w:bCs/>
                <w:color w:val="000000"/>
                <w:lang w:val="en-US" w:eastAsia="el-GR"/>
              </w:rPr>
              <w:t>19</w:t>
            </w:r>
          </w:p>
        </w:tc>
        <w:tc>
          <w:tcPr>
            <w:tcW w:w="409" w:type="pct"/>
            <w:tcBorders>
              <w:top w:val="nil"/>
              <w:left w:val="nil"/>
              <w:bottom w:val="single" w:sz="4" w:space="0" w:color="000000"/>
              <w:right w:val="nil"/>
            </w:tcBorders>
            <w:shd w:val="clear" w:color="auto" w:fill="auto"/>
            <w:noWrap/>
            <w:vAlign w:val="bottom"/>
            <w:hideMark/>
          </w:tcPr>
          <w:p w:rsidR="0065304C" w:rsidRPr="004E2867" w:rsidRDefault="0065304C" w:rsidP="00507616">
            <w:pPr>
              <w:spacing w:after="0" w:line="240" w:lineRule="auto"/>
              <w:jc w:val="center"/>
              <w:rPr>
                <w:rFonts w:ascii="Calibri" w:eastAsia="Times New Roman" w:hAnsi="Calibri" w:cs="Times New Roman"/>
                <w:color w:val="000000"/>
                <w:lang w:eastAsia="el-GR"/>
              </w:rPr>
            </w:pPr>
            <w:r w:rsidRPr="004E2867">
              <w:rPr>
                <w:rFonts w:ascii="Calibri" w:eastAsia="Times New Roman" w:hAnsi="Calibri" w:cs="Times New Roman"/>
                <w:color w:val="000000"/>
                <w:lang w:eastAsia="el-GR"/>
              </w:rPr>
              <w:t>19</w:t>
            </w:r>
          </w:p>
        </w:tc>
        <w:tc>
          <w:tcPr>
            <w:tcW w:w="409" w:type="pct"/>
            <w:tcBorders>
              <w:top w:val="nil"/>
              <w:left w:val="nil"/>
              <w:bottom w:val="single" w:sz="4" w:space="0" w:color="000000"/>
              <w:right w:val="nil"/>
            </w:tcBorders>
            <w:shd w:val="clear" w:color="auto" w:fill="auto"/>
            <w:noWrap/>
            <w:vAlign w:val="bottom"/>
            <w:hideMark/>
          </w:tcPr>
          <w:p w:rsidR="0065304C" w:rsidRPr="004E2867" w:rsidRDefault="0065304C" w:rsidP="00507616">
            <w:pPr>
              <w:spacing w:after="0" w:line="240" w:lineRule="auto"/>
              <w:jc w:val="center"/>
              <w:rPr>
                <w:rFonts w:ascii="Calibri" w:eastAsia="Times New Roman" w:hAnsi="Calibri" w:cs="Times New Roman"/>
                <w:color w:val="000000"/>
                <w:lang w:eastAsia="el-GR"/>
              </w:rPr>
            </w:pPr>
            <w:r w:rsidRPr="004E2867">
              <w:rPr>
                <w:rFonts w:ascii="Calibri" w:eastAsia="Times New Roman" w:hAnsi="Calibri" w:cs="Times New Roman"/>
                <w:color w:val="000000"/>
                <w:lang w:eastAsia="el-GR"/>
              </w:rPr>
              <w:t>19</w:t>
            </w:r>
          </w:p>
        </w:tc>
        <w:tc>
          <w:tcPr>
            <w:tcW w:w="409" w:type="pct"/>
            <w:tcBorders>
              <w:top w:val="nil"/>
              <w:left w:val="nil"/>
              <w:bottom w:val="single" w:sz="4" w:space="0" w:color="000000"/>
              <w:right w:val="nil"/>
            </w:tcBorders>
            <w:shd w:val="clear" w:color="auto" w:fill="auto"/>
            <w:noWrap/>
            <w:vAlign w:val="bottom"/>
            <w:hideMark/>
          </w:tcPr>
          <w:p w:rsidR="0065304C" w:rsidRPr="004E2867" w:rsidRDefault="0065304C" w:rsidP="00507616">
            <w:pPr>
              <w:spacing w:after="0" w:line="240" w:lineRule="auto"/>
              <w:jc w:val="center"/>
              <w:rPr>
                <w:rFonts w:ascii="Calibri" w:eastAsia="Times New Roman" w:hAnsi="Calibri" w:cs="Times New Roman"/>
                <w:color w:val="000000"/>
                <w:lang w:eastAsia="el-GR"/>
              </w:rPr>
            </w:pPr>
            <w:r w:rsidRPr="004E2867">
              <w:rPr>
                <w:rFonts w:ascii="Calibri" w:eastAsia="Times New Roman" w:hAnsi="Calibri" w:cs="Times New Roman"/>
                <w:color w:val="000000"/>
                <w:lang w:eastAsia="el-GR"/>
              </w:rPr>
              <w:t>19</w:t>
            </w:r>
          </w:p>
        </w:tc>
        <w:tc>
          <w:tcPr>
            <w:tcW w:w="409" w:type="pct"/>
            <w:tcBorders>
              <w:top w:val="nil"/>
              <w:left w:val="nil"/>
              <w:bottom w:val="single" w:sz="4" w:space="0" w:color="000000"/>
              <w:right w:val="nil"/>
            </w:tcBorders>
            <w:shd w:val="clear" w:color="auto" w:fill="auto"/>
            <w:noWrap/>
            <w:vAlign w:val="bottom"/>
            <w:hideMark/>
          </w:tcPr>
          <w:p w:rsidR="0065304C" w:rsidRPr="004E2867" w:rsidRDefault="0065304C" w:rsidP="00507616">
            <w:pPr>
              <w:spacing w:after="0" w:line="240" w:lineRule="auto"/>
              <w:jc w:val="center"/>
              <w:rPr>
                <w:rFonts w:ascii="Calibri" w:eastAsia="Times New Roman" w:hAnsi="Calibri" w:cs="Times New Roman"/>
                <w:color w:val="000000"/>
                <w:lang w:eastAsia="el-GR"/>
              </w:rPr>
            </w:pPr>
            <w:r w:rsidRPr="004E2867">
              <w:rPr>
                <w:rFonts w:ascii="Calibri" w:eastAsia="Times New Roman" w:hAnsi="Calibri" w:cs="Times New Roman"/>
                <w:color w:val="000000"/>
                <w:lang w:eastAsia="el-GR"/>
              </w:rPr>
              <w:t>19</w:t>
            </w:r>
          </w:p>
        </w:tc>
        <w:tc>
          <w:tcPr>
            <w:tcW w:w="409" w:type="pct"/>
            <w:tcBorders>
              <w:top w:val="nil"/>
              <w:left w:val="nil"/>
              <w:bottom w:val="single" w:sz="4" w:space="0" w:color="000000"/>
              <w:right w:val="nil"/>
            </w:tcBorders>
            <w:shd w:val="clear" w:color="auto" w:fill="auto"/>
            <w:noWrap/>
            <w:vAlign w:val="bottom"/>
            <w:hideMark/>
          </w:tcPr>
          <w:p w:rsidR="0065304C" w:rsidRPr="004E2867" w:rsidRDefault="0065304C" w:rsidP="00507616">
            <w:pPr>
              <w:spacing w:after="0" w:line="240" w:lineRule="auto"/>
              <w:jc w:val="center"/>
              <w:rPr>
                <w:rFonts w:ascii="Calibri" w:eastAsia="Times New Roman" w:hAnsi="Calibri" w:cs="Times New Roman"/>
                <w:color w:val="000000"/>
                <w:lang w:eastAsia="el-GR"/>
              </w:rPr>
            </w:pPr>
            <w:r w:rsidRPr="004E2867">
              <w:rPr>
                <w:rFonts w:ascii="Calibri" w:eastAsia="Times New Roman" w:hAnsi="Calibri" w:cs="Times New Roman"/>
                <w:color w:val="000000"/>
                <w:lang w:eastAsia="el-GR"/>
              </w:rPr>
              <w:t>19</w:t>
            </w:r>
          </w:p>
        </w:tc>
        <w:tc>
          <w:tcPr>
            <w:tcW w:w="411" w:type="pct"/>
            <w:tcBorders>
              <w:top w:val="nil"/>
              <w:left w:val="nil"/>
              <w:bottom w:val="single" w:sz="4" w:space="0" w:color="000000"/>
              <w:right w:val="nil"/>
            </w:tcBorders>
            <w:shd w:val="clear" w:color="auto" w:fill="auto"/>
            <w:noWrap/>
            <w:vAlign w:val="bottom"/>
            <w:hideMark/>
          </w:tcPr>
          <w:p w:rsidR="0065304C" w:rsidRPr="004E2867" w:rsidRDefault="0065304C" w:rsidP="00507616">
            <w:pPr>
              <w:spacing w:after="0" w:line="240" w:lineRule="auto"/>
              <w:jc w:val="center"/>
              <w:rPr>
                <w:rFonts w:ascii="Calibri" w:eastAsia="Times New Roman" w:hAnsi="Calibri" w:cs="Times New Roman"/>
                <w:color w:val="000000"/>
                <w:lang w:eastAsia="el-GR"/>
              </w:rPr>
            </w:pPr>
            <w:r w:rsidRPr="004E2867">
              <w:rPr>
                <w:rFonts w:ascii="Calibri" w:eastAsia="Times New Roman" w:hAnsi="Calibri" w:cs="Times New Roman"/>
                <w:color w:val="000000"/>
                <w:lang w:eastAsia="el-GR"/>
              </w:rPr>
              <w:t>19</w:t>
            </w:r>
          </w:p>
        </w:tc>
        <w:tc>
          <w:tcPr>
            <w:tcW w:w="429" w:type="pct"/>
            <w:tcBorders>
              <w:top w:val="nil"/>
              <w:left w:val="nil"/>
              <w:bottom w:val="single" w:sz="4" w:space="0" w:color="000000"/>
              <w:right w:val="nil"/>
            </w:tcBorders>
            <w:shd w:val="clear" w:color="auto" w:fill="auto"/>
            <w:noWrap/>
            <w:vAlign w:val="bottom"/>
            <w:hideMark/>
          </w:tcPr>
          <w:p w:rsidR="0065304C" w:rsidRPr="004E2867" w:rsidRDefault="0065304C" w:rsidP="00507616">
            <w:pPr>
              <w:spacing w:after="0" w:line="240" w:lineRule="auto"/>
              <w:jc w:val="center"/>
              <w:rPr>
                <w:rFonts w:ascii="Calibri" w:eastAsia="Times New Roman" w:hAnsi="Calibri" w:cs="Times New Roman"/>
                <w:color w:val="000000"/>
                <w:lang w:eastAsia="el-GR"/>
              </w:rPr>
            </w:pPr>
            <w:r w:rsidRPr="004E2867">
              <w:rPr>
                <w:rFonts w:ascii="Calibri" w:eastAsia="Times New Roman" w:hAnsi="Calibri" w:cs="Times New Roman"/>
                <w:color w:val="000000"/>
                <w:lang w:eastAsia="el-GR"/>
              </w:rPr>
              <w:t>19</w:t>
            </w:r>
          </w:p>
        </w:tc>
        <w:tc>
          <w:tcPr>
            <w:tcW w:w="578" w:type="pct"/>
            <w:tcBorders>
              <w:top w:val="nil"/>
              <w:left w:val="nil"/>
              <w:bottom w:val="single" w:sz="4" w:space="0" w:color="000000"/>
              <w:right w:val="nil"/>
            </w:tcBorders>
            <w:shd w:val="clear" w:color="auto" w:fill="auto"/>
            <w:noWrap/>
            <w:vAlign w:val="bottom"/>
            <w:hideMark/>
          </w:tcPr>
          <w:p w:rsidR="0065304C" w:rsidRPr="004E2867" w:rsidRDefault="0065304C" w:rsidP="00507616">
            <w:pPr>
              <w:spacing w:after="0" w:line="240" w:lineRule="auto"/>
              <w:jc w:val="center"/>
              <w:rPr>
                <w:rFonts w:ascii="Calibri" w:eastAsia="Times New Roman" w:hAnsi="Calibri" w:cs="Times New Roman"/>
                <w:color w:val="000000"/>
                <w:lang w:eastAsia="el-GR"/>
              </w:rPr>
            </w:pPr>
            <w:r w:rsidRPr="004E2867">
              <w:rPr>
                <w:rFonts w:ascii="Calibri" w:eastAsia="Times New Roman" w:hAnsi="Calibri" w:cs="Times New Roman"/>
                <w:color w:val="000000"/>
                <w:lang w:eastAsia="el-GR"/>
              </w:rPr>
              <w:t>19</w:t>
            </w:r>
          </w:p>
        </w:tc>
        <w:tc>
          <w:tcPr>
            <w:tcW w:w="578" w:type="pct"/>
            <w:tcBorders>
              <w:top w:val="nil"/>
              <w:left w:val="nil"/>
              <w:bottom w:val="single" w:sz="4" w:space="0" w:color="000000"/>
              <w:right w:val="nil"/>
            </w:tcBorders>
          </w:tcPr>
          <w:p w:rsidR="0065304C" w:rsidRPr="004E2867" w:rsidRDefault="0065304C" w:rsidP="00507616">
            <w:pPr>
              <w:spacing w:after="0" w:line="240" w:lineRule="auto"/>
              <w:jc w:val="center"/>
              <w:rPr>
                <w:rFonts w:ascii="Calibri" w:eastAsia="Times New Roman" w:hAnsi="Calibri" w:cs="Times New Roman"/>
                <w:color w:val="000000"/>
                <w:lang w:eastAsia="el-GR"/>
              </w:rPr>
            </w:pPr>
            <w:r>
              <w:rPr>
                <w:rFonts w:ascii="Calibri" w:eastAsia="Times New Roman" w:hAnsi="Calibri" w:cs="Times New Roman"/>
                <w:color w:val="000000"/>
                <w:lang w:eastAsia="el-GR"/>
              </w:rPr>
              <w:t>19</w:t>
            </w:r>
          </w:p>
        </w:tc>
      </w:tr>
    </w:tbl>
    <w:p w:rsidR="0065304C" w:rsidRPr="002C595D" w:rsidRDefault="000814EF" w:rsidP="0065304C">
      <w:pPr>
        <w:rPr>
          <w:sz w:val="20"/>
          <w:lang w:val="en-US"/>
        </w:rPr>
      </w:pPr>
      <w:r w:rsidRPr="002C595D">
        <w:rPr>
          <w:sz w:val="20"/>
          <w:lang w:val="en-US"/>
        </w:rPr>
        <w:t>The table presents the descriptive statistics for all variables in use for the sub-sample: Developing Countries.</w:t>
      </w:r>
    </w:p>
    <w:p w:rsidR="000814EF" w:rsidRDefault="000814EF" w:rsidP="0054505D">
      <w:pPr>
        <w:autoSpaceDE w:val="0"/>
        <w:autoSpaceDN w:val="0"/>
        <w:adjustRightInd w:val="0"/>
        <w:spacing w:after="0" w:line="240" w:lineRule="auto"/>
        <w:rPr>
          <w:lang w:val="en-US"/>
        </w:rPr>
      </w:pPr>
    </w:p>
    <w:p w:rsidR="000814EF" w:rsidRDefault="000814EF" w:rsidP="0054505D">
      <w:pPr>
        <w:autoSpaceDE w:val="0"/>
        <w:autoSpaceDN w:val="0"/>
        <w:adjustRightInd w:val="0"/>
        <w:spacing w:after="0" w:line="240" w:lineRule="auto"/>
        <w:rPr>
          <w:lang w:val="en-US"/>
        </w:rPr>
      </w:pPr>
    </w:p>
    <w:p w:rsidR="000814EF" w:rsidRDefault="000814EF" w:rsidP="0054505D">
      <w:pPr>
        <w:autoSpaceDE w:val="0"/>
        <w:autoSpaceDN w:val="0"/>
        <w:adjustRightInd w:val="0"/>
        <w:spacing w:after="0" w:line="240" w:lineRule="auto"/>
        <w:rPr>
          <w:lang w:val="en-US"/>
        </w:rPr>
      </w:pPr>
    </w:p>
    <w:p w:rsidR="000814EF" w:rsidRDefault="000814EF" w:rsidP="0054505D">
      <w:pPr>
        <w:autoSpaceDE w:val="0"/>
        <w:autoSpaceDN w:val="0"/>
        <w:adjustRightInd w:val="0"/>
        <w:spacing w:after="0" w:line="240" w:lineRule="auto"/>
        <w:rPr>
          <w:lang w:val="en-US"/>
        </w:rPr>
      </w:pPr>
    </w:p>
    <w:p w:rsidR="000814EF" w:rsidRDefault="000814EF" w:rsidP="0054505D">
      <w:pPr>
        <w:autoSpaceDE w:val="0"/>
        <w:autoSpaceDN w:val="0"/>
        <w:adjustRightInd w:val="0"/>
        <w:spacing w:after="0" w:line="240" w:lineRule="auto"/>
        <w:rPr>
          <w:lang w:val="en-US"/>
        </w:rPr>
      </w:pPr>
    </w:p>
    <w:p w:rsidR="000814EF" w:rsidRDefault="000814EF" w:rsidP="0054505D">
      <w:pPr>
        <w:autoSpaceDE w:val="0"/>
        <w:autoSpaceDN w:val="0"/>
        <w:adjustRightInd w:val="0"/>
        <w:spacing w:after="0" w:line="240" w:lineRule="auto"/>
        <w:rPr>
          <w:lang w:val="en-US"/>
        </w:rPr>
      </w:pPr>
    </w:p>
    <w:p w:rsidR="000814EF" w:rsidRDefault="000814EF" w:rsidP="0054505D">
      <w:pPr>
        <w:autoSpaceDE w:val="0"/>
        <w:autoSpaceDN w:val="0"/>
        <w:adjustRightInd w:val="0"/>
        <w:spacing w:after="0" w:line="240" w:lineRule="auto"/>
        <w:rPr>
          <w:lang w:val="en-US"/>
        </w:rPr>
        <w:sectPr w:rsidR="000814EF" w:rsidSect="0065304C">
          <w:pgSz w:w="16838" w:h="11906" w:orient="landscape"/>
          <w:pgMar w:top="1134" w:right="1418" w:bottom="1418" w:left="1418" w:header="708" w:footer="113" w:gutter="0"/>
          <w:cols w:space="708"/>
          <w:docGrid w:linePitch="360"/>
        </w:sectPr>
      </w:pPr>
    </w:p>
    <w:p w:rsidR="000814EF" w:rsidRPr="000F634B" w:rsidRDefault="0065304C" w:rsidP="000814EF">
      <w:pPr>
        <w:autoSpaceDE w:val="0"/>
        <w:autoSpaceDN w:val="0"/>
        <w:adjustRightInd w:val="0"/>
        <w:spacing w:after="0" w:line="240" w:lineRule="auto"/>
        <w:rPr>
          <w:rFonts w:ascii="Times New Roman" w:hAnsi="Times New Roman" w:cs="Times New Roman"/>
          <w:lang w:val="en-US"/>
        </w:rPr>
      </w:pPr>
      <w:r w:rsidRPr="000F634B">
        <w:rPr>
          <w:rFonts w:ascii="Times New Roman" w:hAnsi="Times New Roman" w:cs="Times New Roman"/>
          <w:lang w:val="en-US"/>
        </w:rPr>
        <w:lastRenderedPageBreak/>
        <w:t>Below we can see the results from the multiple and simple regressions for the Developing countri</w:t>
      </w:r>
      <w:r w:rsidR="0054505D" w:rsidRPr="000F634B">
        <w:rPr>
          <w:rFonts w:ascii="Times New Roman" w:hAnsi="Times New Roman" w:cs="Times New Roman"/>
          <w:lang w:val="en-US"/>
        </w:rPr>
        <w:t>es.</w:t>
      </w:r>
    </w:p>
    <w:p w:rsidR="000814EF" w:rsidRDefault="000814EF" w:rsidP="000814EF">
      <w:pPr>
        <w:autoSpaceDE w:val="0"/>
        <w:autoSpaceDN w:val="0"/>
        <w:adjustRightInd w:val="0"/>
        <w:spacing w:after="0" w:line="240" w:lineRule="auto"/>
        <w:rPr>
          <w:lang w:val="en-US"/>
        </w:rPr>
      </w:pPr>
    </w:p>
    <w:p w:rsidR="007D3407" w:rsidRDefault="00557E75" w:rsidP="000814EF">
      <w:pPr>
        <w:autoSpaceDE w:val="0"/>
        <w:autoSpaceDN w:val="0"/>
        <w:adjustRightInd w:val="0"/>
        <w:spacing w:after="0" w:line="240" w:lineRule="auto"/>
        <w:rPr>
          <w:b/>
          <w:lang w:val="en-US"/>
        </w:rPr>
      </w:pPr>
      <w:r w:rsidRPr="002D207A">
        <w:rPr>
          <w:b/>
          <w:lang w:val="en-US"/>
        </w:rPr>
        <w:t>Table 4.</w:t>
      </w:r>
      <w:r w:rsidR="00D47B51">
        <w:rPr>
          <w:b/>
          <w:lang w:val="en-US"/>
        </w:rPr>
        <w:t>8</w:t>
      </w:r>
      <w:r w:rsidRPr="002D207A">
        <w:rPr>
          <w:b/>
          <w:lang w:val="en-US"/>
        </w:rPr>
        <w:t xml:space="preserve"> Regression results for the multiple and si</w:t>
      </w:r>
      <w:r>
        <w:rPr>
          <w:b/>
          <w:lang w:val="en-US"/>
        </w:rPr>
        <w:t>ngle regression models- Developing</w:t>
      </w:r>
      <w:r w:rsidRPr="002D207A">
        <w:rPr>
          <w:b/>
          <w:lang w:val="en-US"/>
        </w:rPr>
        <w:t xml:space="preserve"> countries. </w:t>
      </w:r>
    </w:p>
    <w:p w:rsidR="000814EF" w:rsidRDefault="000814EF" w:rsidP="000814EF">
      <w:pPr>
        <w:autoSpaceDE w:val="0"/>
        <w:autoSpaceDN w:val="0"/>
        <w:adjustRightInd w:val="0"/>
        <w:spacing w:after="0" w:line="240" w:lineRule="auto"/>
        <w:rPr>
          <w:rFonts w:ascii="Arial" w:hAnsi="Arial" w:cs="Arial"/>
          <w:b/>
          <w:i/>
          <w:lang w:val="en-US"/>
        </w:rPr>
      </w:pPr>
    </w:p>
    <w:tbl>
      <w:tblPr>
        <w:tblStyle w:val="PlainTable1"/>
        <w:tblW w:w="0" w:type="auto"/>
        <w:tblLook w:val="06A0"/>
      </w:tblPr>
      <w:tblGrid>
        <w:gridCol w:w="1462"/>
        <w:gridCol w:w="1259"/>
        <w:gridCol w:w="1383"/>
        <w:gridCol w:w="1341"/>
        <w:gridCol w:w="1341"/>
        <w:gridCol w:w="1341"/>
        <w:gridCol w:w="1341"/>
      </w:tblGrid>
      <w:tr w:rsidR="00557E75" w:rsidTr="00557E75">
        <w:trPr>
          <w:cnfStyle w:val="100000000000"/>
        </w:trPr>
        <w:tc>
          <w:tcPr>
            <w:cnfStyle w:val="001000000000"/>
            <w:tcW w:w="1462" w:type="dxa"/>
          </w:tcPr>
          <w:p w:rsidR="00557E75" w:rsidRPr="00A1756F" w:rsidRDefault="00557E75" w:rsidP="003E383A">
            <w:pPr>
              <w:jc w:val="both"/>
              <w:rPr>
                <w:rFonts w:ascii="Arial" w:hAnsi="Arial" w:cs="Arial"/>
                <w:i/>
                <w:lang w:val="en-US"/>
              </w:rPr>
            </w:pPr>
            <w:r w:rsidRPr="00A1756F">
              <w:rPr>
                <w:rFonts w:ascii="Arial" w:hAnsi="Arial" w:cs="Arial"/>
                <w:i/>
                <w:lang w:val="en-US"/>
              </w:rPr>
              <w:t>Variables</w:t>
            </w:r>
          </w:p>
        </w:tc>
        <w:tc>
          <w:tcPr>
            <w:tcW w:w="1259" w:type="dxa"/>
          </w:tcPr>
          <w:p w:rsidR="00557E75" w:rsidRDefault="00557E75" w:rsidP="003E383A">
            <w:pPr>
              <w:jc w:val="both"/>
              <w:cnfStyle w:val="100000000000"/>
              <w:rPr>
                <w:rFonts w:ascii="Arial" w:hAnsi="Arial" w:cs="Arial"/>
                <w:b w:val="0"/>
                <w:i/>
                <w:lang w:val="en-US"/>
              </w:rPr>
            </w:pPr>
            <w:r>
              <w:rPr>
                <w:rFonts w:ascii="Arial" w:hAnsi="Arial" w:cs="Arial"/>
                <w:i/>
                <w:lang w:val="en-US"/>
              </w:rPr>
              <w:t>Expected sign</w:t>
            </w:r>
          </w:p>
        </w:tc>
        <w:tc>
          <w:tcPr>
            <w:tcW w:w="1383" w:type="dxa"/>
          </w:tcPr>
          <w:p w:rsidR="00557E75" w:rsidRDefault="00557E75" w:rsidP="003E383A">
            <w:pPr>
              <w:jc w:val="both"/>
              <w:cnfStyle w:val="100000000000"/>
              <w:rPr>
                <w:rFonts w:ascii="Arial" w:hAnsi="Arial" w:cs="Arial"/>
                <w:b w:val="0"/>
                <w:i/>
                <w:lang w:val="en-US"/>
              </w:rPr>
            </w:pPr>
            <w:r>
              <w:rPr>
                <w:rFonts w:ascii="Arial" w:hAnsi="Arial" w:cs="Arial"/>
                <w:i/>
                <w:lang w:val="en-US"/>
              </w:rPr>
              <w:t>Multiple regression (1)</w:t>
            </w:r>
          </w:p>
        </w:tc>
        <w:tc>
          <w:tcPr>
            <w:tcW w:w="1341" w:type="dxa"/>
          </w:tcPr>
          <w:p w:rsidR="00557E75" w:rsidRDefault="00282A0B" w:rsidP="003E383A">
            <w:pPr>
              <w:jc w:val="center"/>
              <w:cnfStyle w:val="100000000000"/>
              <w:rPr>
                <w:rFonts w:ascii="Arial" w:hAnsi="Arial" w:cs="Arial"/>
                <w:b w:val="0"/>
                <w:i/>
                <w:lang w:val="en-US"/>
              </w:rPr>
            </w:pPr>
            <w:r>
              <w:rPr>
                <w:rFonts w:ascii="Arial" w:hAnsi="Arial" w:cs="Arial"/>
                <w:i/>
                <w:lang w:val="en-US"/>
              </w:rPr>
              <w:t>Single</w:t>
            </w:r>
            <w:r w:rsidR="00557E75">
              <w:rPr>
                <w:rFonts w:ascii="Arial" w:hAnsi="Arial" w:cs="Arial"/>
                <w:i/>
                <w:lang w:val="en-US"/>
              </w:rPr>
              <w:t xml:space="preserve"> regression (2)</w:t>
            </w:r>
          </w:p>
        </w:tc>
        <w:tc>
          <w:tcPr>
            <w:tcW w:w="1341" w:type="dxa"/>
          </w:tcPr>
          <w:p w:rsidR="00557E75" w:rsidRDefault="00282A0B" w:rsidP="003E383A">
            <w:pPr>
              <w:jc w:val="center"/>
              <w:cnfStyle w:val="100000000000"/>
              <w:rPr>
                <w:rFonts w:ascii="Arial" w:hAnsi="Arial" w:cs="Arial"/>
                <w:b w:val="0"/>
                <w:i/>
                <w:lang w:val="en-US"/>
              </w:rPr>
            </w:pPr>
            <w:r>
              <w:rPr>
                <w:rFonts w:ascii="Arial" w:hAnsi="Arial" w:cs="Arial"/>
                <w:i/>
                <w:lang w:val="en-US"/>
              </w:rPr>
              <w:t xml:space="preserve">Single </w:t>
            </w:r>
            <w:r w:rsidR="00557E75">
              <w:rPr>
                <w:rFonts w:ascii="Arial" w:hAnsi="Arial" w:cs="Arial"/>
                <w:i/>
                <w:lang w:val="en-US"/>
              </w:rPr>
              <w:t>regression (3)</w:t>
            </w:r>
          </w:p>
        </w:tc>
        <w:tc>
          <w:tcPr>
            <w:tcW w:w="1341" w:type="dxa"/>
          </w:tcPr>
          <w:p w:rsidR="00557E75" w:rsidRDefault="00282A0B" w:rsidP="003E383A">
            <w:pPr>
              <w:jc w:val="center"/>
              <w:cnfStyle w:val="100000000000"/>
              <w:rPr>
                <w:rFonts w:ascii="Arial" w:hAnsi="Arial" w:cs="Arial"/>
                <w:b w:val="0"/>
                <w:i/>
                <w:lang w:val="en-US"/>
              </w:rPr>
            </w:pPr>
            <w:r>
              <w:rPr>
                <w:rFonts w:ascii="Arial" w:hAnsi="Arial" w:cs="Arial"/>
                <w:i/>
                <w:lang w:val="en-US"/>
              </w:rPr>
              <w:t xml:space="preserve">Single </w:t>
            </w:r>
            <w:r w:rsidR="00557E75">
              <w:rPr>
                <w:rFonts w:ascii="Arial" w:hAnsi="Arial" w:cs="Arial"/>
                <w:i/>
                <w:lang w:val="en-US"/>
              </w:rPr>
              <w:t>regression (4)</w:t>
            </w:r>
          </w:p>
        </w:tc>
        <w:tc>
          <w:tcPr>
            <w:tcW w:w="1341" w:type="dxa"/>
          </w:tcPr>
          <w:p w:rsidR="00557E75" w:rsidRDefault="00282A0B" w:rsidP="003E383A">
            <w:pPr>
              <w:jc w:val="center"/>
              <w:cnfStyle w:val="100000000000"/>
              <w:rPr>
                <w:rFonts w:ascii="Arial" w:hAnsi="Arial" w:cs="Arial"/>
                <w:b w:val="0"/>
                <w:i/>
                <w:lang w:val="en-US"/>
              </w:rPr>
            </w:pPr>
            <w:r>
              <w:rPr>
                <w:rFonts w:ascii="Arial" w:hAnsi="Arial" w:cs="Arial"/>
                <w:i/>
                <w:lang w:val="en-US"/>
              </w:rPr>
              <w:t xml:space="preserve">Single </w:t>
            </w:r>
            <w:r w:rsidR="00557E75">
              <w:rPr>
                <w:rFonts w:ascii="Arial" w:hAnsi="Arial" w:cs="Arial"/>
                <w:i/>
                <w:lang w:val="en-US"/>
              </w:rPr>
              <w:t>regression (5)</w:t>
            </w:r>
          </w:p>
        </w:tc>
      </w:tr>
      <w:tr w:rsidR="00557E75" w:rsidTr="00557E75">
        <w:tc>
          <w:tcPr>
            <w:cnfStyle w:val="001000000000"/>
            <w:tcW w:w="1462" w:type="dxa"/>
          </w:tcPr>
          <w:p w:rsidR="00557E75" w:rsidRPr="00884CBA" w:rsidRDefault="00557E75" w:rsidP="007D3407">
            <w:pPr>
              <w:jc w:val="center"/>
              <w:rPr>
                <w:rFonts w:ascii="Arial" w:hAnsi="Arial" w:cs="Arial"/>
                <w:b w:val="0"/>
                <w:i/>
                <w:lang w:val="en-US"/>
              </w:rPr>
            </w:pPr>
          </w:p>
        </w:tc>
        <w:tc>
          <w:tcPr>
            <w:tcW w:w="1259" w:type="dxa"/>
          </w:tcPr>
          <w:p w:rsidR="00557E75" w:rsidRPr="00884CBA" w:rsidRDefault="00557E75" w:rsidP="007D3407">
            <w:pPr>
              <w:jc w:val="center"/>
              <w:cnfStyle w:val="000000000000"/>
              <w:rPr>
                <w:rFonts w:ascii="Arial" w:hAnsi="Arial" w:cs="Arial"/>
                <w:b/>
                <w:i/>
                <w:lang w:val="en-US"/>
              </w:rPr>
            </w:pPr>
          </w:p>
        </w:tc>
        <w:tc>
          <w:tcPr>
            <w:tcW w:w="1383" w:type="dxa"/>
            <w:vAlign w:val="center"/>
          </w:tcPr>
          <w:p w:rsidR="00557E75" w:rsidRPr="00884CBA" w:rsidRDefault="00557E75" w:rsidP="00E65832">
            <w:pPr>
              <w:jc w:val="center"/>
              <w:cnfStyle w:val="000000000000"/>
              <w:rPr>
                <w:rFonts w:ascii="Arial" w:hAnsi="Arial" w:cs="Arial"/>
                <w:b/>
                <w:i/>
                <w:lang w:val="en-US"/>
              </w:rPr>
            </w:pPr>
          </w:p>
        </w:tc>
        <w:tc>
          <w:tcPr>
            <w:tcW w:w="1341" w:type="dxa"/>
            <w:vAlign w:val="center"/>
          </w:tcPr>
          <w:p w:rsidR="00557E75" w:rsidRPr="00884CBA" w:rsidRDefault="00557E75" w:rsidP="00E65832">
            <w:pPr>
              <w:jc w:val="center"/>
              <w:cnfStyle w:val="000000000000"/>
              <w:rPr>
                <w:rFonts w:ascii="Arial" w:hAnsi="Arial" w:cs="Arial"/>
                <w:b/>
                <w:i/>
                <w:lang w:val="en-US"/>
              </w:rPr>
            </w:pPr>
          </w:p>
        </w:tc>
        <w:tc>
          <w:tcPr>
            <w:tcW w:w="1341" w:type="dxa"/>
            <w:vAlign w:val="center"/>
          </w:tcPr>
          <w:p w:rsidR="00557E75" w:rsidRPr="00884CBA" w:rsidRDefault="00557E75" w:rsidP="00E65832">
            <w:pPr>
              <w:jc w:val="center"/>
              <w:cnfStyle w:val="000000000000"/>
              <w:rPr>
                <w:rFonts w:ascii="Arial" w:hAnsi="Arial" w:cs="Arial"/>
                <w:b/>
                <w:i/>
                <w:lang w:val="en-US"/>
              </w:rPr>
            </w:pPr>
          </w:p>
        </w:tc>
        <w:tc>
          <w:tcPr>
            <w:tcW w:w="1341" w:type="dxa"/>
            <w:vAlign w:val="center"/>
          </w:tcPr>
          <w:p w:rsidR="00557E75" w:rsidRPr="00884CBA" w:rsidRDefault="00557E75" w:rsidP="00E65832">
            <w:pPr>
              <w:jc w:val="center"/>
              <w:cnfStyle w:val="000000000000"/>
              <w:rPr>
                <w:rFonts w:ascii="Arial" w:hAnsi="Arial" w:cs="Arial"/>
                <w:b/>
                <w:i/>
                <w:lang w:val="en-US"/>
              </w:rPr>
            </w:pPr>
          </w:p>
        </w:tc>
        <w:tc>
          <w:tcPr>
            <w:tcW w:w="1341" w:type="dxa"/>
            <w:vAlign w:val="center"/>
          </w:tcPr>
          <w:p w:rsidR="00557E75" w:rsidRPr="00884CBA" w:rsidRDefault="00557E75" w:rsidP="00E65832">
            <w:pPr>
              <w:jc w:val="center"/>
              <w:cnfStyle w:val="000000000000"/>
              <w:rPr>
                <w:rFonts w:ascii="Arial" w:hAnsi="Arial" w:cs="Arial"/>
                <w:b/>
                <w:i/>
                <w:lang w:val="en-US"/>
              </w:rPr>
            </w:pPr>
          </w:p>
        </w:tc>
      </w:tr>
      <w:tr w:rsidR="00557E75" w:rsidTr="00557E75">
        <w:trPr>
          <w:trHeight w:val="381"/>
        </w:trPr>
        <w:tc>
          <w:tcPr>
            <w:cnfStyle w:val="001000000000"/>
            <w:tcW w:w="1462" w:type="dxa"/>
          </w:tcPr>
          <w:p w:rsidR="00557E75" w:rsidRPr="00884CBA" w:rsidRDefault="00557E75" w:rsidP="007D3407">
            <w:pPr>
              <w:autoSpaceDE w:val="0"/>
              <w:autoSpaceDN w:val="0"/>
              <w:adjustRightInd w:val="0"/>
              <w:jc w:val="center"/>
              <w:rPr>
                <w:rFonts w:ascii="Arial" w:hAnsi="Arial" w:cs="Arial"/>
                <w:color w:val="000000"/>
                <w:sz w:val="20"/>
                <w:szCs w:val="18"/>
                <w:lang w:val="en-GB"/>
              </w:rPr>
            </w:pPr>
            <w:r w:rsidRPr="00884CBA">
              <w:rPr>
                <w:rFonts w:ascii="Arial" w:hAnsi="Arial" w:cs="Arial"/>
                <w:color w:val="000000"/>
                <w:sz w:val="20"/>
                <w:szCs w:val="18"/>
                <w:lang w:val="en-GB"/>
              </w:rPr>
              <w:t>IDV</w:t>
            </w:r>
          </w:p>
        </w:tc>
        <w:tc>
          <w:tcPr>
            <w:tcW w:w="1259" w:type="dxa"/>
          </w:tcPr>
          <w:p w:rsidR="00557E75" w:rsidRPr="00884CBA" w:rsidRDefault="00557E75" w:rsidP="007D3407">
            <w:pPr>
              <w:autoSpaceDE w:val="0"/>
              <w:autoSpaceDN w:val="0"/>
              <w:adjustRightInd w:val="0"/>
              <w:ind w:right="10"/>
              <w:jc w:val="center"/>
              <w:cnfStyle w:val="000000000000"/>
              <w:rPr>
                <w:rFonts w:ascii="Arial" w:hAnsi="Arial" w:cs="Arial"/>
                <w:color w:val="000000"/>
                <w:sz w:val="20"/>
                <w:szCs w:val="18"/>
                <w:lang w:val="en-GB"/>
              </w:rPr>
            </w:pPr>
            <w:r w:rsidRPr="00884CBA">
              <w:rPr>
                <w:rFonts w:ascii="Arial" w:hAnsi="Arial" w:cs="Arial"/>
                <w:color w:val="000000"/>
                <w:sz w:val="20"/>
                <w:szCs w:val="18"/>
                <w:lang w:val="en-GB"/>
              </w:rPr>
              <w:t>+</w:t>
            </w:r>
          </w:p>
        </w:tc>
        <w:tc>
          <w:tcPr>
            <w:tcW w:w="1383" w:type="dxa"/>
            <w:vAlign w:val="center"/>
          </w:tcPr>
          <w:p w:rsidR="00557E75" w:rsidRPr="00884CBA" w:rsidRDefault="00557E75" w:rsidP="00E65832">
            <w:pPr>
              <w:autoSpaceDE w:val="0"/>
              <w:autoSpaceDN w:val="0"/>
              <w:adjustRightInd w:val="0"/>
              <w:ind w:right="10"/>
              <w:jc w:val="center"/>
              <w:cnfStyle w:val="000000000000"/>
              <w:rPr>
                <w:rFonts w:ascii="Arial" w:hAnsi="Arial" w:cs="Arial"/>
                <w:color w:val="000000"/>
                <w:sz w:val="18"/>
                <w:szCs w:val="18"/>
                <w:lang w:val="en-US"/>
              </w:rPr>
            </w:pPr>
            <w:r>
              <w:rPr>
                <w:rFonts w:ascii="Arial" w:hAnsi="Arial" w:cs="Arial"/>
                <w:color w:val="000000"/>
                <w:sz w:val="18"/>
                <w:szCs w:val="18"/>
              </w:rPr>
              <w:t>-0.463</w:t>
            </w:r>
          </w:p>
        </w:tc>
        <w:tc>
          <w:tcPr>
            <w:tcW w:w="1341" w:type="dxa"/>
            <w:vAlign w:val="center"/>
          </w:tcPr>
          <w:p w:rsidR="00557E75" w:rsidRPr="00884CBA" w:rsidRDefault="00557E75" w:rsidP="00E65832">
            <w:pPr>
              <w:autoSpaceDE w:val="0"/>
              <w:autoSpaceDN w:val="0"/>
              <w:adjustRightInd w:val="0"/>
              <w:ind w:right="10"/>
              <w:jc w:val="center"/>
              <w:cnfStyle w:val="000000000000"/>
              <w:rPr>
                <w:rFonts w:ascii="Arial" w:hAnsi="Arial" w:cs="Arial"/>
                <w:color w:val="000000"/>
                <w:sz w:val="18"/>
                <w:szCs w:val="18"/>
                <w:lang w:val="en-GB"/>
              </w:rPr>
            </w:pPr>
            <w:r w:rsidRPr="00317759">
              <w:rPr>
                <w:rFonts w:ascii="Arial" w:hAnsi="Arial" w:cs="Arial"/>
                <w:color w:val="000000"/>
                <w:sz w:val="18"/>
                <w:szCs w:val="18"/>
                <w:lang w:val="en-GB"/>
              </w:rPr>
              <w:t>-0.429</w:t>
            </w:r>
          </w:p>
        </w:tc>
        <w:tc>
          <w:tcPr>
            <w:tcW w:w="1341" w:type="dxa"/>
            <w:vAlign w:val="center"/>
          </w:tcPr>
          <w:p w:rsidR="00557E75" w:rsidRPr="00884CBA" w:rsidRDefault="00557E75" w:rsidP="00E65832">
            <w:pPr>
              <w:jc w:val="center"/>
              <w:cnfStyle w:val="000000000000"/>
              <w:rPr>
                <w:rFonts w:ascii="Arial" w:hAnsi="Arial" w:cs="Arial"/>
                <w:b/>
                <w:i/>
                <w:lang w:val="en-US"/>
              </w:rPr>
            </w:pPr>
          </w:p>
        </w:tc>
        <w:tc>
          <w:tcPr>
            <w:tcW w:w="1341" w:type="dxa"/>
            <w:vAlign w:val="center"/>
          </w:tcPr>
          <w:p w:rsidR="00557E75" w:rsidRPr="00884CBA" w:rsidRDefault="00557E75" w:rsidP="00E65832">
            <w:pPr>
              <w:jc w:val="center"/>
              <w:cnfStyle w:val="000000000000"/>
              <w:rPr>
                <w:rFonts w:ascii="Arial" w:hAnsi="Arial" w:cs="Arial"/>
                <w:b/>
                <w:i/>
                <w:lang w:val="en-US"/>
              </w:rPr>
            </w:pPr>
          </w:p>
        </w:tc>
        <w:tc>
          <w:tcPr>
            <w:tcW w:w="1341" w:type="dxa"/>
            <w:vAlign w:val="center"/>
          </w:tcPr>
          <w:p w:rsidR="00557E75" w:rsidRPr="00884CBA" w:rsidRDefault="00557E75" w:rsidP="00E65832">
            <w:pPr>
              <w:jc w:val="center"/>
              <w:cnfStyle w:val="000000000000"/>
              <w:rPr>
                <w:rFonts w:ascii="Arial" w:hAnsi="Arial" w:cs="Arial"/>
                <w:b/>
                <w:i/>
                <w:lang w:val="en-US"/>
              </w:rPr>
            </w:pPr>
          </w:p>
        </w:tc>
      </w:tr>
      <w:tr w:rsidR="00557E75" w:rsidTr="00557E75">
        <w:trPr>
          <w:trHeight w:val="287"/>
        </w:trPr>
        <w:tc>
          <w:tcPr>
            <w:cnfStyle w:val="001000000000"/>
            <w:tcW w:w="1462" w:type="dxa"/>
          </w:tcPr>
          <w:p w:rsidR="00557E75" w:rsidRPr="00884CBA" w:rsidRDefault="00557E75" w:rsidP="007D3407">
            <w:pPr>
              <w:autoSpaceDE w:val="0"/>
              <w:autoSpaceDN w:val="0"/>
              <w:adjustRightInd w:val="0"/>
              <w:jc w:val="center"/>
              <w:rPr>
                <w:rFonts w:ascii="Arial" w:hAnsi="Arial" w:cs="Arial"/>
                <w:color w:val="000000"/>
                <w:sz w:val="20"/>
                <w:szCs w:val="18"/>
              </w:rPr>
            </w:pPr>
          </w:p>
        </w:tc>
        <w:tc>
          <w:tcPr>
            <w:tcW w:w="1259" w:type="dxa"/>
          </w:tcPr>
          <w:p w:rsidR="00557E75" w:rsidRPr="00884CBA" w:rsidRDefault="00557E75" w:rsidP="007D3407">
            <w:pPr>
              <w:autoSpaceDE w:val="0"/>
              <w:autoSpaceDN w:val="0"/>
              <w:adjustRightInd w:val="0"/>
              <w:ind w:right="10"/>
              <w:jc w:val="center"/>
              <w:cnfStyle w:val="000000000000"/>
              <w:rPr>
                <w:rFonts w:ascii="Arial" w:hAnsi="Arial" w:cs="Arial"/>
                <w:color w:val="000000"/>
                <w:sz w:val="20"/>
                <w:szCs w:val="18"/>
                <w:lang w:val="en-GB"/>
              </w:rPr>
            </w:pPr>
          </w:p>
        </w:tc>
        <w:tc>
          <w:tcPr>
            <w:tcW w:w="1383" w:type="dxa"/>
            <w:vAlign w:val="center"/>
          </w:tcPr>
          <w:p w:rsidR="00557E75" w:rsidRPr="00884CBA" w:rsidRDefault="003E6553" w:rsidP="003E6553">
            <w:pPr>
              <w:autoSpaceDE w:val="0"/>
              <w:autoSpaceDN w:val="0"/>
              <w:adjustRightInd w:val="0"/>
              <w:ind w:right="10"/>
              <w:jc w:val="center"/>
              <w:cnfStyle w:val="000000000000"/>
              <w:rPr>
                <w:rFonts w:ascii="Arial" w:hAnsi="Arial" w:cs="Arial"/>
                <w:color w:val="000000"/>
                <w:sz w:val="18"/>
                <w:szCs w:val="18"/>
                <w:lang w:val="en-US"/>
              </w:rPr>
            </w:pPr>
            <w:r>
              <w:rPr>
                <w:rFonts w:ascii="Arial" w:hAnsi="Arial" w:cs="Arial"/>
                <w:color w:val="000000"/>
                <w:sz w:val="18"/>
                <w:szCs w:val="18"/>
              </w:rPr>
              <w:t>(0.281</w:t>
            </w:r>
            <w:r w:rsidR="00557E75">
              <w:rPr>
                <w:rFonts w:ascii="Arial" w:hAnsi="Arial" w:cs="Arial"/>
                <w:color w:val="000000"/>
                <w:sz w:val="18"/>
                <w:szCs w:val="18"/>
              </w:rPr>
              <w:t>)</w:t>
            </w:r>
          </w:p>
        </w:tc>
        <w:tc>
          <w:tcPr>
            <w:tcW w:w="1341" w:type="dxa"/>
            <w:vAlign w:val="center"/>
          </w:tcPr>
          <w:p w:rsidR="00557E75" w:rsidRPr="0000457D" w:rsidRDefault="00557E75" w:rsidP="00E65832">
            <w:pPr>
              <w:autoSpaceDE w:val="0"/>
              <w:autoSpaceDN w:val="0"/>
              <w:adjustRightInd w:val="0"/>
              <w:ind w:right="10"/>
              <w:jc w:val="center"/>
              <w:cnfStyle w:val="000000000000"/>
              <w:rPr>
                <w:rFonts w:ascii="Arial" w:hAnsi="Arial" w:cs="Arial"/>
                <w:color w:val="000000"/>
                <w:sz w:val="18"/>
                <w:szCs w:val="18"/>
              </w:rPr>
            </w:pPr>
            <w:r>
              <w:rPr>
                <w:rFonts w:ascii="Arial" w:hAnsi="Arial" w:cs="Arial"/>
                <w:color w:val="000000"/>
                <w:sz w:val="18"/>
                <w:szCs w:val="18"/>
              </w:rPr>
              <w:t>(</w:t>
            </w:r>
            <w:r w:rsidR="003E6553">
              <w:rPr>
                <w:rFonts w:ascii="Arial" w:hAnsi="Arial" w:cs="Arial"/>
                <w:color w:val="000000"/>
                <w:sz w:val="18"/>
                <w:szCs w:val="18"/>
              </w:rPr>
              <w:t>0.240</w:t>
            </w:r>
            <w:r>
              <w:rPr>
                <w:rFonts w:ascii="Arial" w:hAnsi="Arial" w:cs="Arial"/>
                <w:color w:val="000000"/>
                <w:sz w:val="18"/>
                <w:szCs w:val="18"/>
              </w:rPr>
              <w:t>)</w:t>
            </w:r>
          </w:p>
        </w:tc>
        <w:tc>
          <w:tcPr>
            <w:tcW w:w="1341" w:type="dxa"/>
            <w:vAlign w:val="center"/>
          </w:tcPr>
          <w:p w:rsidR="00557E75" w:rsidRDefault="00557E75" w:rsidP="00E65832">
            <w:pPr>
              <w:autoSpaceDE w:val="0"/>
              <w:autoSpaceDN w:val="0"/>
              <w:adjustRightInd w:val="0"/>
              <w:jc w:val="center"/>
              <w:cnfStyle w:val="000000000000"/>
              <w:rPr>
                <w:rFonts w:ascii="Arial" w:hAnsi="Arial" w:cs="Arial"/>
                <w:color w:val="000000"/>
                <w:sz w:val="18"/>
                <w:szCs w:val="18"/>
              </w:rPr>
            </w:pPr>
          </w:p>
        </w:tc>
        <w:tc>
          <w:tcPr>
            <w:tcW w:w="1341" w:type="dxa"/>
            <w:vAlign w:val="center"/>
          </w:tcPr>
          <w:p w:rsidR="00557E75" w:rsidRDefault="00557E75" w:rsidP="00E65832">
            <w:pPr>
              <w:autoSpaceDE w:val="0"/>
              <w:autoSpaceDN w:val="0"/>
              <w:adjustRightInd w:val="0"/>
              <w:ind w:right="10"/>
              <w:jc w:val="center"/>
              <w:cnfStyle w:val="000000000000"/>
              <w:rPr>
                <w:rFonts w:ascii="Arial" w:hAnsi="Arial" w:cs="Arial"/>
                <w:color w:val="000000"/>
                <w:sz w:val="18"/>
                <w:szCs w:val="18"/>
              </w:rPr>
            </w:pPr>
          </w:p>
        </w:tc>
        <w:tc>
          <w:tcPr>
            <w:tcW w:w="1341" w:type="dxa"/>
            <w:vAlign w:val="center"/>
          </w:tcPr>
          <w:p w:rsidR="00557E75" w:rsidRDefault="00557E75" w:rsidP="00E65832">
            <w:pPr>
              <w:autoSpaceDE w:val="0"/>
              <w:autoSpaceDN w:val="0"/>
              <w:adjustRightInd w:val="0"/>
              <w:ind w:right="10"/>
              <w:jc w:val="center"/>
              <w:cnfStyle w:val="000000000000"/>
              <w:rPr>
                <w:rFonts w:ascii="Arial" w:hAnsi="Arial" w:cs="Arial"/>
                <w:color w:val="000000"/>
                <w:sz w:val="18"/>
                <w:szCs w:val="18"/>
              </w:rPr>
            </w:pPr>
          </w:p>
        </w:tc>
      </w:tr>
      <w:tr w:rsidR="00557E75" w:rsidTr="00557E75">
        <w:trPr>
          <w:trHeight w:val="405"/>
        </w:trPr>
        <w:tc>
          <w:tcPr>
            <w:cnfStyle w:val="001000000000"/>
            <w:tcW w:w="1462" w:type="dxa"/>
          </w:tcPr>
          <w:p w:rsidR="00557E75" w:rsidRPr="00884CBA" w:rsidRDefault="00557E75" w:rsidP="007D3407">
            <w:pPr>
              <w:autoSpaceDE w:val="0"/>
              <w:autoSpaceDN w:val="0"/>
              <w:adjustRightInd w:val="0"/>
              <w:jc w:val="center"/>
              <w:rPr>
                <w:rFonts w:ascii="Arial" w:hAnsi="Arial" w:cs="Arial"/>
                <w:color w:val="000000"/>
                <w:sz w:val="20"/>
                <w:szCs w:val="18"/>
              </w:rPr>
            </w:pPr>
            <w:r w:rsidRPr="00884CBA">
              <w:rPr>
                <w:rFonts w:ascii="Arial" w:hAnsi="Arial" w:cs="Arial"/>
                <w:color w:val="000000"/>
                <w:sz w:val="20"/>
                <w:szCs w:val="18"/>
              </w:rPr>
              <w:t>PDI</w:t>
            </w:r>
          </w:p>
        </w:tc>
        <w:tc>
          <w:tcPr>
            <w:tcW w:w="1259" w:type="dxa"/>
          </w:tcPr>
          <w:p w:rsidR="00557E75" w:rsidRPr="00884CBA" w:rsidRDefault="00557E75" w:rsidP="007D3407">
            <w:pPr>
              <w:autoSpaceDE w:val="0"/>
              <w:autoSpaceDN w:val="0"/>
              <w:adjustRightInd w:val="0"/>
              <w:ind w:right="10"/>
              <w:jc w:val="center"/>
              <w:cnfStyle w:val="000000000000"/>
              <w:rPr>
                <w:rFonts w:ascii="Arial" w:hAnsi="Arial" w:cs="Arial"/>
                <w:color w:val="000000"/>
                <w:sz w:val="20"/>
                <w:szCs w:val="18"/>
              </w:rPr>
            </w:pPr>
            <w:r w:rsidRPr="00884CBA">
              <w:rPr>
                <w:rFonts w:ascii="Arial" w:hAnsi="Arial" w:cs="Arial"/>
                <w:color w:val="000000"/>
                <w:sz w:val="20"/>
                <w:szCs w:val="18"/>
              </w:rPr>
              <w:t>+</w:t>
            </w:r>
          </w:p>
        </w:tc>
        <w:tc>
          <w:tcPr>
            <w:tcW w:w="1383" w:type="dxa"/>
            <w:vAlign w:val="center"/>
          </w:tcPr>
          <w:p w:rsidR="00557E75" w:rsidRPr="00884CBA" w:rsidRDefault="00557E75" w:rsidP="003E6553">
            <w:pPr>
              <w:autoSpaceDE w:val="0"/>
              <w:autoSpaceDN w:val="0"/>
              <w:adjustRightInd w:val="0"/>
              <w:ind w:right="10"/>
              <w:jc w:val="center"/>
              <w:cnfStyle w:val="000000000000"/>
              <w:rPr>
                <w:rFonts w:ascii="Arial" w:hAnsi="Arial" w:cs="Arial"/>
                <w:color w:val="000000"/>
                <w:sz w:val="18"/>
                <w:szCs w:val="18"/>
              </w:rPr>
            </w:pPr>
            <w:r>
              <w:rPr>
                <w:rFonts w:ascii="Arial" w:hAnsi="Arial" w:cs="Arial"/>
                <w:color w:val="000000"/>
                <w:sz w:val="18"/>
                <w:szCs w:val="18"/>
              </w:rPr>
              <w:t>0.14</w:t>
            </w:r>
            <w:r w:rsidR="003E6553">
              <w:rPr>
                <w:rFonts w:ascii="Arial" w:hAnsi="Arial" w:cs="Arial"/>
                <w:color w:val="000000"/>
                <w:sz w:val="18"/>
                <w:szCs w:val="18"/>
              </w:rPr>
              <w:t>9</w:t>
            </w:r>
          </w:p>
        </w:tc>
        <w:tc>
          <w:tcPr>
            <w:tcW w:w="1341" w:type="dxa"/>
            <w:vAlign w:val="center"/>
          </w:tcPr>
          <w:p w:rsidR="00557E75" w:rsidRPr="00884CBA" w:rsidRDefault="00557E75" w:rsidP="00E65832">
            <w:pPr>
              <w:autoSpaceDE w:val="0"/>
              <w:autoSpaceDN w:val="0"/>
              <w:adjustRightInd w:val="0"/>
              <w:ind w:right="10"/>
              <w:jc w:val="center"/>
              <w:cnfStyle w:val="000000000000"/>
              <w:rPr>
                <w:rFonts w:ascii="Arial" w:hAnsi="Arial" w:cs="Arial"/>
                <w:color w:val="000000"/>
                <w:sz w:val="18"/>
                <w:szCs w:val="18"/>
              </w:rPr>
            </w:pPr>
          </w:p>
        </w:tc>
        <w:tc>
          <w:tcPr>
            <w:tcW w:w="1341" w:type="dxa"/>
            <w:vAlign w:val="center"/>
          </w:tcPr>
          <w:p w:rsidR="00557E75" w:rsidRDefault="00557E75" w:rsidP="00E65832">
            <w:pPr>
              <w:autoSpaceDE w:val="0"/>
              <w:autoSpaceDN w:val="0"/>
              <w:adjustRightInd w:val="0"/>
              <w:ind w:right="10"/>
              <w:jc w:val="center"/>
              <w:cnfStyle w:val="000000000000"/>
              <w:rPr>
                <w:rFonts w:ascii="Arial" w:hAnsi="Arial" w:cs="Arial"/>
                <w:color w:val="000000"/>
                <w:sz w:val="18"/>
                <w:szCs w:val="18"/>
              </w:rPr>
            </w:pPr>
            <w:r>
              <w:rPr>
                <w:rFonts w:ascii="Arial" w:hAnsi="Arial" w:cs="Arial"/>
                <w:color w:val="000000"/>
                <w:sz w:val="18"/>
                <w:szCs w:val="18"/>
              </w:rPr>
              <w:t>0.17</w:t>
            </w:r>
            <w:r w:rsidR="003E6553">
              <w:rPr>
                <w:rFonts w:ascii="Arial" w:hAnsi="Arial" w:cs="Arial"/>
                <w:color w:val="000000"/>
                <w:sz w:val="18"/>
                <w:szCs w:val="18"/>
              </w:rPr>
              <w:t>5</w:t>
            </w:r>
          </w:p>
        </w:tc>
        <w:tc>
          <w:tcPr>
            <w:tcW w:w="1341" w:type="dxa"/>
            <w:vAlign w:val="center"/>
          </w:tcPr>
          <w:p w:rsidR="00557E75" w:rsidRDefault="00557E75" w:rsidP="00E65832">
            <w:pPr>
              <w:autoSpaceDE w:val="0"/>
              <w:autoSpaceDN w:val="0"/>
              <w:adjustRightInd w:val="0"/>
              <w:ind w:right="10"/>
              <w:jc w:val="center"/>
              <w:cnfStyle w:val="000000000000"/>
              <w:rPr>
                <w:rFonts w:ascii="Arial" w:hAnsi="Arial" w:cs="Arial"/>
                <w:color w:val="000000"/>
                <w:sz w:val="18"/>
                <w:szCs w:val="18"/>
              </w:rPr>
            </w:pPr>
          </w:p>
        </w:tc>
        <w:tc>
          <w:tcPr>
            <w:tcW w:w="1341" w:type="dxa"/>
            <w:vAlign w:val="center"/>
          </w:tcPr>
          <w:p w:rsidR="00557E75" w:rsidRDefault="00557E75" w:rsidP="00E65832">
            <w:pPr>
              <w:autoSpaceDE w:val="0"/>
              <w:autoSpaceDN w:val="0"/>
              <w:adjustRightInd w:val="0"/>
              <w:ind w:right="10"/>
              <w:jc w:val="center"/>
              <w:cnfStyle w:val="000000000000"/>
              <w:rPr>
                <w:rFonts w:ascii="Arial" w:hAnsi="Arial" w:cs="Arial"/>
                <w:color w:val="000000"/>
                <w:sz w:val="18"/>
                <w:szCs w:val="18"/>
              </w:rPr>
            </w:pPr>
          </w:p>
        </w:tc>
      </w:tr>
      <w:tr w:rsidR="00557E75" w:rsidTr="00557E75">
        <w:trPr>
          <w:trHeight w:val="295"/>
        </w:trPr>
        <w:tc>
          <w:tcPr>
            <w:cnfStyle w:val="001000000000"/>
            <w:tcW w:w="1462" w:type="dxa"/>
          </w:tcPr>
          <w:p w:rsidR="00557E75" w:rsidRPr="00884CBA" w:rsidRDefault="00557E75" w:rsidP="007D3407">
            <w:pPr>
              <w:autoSpaceDE w:val="0"/>
              <w:autoSpaceDN w:val="0"/>
              <w:adjustRightInd w:val="0"/>
              <w:jc w:val="center"/>
              <w:rPr>
                <w:rFonts w:ascii="Arial" w:hAnsi="Arial" w:cs="Arial"/>
                <w:color w:val="000000"/>
                <w:sz w:val="20"/>
                <w:szCs w:val="18"/>
              </w:rPr>
            </w:pPr>
          </w:p>
        </w:tc>
        <w:tc>
          <w:tcPr>
            <w:tcW w:w="1259" w:type="dxa"/>
          </w:tcPr>
          <w:p w:rsidR="00557E75" w:rsidRPr="00884CBA" w:rsidRDefault="00557E75" w:rsidP="007D3407">
            <w:pPr>
              <w:autoSpaceDE w:val="0"/>
              <w:autoSpaceDN w:val="0"/>
              <w:adjustRightInd w:val="0"/>
              <w:ind w:right="10"/>
              <w:jc w:val="center"/>
              <w:cnfStyle w:val="000000000000"/>
              <w:rPr>
                <w:rFonts w:ascii="Arial" w:hAnsi="Arial" w:cs="Arial"/>
                <w:color w:val="000000"/>
                <w:sz w:val="20"/>
                <w:szCs w:val="18"/>
              </w:rPr>
            </w:pPr>
          </w:p>
        </w:tc>
        <w:tc>
          <w:tcPr>
            <w:tcW w:w="1383" w:type="dxa"/>
            <w:vAlign w:val="center"/>
          </w:tcPr>
          <w:p w:rsidR="00557E75" w:rsidRPr="00884CBA" w:rsidRDefault="003E6553" w:rsidP="003E6553">
            <w:pPr>
              <w:autoSpaceDE w:val="0"/>
              <w:autoSpaceDN w:val="0"/>
              <w:adjustRightInd w:val="0"/>
              <w:ind w:right="10"/>
              <w:jc w:val="center"/>
              <w:cnfStyle w:val="000000000000"/>
              <w:rPr>
                <w:rFonts w:ascii="Arial" w:hAnsi="Arial" w:cs="Arial"/>
                <w:color w:val="000000"/>
                <w:sz w:val="18"/>
                <w:szCs w:val="18"/>
              </w:rPr>
            </w:pPr>
            <w:r>
              <w:rPr>
                <w:rFonts w:ascii="Arial" w:hAnsi="Arial" w:cs="Arial"/>
                <w:color w:val="000000"/>
                <w:sz w:val="18"/>
                <w:szCs w:val="18"/>
              </w:rPr>
              <w:t>(0.178</w:t>
            </w:r>
            <w:r w:rsidR="00557E75">
              <w:rPr>
                <w:rFonts w:ascii="Arial" w:hAnsi="Arial" w:cs="Arial"/>
                <w:color w:val="000000"/>
                <w:sz w:val="18"/>
                <w:szCs w:val="18"/>
              </w:rPr>
              <w:t>)</w:t>
            </w:r>
          </w:p>
        </w:tc>
        <w:tc>
          <w:tcPr>
            <w:tcW w:w="1341" w:type="dxa"/>
            <w:vAlign w:val="center"/>
          </w:tcPr>
          <w:p w:rsidR="00557E75" w:rsidRPr="00884CBA" w:rsidRDefault="00557E75" w:rsidP="00E65832">
            <w:pPr>
              <w:autoSpaceDE w:val="0"/>
              <w:autoSpaceDN w:val="0"/>
              <w:adjustRightInd w:val="0"/>
              <w:spacing w:line="240" w:lineRule="exact"/>
              <w:ind w:right="10"/>
              <w:contextualSpacing/>
              <w:jc w:val="center"/>
              <w:cnfStyle w:val="000000000000"/>
              <w:rPr>
                <w:rFonts w:ascii="Arial" w:hAnsi="Arial" w:cs="Arial"/>
                <w:color w:val="000000"/>
                <w:sz w:val="18"/>
                <w:szCs w:val="18"/>
              </w:rPr>
            </w:pPr>
          </w:p>
        </w:tc>
        <w:tc>
          <w:tcPr>
            <w:tcW w:w="1341" w:type="dxa"/>
            <w:vAlign w:val="center"/>
          </w:tcPr>
          <w:p w:rsidR="00557E75" w:rsidRDefault="003E6553" w:rsidP="00E65832">
            <w:pPr>
              <w:autoSpaceDE w:val="0"/>
              <w:autoSpaceDN w:val="0"/>
              <w:adjustRightInd w:val="0"/>
              <w:jc w:val="center"/>
              <w:cnfStyle w:val="000000000000"/>
              <w:rPr>
                <w:rFonts w:ascii="Arial" w:hAnsi="Arial" w:cs="Arial"/>
                <w:color w:val="000000"/>
                <w:sz w:val="18"/>
                <w:szCs w:val="18"/>
              </w:rPr>
            </w:pPr>
            <w:r>
              <w:rPr>
                <w:rFonts w:ascii="Arial" w:hAnsi="Arial" w:cs="Arial"/>
                <w:color w:val="000000"/>
                <w:sz w:val="18"/>
                <w:szCs w:val="18"/>
              </w:rPr>
              <w:t>(0.175</w:t>
            </w:r>
            <w:r w:rsidR="00557E75">
              <w:rPr>
                <w:rFonts w:ascii="Arial" w:hAnsi="Arial" w:cs="Arial"/>
                <w:color w:val="000000"/>
                <w:sz w:val="18"/>
                <w:szCs w:val="18"/>
              </w:rPr>
              <w:t>)</w:t>
            </w:r>
          </w:p>
        </w:tc>
        <w:tc>
          <w:tcPr>
            <w:tcW w:w="1341" w:type="dxa"/>
            <w:vAlign w:val="center"/>
          </w:tcPr>
          <w:p w:rsidR="00557E75" w:rsidRDefault="00557E75" w:rsidP="00E65832">
            <w:pPr>
              <w:autoSpaceDE w:val="0"/>
              <w:autoSpaceDN w:val="0"/>
              <w:adjustRightInd w:val="0"/>
              <w:ind w:right="10"/>
              <w:jc w:val="center"/>
              <w:cnfStyle w:val="000000000000"/>
              <w:rPr>
                <w:rFonts w:ascii="Arial" w:hAnsi="Arial" w:cs="Arial"/>
                <w:color w:val="000000"/>
                <w:sz w:val="18"/>
                <w:szCs w:val="18"/>
              </w:rPr>
            </w:pPr>
          </w:p>
        </w:tc>
        <w:tc>
          <w:tcPr>
            <w:tcW w:w="1341" w:type="dxa"/>
            <w:vAlign w:val="center"/>
          </w:tcPr>
          <w:p w:rsidR="00557E75" w:rsidRDefault="00557E75" w:rsidP="00E65832">
            <w:pPr>
              <w:autoSpaceDE w:val="0"/>
              <w:autoSpaceDN w:val="0"/>
              <w:adjustRightInd w:val="0"/>
              <w:ind w:right="10"/>
              <w:jc w:val="center"/>
              <w:cnfStyle w:val="000000000000"/>
              <w:rPr>
                <w:rFonts w:ascii="Arial" w:hAnsi="Arial" w:cs="Arial"/>
                <w:color w:val="000000"/>
                <w:sz w:val="18"/>
                <w:szCs w:val="18"/>
              </w:rPr>
            </w:pPr>
          </w:p>
        </w:tc>
      </w:tr>
      <w:tr w:rsidR="00557E75" w:rsidTr="00557E75">
        <w:trPr>
          <w:trHeight w:val="399"/>
        </w:trPr>
        <w:tc>
          <w:tcPr>
            <w:cnfStyle w:val="001000000000"/>
            <w:tcW w:w="1462" w:type="dxa"/>
          </w:tcPr>
          <w:p w:rsidR="00557E75" w:rsidRPr="00884CBA" w:rsidRDefault="00557E75" w:rsidP="007D3407">
            <w:pPr>
              <w:autoSpaceDE w:val="0"/>
              <w:autoSpaceDN w:val="0"/>
              <w:adjustRightInd w:val="0"/>
              <w:jc w:val="center"/>
              <w:rPr>
                <w:rFonts w:ascii="Arial" w:hAnsi="Arial" w:cs="Arial"/>
                <w:color w:val="000000"/>
                <w:sz w:val="20"/>
                <w:szCs w:val="18"/>
              </w:rPr>
            </w:pPr>
            <w:r w:rsidRPr="00884CBA">
              <w:rPr>
                <w:rFonts w:ascii="Arial" w:hAnsi="Arial" w:cs="Arial"/>
                <w:color w:val="000000"/>
                <w:sz w:val="20"/>
                <w:szCs w:val="18"/>
              </w:rPr>
              <w:t>MASC</w:t>
            </w:r>
          </w:p>
        </w:tc>
        <w:tc>
          <w:tcPr>
            <w:tcW w:w="1259" w:type="dxa"/>
          </w:tcPr>
          <w:p w:rsidR="00557E75" w:rsidRPr="00884CBA" w:rsidRDefault="00557E75" w:rsidP="007D3407">
            <w:pPr>
              <w:autoSpaceDE w:val="0"/>
              <w:autoSpaceDN w:val="0"/>
              <w:adjustRightInd w:val="0"/>
              <w:ind w:right="10"/>
              <w:jc w:val="center"/>
              <w:cnfStyle w:val="000000000000"/>
              <w:rPr>
                <w:rFonts w:ascii="Arial" w:hAnsi="Arial" w:cs="Arial"/>
                <w:color w:val="000000"/>
                <w:sz w:val="20"/>
                <w:szCs w:val="18"/>
              </w:rPr>
            </w:pPr>
            <w:r w:rsidRPr="00884CBA">
              <w:rPr>
                <w:rFonts w:ascii="Arial" w:hAnsi="Arial" w:cs="Arial"/>
                <w:color w:val="000000"/>
                <w:sz w:val="20"/>
                <w:szCs w:val="18"/>
              </w:rPr>
              <w:t>+</w:t>
            </w:r>
          </w:p>
        </w:tc>
        <w:tc>
          <w:tcPr>
            <w:tcW w:w="1383" w:type="dxa"/>
            <w:vAlign w:val="center"/>
          </w:tcPr>
          <w:p w:rsidR="00557E75" w:rsidRPr="00884CBA" w:rsidRDefault="00557E75" w:rsidP="00E65832">
            <w:pPr>
              <w:autoSpaceDE w:val="0"/>
              <w:autoSpaceDN w:val="0"/>
              <w:adjustRightInd w:val="0"/>
              <w:ind w:right="10"/>
              <w:jc w:val="center"/>
              <w:cnfStyle w:val="000000000000"/>
              <w:rPr>
                <w:rFonts w:ascii="Arial" w:hAnsi="Arial" w:cs="Arial"/>
                <w:color w:val="000000"/>
                <w:sz w:val="20"/>
                <w:szCs w:val="18"/>
              </w:rPr>
            </w:pPr>
            <w:r>
              <w:rPr>
                <w:rFonts w:ascii="Arial" w:hAnsi="Arial" w:cs="Arial"/>
                <w:color w:val="000000"/>
                <w:sz w:val="18"/>
                <w:szCs w:val="18"/>
              </w:rPr>
              <w:t>0.190</w:t>
            </w:r>
          </w:p>
        </w:tc>
        <w:tc>
          <w:tcPr>
            <w:tcW w:w="1341" w:type="dxa"/>
            <w:vAlign w:val="center"/>
          </w:tcPr>
          <w:p w:rsidR="00557E75" w:rsidRPr="00884CBA" w:rsidRDefault="00557E75" w:rsidP="00E65832">
            <w:pPr>
              <w:autoSpaceDE w:val="0"/>
              <w:autoSpaceDN w:val="0"/>
              <w:adjustRightInd w:val="0"/>
              <w:jc w:val="center"/>
              <w:cnfStyle w:val="000000000000"/>
              <w:rPr>
                <w:rFonts w:ascii="Arial" w:hAnsi="Arial" w:cs="Arial"/>
                <w:color w:val="000000"/>
                <w:sz w:val="20"/>
                <w:szCs w:val="18"/>
              </w:rPr>
            </w:pPr>
          </w:p>
        </w:tc>
        <w:tc>
          <w:tcPr>
            <w:tcW w:w="1341" w:type="dxa"/>
            <w:vAlign w:val="center"/>
          </w:tcPr>
          <w:p w:rsidR="00557E75" w:rsidRDefault="00557E75" w:rsidP="00E65832">
            <w:pPr>
              <w:autoSpaceDE w:val="0"/>
              <w:autoSpaceDN w:val="0"/>
              <w:adjustRightInd w:val="0"/>
              <w:jc w:val="center"/>
              <w:cnfStyle w:val="000000000000"/>
              <w:rPr>
                <w:rFonts w:ascii="Arial" w:hAnsi="Arial" w:cs="Arial"/>
                <w:color w:val="000000"/>
                <w:sz w:val="18"/>
                <w:szCs w:val="18"/>
              </w:rPr>
            </w:pPr>
          </w:p>
        </w:tc>
        <w:tc>
          <w:tcPr>
            <w:tcW w:w="1341" w:type="dxa"/>
            <w:vAlign w:val="center"/>
          </w:tcPr>
          <w:p w:rsidR="00557E75" w:rsidRPr="00C854DA" w:rsidRDefault="00557E75" w:rsidP="00E65832">
            <w:pPr>
              <w:autoSpaceDE w:val="0"/>
              <w:autoSpaceDN w:val="0"/>
              <w:adjustRightInd w:val="0"/>
              <w:ind w:right="10"/>
              <w:jc w:val="center"/>
              <w:cnfStyle w:val="000000000000"/>
              <w:rPr>
                <w:rFonts w:ascii="Arial" w:hAnsi="Arial" w:cs="Arial"/>
                <w:color w:val="000000"/>
                <w:sz w:val="18"/>
                <w:szCs w:val="18"/>
              </w:rPr>
            </w:pPr>
            <w:r w:rsidRPr="00C854DA">
              <w:rPr>
                <w:rFonts w:ascii="Arial" w:hAnsi="Arial" w:cs="Arial"/>
                <w:color w:val="000000"/>
                <w:sz w:val="18"/>
                <w:szCs w:val="18"/>
              </w:rPr>
              <w:t>0.212</w:t>
            </w:r>
          </w:p>
        </w:tc>
        <w:tc>
          <w:tcPr>
            <w:tcW w:w="1341" w:type="dxa"/>
            <w:vAlign w:val="center"/>
          </w:tcPr>
          <w:p w:rsidR="00557E75" w:rsidRDefault="00557E75" w:rsidP="00E65832">
            <w:pPr>
              <w:autoSpaceDE w:val="0"/>
              <w:autoSpaceDN w:val="0"/>
              <w:adjustRightInd w:val="0"/>
              <w:ind w:right="10"/>
              <w:jc w:val="center"/>
              <w:cnfStyle w:val="000000000000"/>
              <w:rPr>
                <w:rFonts w:ascii="Arial" w:hAnsi="Arial" w:cs="Arial"/>
                <w:color w:val="000000"/>
                <w:sz w:val="18"/>
                <w:szCs w:val="18"/>
              </w:rPr>
            </w:pPr>
          </w:p>
        </w:tc>
      </w:tr>
      <w:tr w:rsidR="00557E75" w:rsidTr="00557E75">
        <w:trPr>
          <w:trHeight w:val="290"/>
        </w:trPr>
        <w:tc>
          <w:tcPr>
            <w:cnfStyle w:val="001000000000"/>
            <w:tcW w:w="1462" w:type="dxa"/>
          </w:tcPr>
          <w:p w:rsidR="00557E75" w:rsidRPr="00884CBA" w:rsidRDefault="00557E75" w:rsidP="007D3407">
            <w:pPr>
              <w:autoSpaceDE w:val="0"/>
              <w:autoSpaceDN w:val="0"/>
              <w:adjustRightInd w:val="0"/>
              <w:jc w:val="center"/>
              <w:rPr>
                <w:rFonts w:ascii="Arial" w:hAnsi="Arial" w:cs="Arial"/>
                <w:color w:val="000000"/>
                <w:sz w:val="20"/>
                <w:szCs w:val="18"/>
              </w:rPr>
            </w:pPr>
          </w:p>
        </w:tc>
        <w:tc>
          <w:tcPr>
            <w:tcW w:w="1259" w:type="dxa"/>
          </w:tcPr>
          <w:p w:rsidR="00557E75" w:rsidRPr="00884CBA" w:rsidRDefault="00557E75" w:rsidP="007D3407">
            <w:pPr>
              <w:autoSpaceDE w:val="0"/>
              <w:autoSpaceDN w:val="0"/>
              <w:adjustRightInd w:val="0"/>
              <w:ind w:right="10"/>
              <w:jc w:val="center"/>
              <w:cnfStyle w:val="000000000000"/>
              <w:rPr>
                <w:rFonts w:ascii="Arial" w:hAnsi="Arial" w:cs="Arial"/>
                <w:color w:val="000000"/>
                <w:sz w:val="20"/>
                <w:szCs w:val="18"/>
              </w:rPr>
            </w:pPr>
          </w:p>
        </w:tc>
        <w:tc>
          <w:tcPr>
            <w:tcW w:w="1383" w:type="dxa"/>
            <w:vAlign w:val="center"/>
          </w:tcPr>
          <w:p w:rsidR="00557E75" w:rsidRPr="00884CBA" w:rsidRDefault="003E6553" w:rsidP="00E65832">
            <w:pPr>
              <w:autoSpaceDE w:val="0"/>
              <w:autoSpaceDN w:val="0"/>
              <w:adjustRightInd w:val="0"/>
              <w:ind w:right="10"/>
              <w:jc w:val="center"/>
              <w:cnfStyle w:val="000000000000"/>
              <w:rPr>
                <w:rFonts w:ascii="Arial" w:hAnsi="Arial" w:cs="Arial"/>
                <w:color w:val="000000"/>
                <w:sz w:val="20"/>
                <w:szCs w:val="18"/>
              </w:rPr>
            </w:pPr>
            <w:r>
              <w:rPr>
                <w:rFonts w:ascii="Arial" w:hAnsi="Arial" w:cs="Arial"/>
                <w:color w:val="000000"/>
                <w:sz w:val="18"/>
                <w:szCs w:val="18"/>
              </w:rPr>
              <w:t>(0.348</w:t>
            </w:r>
            <w:r w:rsidR="00557E75">
              <w:rPr>
                <w:rFonts w:ascii="Arial" w:hAnsi="Arial" w:cs="Arial"/>
                <w:color w:val="000000"/>
                <w:sz w:val="18"/>
                <w:szCs w:val="18"/>
              </w:rPr>
              <w:t>)</w:t>
            </w:r>
          </w:p>
        </w:tc>
        <w:tc>
          <w:tcPr>
            <w:tcW w:w="1341" w:type="dxa"/>
            <w:vAlign w:val="center"/>
          </w:tcPr>
          <w:p w:rsidR="00557E75" w:rsidRPr="00884CBA" w:rsidRDefault="00557E75" w:rsidP="00E65832">
            <w:pPr>
              <w:autoSpaceDE w:val="0"/>
              <w:autoSpaceDN w:val="0"/>
              <w:adjustRightInd w:val="0"/>
              <w:jc w:val="center"/>
              <w:cnfStyle w:val="000000000000"/>
              <w:rPr>
                <w:rFonts w:ascii="Arial" w:hAnsi="Arial" w:cs="Arial"/>
                <w:color w:val="000000"/>
                <w:sz w:val="20"/>
                <w:szCs w:val="18"/>
              </w:rPr>
            </w:pPr>
          </w:p>
        </w:tc>
        <w:tc>
          <w:tcPr>
            <w:tcW w:w="1341" w:type="dxa"/>
            <w:vAlign w:val="center"/>
          </w:tcPr>
          <w:p w:rsidR="00557E75" w:rsidRPr="00884CBA" w:rsidRDefault="00557E75" w:rsidP="00E65832">
            <w:pPr>
              <w:autoSpaceDE w:val="0"/>
              <w:autoSpaceDN w:val="0"/>
              <w:adjustRightInd w:val="0"/>
              <w:ind w:right="10"/>
              <w:jc w:val="center"/>
              <w:cnfStyle w:val="000000000000"/>
              <w:rPr>
                <w:rFonts w:ascii="Arial" w:hAnsi="Arial" w:cs="Arial"/>
                <w:color w:val="000000"/>
                <w:sz w:val="20"/>
                <w:szCs w:val="18"/>
              </w:rPr>
            </w:pPr>
          </w:p>
        </w:tc>
        <w:tc>
          <w:tcPr>
            <w:tcW w:w="1341" w:type="dxa"/>
            <w:vAlign w:val="center"/>
          </w:tcPr>
          <w:p w:rsidR="00557E75" w:rsidRPr="00C854DA" w:rsidRDefault="003E6553" w:rsidP="003E6553">
            <w:pPr>
              <w:autoSpaceDE w:val="0"/>
              <w:autoSpaceDN w:val="0"/>
              <w:adjustRightInd w:val="0"/>
              <w:ind w:right="10"/>
              <w:jc w:val="center"/>
              <w:cnfStyle w:val="000000000000"/>
              <w:rPr>
                <w:rFonts w:ascii="Arial" w:hAnsi="Arial" w:cs="Arial"/>
                <w:color w:val="000000"/>
                <w:sz w:val="18"/>
                <w:szCs w:val="18"/>
              </w:rPr>
            </w:pPr>
            <w:r>
              <w:rPr>
                <w:rFonts w:ascii="Arial" w:hAnsi="Arial" w:cs="Arial"/>
                <w:color w:val="000000"/>
                <w:sz w:val="18"/>
                <w:szCs w:val="18"/>
              </w:rPr>
              <w:t>(0.307</w:t>
            </w:r>
            <w:r w:rsidR="00557E75">
              <w:rPr>
                <w:rFonts w:ascii="Arial" w:hAnsi="Arial" w:cs="Arial"/>
                <w:color w:val="000000"/>
                <w:sz w:val="18"/>
                <w:szCs w:val="18"/>
              </w:rPr>
              <w:t>)</w:t>
            </w:r>
          </w:p>
        </w:tc>
        <w:tc>
          <w:tcPr>
            <w:tcW w:w="1341" w:type="dxa"/>
            <w:vAlign w:val="center"/>
          </w:tcPr>
          <w:p w:rsidR="00557E75" w:rsidRDefault="00557E75" w:rsidP="00E65832">
            <w:pPr>
              <w:autoSpaceDE w:val="0"/>
              <w:autoSpaceDN w:val="0"/>
              <w:adjustRightInd w:val="0"/>
              <w:ind w:right="10"/>
              <w:jc w:val="center"/>
              <w:cnfStyle w:val="000000000000"/>
              <w:rPr>
                <w:rFonts w:ascii="Arial" w:hAnsi="Arial" w:cs="Arial"/>
                <w:color w:val="000000"/>
                <w:sz w:val="18"/>
                <w:szCs w:val="18"/>
              </w:rPr>
            </w:pPr>
          </w:p>
        </w:tc>
      </w:tr>
      <w:tr w:rsidR="00557E75" w:rsidTr="00557E75">
        <w:trPr>
          <w:trHeight w:val="409"/>
        </w:trPr>
        <w:tc>
          <w:tcPr>
            <w:cnfStyle w:val="001000000000"/>
            <w:tcW w:w="1462" w:type="dxa"/>
          </w:tcPr>
          <w:p w:rsidR="00557E75" w:rsidRPr="00884CBA" w:rsidRDefault="00557E75" w:rsidP="007D3407">
            <w:pPr>
              <w:autoSpaceDE w:val="0"/>
              <w:autoSpaceDN w:val="0"/>
              <w:adjustRightInd w:val="0"/>
              <w:jc w:val="center"/>
              <w:rPr>
                <w:rFonts w:ascii="Arial" w:hAnsi="Arial" w:cs="Arial"/>
                <w:color w:val="000000"/>
                <w:sz w:val="20"/>
                <w:szCs w:val="18"/>
              </w:rPr>
            </w:pPr>
            <w:r w:rsidRPr="00884CBA">
              <w:rPr>
                <w:rFonts w:ascii="Arial" w:hAnsi="Arial" w:cs="Arial"/>
                <w:color w:val="000000"/>
                <w:sz w:val="20"/>
                <w:szCs w:val="18"/>
              </w:rPr>
              <w:t>UAI</w:t>
            </w:r>
          </w:p>
        </w:tc>
        <w:tc>
          <w:tcPr>
            <w:tcW w:w="1259" w:type="dxa"/>
          </w:tcPr>
          <w:p w:rsidR="00557E75" w:rsidRPr="00884CBA" w:rsidRDefault="00557E75" w:rsidP="007D3407">
            <w:pPr>
              <w:autoSpaceDE w:val="0"/>
              <w:autoSpaceDN w:val="0"/>
              <w:adjustRightInd w:val="0"/>
              <w:ind w:right="10"/>
              <w:jc w:val="center"/>
              <w:cnfStyle w:val="000000000000"/>
              <w:rPr>
                <w:rFonts w:ascii="Arial" w:hAnsi="Arial" w:cs="Arial"/>
                <w:color w:val="000000"/>
                <w:sz w:val="20"/>
                <w:szCs w:val="18"/>
              </w:rPr>
            </w:pPr>
            <w:r w:rsidRPr="00884CBA">
              <w:rPr>
                <w:rFonts w:ascii="Arial" w:hAnsi="Arial" w:cs="Arial"/>
                <w:color w:val="000000"/>
                <w:sz w:val="20"/>
                <w:szCs w:val="18"/>
              </w:rPr>
              <w:t>-</w:t>
            </w:r>
          </w:p>
        </w:tc>
        <w:tc>
          <w:tcPr>
            <w:tcW w:w="1383" w:type="dxa"/>
            <w:vAlign w:val="center"/>
          </w:tcPr>
          <w:p w:rsidR="00557E75" w:rsidRPr="00884CBA" w:rsidRDefault="003E6553" w:rsidP="003E6553">
            <w:pPr>
              <w:autoSpaceDE w:val="0"/>
              <w:autoSpaceDN w:val="0"/>
              <w:adjustRightInd w:val="0"/>
              <w:ind w:right="10"/>
              <w:jc w:val="center"/>
              <w:cnfStyle w:val="000000000000"/>
              <w:rPr>
                <w:rFonts w:ascii="Arial" w:hAnsi="Arial" w:cs="Arial"/>
                <w:color w:val="000000"/>
                <w:sz w:val="20"/>
                <w:szCs w:val="18"/>
              </w:rPr>
            </w:pPr>
            <w:r>
              <w:rPr>
                <w:rFonts w:ascii="Arial" w:hAnsi="Arial" w:cs="Arial"/>
                <w:color w:val="000000"/>
                <w:sz w:val="18"/>
                <w:szCs w:val="18"/>
              </w:rPr>
              <w:t>-0.091</w:t>
            </w:r>
          </w:p>
        </w:tc>
        <w:tc>
          <w:tcPr>
            <w:tcW w:w="1341" w:type="dxa"/>
            <w:vAlign w:val="center"/>
          </w:tcPr>
          <w:p w:rsidR="00557E75" w:rsidRPr="00884CBA" w:rsidRDefault="00557E75" w:rsidP="00E65832">
            <w:pPr>
              <w:autoSpaceDE w:val="0"/>
              <w:autoSpaceDN w:val="0"/>
              <w:adjustRightInd w:val="0"/>
              <w:ind w:right="10"/>
              <w:jc w:val="center"/>
              <w:cnfStyle w:val="000000000000"/>
              <w:rPr>
                <w:rFonts w:ascii="Arial" w:hAnsi="Arial" w:cs="Arial"/>
                <w:color w:val="000000"/>
                <w:sz w:val="20"/>
                <w:szCs w:val="18"/>
              </w:rPr>
            </w:pPr>
          </w:p>
        </w:tc>
        <w:tc>
          <w:tcPr>
            <w:tcW w:w="1341" w:type="dxa"/>
            <w:vAlign w:val="center"/>
          </w:tcPr>
          <w:p w:rsidR="00557E75" w:rsidRPr="00884CBA" w:rsidRDefault="00557E75" w:rsidP="00E65832">
            <w:pPr>
              <w:autoSpaceDE w:val="0"/>
              <w:autoSpaceDN w:val="0"/>
              <w:adjustRightInd w:val="0"/>
              <w:ind w:right="10"/>
              <w:jc w:val="center"/>
              <w:cnfStyle w:val="000000000000"/>
              <w:rPr>
                <w:rFonts w:ascii="Arial" w:hAnsi="Arial" w:cs="Arial"/>
                <w:color w:val="000000"/>
                <w:sz w:val="20"/>
                <w:szCs w:val="18"/>
              </w:rPr>
            </w:pPr>
          </w:p>
        </w:tc>
        <w:tc>
          <w:tcPr>
            <w:tcW w:w="1341" w:type="dxa"/>
            <w:vAlign w:val="center"/>
          </w:tcPr>
          <w:p w:rsidR="00557E75" w:rsidRPr="00884CBA" w:rsidRDefault="00557E75" w:rsidP="00E65832">
            <w:pPr>
              <w:jc w:val="center"/>
              <w:cnfStyle w:val="000000000000"/>
              <w:rPr>
                <w:rFonts w:ascii="Arial" w:hAnsi="Arial" w:cs="Arial"/>
                <w:b/>
                <w:i/>
                <w:lang w:val="en-US"/>
              </w:rPr>
            </w:pPr>
          </w:p>
        </w:tc>
        <w:tc>
          <w:tcPr>
            <w:tcW w:w="1341" w:type="dxa"/>
            <w:vAlign w:val="center"/>
          </w:tcPr>
          <w:p w:rsidR="00557E75" w:rsidRPr="00884CBA" w:rsidRDefault="00557E75" w:rsidP="00E65832">
            <w:pPr>
              <w:autoSpaceDE w:val="0"/>
              <w:autoSpaceDN w:val="0"/>
              <w:adjustRightInd w:val="0"/>
              <w:spacing w:line="240" w:lineRule="exact"/>
              <w:ind w:right="10"/>
              <w:contextualSpacing/>
              <w:jc w:val="center"/>
              <w:cnfStyle w:val="000000000000"/>
              <w:rPr>
                <w:rFonts w:ascii="Arial" w:hAnsi="Arial" w:cs="Arial"/>
                <w:color w:val="000000"/>
                <w:sz w:val="18"/>
                <w:szCs w:val="18"/>
              </w:rPr>
            </w:pPr>
            <w:r>
              <w:rPr>
                <w:rFonts w:ascii="Arial" w:hAnsi="Arial" w:cs="Arial"/>
                <w:color w:val="000000"/>
                <w:sz w:val="18"/>
                <w:szCs w:val="18"/>
              </w:rPr>
              <w:t>-0.108</w:t>
            </w:r>
          </w:p>
        </w:tc>
      </w:tr>
      <w:tr w:rsidR="00557E75" w:rsidTr="00557E75">
        <w:tc>
          <w:tcPr>
            <w:cnfStyle w:val="001000000000"/>
            <w:tcW w:w="1462" w:type="dxa"/>
          </w:tcPr>
          <w:p w:rsidR="00557E75" w:rsidRPr="00884CBA" w:rsidRDefault="00557E75" w:rsidP="007D3407">
            <w:pPr>
              <w:autoSpaceDE w:val="0"/>
              <w:autoSpaceDN w:val="0"/>
              <w:adjustRightInd w:val="0"/>
              <w:jc w:val="center"/>
              <w:rPr>
                <w:rFonts w:ascii="Arial" w:hAnsi="Arial" w:cs="Arial"/>
                <w:color w:val="000000"/>
                <w:sz w:val="20"/>
                <w:szCs w:val="18"/>
              </w:rPr>
            </w:pPr>
          </w:p>
        </w:tc>
        <w:tc>
          <w:tcPr>
            <w:tcW w:w="1259" w:type="dxa"/>
          </w:tcPr>
          <w:p w:rsidR="00557E75" w:rsidRPr="00884CBA" w:rsidRDefault="00557E75" w:rsidP="007D3407">
            <w:pPr>
              <w:autoSpaceDE w:val="0"/>
              <w:autoSpaceDN w:val="0"/>
              <w:adjustRightInd w:val="0"/>
              <w:ind w:right="10"/>
              <w:jc w:val="center"/>
              <w:cnfStyle w:val="000000000000"/>
              <w:rPr>
                <w:rFonts w:ascii="Arial" w:hAnsi="Arial" w:cs="Arial"/>
                <w:color w:val="000000"/>
                <w:sz w:val="20"/>
                <w:szCs w:val="18"/>
              </w:rPr>
            </w:pPr>
          </w:p>
        </w:tc>
        <w:tc>
          <w:tcPr>
            <w:tcW w:w="1383" w:type="dxa"/>
            <w:vAlign w:val="center"/>
          </w:tcPr>
          <w:p w:rsidR="00557E75" w:rsidRPr="00884CBA" w:rsidRDefault="003E6553" w:rsidP="00E65832">
            <w:pPr>
              <w:autoSpaceDE w:val="0"/>
              <w:autoSpaceDN w:val="0"/>
              <w:adjustRightInd w:val="0"/>
              <w:ind w:right="10"/>
              <w:jc w:val="center"/>
              <w:cnfStyle w:val="000000000000"/>
              <w:rPr>
                <w:rFonts w:ascii="Arial" w:hAnsi="Arial" w:cs="Arial"/>
                <w:color w:val="000000"/>
                <w:sz w:val="18"/>
                <w:szCs w:val="18"/>
              </w:rPr>
            </w:pPr>
            <w:r>
              <w:rPr>
                <w:rFonts w:ascii="Arial" w:hAnsi="Arial" w:cs="Arial"/>
                <w:color w:val="000000"/>
                <w:sz w:val="18"/>
                <w:szCs w:val="18"/>
              </w:rPr>
              <w:t>(0.217</w:t>
            </w:r>
            <w:r w:rsidR="00557E75">
              <w:rPr>
                <w:rFonts w:ascii="Arial" w:hAnsi="Arial" w:cs="Arial"/>
                <w:color w:val="000000"/>
                <w:sz w:val="18"/>
                <w:szCs w:val="18"/>
              </w:rPr>
              <w:t>)</w:t>
            </w:r>
          </w:p>
        </w:tc>
        <w:tc>
          <w:tcPr>
            <w:tcW w:w="1341" w:type="dxa"/>
            <w:vAlign w:val="center"/>
          </w:tcPr>
          <w:p w:rsidR="00557E75" w:rsidRPr="00884CBA" w:rsidRDefault="00557E75" w:rsidP="00E65832">
            <w:pPr>
              <w:autoSpaceDE w:val="0"/>
              <w:autoSpaceDN w:val="0"/>
              <w:adjustRightInd w:val="0"/>
              <w:jc w:val="center"/>
              <w:cnfStyle w:val="000000000000"/>
              <w:rPr>
                <w:rFonts w:ascii="Arial" w:hAnsi="Arial" w:cs="Arial"/>
                <w:color w:val="000000"/>
                <w:sz w:val="20"/>
                <w:szCs w:val="18"/>
              </w:rPr>
            </w:pPr>
          </w:p>
        </w:tc>
        <w:tc>
          <w:tcPr>
            <w:tcW w:w="1341" w:type="dxa"/>
            <w:vAlign w:val="center"/>
          </w:tcPr>
          <w:p w:rsidR="00557E75" w:rsidRPr="00884CBA" w:rsidRDefault="00557E75" w:rsidP="00E65832">
            <w:pPr>
              <w:autoSpaceDE w:val="0"/>
              <w:autoSpaceDN w:val="0"/>
              <w:adjustRightInd w:val="0"/>
              <w:ind w:right="10"/>
              <w:jc w:val="center"/>
              <w:cnfStyle w:val="000000000000"/>
              <w:rPr>
                <w:rFonts w:ascii="Arial" w:hAnsi="Arial" w:cs="Arial"/>
                <w:color w:val="000000"/>
                <w:sz w:val="20"/>
                <w:szCs w:val="18"/>
              </w:rPr>
            </w:pPr>
          </w:p>
        </w:tc>
        <w:tc>
          <w:tcPr>
            <w:tcW w:w="1341" w:type="dxa"/>
            <w:vAlign w:val="center"/>
          </w:tcPr>
          <w:p w:rsidR="00557E75" w:rsidRPr="00884CBA" w:rsidRDefault="00557E75" w:rsidP="00E65832">
            <w:pPr>
              <w:jc w:val="center"/>
              <w:cnfStyle w:val="000000000000"/>
              <w:rPr>
                <w:rFonts w:ascii="Arial" w:hAnsi="Arial" w:cs="Arial"/>
                <w:b/>
                <w:i/>
                <w:lang w:val="en-US"/>
              </w:rPr>
            </w:pPr>
          </w:p>
        </w:tc>
        <w:tc>
          <w:tcPr>
            <w:tcW w:w="1341" w:type="dxa"/>
            <w:vAlign w:val="center"/>
          </w:tcPr>
          <w:p w:rsidR="00557E75" w:rsidRDefault="003E6553" w:rsidP="00E65832">
            <w:pPr>
              <w:autoSpaceDE w:val="0"/>
              <w:autoSpaceDN w:val="0"/>
              <w:adjustRightInd w:val="0"/>
              <w:ind w:right="10"/>
              <w:jc w:val="center"/>
              <w:cnfStyle w:val="000000000000"/>
              <w:rPr>
                <w:rFonts w:ascii="Arial" w:hAnsi="Arial" w:cs="Arial"/>
                <w:color w:val="000000"/>
                <w:sz w:val="18"/>
                <w:szCs w:val="18"/>
              </w:rPr>
            </w:pPr>
            <w:r>
              <w:rPr>
                <w:rFonts w:ascii="Arial" w:hAnsi="Arial" w:cs="Arial"/>
                <w:color w:val="000000"/>
                <w:sz w:val="18"/>
                <w:szCs w:val="18"/>
              </w:rPr>
              <w:t>(0.213</w:t>
            </w:r>
            <w:r w:rsidR="00557E75">
              <w:rPr>
                <w:rFonts w:ascii="Arial" w:hAnsi="Arial" w:cs="Arial"/>
                <w:color w:val="000000"/>
                <w:sz w:val="18"/>
                <w:szCs w:val="18"/>
              </w:rPr>
              <w:t>)</w:t>
            </w:r>
          </w:p>
        </w:tc>
      </w:tr>
      <w:tr w:rsidR="00557E75" w:rsidTr="00557E75">
        <w:tc>
          <w:tcPr>
            <w:cnfStyle w:val="001000000000"/>
            <w:tcW w:w="1462" w:type="dxa"/>
          </w:tcPr>
          <w:p w:rsidR="00557E75" w:rsidRPr="00884CBA" w:rsidRDefault="00557E75" w:rsidP="007D3407">
            <w:pPr>
              <w:autoSpaceDE w:val="0"/>
              <w:autoSpaceDN w:val="0"/>
              <w:adjustRightInd w:val="0"/>
              <w:jc w:val="center"/>
              <w:rPr>
                <w:rFonts w:ascii="Arial" w:hAnsi="Arial" w:cs="Arial"/>
                <w:color w:val="000000"/>
                <w:sz w:val="20"/>
                <w:szCs w:val="18"/>
              </w:rPr>
            </w:pPr>
          </w:p>
        </w:tc>
        <w:tc>
          <w:tcPr>
            <w:tcW w:w="1259" w:type="dxa"/>
          </w:tcPr>
          <w:p w:rsidR="00557E75" w:rsidRPr="00884CBA" w:rsidRDefault="00557E75" w:rsidP="007D3407">
            <w:pPr>
              <w:autoSpaceDE w:val="0"/>
              <w:autoSpaceDN w:val="0"/>
              <w:adjustRightInd w:val="0"/>
              <w:ind w:right="10"/>
              <w:jc w:val="center"/>
              <w:cnfStyle w:val="000000000000"/>
              <w:rPr>
                <w:rFonts w:ascii="Arial" w:hAnsi="Arial" w:cs="Arial"/>
                <w:color w:val="000000"/>
                <w:sz w:val="20"/>
                <w:szCs w:val="18"/>
                <w:lang w:val="en-GB"/>
              </w:rPr>
            </w:pPr>
          </w:p>
        </w:tc>
        <w:tc>
          <w:tcPr>
            <w:tcW w:w="1383" w:type="dxa"/>
            <w:vAlign w:val="center"/>
          </w:tcPr>
          <w:p w:rsidR="00557E75" w:rsidRPr="00884CBA" w:rsidRDefault="00557E75" w:rsidP="00E65832">
            <w:pPr>
              <w:autoSpaceDE w:val="0"/>
              <w:autoSpaceDN w:val="0"/>
              <w:adjustRightInd w:val="0"/>
              <w:ind w:right="10"/>
              <w:jc w:val="center"/>
              <w:cnfStyle w:val="000000000000"/>
              <w:rPr>
                <w:rFonts w:ascii="Arial" w:hAnsi="Arial" w:cs="Arial"/>
                <w:color w:val="000000"/>
                <w:sz w:val="20"/>
                <w:szCs w:val="18"/>
                <w:lang w:val="en-GB"/>
              </w:rPr>
            </w:pPr>
          </w:p>
        </w:tc>
        <w:tc>
          <w:tcPr>
            <w:tcW w:w="1341" w:type="dxa"/>
            <w:vAlign w:val="center"/>
          </w:tcPr>
          <w:p w:rsidR="00557E75" w:rsidRPr="00884CBA" w:rsidRDefault="00557E75" w:rsidP="00E65832">
            <w:pPr>
              <w:jc w:val="center"/>
              <w:cnfStyle w:val="000000000000"/>
              <w:rPr>
                <w:rFonts w:ascii="Arial" w:hAnsi="Arial" w:cs="Arial"/>
                <w:b/>
                <w:i/>
                <w:lang w:val="en-US"/>
              </w:rPr>
            </w:pPr>
          </w:p>
        </w:tc>
        <w:tc>
          <w:tcPr>
            <w:tcW w:w="1341" w:type="dxa"/>
            <w:vAlign w:val="center"/>
          </w:tcPr>
          <w:p w:rsidR="00557E75" w:rsidRPr="00884CBA" w:rsidRDefault="00557E75" w:rsidP="00E65832">
            <w:pPr>
              <w:autoSpaceDE w:val="0"/>
              <w:autoSpaceDN w:val="0"/>
              <w:adjustRightInd w:val="0"/>
              <w:jc w:val="center"/>
              <w:cnfStyle w:val="000000000000"/>
              <w:rPr>
                <w:rFonts w:ascii="Arial" w:hAnsi="Arial" w:cs="Arial"/>
                <w:color w:val="000000"/>
                <w:sz w:val="20"/>
                <w:szCs w:val="18"/>
              </w:rPr>
            </w:pPr>
          </w:p>
        </w:tc>
        <w:tc>
          <w:tcPr>
            <w:tcW w:w="1341" w:type="dxa"/>
            <w:vAlign w:val="center"/>
          </w:tcPr>
          <w:p w:rsidR="00557E75" w:rsidRPr="00884CBA" w:rsidRDefault="00557E75" w:rsidP="00E65832">
            <w:pPr>
              <w:autoSpaceDE w:val="0"/>
              <w:autoSpaceDN w:val="0"/>
              <w:adjustRightInd w:val="0"/>
              <w:ind w:right="10"/>
              <w:jc w:val="center"/>
              <w:cnfStyle w:val="000000000000"/>
              <w:rPr>
                <w:rFonts w:ascii="Arial" w:hAnsi="Arial" w:cs="Arial"/>
                <w:color w:val="000000"/>
                <w:sz w:val="20"/>
                <w:szCs w:val="18"/>
              </w:rPr>
            </w:pPr>
          </w:p>
        </w:tc>
        <w:tc>
          <w:tcPr>
            <w:tcW w:w="1341" w:type="dxa"/>
            <w:vAlign w:val="center"/>
          </w:tcPr>
          <w:p w:rsidR="00557E75" w:rsidRPr="00884CBA" w:rsidRDefault="00557E75" w:rsidP="00E65832">
            <w:pPr>
              <w:autoSpaceDE w:val="0"/>
              <w:autoSpaceDN w:val="0"/>
              <w:adjustRightInd w:val="0"/>
              <w:ind w:right="10"/>
              <w:jc w:val="center"/>
              <w:cnfStyle w:val="000000000000"/>
              <w:rPr>
                <w:rFonts w:ascii="Arial" w:hAnsi="Arial" w:cs="Arial"/>
                <w:color w:val="000000"/>
                <w:sz w:val="20"/>
                <w:szCs w:val="18"/>
              </w:rPr>
            </w:pPr>
          </w:p>
        </w:tc>
      </w:tr>
      <w:tr w:rsidR="00557E75" w:rsidTr="00557E75">
        <w:tc>
          <w:tcPr>
            <w:cnfStyle w:val="001000000000"/>
            <w:tcW w:w="1462" w:type="dxa"/>
          </w:tcPr>
          <w:p w:rsidR="00557E75" w:rsidRPr="00884CBA" w:rsidRDefault="00557E75" w:rsidP="007D3407">
            <w:pPr>
              <w:autoSpaceDE w:val="0"/>
              <w:autoSpaceDN w:val="0"/>
              <w:adjustRightInd w:val="0"/>
              <w:jc w:val="center"/>
              <w:rPr>
                <w:rFonts w:ascii="Arial" w:hAnsi="Arial" w:cs="Arial"/>
                <w:color w:val="000000"/>
                <w:sz w:val="20"/>
                <w:szCs w:val="18"/>
                <w:vertAlign w:val="superscript"/>
              </w:rPr>
            </w:pPr>
            <w:r w:rsidRPr="00884CBA">
              <w:rPr>
                <w:rFonts w:ascii="Arial" w:hAnsi="Arial" w:cs="Arial"/>
                <w:color w:val="000000"/>
                <w:sz w:val="20"/>
                <w:szCs w:val="18"/>
              </w:rPr>
              <w:t>R</w:t>
            </w:r>
            <w:r w:rsidRPr="00884CBA">
              <w:rPr>
                <w:rFonts w:ascii="Arial" w:hAnsi="Arial" w:cs="Arial"/>
                <w:color w:val="000000"/>
                <w:sz w:val="20"/>
                <w:szCs w:val="18"/>
                <w:vertAlign w:val="superscript"/>
              </w:rPr>
              <w:t>2</w:t>
            </w:r>
          </w:p>
        </w:tc>
        <w:tc>
          <w:tcPr>
            <w:tcW w:w="1259" w:type="dxa"/>
          </w:tcPr>
          <w:p w:rsidR="00557E75" w:rsidRPr="00884CBA" w:rsidRDefault="00557E75" w:rsidP="007D3407">
            <w:pPr>
              <w:autoSpaceDE w:val="0"/>
              <w:autoSpaceDN w:val="0"/>
              <w:adjustRightInd w:val="0"/>
              <w:ind w:right="10"/>
              <w:jc w:val="center"/>
              <w:cnfStyle w:val="000000000000"/>
              <w:rPr>
                <w:rFonts w:ascii="Arial" w:hAnsi="Arial" w:cs="Arial"/>
                <w:color w:val="000000"/>
                <w:sz w:val="20"/>
                <w:szCs w:val="18"/>
                <w:lang w:val="en-GB"/>
              </w:rPr>
            </w:pPr>
          </w:p>
        </w:tc>
        <w:tc>
          <w:tcPr>
            <w:tcW w:w="1383" w:type="dxa"/>
            <w:vAlign w:val="center"/>
          </w:tcPr>
          <w:p w:rsidR="00557E75" w:rsidRPr="00884CBA" w:rsidRDefault="00557E75" w:rsidP="00E65832">
            <w:pPr>
              <w:autoSpaceDE w:val="0"/>
              <w:autoSpaceDN w:val="0"/>
              <w:adjustRightInd w:val="0"/>
              <w:ind w:right="10"/>
              <w:jc w:val="center"/>
              <w:cnfStyle w:val="000000000000"/>
              <w:rPr>
                <w:rFonts w:ascii="Arial" w:hAnsi="Arial" w:cs="Arial"/>
                <w:color w:val="000000"/>
                <w:sz w:val="20"/>
                <w:szCs w:val="18"/>
                <w:lang w:val="en-GB"/>
              </w:rPr>
            </w:pPr>
            <w:r>
              <w:rPr>
                <w:rFonts w:ascii="Arial" w:hAnsi="Arial" w:cs="Arial"/>
                <w:color w:val="000000"/>
                <w:sz w:val="18"/>
                <w:szCs w:val="18"/>
              </w:rPr>
              <w:t>0.1</w:t>
            </w:r>
            <w:r w:rsidR="003E6553">
              <w:rPr>
                <w:rFonts w:ascii="Arial" w:hAnsi="Arial" w:cs="Arial"/>
                <w:color w:val="000000"/>
                <w:sz w:val="18"/>
                <w:szCs w:val="18"/>
              </w:rPr>
              <w:t>90</w:t>
            </w:r>
          </w:p>
        </w:tc>
        <w:tc>
          <w:tcPr>
            <w:tcW w:w="1341" w:type="dxa"/>
            <w:vAlign w:val="center"/>
          </w:tcPr>
          <w:p w:rsidR="00557E75" w:rsidRPr="00C854DA" w:rsidRDefault="00557E75" w:rsidP="003E6553">
            <w:pPr>
              <w:autoSpaceDE w:val="0"/>
              <w:autoSpaceDN w:val="0"/>
              <w:adjustRightInd w:val="0"/>
              <w:ind w:right="10"/>
              <w:jc w:val="center"/>
              <w:cnfStyle w:val="000000000000"/>
              <w:rPr>
                <w:rFonts w:ascii="Arial" w:hAnsi="Arial" w:cs="Arial"/>
                <w:color w:val="000000"/>
                <w:sz w:val="18"/>
                <w:szCs w:val="18"/>
              </w:rPr>
            </w:pPr>
            <w:r w:rsidRPr="00C854DA">
              <w:rPr>
                <w:rFonts w:ascii="Arial" w:hAnsi="Arial" w:cs="Arial"/>
                <w:color w:val="000000"/>
                <w:sz w:val="18"/>
                <w:szCs w:val="18"/>
              </w:rPr>
              <w:t>0.11</w:t>
            </w:r>
            <w:r w:rsidR="003E6553">
              <w:rPr>
                <w:rFonts w:ascii="Arial" w:hAnsi="Arial" w:cs="Arial"/>
                <w:color w:val="000000"/>
                <w:sz w:val="18"/>
                <w:szCs w:val="18"/>
              </w:rPr>
              <w:t>1</w:t>
            </w:r>
          </w:p>
        </w:tc>
        <w:tc>
          <w:tcPr>
            <w:tcW w:w="1341" w:type="dxa"/>
            <w:vAlign w:val="center"/>
          </w:tcPr>
          <w:p w:rsidR="00557E75" w:rsidRDefault="003E6553" w:rsidP="00E65832">
            <w:pPr>
              <w:autoSpaceDE w:val="0"/>
              <w:autoSpaceDN w:val="0"/>
              <w:adjustRightInd w:val="0"/>
              <w:ind w:right="10"/>
              <w:jc w:val="center"/>
              <w:cnfStyle w:val="000000000000"/>
              <w:rPr>
                <w:rFonts w:ascii="Arial" w:hAnsi="Arial" w:cs="Arial"/>
                <w:color w:val="000000"/>
                <w:sz w:val="18"/>
                <w:szCs w:val="18"/>
              </w:rPr>
            </w:pPr>
            <w:r>
              <w:rPr>
                <w:rFonts w:ascii="Arial" w:hAnsi="Arial" w:cs="Arial"/>
                <w:color w:val="000000"/>
                <w:sz w:val="18"/>
                <w:szCs w:val="18"/>
              </w:rPr>
              <w:t>0.036</w:t>
            </w:r>
          </w:p>
        </w:tc>
        <w:tc>
          <w:tcPr>
            <w:tcW w:w="1341" w:type="dxa"/>
            <w:vAlign w:val="center"/>
          </w:tcPr>
          <w:p w:rsidR="00557E75" w:rsidRPr="00C854DA" w:rsidRDefault="00557E75" w:rsidP="00E65832">
            <w:pPr>
              <w:autoSpaceDE w:val="0"/>
              <w:autoSpaceDN w:val="0"/>
              <w:adjustRightInd w:val="0"/>
              <w:ind w:right="10"/>
              <w:jc w:val="center"/>
              <w:cnfStyle w:val="000000000000"/>
              <w:rPr>
                <w:rFonts w:ascii="Arial" w:hAnsi="Arial" w:cs="Arial"/>
                <w:color w:val="000000"/>
                <w:sz w:val="18"/>
                <w:szCs w:val="18"/>
              </w:rPr>
            </w:pPr>
            <w:r>
              <w:rPr>
                <w:rFonts w:ascii="Arial" w:hAnsi="Arial" w:cs="Arial"/>
                <w:color w:val="000000"/>
                <w:sz w:val="18"/>
                <w:szCs w:val="18"/>
              </w:rPr>
              <w:t>0.028</w:t>
            </w:r>
          </w:p>
        </w:tc>
        <w:tc>
          <w:tcPr>
            <w:tcW w:w="1341" w:type="dxa"/>
            <w:vAlign w:val="center"/>
          </w:tcPr>
          <w:p w:rsidR="00557E75" w:rsidRDefault="00557E75" w:rsidP="00E65832">
            <w:pPr>
              <w:autoSpaceDE w:val="0"/>
              <w:autoSpaceDN w:val="0"/>
              <w:adjustRightInd w:val="0"/>
              <w:ind w:right="10"/>
              <w:jc w:val="center"/>
              <w:cnfStyle w:val="000000000000"/>
              <w:rPr>
                <w:rFonts w:ascii="Arial" w:hAnsi="Arial" w:cs="Arial"/>
                <w:color w:val="000000"/>
                <w:sz w:val="18"/>
                <w:szCs w:val="18"/>
              </w:rPr>
            </w:pPr>
            <w:r>
              <w:rPr>
                <w:rFonts w:ascii="Arial" w:hAnsi="Arial" w:cs="Arial"/>
                <w:color w:val="000000"/>
                <w:sz w:val="18"/>
                <w:szCs w:val="18"/>
              </w:rPr>
              <w:t>0.02</w:t>
            </w:r>
            <w:r w:rsidR="003E6553">
              <w:rPr>
                <w:rFonts w:ascii="Arial" w:hAnsi="Arial" w:cs="Arial"/>
                <w:color w:val="000000"/>
                <w:sz w:val="18"/>
                <w:szCs w:val="18"/>
              </w:rPr>
              <w:t>2</w:t>
            </w:r>
          </w:p>
        </w:tc>
      </w:tr>
      <w:tr w:rsidR="00557E75" w:rsidTr="00557E75">
        <w:tc>
          <w:tcPr>
            <w:cnfStyle w:val="001000000000"/>
            <w:tcW w:w="1462" w:type="dxa"/>
          </w:tcPr>
          <w:p w:rsidR="00557E75" w:rsidRPr="00884CBA" w:rsidRDefault="00557E75" w:rsidP="007D3407">
            <w:pPr>
              <w:autoSpaceDE w:val="0"/>
              <w:autoSpaceDN w:val="0"/>
              <w:adjustRightInd w:val="0"/>
              <w:jc w:val="center"/>
              <w:rPr>
                <w:rFonts w:ascii="Arial" w:hAnsi="Arial" w:cs="Arial"/>
                <w:color w:val="000000"/>
                <w:sz w:val="20"/>
                <w:szCs w:val="18"/>
              </w:rPr>
            </w:pPr>
          </w:p>
        </w:tc>
        <w:tc>
          <w:tcPr>
            <w:tcW w:w="1259" w:type="dxa"/>
          </w:tcPr>
          <w:p w:rsidR="00557E75" w:rsidRPr="00884CBA" w:rsidRDefault="00557E75" w:rsidP="007D3407">
            <w:pPr>
              <w:autoSpaceDE w:val="0"/>
              <w:autoSpaceDN w:val="0"/>
              <w:adjustRightInd w:val="0"/>
              <w:ind w:right="10"/>
              <w:jc w:val="center"/>
              <w:cnfStyle w:val="000000000000"/>
              <w:rPr>
                <w:rFonts w:ascii="Arial" w:hAnsi="Arial" w:cs="Arial"/>
                <w:color w:val="000000"/>
                <w:sz w:val="20"/>
                <w:szCs w:val="18"/>
                <w:lang w:val="en-GB"/>
              </w:rPr>
            </w:pPr>
          </w:p>
        </w:tc>
        <w:tc>
          <w:tcPr>
            <w:tcW w:w="1383" w:type="dxa"/>
            <w:vAlign w:val="center"/>
          </w:tcPr>
          <w:p w:rsidR="00557E75" w:rsidRDefault="00557E75" w:rsidP="00E65832">
            <w:pPr>
              <w:autoSpaceDE w:val="0"/>
              <w:autoSpaceDN w:val="0"/>
              <w:adjustRightInd w:val="0"/>
              <w:ind w:right="10"/>
              <w:jc w:val="center"/>
              <w:cnfStyle w:val="000000000000"/>
              <w:rPr>
                <w:rFonts w:ascii="Arial" w:hAnsi="Arial" w:cs="Arial"/>
                <w:color w:val="000000"/>
                <w:sz w:val="18"/>
                <w:szCs w:val="18"/>
              </w:rPr>
            </w:pPr>
          </w:p>
        </w:tc>
        <w:tc>
          <w:tcPr>
            <w:tcW w:w="1341" w:type="dxa"/>
            <w:vAlign w:val="center"/>
          </w:tcPr>
          <w:p w:rsidR="00557E75" w:rsidRPr="00C854DA" w:rsidRDefault="00557E75" w:rsidP="00E65832">
            <w:pPr>
              <w:autoSpaceDE w:val="0"/>
              <w:autoSpaceDN w:val="0"/>
              <w:adjustRightInd w:val="0"/>
              <w:ind w:right="10"/>
              <w:jc w:val="center"/>
              <w:cnfStyle w:val="000000000000"/>
              <w:rPr>
                <w:rFonts w:ascii="Arial" w:hAnsi="Arial" w:cs="Arial"/>
                <w:color w:val="000000"/>
                <w:sz w:val="18"/>
                <w:szCs w:val="18"/>
              </w:rPr>
            </w:pPr>
          </w:p>
        </w:tc>
        <w:tc>
          <w:tcPr>
            <w:tcW w:w="1341" w:type="dxa"/>
            <w:vAlign w:val="center"/>
          </w:tcPr>
          <w:p w:rsidR="00557E75" w:rsidRDefault="00557E75" w:rsidP="00E65832">
            <w:pPr>
              <w:autoSpaceDE w:val="0"/>
              <w:autoSpaceDN w:val="0"/>
              <w:adjustRightInd w:val="0"/>
              <w:ind w:right="10"/>
              <w:jc w:val="center"/>
              <w:cnfStyle w:val="000000000000"/>
              <w:rPr>
                <w:rFonts w:ascii="Arial" w:hAnsi="Arial" w:cs="Arial"/>
                <w:color w:val="000000"/>
                <w:sz w:val="18"/>
                <w:szCs w:val="18"/>
              </w:rPr>
            </w:pPr>
          </w:p>
        </w:tc>
        <w:tc>
          <w:tcPr>
            <w:tcW w:w="1341" w:type="dxa"/>
            <w:vAlign w:val="center"/>
          </w:tcPr>
          <w:p w:rsidR="00557E75" w:rsidRDefault="00557E75" w:rsidP="00E65832">
            <w:pPr>
              <w:autoSpaceDE w:val="0"/>
              <w:autoSpaceDN w:val="0"/>
              <w:adjustRightInd w:val="0"/>
              <w:ind w:right="10"/>
              <w:jc w:val="center"/>
              <w:cnfStyle w:val="000000000000"/>
              <w:rPr>
                <w:rFonts w:ascii="Arial" w:hAnsi="Arial" w:cs="Arial"/>
                <w:color w:val="000000"/>
                <w:sz w:val="18"/>
                <w:szCs w:val="18"/>
              </w:rPr>
            </w:pPr>
          </w:p>
        </w:tc>
        <w:tc>
          <w:tcPr>
            <w:tcW w:w="1341" w:type="dxa"/>
            <w:vAlign w:val="center"/>
          </w:tcPr>
          <w:p w:rsidR="00557E75" w:rsidRDefault="00557E75" w:rsidP="00E65832">
            <w:pPr>
              <w:autoSpaceDE w:val="0"/>
              <w:autoSpaceDN w:val="0"/>
              <w:adjustRightInd w:val="0"/>
              <w:ind w:right="10"/>
              <w:jc w:val="center"/>
              <w:cnfStyle w:val="000000000000"/>
              <w:rPr>
                <w:rFonts w:ascii="Arial" w:hAnsi="Arial" w:cs="Arial"/>
                <w:color w:val="000000"/>
                <w:sz w:val="18"/>
                <w:szCs w:val="18"/>
              </w:rPr>
            </w:pPr>
          </w:p>
        </w:tc>
      </w:tr>
      <w:tr w:rsidR="00557E75" w:rsidTr="00557E75">
        <w:tc>
          <w:tcPr>
            <w:cnfStyle w:val="001000000000"/>
            <w:tcW w:w="1462" w:type="dxa"/>
          </w:tcPr>
          <w:p w:rsidR="00557E75" w:rsidRPr="00884CBA" w:rsidRDefault="00557E75" w:rsidP="007D3407">
            <w:pPr>
              <w:autoSpaceDE w:val="0"/>
              <w:autoSpaceDN w:val="0"/>
              <w:adjustRightInd w:val="0"/>
              <w:jc w:val="center"/>
              <w:rPr>
                <w:rFonts w:ascii="Arial" w:hAnsi="Arial" w:cs="Arial"/>
                <w:color w:val="000000"/>
                <w:sz w:val="20"/>
                <w:szCs w:val="18"/>
              </w:rPr>
            </w:pPr>
            <w:r>
              <w:rPr>
                <w:rFonts w:ascii="Arial" w:hAnsi="Arial" w:cs="Arial"/>
                <w:color w:val="000000"/>
                <w:sz w:val="20"/>
                <w:szCs w:val="18"/>
              </w:rPr>
              <w:t>Number of observations</w:t>
            </w:r>
          </w:p>
        </w:tc>
        <w:tc>
          <w:tcPr>
            <w:tcW w:w="1259" w:type="dxa"/>
          </w:tcPr>
          <w:p w:rsidR="00557E75" w:rsidRPr="00884CBA" w:rsidRDefault="00557E75" w:rsidP="007D3407">
            <w:pPr>
              <w:autoSpaceDE w:val="0"/>
              <w:autoSpaceDN w:val="0"/>
              <w:adjustRightInd w:val="0"/>
              <w:ind w:right="10"/>
              <w:jc w:val="center"/>
              <w:cnfStyle w:val="000000000000"/>
              <w:rPr>
                <w:rFonts w:ascii="Arial" w:hAnsi="Arial" w:cs="Arial"/>
                <w:color w:val="000000"/>
                <w:sz w:val="20"/>
                <w:szCs w:val="18"/>
                <w:lang w:val="en-GB"/>
              </w:rPr>
            </w:pPr>
          </w:p>
        </w:tc>
        <w:tc>
          <w:tcPr>
            <w:tcW w:w="1383" w:type="dxa"/>
            <w:vAlign w:val="center"/>
          </w:tcPr>
          <w:p w:rsidR="00557E75" w:rsidRDefault="00557E75" w:rsidP="00E65832">
            <w:pPr>
              <w:autoSpaceDE w:val="0"/>
              <w:autoSpaceDN w:val="0"/>
              <w:adjustRightInd w:val="0"/>
              <w:ind w:right="10"/>
              <w:jc w:val="center"/>
              <w:cnfStyle w:val="000000000000"/>
              <w:rPr>
                <w:rFonts w:ascii="Arial" w:hAnsi="Arial" w:cs="Arial"/>
                <w:color w:val="000000"/>
                <w:sz w:val="18"/>
                <w:szCs w:val="18"/>
              </w:rPr>
            </w:pPr>
            <w:r>
              <w:rPr>
                <w:rFonts w:ascii="Arial" w:hAnsi="Arial" w:cs="Arial"/>
                <w:color w:val="000000"/>
                <w:sz w:val="18"/>
                <w:szCs w:val="18"/>
              </w:rPr>
              <w:t>18</w:t>
            </w:r>
          </w:p>
        </w:tc>
        <w:tc>
          <w:tcPr>
            <w:tcW w:w="1341" w:type="dxa"/>
            <w:vAlign w:val="center"/>
          </w:tcPr>
          <w:p w:rsidR="00557E75" w:rsidRPr="00557E75" w:rsidRDefault="00557E75" w:rsidP="00557E75">
            <w:pPr>
              <w:autoSpaceDE w:val="0"/>
              <w:autoSpaceDN w:val="0"/>
              <w:adjustRightInd w:val="0"/>
              <w:ind w:right="10"/>
              <w:jc w:val="center"/>
              <w:cnfStyle w:val="000000000000"/>
              <w:rPr>
                <w:rFonts w:ascii="Arial" w:hAnsi="Arial" w:cs="Arial"/>
                <w:color w:val="000000"/>
                <w:sz w:val="18"/>
                <w:szCs w:val="18"/>
              </w:rPr>
            </w:pPr>
            <w:r w:rsidRPr="00860C23">
              <w:rPr>
                <w:rFonts w:ascii="Arial" w:hAnsi="Arial" w:cs="Arial"/>
                <w:color w:val="000000"/>
                <w:sz w:val="18"/>
                <w:szCs w:val="18"/>
              </w:rPr>
              <w:t>18</w:t>
            </w:r>
          </w:p>
        </w:tc>
        <w:tc>
          <w:tcPr>
            <w:tcW w:w="1341" w:type="dxa"/>
            <w:vAlign w:val="center"/>
          </w:tcPr>
          <w:p w:rsidR="00557E75" w:rsidRPr="00557E75" w:rsidRDefault="00557E75" w:rsidP="00557E75">
            <w:pPr>
              <w:autoSpaceDE w:val="0"/>
              <w:autoSpaceDN w:val="0"/>
              <w:adjustRightInd w:val="0"/>
              <w:ind w:right="10"/>
              <w:jc w:val="center"/>
              <w:cnfStyle w:val="000000000000"/>
              <w:rPr>
                <w:rFonts w:ascii="Arial" w:hAnsi="Arial" w:cs="Arial"/>
                <w:color w:val="000000"/>
                <w:sz w:val="18"/>
                <w:szCs w:val="18"/>
              </w:rPr>
            </w:pPr>
            <w:r w:rsidRPr="00860C23">
              <w:rPr>
                <w:rFonts w:ascii="Arial" w:hAnsi="Arial" w:cs="Arial"/>
                <w:color w:val="000000"/>
                <w:sz w:val="18"/>
                <w:szCs w:val="18"/>
              </w:rPr>
              <w:t>18</w:t>
            </w:r>
          </w:p>
        </w:tc>
        <w:tc>
          <w:tcPr>
            <w:tcW w:w="1341" w:type="dxa"/>
            <w:vAlign w:val="center"/>
          </w:tcPr>
          <w:p w:rsidR="00557E75" w:rsidRPr="00557E75" w:rsidRDefault="00557E75" w:rsidP="00557E75">
            <w:pPr>
              <w:autoSpaceDE w:val="0"/>
              <w:autoSpaceDN w:val="0"/>
              <w:adjustRightInd w:val="0"/>
              <w:ind w:right="10"/>
              <w:jc w:val="center"/>
              <w:cnfStyle w:val="000000000000"/>
              <w:rPr>
                <w:rFonts w:ascii="Arial" w:hAnsi="Arial" w:cs="Arial"/>
                <w:color w:val="000000"/>
                <w:sz w:val="18"/>
                <w:szCs w:val="18"/>
              </w:rPr>
            </w:pPr>
            <w:r w:rsidRPr="00860C23">
              <w:rPr>
                <w:rFonts w:ascii="Arial" w:hAnsi="Arial" w:cs="Arial"/>
                <w:color w:val="000000"/>
                <w:sz w:val="18"/>
                <w:szCs w:val="18"/>
              </w:rPr>
              <w:t>18</w:t>
            </w:r>
          </w:p>
        </w:tc>
        <w:tc>
          <w:tcPr>
            <w:tcW w:w="1341" w:type="dxa"/>
            <w:vAlign w:val="center"/>
          </w:tcPr>
          <w:p w:rsidR="00557E75" w:rsidRPr="00557E75" w:rsidRDefault="00557E75" w:rsidP="00557E75">
            <w:pPr>
              <w:autoSpaceDE w:val="0"/>
              <w:autoSpaceDN w:val="0"/>
              <w:adjustRightInd w:val="0"/>
              <w:ind w:right="10"/>
              <w:jc w:val="center"/>
              <w:cnfStyle w:val="000000000000"/>
              <w:rPr>
                <w:rFonts w:ascii="Arial" w:hAnsi="Arial" w:cs="Arial"/>
                <w:color w:val="000000"/>
                <w:sz w:val="18"/>
                <w:szCs w:val="18"/>
              </w:rPr>
            </w:pPr>
            <w:r w:rsidRPr="00860C23">
              <w:rPr>
                <w:rFonts w:ascii="Arial" w:hAnsi="Arial" w:cs="Arial"/>
                <w:color w:val="000000"/>
                <w:sz w:val="18"/>
                <w:szCs w:val="18"/>
              </w:rPr>
              <w:t>18</w:t>
            </w:r>
          </w:p>
        </w:tc>
      </w:tr>
    </w:tbl>
    <w:p w:rsidR="000F634B" w:rsidRDefault="000F634B" w:rsidP="000F634B">
      <w:pPr>
        <w:autoSpaceDE w:val="0"/>
        <w:autoSpaceDN w:val="0"/>
        <w:adjustRightInd w:val="0"/>
        <w:spacing w:after="0" w:line="240" w:lineRule="auto"/>
        <w:rPr>
          <w:rFonts w:ascii="Times New Roman" w:hAnsi="Times New Roman" w:cs="Times New Roman"/>
          <w:sz w:val="20"/>
          <w:szCs w:val="20"/>
          <w:lang w:val="en-US"/>
        </w:rPr>
      </w:pPr>
      <w:r w:rsidRPr="0017001F">
        <w:rPr>
          <w:rFonts w:ascii="Times New Roman" w:hAnsi="Times New Roman" w:cs="Times New Roman"/>
          <w:sz w:val="20"/>
          <w:szCs w:val="20"/>
          <w:lang w:val="en-US"/>
        </w:rPr>
        <w:t>The table above present</w:t>
      </w:r>
      <w:r>
        <w:rPr>
          <w:rFonts w:ascii="Times New Roman" w:hAnsi="Times New Roman" w:cs="Times New Roman"/>
          <w:sz w:val="20"/>
          <w:szCs w:val="20"/>
          <w:lang w:val="en-US"/>
        </w:rPr>
        <w:t>s</w:t>
      </w:r>
      <w:r w:rsidRPr="0017001F">
        <w:rPr>
          <w:rFonts w:ascii="Times New Roman" w:hAnsi="Times New Roman" w:cs="Times New Roman"/>
          <w:sz w:val="20"/>
          <w:szCs w:val="20"/>
          <w:lang w:val="en-US"/>
        </w:rPr>
        <w:t xml:space="preserve"> the regression results for the multiple and single models</w:t>
      </w:r>
      <w:r>
        <w:rPr>
          <w:rFonts w:ascii="Times New Roman" w:hAnsi="Times New Roman" w:cs="Times New Roman"/>
          <w:sz w:val="20"/>
          <w:szCs w:val="20"/>
          <w:lang w:val="en-US"/>
        </w:rPr>
        <w:t xml:space="preserve"> </w:t>
      </w:r>
      <w:r w:rsidRPr="0017001F">
        <w:rPr>
          <w:rFonts w:ascii="Times New Roman" w:hAnsi="Times New Roman" w:cs="Times New Roman"/>
          <w:sz w:val="20"/>
          <w:szCs w:val="20"/>
          <w:lang w:val="en-US"/>
        </w:rPr>
        <w:t>for the Develo</w:t>
      </w:r>
      <w:r>
        <w:rPr>
          <w:rFonts w:ascii="Times New Roman" w:hAnsi="Times New Roman" w:cs="Times New Roman"/>
          <w:sz w:val="20"/>
          <w:szCs w:val="20"/>
          <w:lang w:val="en-US"/>
        </w:rPr>
        <w:t>ping</w:t>
      </w:r>
      <w:r w:rsidRPr="0017001F">
        <w:rPr>
          <w:rFonts w:ascii="Times New Roman" w:hAnsi="Times New Roman" w:cs="Times New Roman"/>
          <w:sz w:val="20"/>
          <w:szCs w:val="20"/>
          <w:lang w:val="en-US"/>
        </w:rPr>
        <w:t xml:space="preserve"> countries. No statistically significant results could be found. </w:t>
      </w:r>
    </w:p>
    <w:p w:rsidR="000F634B" w:rsidRDefault="000F634B" w:rsidP="000F634B">
      <w:pPr>
        <w:autoSpaceDE w:val="0"/>
        <w:autoSpaceDN w:val="0"/>
        <w:adjustRightInd w:val="0"/>
        <w:spacing w:after="0" w:line="240" w:lineRule="auto"/>
        <w:rPr>
          <w:rFonts w:ascii="Times New Roman" w:hAnsi="Times New Roman" w:cs="Times New Roman"/>
          <w:sz w:val="20"/>
          <w:szCs w:val="20"/>
          <w:lang w:val="en-US"/>
        </w:rPr>
      </w:pPr>
    </w:p>
    <w:p w:rsidR="000F634B" w:rsidRDefault="000F634B" w:rsidP="000F634B">
      <w:pPr>
        <w:autoSpaceDE w:val="0"/>
        <w:autoSpaceDN w:val="0"/>
        <w:adjustRightInd w:val="0"/>
        <w:spacing w:after="0" w:line="240" w:lineRule="auto"/>
        <w:rPr>
          <w:rFonts w:ascii="Times New Roman" w:hAnsi="Times New Roman" w:cs="Times New Roman"/>
          <w:sz w:val="20"/>
          <w:szCs w:val="20"/>
          <w:lang w:val="en-US"/>
        </w:rPr>
      </w:pPr>
    </w:p>
    <w:p w:rsidR="000F634B" w:rsidRDefault="000F634B" w:rsidP="000F634B">
      <w:pPr>
        <w:autoSpaceDE w:val="0"/>
        <w:autoSpaceDN w:val="0"/>
        <w:adjustRightInd w:val="0"/>
        <w:spacing w:after="0" w:line="240" w:lineRule="auto"/>
        <w:rPr>
          <w:rFonts w:ascii="Times New Roman" w:hAnsi="Times New Roman" w:cs="Times New Roman"/>
          <w:sz w:val="20"/>
          <w:szCs w:val="20"/>
          <w:lang w:val="en-US"/>
        </w:rPr>
      </w:pPr>
    </w:p>
    <w:p w:rsidR="000F634B" w:rsidRPr="000F634B" w:rsidRDefault="000F634B" w:rsidP="000F634B">
      <w:pPr>
        <w:autoSpaceDE w:val="0"/>
        <w:autoSpaceDN w:val="0"/>
        <w:adjustRightInd w:val="0"/>
        <w:spacing w:after="0" w:line="240" w:lineRule="auto"/>
        <w:jc w:val="both"/>
        <w:rPr>
          <w:rFonts w:ascii="Times New Roman" w:hAnsi="Times New Roman" w:cs="Times New Roman"/>
          <w:sz w:val="20"/>
          <w:szCs w:val="20"/>
          <w:lang w:val="en-US"/>
        </w:rPr>
        <w:sectPr w:rsidR="000F634B" w:rsidRPr="000F634B" w:rsidSect="008B6C03">
          <w:pgSz w:w="11906" w:h="16838"/>
          <w:pgMar w:top="1418" w:right="1134" w:bottom="1418" w:left="1418" w:header="708" w:footer="113" w:gutter="0"/>
          <w:cols w:space="708"/>
          <w:docGrid w:linePitch="360"/>
        </w:sectPr>
      </w:pPr>
      <w:r>
        <w:rPr>
          <w:rFonts w:ascii="Times New Roman" w:hAnsi="Times New Roman" w:cs="Times New Roman"/>
          <w:sz w:val="20"/>
          <w:szCs w:val="20"/>
          <w:lang w:val="en-US"/>
        </w:rPr>
        <w:t>When it comes to the Developing countries the results are still statistically insignificant, but the sign of the coefficients seem it be more in line with our expectations than for the Developed countries. Power distance, Masculinity and Uncertainty avoidance follow the expectations with regards to t</w:t>
      </w:r>
      <w:r w:rsidR="00B71F9B">
        <w:rPr>
          <w:rFonts w:ascii="Times New Roman" w:hAnsi="Times New Roman" w:cs="Times New Roman"/>
          <w:sz w:val="20"/>
          <w:szCs w:val="20"/>
          <w:lang w:val="en-US"/>
        </w:rPr>
        <w:t>heir effect on risk appetite.</w:t>
      </w:r>
    </w:p>
    <w:p w:rsidR="007D3407" w:rsidRPr="0042423B" w:rsidRDefault="007D3407" w:rsidP="007D3407">
      <w:pPr>
        <w:spacing w:line="240" w:lineRule="exact"/>
        <w:jc w:val="both"/>
        <w:rPr>
          <w:b/>
          <w:lang w:val="en-US"/>
        </w:rPr>
      </w:pPr>
      <w:r>
        <w:rPr>
          <w:b/>
          <w:lang w:val="en-US"/>
        </w:rPr>
        <w:lastRenderedPageBreak/>
        <w:t>T</w:t>
      </w:r>
      <w:r w:rsidRPr="0042423B">
        <w:rPr>
          <w:b/>
          <w:lang w:val="en-US"/>
        </w:rPr>
        <w:t>able 4.</w:t>
      </w:r>
      <w:r w:rsidR="00D47B51">
        <w:rPr>
          <w:b/>
          <w:lang w:val="en-US"/>
        </w:rPr>
        <w:t>9</w:t>
      </w:r>
      <w:r w:rsidRPr="0042423B">
        <w:rPr>
          <w:b/>
          <w:lang w:val="en-US"/>
        </w:rPr>
        <w:t xml:space="preserve"> Summary of regression results for the </w:t>
      </w:r>
      <w:r w:rsidR="00E65832">
        <w:rPr>
          <w:b/>
          <w:lang w:val="en-US"/>
        </w:rPr>
        <w:t>four control variables-Developing</w:t>
      </w:r>
      <w:r w:rsidRPr="0042423B">
        <w:rPr>
          <w:b/>
          <w:lang w:val="en-US"/>
        </w:rPr>
        <w:t xml:space="preserve"> countries.</w:t>
      </w:r>
    </w:p>
    <w:p w:rsidR="007D3407" w:rsidRPr="00F51FB9" w:rsidRDefault="00F51FB9" w:rsidP="00F51FB9">
      <w:pPr>
        <w:pStyle w:val="ListParagraph"/>
        <w:numPr>
          <w:ilvl w:val="0"/>
          <w:numId w:val="30"/>
        </w:numPr>
        <w:autoSpaceDE w:val="0"/>
        <w:autoSpaceDN w:val="0"/>
        <w:adjustRightInd w:val="0"/>
        <w:spacing w:after="0" w:line="240" w:lineRule="auto"/>
        <w:rPr>
          <w:rFonts w:ascii="Arial" w:hAnsi="Arial" w:cs="Arial"/>
          <w:b/>
          <w:sz w:val="18"/>
          <w:szCs w:val="18"/>
          <w:lang w:val="en-US"/>
        </w:rPr>
      </w:pPr>
      <w:r w:rsidRPr="00F51FB9">
        <w:rPr>
          <w:rFonts w:ascii="Arial" w:hAnsi="Arial" w:cs="Arial"/>
          <w:b/>
          <w:sz w:val="18"/>
          <w:szCs w:val="18"/>
          <w:lang w:val="en-US"/>
        </w:rPr>
        <w:t>Individualism</w:t>
      </w:r>
    </w:p>
    <w:p w:rsidR="007D3407" w:rsidRDefault="007D3407" w:rsidP="007D3407">
      <w:pPr>
        <w:autoSpaceDE w:val="0"/>
        <w:autoSpaceDN w:val="0"/>
        <w:adjustRightInd w:val="0"/>
        <w:spacing w:after="0" w:line="240" w:lineRule="auto"/>
        <w:rPr>
          <w:rFonts w:ascii="Arial" w:hAnsi="Arial" w:cs="Arial"/>
          <w:sz w:val="18"/>
          <w:szCs w:val="18"/>
          <w:lang w:val="en-US"/>
        </w:rPr>
      </w:pPr>
    </w:p>
    <w:tbl>
      <w:tblPr>
        <w:tblStyle w:val="LightShading1"/>
        <w:tblW w:w="0" w:type="auto"/>
        <w:tblLook w:val="06A0"/>
      </w:tblPr>
      <w:tblGrid>
        <w:gridCol w:w="1524"/>
        <w:gridCol w:w="1195"/>
        <w:gridCol w:w="1341"/>
        <w:gridCol w:w="1341"/>
        <w:gridCol w:w="1341"/>
        <w:gridCol w:w="1341"/>
        <w:gridCol w:w="1341"/>
      </w:tblGrid>
      <w:tr w:rsidR="007D3407" w:rsidTr="00BF3EE6">
        <w:trPr>
          <w:cnfStyle w:val="100000000000"/>
        </w:trPr>
        <w:tc>
          <w:tcPr>
            <w:cnfStyle w:val="001000000000"/>
            <w:tcW w:w="1524" w:type="dxa"/>
          </w:tcPr>
          <w:p w:rsidR="007D3407" w:rsidRPr="00A1756F" w:rsidRDefault="007D3407" w:rsidP="007D3407">
            <w:pPr>
              <w:jc w:val="both"/>
              <w:rPr>
                <w:rFonts w:ascii="Arial" w:hAnsi="Arial" w:cs="Arial"/>
                <w:i/>
                <w:lang w:val="en-US"/>
              </w:rPr>
            </w:pPr>
            <w:r>
              <w:rPr>
                <w:rFonts w:ascii="Arial" w:hAnsi="Arial" w:cs="Arial"/>
                <w:i/>
                <w:lang w:val="en-US"/>
              </w:rPr>
              <w:t>Variable</w:t>
            </w:r>
          </w:p>
        </w:tc>
        <w:tc>
          <w:tcPr>
            <w:tcW w:w="1195" w:type="dxa"/>
          </w:tcPr>
          <w:p w:rsidR="007D3407" w:rsidRPr="002D207A" w:rsidRDefault="007D3407" w:rsidP="007D3407">
            <w:pPr>
              <w:jc w:val="both"/>
              <w:cnfStyle w:val="100000000000"/>
              <w:rPr>
                <w:rFonts w:ascii="Arial" w:hAnsi="Arial" w:cs="Arial"/>
                <w:i/>
                <w:lang w:val="en-US"/>
              </w:rPr>
            </w:pPr>
            <w:r>
              <w:rPr>
                <w:rFonts w:ascii="Arial" w:hAnsi="Arial" w:cs="Arial"/>
                <w:i/>
                <w:lang w:val="en-US"/>
              </w:rPr>
              <w:t>Expected sign</w:t>
            </w:r>
          </w:p>
        </w:tc>
        <w:tc>
          <w:tcPr>
            <w:tcW w:w="1341" w:type="dxa"/>
          </w:tcPr>
          <w:p w:rsidR="007D3407" w:rsidRPr="002D207A" w:rsidRDefault="007D3407" w:rsidP="007D3407">
            <w:pPr>
              <w:jc w:val="both"/>
              <w:cnfStyle w:val="100000000000"/>
              <w:rPr>
                <w:rFonts w:ascii="Arial" w:hAnsi="Arial" w:cs="Arial"/>
                <w:i/>
                <w:lang w:val="en-US"/>
              </w:rPr>
            </w:pPr>
            <w:r w:rsidRPr="002D207A">
              <w:rPr>
                <w:rFonts w:ascii="Arial" w:hAnsi="Arial" w:cs="Arial"/>
                <w:i/>
                <w:lang w:val="en-US"/>
              </w:rPr>
              <w:t>Model 1</w:t>
            </w:r>
          </w:p>
        </w:tc>
        <w:tc>
          <w:tcPr>
            <w:tcW w:w="1341" w:type="dxa"/>
          </w:tcPr>
          <w:p w:rsidR="007D3407" w:rsidRPr="002D207A" w:rsidRDefault="007D3407" w:rsidP="007D3407">
            <w:pPr>
              <w:cnfStyle w:val="100000000000"/>
              <w:rPr>
                <w:rFonts w:ascii="Arial" w:hAnsi="Arial" w:cs="Arial"/>
                <w:i/>
                <w:lang w:val="en-US"/>
              </w:rPr>
            </w:pPr>
            <w:r w:rsidRPr="002D207A">
              <w:rPr>
                <w:rFonts w:ascii="Arial" w:hAnsi="Arial" w:cs="Arial"/>
                <w:i/>
                <w:lang w:val="en-US"/>
              </w:rPr>
              <w:t>Model 2</w:t>
            </w:r>
          </w:p>
        </w:tc>
        <w:tc>
          <w:tcPr>
            <w:tcW w:w="1341" w:type="dxa"/>
          </w:tcPr>
          <w:p w:rsidR="007D3407" w:rsidRPr="002D207A" w:rsidRDefault="007D3407" w:rsidP="007D3407">
            <w:pPr>
              <w:cnfStyle w:val="100000000000"/>
              <w:rPr>
                <w:rFonts w:ascii="Arial" w:hAnsi="Arial" w:cs="Arial"/>
                <w:i/>
                <w:lang w:val="en-US"/>
              </w:rPr>
            </w:pPr>
            <w:r w:rsidRPr="002D207A">
              <w:rPr>
                <w:rFonts w:ascii="Arial" w:hAnsi="Arial" w:cs="Arial"/>
                <w:i/>
                <w:lang w:val="en-US"/>
              </w:rPr>
              <w:t>Model 3</w:t>
            </w:r>
          </w:p>
        </w:tc>
        <w:tc>
          <w:tcPr>
            <w:tcW w:w="1341" w:type="dxa"/>
          </w:tcPr>
          <w:p w:rsidR="007D3407" w:rsidRPr="002D207A" w:rsidRDefault="007D3407" w:rsidP="007D3407">
            <w:pPr>
              <w:cnfStyle w:val="100000000000"/>
              <w:rPr>
                <w:rFonts w:ascii="Arial" w:hAnsi="Arial" w:cs="Arial"/>
                <w:i/>
                <w:lang w:val="en-US"/>
              </w:rPr>
            </w:pPr>
            <w:r w:rsidRPr="002D207A">
              <w:rPr>
                <w:rFonts w:ascii="Arial" w:hAnsi="Arial" w:cs="Arial"/>
                <w:i/>
                <w:lang w:val="en-US"/>
              </w:rPr>
              <w:t>Model 4</w:t>
            </w:r>
          </w:p>
        </w:tc>
        <w:tc>
          <w:tcPr>
            <w:tcW w:w="1341" w:type="dxa"/>
          </w:tcPr>
          <w:p w:rsidR="007D3407" w:rsidRPr="002D207A" w:rsidRDefault="007D3407" w:rsidP="007D3407">
            <w:pPr>
              <w:cnfStyle w:val="100000000000"/>
              <w:rPr>
                <w:rFonts w:ascii="Arial" w:hAnsi="Arial" w:cs="Arial"/>
                <w:i/>
                <w:lang w:val="en-US"/>
              </w:rPr>
            </w:pPr>
            <w:r w:rsidRPr="002D207A">
              <w:rPr>
                <w:rFonts w:ascii="Arial" w:hAnsi="Arial" w:cs="Arial"/>
                <w:i/>
                <w:lang w:val="en-US"/>
              </w:rPr>
              <w:t>Model 5</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i/>
                <w:iCs/>
                <w:color w:val="000000"/>
              </w:rPr>
            </w:pPr>
            <w:r w:rsidRPr="008B6C03">
              <w:rPr>
                <w:rFonts w:ascii="Arial" w:eastAsia="Times New Roman" w:hAnsi="Arial" w:cs="Arial"/>
                <w:i/>
                <w:iCs/>
                <w:color w:val="000000"/>
              </w:rPr>
              <w:t> </w:t>
            </w:r>
          </w:p>
        </w:tc>
        <w:tc>
          <w:tcPr>
            <w:tcW w:w="1195" w:type="dxa"/>
            <w:hideMark/>
          </w:tcPr>
          <w:p w:rsidR="008B6C03" w:rsidRPr="008B6C03" w:rsidRDefault="008B6C03" w:rsidP="008B6C03">
            <w:pPr>
              <w:jc w:val="center"/>
              <w:cnfStyle w:val="000000000000"/>
              <w:rPr>
                <w:rFonts w:ascii="Arial" w:eastAsia="Times New Roman" w:hAnsi="Arial" w:cs="Arial"/>
                <w:b/>
                <w:bCs/>
                <w:i/>
                <w:iCs/>
                <w:color w:val="000000"/>
              </w:rPr>
            </w:pPr>
            <w:r w:rsidRPr="008B6C03">
              <w:rPr>
                <w:rFonts w:ascii="Arial" w:eastAsia="Times New Roman" w:hAnsi="Arial" w:cs="Arial"/>
                <w:b/>
                <w:bCs/>
                <w:i/>
                <w:iCs/>
                <w:color w:val="000000"/>
              </w:rPr>
              <w:t> </w:t>
            </w:r>
          </w:p>
        </w:tc>
        <w:tc>
          <w:tcPr>
            <w:tcW w:w="1341" w:type="dxa"/>
            <w:hideMark/>
          </w:tcPr>
          <w:p w:rsidR="008B6C03" w:rsidRPr="008B6C03" w:rsidRDefault="008B6C03" w:rsidP="008B6C03">
            <w:pPr>
              <w:jc w:val="center"/>
              <w:cnfStyle w:val="000000000000"/>
              <w:rPr>
                <w:rFonts w:ascii="Arial" w:eastAsia="Times New Roman" w:hAnsi="Arial" w:cs="Arial"/>
                <w:b/>
                <w:bCs/>
                <w:i/>
                <w:iCs/>
                <w:color w:val="000000"/>
              </w:rPr>
            </w:pPr>
            <w:r w:rsidRPr="008B6C03">
              <w:rPr>
                <w:rFonts w:ascii="Arial" w:eastAsia="Times New Roman" w:hAnsi="Arial" w:cs="Arial"/>
                <w:b/>
                <w:bCs/>
                <w:i/>
                <w:iCs/>
                <w:color w:val="000000"/>
              </w:rPr>
              <w:t> </w:t>
            </w:r>
          </w:p>
        </w:tc>
        <w:tc>
          <w:tcPr>
            <w:tcW w:w="1341" w:type="dxa"/>
            <w:hideMark/>
          </w:tcPr>
          <w:p w:rsidR="008B6C03" w:rsidRPr="008B6C03" w:rsidRDefault="008B6C03" w:rsidP="008B6C03">
            <w:pPr>
              <w:jc w:val="center"/>
              <w:cnfStyle w:val="000000000000"/>
              <w:rPr>
                <w:rFonts w:ascii="Arial" w:eastAsia="Times New Roman" w:hAnsi="Arial" w:cs="Arial"/>
                <w:b/>
                <w:bCs/>
                <w:i/>
                <w:iCs/>
                <w:color w:val="000000"/>
              </w:rPr>
            </w:pPr>
            <w:r w:rsidRPr="008B6C03">
              <w:rPr>
                <w:rFonts w:ascii="Arial" w:eastAsia="Times New Roman" w:hAnsi="Arial" w:cs="Arial"/>
                <w:b/>
                <w:bCs/>
                <w:i/>
                <w:iCs/>
                <w:color w:val="000000"/>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IDV</w:t>
            </w:r>
          </w:p>
        </w:tc>
        <w:tc>
          <w:tcPr>
            <w:tcW w:w="1195"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-0,44</w:t>
            </w:r>
            <w:r w:rsidR="005132FE">
              <w:rPr>
                <w:rFonts w:ascii="Arial" w:eastAsia="Times New Roman" w:hAnsi="Arial" w:cs="Arial"/>
                <w:color w:val="000000"/>
                <w:sz w:val="18"/>
                <w:szCs w:val="18"/>
              </w:rPr>
              <w:t>4</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-0,15</w:t>
            </w:r>
            <w:r w:rsidR="005132FE">
              <w:rPr>
                <w:rFonts w:ascii="Arial" w:eastAsia="Times New Roman" w:hAnsi="Arial" w:cs="Arial"/>
                <w:color w:val="000000"/>
                <w:sz w:val="18"/>
                <w:szCs w:val="18"/>
              </w:rPr>
              <w:t>9</w:t>
            </w:r>
          </w:p>
        </w:tc>
        <w:tc>
          <w:tcPr>
            <w:tcW w:w="1341" w:type="dxa"/>
            <w:hideMark/>
          </w:tcPr>
          <w:p w:rsidR="008B6C03" w:rsidRPr="008B6C03" w:rsidRDefault="008B6C03" w:rsidP="005132FE">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-0,23</w:t>
            </w:r>
            <w:r w:rsidR="005132FE">
              <w:rPr>
                <w:rFonts w:ascii="Arial" w:eastAsia="Times New Roman" w:hAnsi="Arial" w:cs="Arial"/>
                <w:color w:val="000000"/>
                <w:sz w:val="18"/>
                <w:szCs w:val="18"/>
              </w:rPr>
              <w:t>7</w:t>
            </w:r>
          </w:p>
        </w:tc>
        <w:tc>
          <w:tcPr>
            <w:tcW w:w="1341" w:type="dxa"/>
            <w:hideMark/>
          </w:tcPr>
          <w:p w:rsidR="008B6C03" w:rsidRPr="008B6C03" w:rsidRDefault="005132FE"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-0,213</w:t>
            </w:r>
          </w:p>
        </w:tc>
        <w:tc>
          <w:tcPr>
            <w:tcW w:w="1341" w:type="dxa"/>
            <w:hideMark/>
          </w:tcPr>
          <w:p w:rsidR="008B6C03" w:rsidRPr="008B6C03" w:rsidRDefault="005132FE"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-0,285</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195"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15698D"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5132FE">
              <w:rPr>
                <w:rFonts w:ascii="Arial" w:eastAsia="Times New Roman" w:hAnsi="Arial" w:cs="Arial"/>
                <w:color w:val="000000"/>
                <w:sz w:val="18"/>
                <w:szCs w:val="18"/>
              </w:rPr>
              <w:t>0,174</w:t>
            </w:r>
            <w:r>
              <w:rPr>
                <w:rFonts w:ascii="Arial" w:eastAsia="Times New Roman" w:hAnsi="Arial" w:cs="Arial"/>
                <w:color w:val="000000"/>
                <w:sz w:val="18"/>
                <w:szCs w:val="18"/>
              </w:rPr>
              <w:t>)</w:t>
            </w:r>
          </w:p>
        </w:tc>
        <w:tc>
          <w:tcPr>
            <w:tcW w:w="1341" w:type="dxa"/>
            <w:hideMark/>
          </w:tcPr>
          <w:p w:rsidR="008B6C03" w:rsidRPr="008B6C03" w:rsidRDefault="0015698D"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8B6C03" w:rsidRPr="008B6C03">
              <w:rPr>
                <w:rFonts w:ascii="Arial" w:eastAsia="Times New Roman" w:hAnsi="Arial" w:cs="Arial"/>
                <w:color w:val="000000"/>
                <w:sz w:val="18"/>
                <w:szCs w:val="18"/>
              </w:rPr>
              <w:t>0,</w:t>
            </w:r>
            <w:r w:rsidR="005132FE">
              <w:rPr>
                <w:rFonts w:ascii="Arial" w:eastAsia="Times New Roman" w:hAnsi="Arial" w:cs="Arial"/>
                <w:color w:val="000000"/>
                <w:sz w:val="18"/>
                <w:szCs w:val="18"/>
              </w:rPr>
              <w:t>238</w:t>
            </w:r>
            <w:r>
              <w:rPr>
                <w:rFonts w:ascii="Arial" w:eastAsia="Times New Roman" w:hAnsi="Arial" w:cs="Arial"/>
                <w:color w:val="000000"/>
                <w:sz w:val="18"/>
                <w:szCs w:val="18"/>
              </w:rPr>
              <w:t>)</w:t>
            </w:r>
          </w:p>
        </w:tc>
        <w:tc>
          <w:tcPr>
            <w:tcW w:w="1341" w:type="dxa"/>
            <w:hideMark/>
          </w:tcPr>
          <w:p w:rsidR="008B6C03" w:rsidRPr="008B6C03" w:rsidRDefault="0015698D"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5132FE">
              <w:rPr>
                <w:rFonts w:ascii="Arial" w:eastAsia="Times New Roman" w:hAnsi="Arial" w:cs="Arial"/>
                <w:color w:val="000000"/>
                <w:sz w:val="18"/>
                <w:szCs w:val="18"/>
              </w:rPr>
              <w:t>0,240</w:t>
            </w:r>
            <w:r>
              <w:rPr>
                <w:rFonts w:ascii="Arial" w:eastAsia="Times New Roman" w:hAnsi="Arial" w:cs="Arial"/>
                <w:color w:val="000000"/>
                <w:sz w:val="18"/>
                <w:szCs w:val="18"/>
              </w:rPr>
              <w:t>)</w:t>
            </w:r>
          </w:p>
        </w:tc>
        <w:tc>
          <w:tcPr>
            <w:tcW w:w="1341" w:type="dxa"/>
            <w:hideMark/>
          </w:tcPr>
          <w:p w:rsidR="008B6C03" w:rsidRPr="008B6C03" w:rsidRDefault="0015698D"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5132FE">
              <w:rPr>
                <w:rFonts w:ascii="Arial" w:eastAsia="Times New Roman" w:hAnsi="Arial" w:cs="Arial"/>
                <w:color w:val="000000"/>
                <w:sz w:val="18"/>
                <w:szCs w:val="18"/>
              </w:rPr>
              <w:t>0,222</w:t>
            </w:r>
            <w:r>
              <w:rPr>
                <w:rFonts w:ascii="Arial" w:eastAsia="Times New Roman" w:hAnsi="Arial" w:cs="Arial"/>
                <w:color w:val="000000"/>
                <w:sz w:val="18"/>
                <w:szCs w:val="18"/>
              </w:rPr>
              <w:t>)</w:t>
            </w:r>
          </w:p>
        </w:tc>
        <w:tc>
          <w:tcPr>
            <w:tcW w:w="1341" w:type="dxa"/>
            <w:hideMark/>
          </w:tcPr>
          <w:p w:rsidR="008B6C03" w:rsidRPr="008B6C03" w:rsidRDefault="0015698D"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5132FE">
              <w:rPr>
                <w:rFonts w:ascii="Arial" w:eastAsia="Times New Roman" w:hAnsi="Arial" w:cs="Arial"/>
                <w:color w:val="000000"/>
                <w:sz w:val="18"/>
                <w:szCs w:val="18"/>
              </w:rPr>
              <w:t>0,158</w:t>
            </w:r>
            <w:r>
              <w:rPr>
                <w:rFonts w:ascii="Arial" w:eastAsia="Times New Roman" w:hAnsi="Arial" w:cs="Arial"/>
                <w:color w:val="000000"/>
                <w:sz w:val="18"/>
                <w:szCs w:val="18"/>
              </w:rPr>
              <w:t>)</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LEQINV</w:t>
            </w:r>
          </w:p>
        </w:tc>
        <w:tc>
          <w:tcPr>
            <w:tcW w:w="1195"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r w:rsidR="00D52B25">
              <w:rPr>
                <w:rFonts w:ascii="Arial" w:eastAsia="Times New Roman" w:hAnsi="Arial" w:cs="Arial"/>
                <w:color w:val="000000"/>
                <w:sz w:val="18"/>
                <w:szCs w:val="18"/>
              </w:rPr>
              <w:t>-</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0,004</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w:t>
            </w:r>
            <w:r w:rsidR="005132FE">
              <w:rPr>
                <w:rFonts w:ascii="Arial" w:eastAsia="Times New Roman" w:hAnsi="Arial" w:cs="Arial"/>
                <w:color w:val="000000"/>
                <w:sz w:val="18"/>
                <w:szCs w:val="18"/>
              </w:rPr>
              <w:t>60</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-0,102</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-0,118</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-0,12</w:t>
            </w:r>
            <w:r w:rsidR="005132FE">
              <w:rPr>
                <w:rFonts w:ascii="Arial" w:eastAsia="Times New Roman" w:hAnsi="Arial" w:cs="Arial"/>
                <w:color w:val="000000"/>
                <w:sz w:val="18"/>
                <w:szCs w:val="18"/>
              </w:rPr>
              <w:t>1</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195"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15698D"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5132FE">
              <w:rPr>
                <w:rFonts w:ascii="Arial" w:eastAsia="Times New Roman" w:hAnsi="Arial" w:cs="Arial"/>
                <w:color w:val="000000"/>
                <w:sz w:val="18"/>
                <w:szCs w:val="18"/>
              </w:rPr>
              <w:t>0,084</w:t>
            </w:r>
            <w:r>
              <w:rPr>
                <w:rFonts w:ascii="Arial" w:eastAsia="Times New Roman" w:hAnsi="Arial" w:cs="Arial"/>
                <w:color w:val="000000"/>
                <w:sz w:val="18"/>
                <w:szCs w:val="18"/>
              </w:rPr>
              <w:t>)</w:t>
            </w:r>
          </w:p>
        </w:tc>
        <w:tc>
          <w:tcPr>
            <w:tcW w:w="1341" w:type="dxa"/>
            <w:hideMark/>
          </w:tcPr>
          <w:p w:rsidR="008B6C03" w:rsidRPr="008B6C03" w:rsidRDefault="0015698D" w:rsidP="005132FE">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5132FE">
              <w:rPr>
                <w:rFonts w:ascii="Arial" w:eastAsia="Times New Roman" w:hAnsi="Arial" w:cs="Arial"/>
                <w:color w:val="000000"/>
                <w:sz w:val="18"/>
                <w:szCs w:val="18"/>
              </w:rPr>
              <w:t>0,066</w:t>
            </w:r>
            <w:r>
              <w:rPr>
                <w:rFonts w:ascii="Arial" w:eastAsia="Times New Roman" w:hAnsi="Arial" w:cs="Arial"/>
                <w:color w:val="000000"/>
                <w:sz w:val="18"/>
                <w:szCs w:val="18"/>
              </w:rPr>
              <w:t>)</w:t>
            </w:r>
          </w:p>
        </w:tc>
        <w:tc>
          <w:tcPr>
            <w:tcW w:w="1341" w:type="dxa"/>
            <w:hideMark/>
          </w:tcPr>
          <w:p w:rsidR="008B6C03" w:rsidRPr="008B6C03" w:rsidRDefault="0015698D"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5132FE">
              <w:rPr>
                <w:rFonts w:ascii="Arial" w:eastAsia="Times New Roman" w:hAnsi="Arial" w:cs="Arial"/>
                <w:color w:val="000000"/>
                <w:sz w:val="18"/>
                <w:szCs w:val="18"/>
              </w:rPr>
              <w:t>0,063</w:t>
            </w:r>
            <w:r>
              <w:rPr>
                <w:rFonts w:ascii="Arial" w:eastAsia="Times New Roman" w:hAnsi="Arial" w:cs="Arial"/>
                <w:color w:val="000000"/>
                <w:sz w:val="18"/>
                <w:szCs w:val="18"/>
              </w:rPr>
              <w:t>)</w:t>
            </w:r>
          </w:p>
        </w:tc>
        <w:tc>
          <w:tcPr>
            <w:tcW w:w="1341" w:type="dxa"/>
            <w:hideMark/>
          </w:tcPr>
          <w:p w:rsidR="008B6C03" w:rsidRPr="008B6C03" w:rsidRDefault="0015698D" w:rsidP="005132FE">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5132FE">
              <w:rPr>
                <w:rFonts w:ascii="Arial" w:eastAsia="Times New Roman" w:hAnsi="Arial" w:cs="Arial"/>
                <w:color w:val="000000"/>
                <w:sz w:val="18"/>
                <w:szCs w:val="18"/>
              </w:rPr>
              <w:t>0,086</w:t>
            </w:r>
            <w:r>
              <w:rPr>
                <w:rFonts w:ascii="Arial" w:eastAsia="Times New Roman" w:hAnsi="Arial" w:cs="Arial"/>
                <w:color w:val="000000"/>
                <w:sz w:val="18"/>
                <w:szCs w:val="18"/>
              </w:rPr>
              <w:t>)</w:t>
            </w:r>
          </w:p>
        </w:tc>
        <w:tc>
          <w:tcPr>
            <w:tcW w:w="1341" w:type="dxa"/>
            <w:hideMark/>
          </w:tcPr>
          <w:p w:rsidR="008B6C03" w:rsidRPr="008B6C03" w:rsidRDefault="0015698D"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5132FE">
              <w:rPr>
                <w:rFonts w:ascii="Arial" w:eastAsia="Times New Roman" w:hAnsi="Arial" w:cs="Arial"/>
                <w:color w:val="000000"/>
                <w:sz w:val="18"/>
                <w:szCs w:val="18"/>
              </w:rPr>
              <w:t>0,078</w:t>
            </w:r>
            <w:r>
              <w:rPr>
                <w:rFonts w:ascii="Arial" w:eastAsia="Times New Roman" w:hAnsi="Arial" w:cs="Arial"/>
                <w:color w:val="000000"/>
                <w:sz w:val="18"/>
                <w:szCs w:val="18"/>
              </w:rPr>
              <w:t>)</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LNGDP</w:t>
            </w:r>
          </w:p>
        </w:tc>
        <w:tc>
          <w:tcPr>
            <w:tcW w:w="1195"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r w:rsidR="00D52B25">
              <w:rPr>
                <w:rFonts w:ascii="Arial" w:eastAsia="Times New Roman" w:hAnsi="Arial" w:cs="Arial"/>
                <w:color w:val="000000"/>
                <w:sz w:val="18"/>
                <w:szCs w:val="18"/>
              </w:rPr>
              <w:t>+</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5132FE"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-0,108</w:t>
            </w:r>
            <w:r w:rsidR="00E57369">
              <w:rPr>
                <w:rFonts w:ascii="Arial" w:eastAsia="Times New Roman" w:hAnsi="Arial" w:cs="Arial"/>
                <w:color w:val="000000"/>
                <w:sz w:val="18"/>
                <w:szCs w:val="18"/>
              </w:rPr>
              <w:t>*</w:t>
            </w:r>
          </w:p>
        </w:tc>
        <w:tc>
          <w:tcPr>
            <w:tcW w:w="1341" w:type="dxa"/>
            <w:hideMark/>
          </w:tcPr>
          <w:p w:rsidR="008B6C03" w:rsidRPr="008B6C03" w:rsidRDefault="005132FE"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-0,116</w:t>
            </w:r>
            <w:r w:rsidR="00E57369">
              <w:rPr>
                <w:rFonts w:ascii="Arial" w:eastAsia="Times New Roman" w:hAnsi="Arial" w:cs="Arial"/>
                <w:color w:val="000000"/>
                <w:sz w:val="18"/>
                <w:szCs w:val="18"/>
              </w:rPr>
              <w:t>*</w:t>
            </w:r>
          </w:p>
        </w:tc>
        <w:tc>
          <w:tcPr>
            <w:tcW w:w="1341" w:type="dxa"/>
            <w:hideMark/>
          </w:tcPr>
          <w:p w:rsidR="008B6C03" w:rsidRPr="008B6C03" w:rsidRDefault="005132FE"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-0,122</w:t>
            </w:r>
            <w:r w:rsidR="00E57369">
              <w:rPr>
                <w:rFonts w:ascii="Arial" w:eastAsia="Times New Roman" w:hAnsi="Arial" w:cs="Arial"/>
                <w:color w:val="000000"/>
                <w:sz w:val="18"/>
                <w:szCs w:val="18"/>
              </w:rPr>
              <w:t>*</w:t>
            </w:r>
          </w:p>
        </w:tc>
        <w:tc>
          <w:tcPr>
            <w:tcW w:w="1341" w:type="dxa"/>
            <w:hideMark/>
          </w:tcPr>
          <w:p w:rsidR="008B6C03" w:rsidRPr="008B6C03" w:rsidRDefault="005132FE"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-0,100</w:t>
            </w:r>
            <w:r w:rsidR="00E57369">
              <w:rPr>
                <w:rFonts w:ascii="Arial" w:eastAsia="Times New Roman" w:hAnsi="Arial" w:cs="Arial"/>
                <w:color w:val="000000"/>
                <w:sz w:val="18"/>
                <w:szCs w:val="18"/>
              </w:rPr>
              <w:t>*</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195"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15698D"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5132FE">
              <w:rPr>
                <w:rFonts w:ascii="Arial" w:eastAsia="Times New Roman" w:hAnsi="Arial" w:cs="Arial"/>
                <w:color w:val="000000"/>
                <w:sz w:val="18"/>
                <w:szCs w:val="18"/>
              </w:rPr>
              <w:t>0,035</w:t>
            </w:r>
            <w:r>
              <w:rPr>
                <w:rFonts w:ascii="Arial" w:eastAsia="Times New Roman" w:hAnsi="Arial" w:cs="Arial"/>
                <w:color w:val="000000"/>
                <w:sz w:val="18"/>
                <w:szCs w:val="18"/>
              </w:rPr>
              <w:t>)</w:t>
            </w:r>
          </w:p>
        </w:tc>
        <w:tc>
          <w:tcPr>
            <w:tcW w:w="1341" w:type="dxa"/>
            <w:hideMark/>
          </w:tcPr>
          <w:p w:rsidR="008B6C03" w:rsidRPr="008B6C03" w:rsidRDefault="0015698D"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5132FE">
              <w:rPr>
                <w:rFonts w:ascii="Arial" w:eastAsia="Times New Roman" w:hAnsi="Arial" w:cs="Arial"/>
                <w:color w:val="000000"/>
                <w:sz w:val="18"/>
                <w:szCs w:val="18"/>
              </w:rPr>
              <w:t>0,028</w:t>
            </w:r>
            <w:r>
              <w:rPr>
                <w:rFonts w:ascii="Arial" w:eastAsia="Times New Roman" w:hAnsi="Arial" w:cs="Arial"/>
                <w:color w:val="000000"/>
                <w:sz w:val="18"/>
                <w:szCs w:val="18"/>
              </w:rPr>
              <w:t>)</w:t>
            </w:r>
          </w:p>
        </w:tc>
        <w:tc>
          <w:tcPr>
            <w:tcW w:w="1341" w:type="dxa"/>
            <w:hideMark/>
          </w:tcPr>
          <w:p w:rsidR="008B6C03" w:rsidRPr="008B6C03" w:rsidRDefault="0015698D"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5132FE">
              <w:rPr>
                <w:rFonts w:ascii="Arial" w:eastAsia="Times New Roman" w:hAnsi="Arial" w:cs="Arial"/>
                <w:color w:val="000000"/>
                <w:sz w:val="18"/>
                <w:szCs w:val="18"/>
              </w:rPr>
              <w:t>0,026</w:t>
            </w:r>
            <w:r>
              <w:rPr>
                <w:rFonts w:ascii="Arial" w:eastAsia="Times New Roman" w:hAnsi="Arial" w:cs="Arial"/>
                <w:color w:val="000000"/>
                <w:sz w:val="18"/>
                <w:szCs w:val="18"/>
              </w:rPr>
              <w:t>)</w:t>
            </w:r>
          </w:p>
        </w:tc>
        <w:tc>
          <w:tcPr>
            <w:tcW w:w="1341" w:type="dxa"/>
            <w:hideMark/>
          </w:tcPr>
          <w:p w:rsidR="008B6C03" w:rsidRPr="008B6C03" w:rsidRDefault="0015698D"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8B6C03" w:rsidRPr="008B6C03">
              <w:rPr>
                <w:rFonts w:ascii="Arial" w:eastAsia="Times New Roman" w:hAnsi="Arial" w:cs="Arial"/>
                <w:color w:val="000000"/>
                <w:sz w:val="18"/>
                <w:szCs w:val="18"/>
              </w:rPr>
              <w:t>0,01</w:t>
            </w:r>
            <w:r w:rsidR="005132FE">
              <w:rPr>
                <w:rFonts w:ascii="Arial" w:eastAsia="Times New Roman" w:hAnsi="Arial" w:cs="Arial"/>
                <w:color w:val="000000"/>
                <w:sz w:val="18"/>
                <w:szCs w:val="18"/>
              </w:rPr>
              <w:t>9</w:t>
            </w:r>
            <w:r>
              <w:rPr>
                <w:rFonts w:ascii="Arial" w:eastAsia="Times New Roman" w:hAnsi="Arial" w:cs="Arial"/>
                <w:color w:val="000000"/>
                <w:sz w:val="18"/>
                <w:szCs w:val="18"/>
              </w:rPr>
              <w:t>)</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LNMARCAP</w:t>
            </w:r>
          </w:p>
        </w:tc>
        <w:tc>
          <w:tcPr>
            <w:tcW w:w="1195"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r w:rsidR="00D52B25">
              <w:rPr>
                <w:rFonts w:ascii="Arial" w:eastAsia="Times New Roman" w:hAnsi="Arial" w:cs="Arial"/>
                <w:color w:val="000000"/>
                <w:sz w:val="18"/>
                <w:szCs w:val="18"/>
              </w:rPr>
              <w:t>+</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0,05</w:t>
            </w:r>
            <w:r w:rsidR="005132FE">
              <w:rPr>
                <w:rFonts w:ascii="Arial" w:eastAsia="Times New Roman" w:hAnsi="Arial" w:cs="Arial"/>
                <w:color w:val="000000"/>
                <w:sz w:val="18"/>
                <w:szCs w:val="18"/>
              </w:rPr>
              <w:t>2</w:t>
            </w:r>
          </w:p>
        </w:tc>
        <w:tc>
          <w:tcPr>
            <w:tcW w:w="1341" w:type="dxa"/>
            <w:hideMark/>
          </w:tcPr>
          <w:p w:rsidR="008B6C03" w:rsidRPr="008B6C03" w:rsidRDefault="005132FE" w:rsidP="005132FE">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0,061</w:t>
            </w:r>
          </w:p>
        </w:tc>
        <w:tc>
          <w:tcPr>
            <w:tcW w:w="1341" w:type="dxa"/>
            <w:hideMark/>
          </w:tcPr>
          <w:p w:rsidR="008B6C03" w:rsidRPr="008B6C03" w:rsidRDefault="005132FE"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0,063</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195"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15698D"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5132FE">
              <w:rPr>
                <w:rFonts w:ascii="Arial" w:eastAsia="Times New Roman" w:hAnsi="Arial" w:cs="Arial"/>
                <w:color w:val="000000"/>
                <w:sz w:val="18"/>
                <w:szCs w:val="18"/>
              </w:rPr>
              <w:t>0,032</w:t>
            </w:r>
            <w:r>
              <w:rPr>
                <w:rFonts w:ascii="Arial" w:eastAsia="Times New Roman" w:hAnsi="Arial" w:cs="Arial"/>
                <w:color w:val="000000"/>
                <w:sz w:val="18"/>
                <w:szCs w:val="18"/>
              </w:rPr>
              <w:t>)</w:t>
            </w:r>
          </w:p>
        </w:tc>
        <w:tc>
          <w:tcPr>
            <w:tcW w:w="1341" w:type="dxa"/>
            <w:hideMark/>
          </w:tcPr>
          <w:p w:rsidR="008B6C03" w:rsidRPr="008B6C03" w:rsidRDefault="0015698D"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5132FE">
              <w:rPr>
                <w:rFonts w:ascii="Arial" w:eastAsia="Times New Roman" w:hAnsi="Arial" w:cs="Arial"/>
                <w:color w:val="000000"/>
                <w:sz w:val="18"/>
                <w:szCs w:val="18"/>
              </w:rPr>
              <w:t>0,045</w:t>
            </w:r>
            <w:r>
              <w:rPr>
                <w:rFonts w:ascii="Arial" w:eastAsia="Times New Roman" w:hAnsi="Arial" w:cs="Arial"/>
                <w:color w:val="000000"/>
                <w:sz w:val="18"/>
                <w:szCs w:val="18"/>
              </w:rPr>
              <w:t>)</w:t>
            </w:r>
          </w:p>
        </w:tc>
        <w:tc>
          <w:tcPr>
            <w:tcW w:w="1341" w:type="dxa"/>
            <w:hideMark/>
          </w:tcPr>
          <w:p w:rsidR="008B6C03" w:rsidRPr="008B6C03" w:rsidRDefault="0015698D"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5132FE">
              <w:rPr>
                <w:rFonts w:ascii="Arial" w:eastAsia="Times New Roman" w:hAnsi="Arial" w:cs="Arial"/>
                <w:color w:val="000000"/>
                <w:sz w:val="18"/>
                <w:szCs w:val="18"/>
              </w:rPr>
              <w:t>0,036</w:t>
            </w:r>
            <w:r>
              <w:rPr>
                <w:rFonts w:ascii="Arial" w:eastAsia="Times New Roman" w:hAnsi="Arial" w:cs="Arial"/>
                <w:color w:val="000000"/>
                <w:sz w:val="18"/>
                <w:szCs w:val="18"/>
              </w:rPr>
              <w:t>)</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AGEDR</w:t>
            </w:r>
          </w:p>
        </w:tc>
        <w:tc>
          <w:tcPr>
            <w:tcW w:w="1195"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r w:rsidR="00D52B25">
              <w:rPr>
                <w:rFonts w:ascii="Arial" w:eastAsia="Times New Roman" w:hAnsi="Arial" w:cs="Arial"/>
                <w:color w:val="000000"/>
                <w:sz w:val="18"/>
                <w:szCs w:val="18"/>
              </w:rPr>
              <w:t>-</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-0,271</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0,39</w:t>
            </w:r>
            <w:r w:rsidR="005132FE">
              <w:rPr>
                <w:rFonts w:ascii="Arial" w:eastAsia="Times New Roman" w:hAnsi="Arial" w:cs="Arial"/>
                <w:color w:val="000000"/>
                <w:sz w:val="18"/>
                <w:szCs w:val="18"/>
              </w:rPr>
              <w:t>4</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195"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15698D"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5132FE">
              <w:rPr>
                <w:rFonts w:ascii="Arial" w:eastAsia="Times New Roman" w:hAnsi="Arial" w:cs="Arial"/>
                <w:color w:val="000000"/>
                <w:sz w:val="18"/>
                <w:szCs w:val="18"/>
              </w:rPr>
              <w:t>0,480</w:t>
            </w:r>
            <w:r>
              <w:rPr>
                <w:rFonts w:ascii="Arial" w:eastAsia="Times New Roman" w:hAnsi="Arial" w:cs="Arial"/>
                <w:color w:val="000000"/>
                <w:sz w:val="18"/>
                <w:szCs w:val="18"/>
              </w:rPr>
              <w:t>)</w:t>
            </w:r>
          </w:p>
        </w:tc>
        <w:tc>
          <w:tcPr>
            <w:tcW w:w="1341" w:type="dxa"/>
            <w:hideMark/>
          </w:tcPr>
          <w:p w:rsidR="008B6C03" w:rsidRPr="008B6C03" w:rsidRDefault="0015698D"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5132FE">
              <w:rPr>
                <w:rFonts w:ascii="Arial" w:eastAsia="Times New Roman" w:hAnsi="Arial" w:cs="Arial"/>
                <w:color w:val="000000"/>
                <w:sz w:val="18"/>
                <w:szCs w:val="18"/>
              </w:rPr>
              <w:t>0,447</w:t>
            </w:r>
            <w:r>
              <w:rPr>
                <w:rFonts w:ascii="Arial" w:eastAsia="Times New Roman" w:hAnsi="Arial" w:cs="Arial"/>
                <w:color w:val="000000"/>
                <w:sz w:val="18"/>
                <w:szCs w:val="18"/>
              </w:rPr>
              <w:t>)</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DB</w:t>
            </w:r>
          </w:p>
        </w:tc>
        <w:tc>
          <w:tcPr>
            <w:tcW w:w="1195"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r w:rsidR="00D52B25">
              <w:rPr>
                <w:rFonts w:ascii="Arial" w:eastAsia="Times New Roman" w:hAnsi="Arial" w:cs="Arial"/>
                <w:color w:val="000000"/>
                <w:sz w:val="18"/>
                <w:szCs w:val="18"/>
              </w:rPr>
              <w:t>-</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5132FE"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-0,229</w:t>
            </w:r>
            <w:r w:rsidR="00E57369">
              <w:rPr>
                <w:rFonts w:ascii="Arial" w:eastAsia="Times New Roman" w:hAnsi="Arial" w:cs="Arial"/>
                <w:color w:val="000000"/>
                <w:sz w:val="18"/>
                <w:szCs w:val="18"/>
              </w:rPr>
              <w:t>*</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195"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15698D"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5132FE">
              <w:rPr>
                <w:rFonts w:ascii="Arial" w:eastAsia="Times New Roman" w:hAnsi="Arial" w:cs="Arial"/>
                <w:color w:val="000000"/>
                <w:sz w:val="18"/>
                <w:szCs w:val="18"/>
              </w:rPr>
              <w:t>0,050</w:t>
            </w:r>
            <w:r>
              <w:rPr>
                <w:rFonts w:ascii="Arial" w:eastAsia="Times New Roman" w:hAnsi="Arial" w:cs="Arial"/>
                <w:color w:val="000000"/>
                <w:sz w:val="18"/>
                <w:szCs w:val="18"/>
              </w:rPr>
              <w:t>)</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R</w:t>
            </w:r>
            <w:r w:rsidRPr="008B6C03">
              <w:rPr>
                <w:rFonts w:ascii="Arial" w:eastAsia="Times New Roman" w:hAnsi="Arial" w:cs="Arial"/>
                <w:color w:val="000000"/>
                <w:sz w:val="20"/>
                <w:szCs w:val="20"/>
                <w:vertAlign w:val="superscript"/>
              </w:rPr>
              <w:t>2</w:t>
            </w:r>
          </w:p>
        </w:tc>
        <w:tc>
          <w:tcPr>
            <w:tcW w:w="1195"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0,157</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0,467</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0,53</w:t>
            </w:r>
            <w:r w:rsidR="005132FE">
              <w:rPr>
                <w:rFonts w:ascii="Arial" w:eastAsia="Times New Roman" w:hAnsi="Arial" w:cs="Arial"/>
                <w:color w:val="000000"/>
                <w:sz w:val="18"/>
                <w:szCs w:val="18"/>
              </w:rPr>
              <w:t>4</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0,542</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0,73</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195"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r>
      <w:tr w:rsidR="008B6C03" w:rsidRPr="008B6C03" w:rsidTr="00BF3EE6">
        <w:trPr>
          <w:trHeight w:val="600"/>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Number of observations</w:t>
            </w:r>
          </w:p>
        </w:tc>
        <w:tc>
          <w:tcPr>
            <w:tcW w:w="1195"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19</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19</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19</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19</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19</w:t>
            </w:r>
          </w:p>
        </w:tc>
      </w:tr>
    </w:tbl>
    <w:p w:rsidR="007D3407" w:rsidRDefault="007D3407" w:rsidP="007D3407">
      <w:pPr>
        <w:autoSpaceDE w:val="0"/>
        <w:autoSpaceDN w:val="0"/>
        <w:adjustRightInd w:val="0"/>
        <w:spacing w:after="0" w:line="240" w:lineRule="auto"/>
        <w:rPr>
          <w:rFonts w:ascii="Arial" w:hAnsi="Arial" w:cs="Arial"/>
          <w:sz w:val="18"/>
          <w:szCs w:val="18"/>
          <w:lang w:val="en-US"/>
        </w:rPr>
      </w:pPr>
    </w:p>
    <w:p w:rsidR="001D7A5C" w:rsidRDefault="001D7A5C" w:rsidP="007D3407">
      <w:pPr>
        <w:autoSpaceDE w:val="0"/>
        <w:autoSpaceDN w:val="0"/>
        <w:adjustRightInd w:val="0"/>
        <w:spacing w:after="0" w:line="240" w:lineRule="auto"/>
        <w:rPr>
          <w:rFonts w:ascii="Arial" w:hAnsi="Arial" w:cs="Arial"/>
          <w:sz w:val="18"/>
          <w:szCs w:val="18"/>
          <w:lang w:val="en-US"/>
        </w:rPr>
      </w:pPr>
    </w:p>
    <w:p w:rsidR="001D7A5C" w:rsidRDefault="001D7A5C" w:rsidP="007D3407">
      <w:pPr>
        <w:autoSpaceDE w:val="0"/>
        <w:autoSpaceDN w:val="0"/>
        <w:adjustRightInd w:val="0"/>
        <w:spacing w:after="0" w:line="240" w:lineRule="auto"/>
        <w:rPr>
          <w:rFonts w:ascii="Arial" w:hAnsi="Arial" w:cs="Arial"/>
          <w:sz w:val="18"/>
          <w:szCs w:val="18"/>
          <w:lang w:val="en-US"/>
        </w:rPr>
      </w:pPr>
    </w:p>
    <w:p w:rsidR="007D3407" w:rsidRDefault="007D3407" w:rsidP="007D3407">
      <w:pPr>
        <w:autoSpaceDE w:val="0"/>
        <w:autoSpaceDN w:val="0"/>
        <w:adjustRightInd w:val="0"/>
        <w:spacing w:after="0" w:line="240" w:lineRule="auto"/>
        <w:rPr>
          <w:rFonts w:ascii="Arial" w:hAnsi="Arial" w:cs="Arial"/>
          <w:sz w:val="18"/>
          <w:szCs w:val="18"/>
          <w:lang w:val="en-US"/>
        </w:rPr>
      </w:pPr>
    </w:p>
    <w:p w:rsidR="007D3407" w:rsidRPr="00F51FB9" w:rsidRDefault="00F51FB9" w:rsidP="00F51FB9">
      <w:pPr>
        <w:pStyle w:val="ListParagraph"/>
        <w:numPr>
          <w:ilvl w:val="0"/>
          <w:numId w:val="30"/>
        </w:numPr>
        <w:autoSpaceDE w:val="0"/>
        <w:autoSpaceDN w:val="0"/>
        <w:adjustRightInd w:val="0"/>
        <w:spacing w:after="0" w:line="240" w:lineRule="auto"/>
        <w:rPr>
          <w:rFonts w:ascii="Arial" w:hAnsi="Arial" w:cs="Arial"/>
          <w:b/>
          <w:sz w:val="18"/>
          <w:szCs w:val="18"/>
          <w:lang w:val="en-US"/>
        </w:rPr>
      </w:pPr>
      <w:r w:rsidRPr="00F51FB9">
        <w:rPr>
          <w:rFonts w:ascii="Arial" w:hAnsi="Arial" w:cs="Arial"/>
          <w:b/>
          <w:sz w:val="18"/>
          <w:szCs w:val="18"/>
          <w:lang w:val="en-US"/>
        </w:rPr>
        <w:t>Power Distance</w:t>
      </w:r>
    </w:p>
    <w:p w:rsidR="007D3407" w:rsidRDefault="007D3407" w:rsidP="007D3407">
      <w:pPr>
        <w:autoSpaceDE w:val="0"/>
        <w:autoSpaceDN w:val="0"/>
        <w:adjustRightInd w:val="0"/>
        <w:spacing w:after="0" w:line="240" w:lineRule="auto"/>
        <w:rPr>
          <w:rFonts w:ascii="Arial" w:hAnsi="Arial" w:cs="Arial"/>
          <w:sz w:val="18"/>
          <w:szCs w:val="18"/>
          <w:lang w:val="en-US"/>
        </w:rPr>
      </w:pPr>
    </w:p>
    <w:tbl>
      <w:tblPr>
        <w:tblStyle w:val="LightShading1"/>
        <w:tblW w:w="0" w:type="auto"/>
        <w:tblLook w:val="06A0"/>
      </w:tblPr>
      <w:tblGrid>
        <w:gridCol w:w="1524"/>
        <w:gridCol w:w="1195"/>
        <w:gridCol w:w="1341"/>
        <w:gridCol w:w="1341"/>
        <w:gridCol w:w="1341"/>
        <w:gridCol w:w="1341"/>
        <w:gridCol w:w="1341"/>
      </w:tblGrid>
      <w:tr w:rsidR="007D3407" w:rsidRPr="00F51FB9" w:rsidTr="00BF3EE6">
        <w:trPr>
          <w:cnfStyle w:val="100000000000"/>
        </w:trPr>
        <w:tc>
          <w:tcPr>
            <w:cnfStyle w:val="001000000000"/>
            <w:tcW w:w="1524" w:type="dxa"/>
          </w:tcPr>
          <w:p w:rsidR="007D3407" w:rsidRPr="00A1756F" w:rsidRDefault="007D3407" w:rsidP="007D3407">
            <w:pPr>
              <w:jc w:val="both"/>
              <w:rPr>
                <w:rFonts w:ascii="Arial" w:hAnsi="Arial" w:cs="Arial"/>
                <w:i/>
                <w:lang w:val="en-US"/>
              </w:rPr>
            </w:pPr>
            <w:r>
              <w:rPr>
                <w:rFonts w:ascii="Arial" w:hAnsi="Arial" w:cs="Arial"/>
                <w:i/>
                <w:lang w:val="en-US"/>
              </w:rPr>
              <w:t>Variable</w:t>
            </w:r>
          </w:p>
        </w:tc>
        <w:tc>
          <w:tcPr>
            <w:tcW w:w="1195" w:type="dxa"/>
          </w:tcPr>
          <w:p w:rsidR="007D3407" w:rsidRPr="002D207A" w:rsidRDefault="007D3407" w:rsidP="007D3407">
            <w:pPr>
              <w:jc w:val="both"/>
              <w:cnfStyle w:val="100000000000"/>
              <w:rPr>
                <w:rFonts w:ascii="Arial" w:hAnsi="Arial" w:cs="Arial"/>
                <w:i/>
                <w:lang w:val="en-US"/>
              </w:rPr>
            </w:pPr>
            <w:r>
              <w:rPr>
                <w:rFonts w:ascii="Arial" w:hAnsi="Arial" w:cs="Arial"/>
                <w:i/>
                <w:lang w:val="en-US"/>
              </w:rPr>
              <w:t>Expected sign</w:t>
            </w:r>
          </w:p>
        </w:tc>
        <w:tc>
          <w:tcPr>
            <w:tcW w:w="1341" w:type="dxa"/>
          </w:tcPr>
          <w:p w:rsidR="007D3407" w:rsidRPr="002D207A" w:rsidRDefault="007D3407" w:rsidP="007D3407">
            <w:pPr>
              <w:jc w:val="both"/>
              <w:cnfStyle w:val="100000000000"/>
              <w:rPr>
                <w:rFonts w:ascii="Arial" w:hAnsi="Arial" w:cs="Arial"/>
                <w:i/>
                <w:lang w:val="en-US"/>
              </w:rPr>
            </w:pPr>
            <w:r w:rsidRPr="002D207A">
              <w:rPr>
                <w:rFonts w:ascii="Arial" w:hAnsi="Arial" w:cs="Arial"/>
                <w:i/>
                <w:lang w:val="en-US"/>
              </w:rPr>
              <w:t>Model 1</w:t>
            </w:r>
          </w:p>
        </w:tc>
        <w:tc>
          <w:tcPr>
            <w:tcW w:w="1341" w:type="dxa"/>
          </w:tcPr>
          <w:p w:rsidR="007D3407" w:rsidRPr="002D207A" w:rsidRDefault="007D3407" w:rsidP="007D3407">
            <w:pPr>
              <w:cnfStyle w:val="100000000000"/>
              <w:rPr>
                <w:rFonts w:ascii="Arial" w:hAnsi="Arial" w:cs="Arial"/>
                <w:i/>
                <w:lang w:val="en-US"/>
              </w:rPr>
            </w:pPr>
            <w:r w:rsidRPr="002D207A">
              <w:rPr>
                <w:rFonts w:ascii="Arial" w:hAnsi="Arial" w:cs="Arial"/>
                <w:i/>
                <w:lang w:val="en-US"/>
              </w:rPr>
              <w:t>Model 2</w:t>
            </w:r>
          </w:p>
        </w:tc>
        <w:tc>
          <w:tcPr>
            <w:tcW w:w="1341" w:type="dxa"/>
          </w:tcPr>
          <w:p w:rsidR="007D3407" w:rsidRPr="002D207A" w:rsidRDefault="007D3407" w:rsidP="007D3407">
            <w:pPr>
              <w:cnfStyle w:val="100000000000"/>
              <w:rPr>
                <w:rFonts w:ascii="Arial" w:hAnsi="Arial" w:cs="Arial"/>
                <w:i/>
                <w:lang w:val="en-US"/>
              </w:rPr>
            </w:pPr>
            <w:r w:rsidRPr="002D207A">
              <w:rPr>
                <w:rFonts w:ascii="Arial" w:hAnsi="Arial" w:cs="Arial"/>
                <w:i/>
                <w:lang w:val="en-US"/>
              </w:rPr>
              <w:t>Model 3</w:t>
            </w:r>
          </w:p>
        </w:tc>
        <w:tc>
          <w:tcPr>
            <w:tcW w:w="1341" w:type="dxa"/>
          </w:tcPr>
          <w:p w:rsidR="007D3407" w:rsidRPr="002D207A" w:rsidRDefault="007D3407" w:rsidP="007D3407">
            <w:pPr>
              <w:cnfStyle w:val="100000000000"/>
              <w:rPr>
                <w:rFonts w:ascii="Arial" w:hAnsi="Arial" w:cs="Arial"/>
                <w:i/>
                <w:lang w:val="en-US"/>
              </w:rPr>
            </w:pPr>
            <w:r w:rsidRPr="002D207A">
              <w:rPr>
                <w:rFonts w:ascii="Arial" w:hAnsi="Arial" w:cs="Arial"/>
                <w:i/>
                <w:lang w:val="en-US"/>
              </w:rPr>
              <w:t>Model 4</w:t>
            </w:r>
          </w:p>
        </w:tc>
        <w:tc>
          <w:tcPr>
            <w:tcW w:w="1341" w:type="dxa"/>
          </w:tcPr>
          <w:p w:rsidR="007D3407" w:rsidRPr="002D207A" w:rsidRDefault="007D3407" w:rsidP="007D3407">
            <w:pPr>
              <w:cnfStyle w:val="100000000000"/>
              <w:rPr>
                <w:rFonts w:ascii="Arial" w:hAnsi="Arial" w:cs="Arial"/>
                <w:i/>
                <w:lang w:val="en-US"/>
              </w:rPr>
            </w:pPr>
            <w:r w:rsidRPr="002D207A">
              <w:rPr>
                <w:rFonts w:ascii="Arial" w:hAnsi="Arial" w:cs="Arial"/>
                <w:i/>
                <w:lang w:val="en-US"/>
              </w:rPr>
              <w:t>Model 5</w:t>
            </w:r>
          </w:p>
        </w:tc>
      </w:tr>
      <w:tr w:rsidR="008B6C03" w:rsidRPr="00F51FB9" w:rsidTr="00BF3EE6">
        <w:trPr>
          <w:trHeight w:val="315"/>
        </w:trPr>
        <w:tc>
          <w:tcPr>
            <w:cnfStyle w:val="001000000000"/>
            <w:tcW w:w="1524" w:type="dxa"/>
            <w:hideMark/>
          </w:tcPr>
          <w:p w:rsidR="008B6C03" w:rsidRPr="00F51FB9" w:rsidRDefault="008B6C03" w:rsidP="008B6C03">
            <w:pPr>
              <w:jc w:val="center"/>
              <w:rPr>
                <w:rFonts w:ascii="Arial" w:eastAsia="Times New Roman" w:hAnsi="Arial" w:cs="Arial"/>
                <w:i/>
                <w:iCs/>
                <w:color w:val="000000"/>
                <w:lang w:val="en-GB"/>
              </w:rPr>
            </w:pPr>
            <w:r w:rsidRPr="00F51FB9">
              <w:rPr>
                <w:rFonts w:ascii="Arial" w:eastAsia="Times New Roman" w:hAnsi="Arial" w:cs="Arial"/>
                <w:i/>
                <w:iCs/>
                <w:color w:val="000000"/>
                <w:lang w:val="en-GB"/>
              </w:rPr>
              <w:t> </w:t>
            </w:r>
          </w:p>
        </w:tc>
        <w:tc>
          <w:tcPr>
            <w:tcW w:w="1195" w:type="dxa"/>
            <w:hideMark/>
          </w:tcPr>
          <w:p w:rsidR="008B6C03" w:rsidRPr="00F51FB9" w:rsidRDefault="008B6C03" w:rsidP="008B6C03">
            <w:pPr>
              <w:jc w:val="center"/>
              <w:cnfStyle w:val="000000000000"/>
              <w:rPr>
                <w:rFonts w:ascii="Arial" w:eastAsia="Times New Roman" w:hAnsi="Arial" w:cs="Arial"/>
                <w:b/>
                <w:bCs/>
                <w:i/>
                <w:iCs/>
                <w:color w:val="000000"/>
                <w:lang w:val="en-GB"/>
              </w:rPr>
            </w:pPr>
            <w:r w:rsidRPr="00F51FB9">
              <w:rPr>
                <w:rFonts w:ascii="Arial" w:eastAsia="Times New Roman" w:hAnsi="Arial" w:cs="Arial"/>
                <w:b/>
                <w:bCs/>
                <w:i/>
                <w:iCs/>
                <w:color w:val="000000"/>
                <w:lang w:val="en-GB"/>
              </w:rPr>
              <w:t> </w:t>
            </w:r>
          </w:p>
        </w:tc>
        <w:tc>
          <w:tcPr>
            <w:tcW w:w="1341" w:type="dxa"/>
            <w:hideMark/>
          </w:tcPr>
          <w:p w:rsidR="008B6C03" w:rsidRPr="00F51FB9" w:rsidRDefault="008B6C03" w:rsidP="008B6C03">
            <w:pPr>
              <w:jc w:val="center"/>
              <w:cnfStyle w:val="000000000000"/>
              <w:rPr>
                <w:rFonts w:ascii="Arial" w:eastAsia="Times New Roman" w:hAnsi="Arial" w:cs="Arial"/>
                <w:b/>
                <w:bCs/>
                <w:i/>
                <w:iCs/>
                <w:color w:val="000000"/>
                <w:lang w:val="en-GB"/>
              </w:rPr>
            </w:pPr>
            <w:r w:rsidRPr="00F51FB9">
              <w:rPr>
                <w:rFonts w:ascii="Arial" w:eastAsia="Times New Roman" w:hAnsi="Arial" w:cs="Arial"/>
                <w:b/>
                <w:bCs/>
                <w:i/>
                <w:iCs/>
                <w:color w:val="000000"/>
                <w:lang w:val="en-GB"/>
              </w:rPr>
              <w:t> </w:t>
            </w:r>
          </w:p>
        </w:tc>
        <w:tc>
          <w:tcPr>
            <w:tcW w:w="1341" w:type="dxa"/>
            <w:hideMark/>
          </w:tcPr>
          <w:p w:rsidR="008B6C03" w:rsidRPr="00F51FB9" w:rsidRDefault="008B6C03" w:rsidP="008B6C03">
            <w:pPr>
              <w:jc w:val="center"/>
              <w:cnfStyle w:val="000000000000"/>
              <w:rPr>
                <w:rFonts w:ascii="Arial" w:eastAsia="Times New Roman" w:hAnsi="Arial" w:cs="Arial"/>
                <w:b/>
                <w:bCs/>
                <w:i/>
                <w:iCs/>
                <w:color w:val="000000"/>
                <w:lang w:val="en-GB"/>
              </w:rPr>
            </w:pPr>
            <w:r w:rsidRPr="00F51FB9">
              <w:rPr>
                <w:rFonts w:ascii="Arial" w:eastAsia="Times New Roman" w:hAnsi="Arial" w:cs="Arial"/>
                <w:b/>
                <w:bCs/>
                <w:i/>
                <w:iCs/>
                <w:color w:val="000000"/>
                <w:lang w:val="en-GB"/>
              </w:rPr>
              <w:t> </w:t>
            </w:r>
          </w:p>
        </w:tc>
        <w:tc>
          <w:tcPr>
            <w:tcW w:w="1341" w:type="dxa"/>
            <w:hideMark/>
          </w:tcPr>
          <w:p w:rsidR="008B6C03" w:rsidRPr="00F51FB9" w:rsidRDefault="008B6C03" w:rsidP="008B6C03">
            <w:pPr>
              <w:jc w:val="center"/>
              <w:cnfStyle w:val="000000000000"/>
              <w:rPr>
                <w:rFonts w:ascii="Arial" w:eastAsia="Times New Roman" w:hAnsi="Arial" w:cs="Arial"/>
                <w:b/>
                <w:bCs/>
                <w:i/>
                <w:iCs/>
                <w:color w:val="000000"/>
                <w:lang w:val="en-GB"/>
              </w:rPr>
            </w:pPr>
            <w:r w:rsidRPr="00F51FB9">
              <w:rPr>
                <w:rFonts w:ascii="Arial" w:eastAsia="Times New Roman" w:hAnsi="Arial" w:cs="Arial"/>
                <w:b/>
                <w:bCs/>
                <w:i/>
                <w:iCs/>
                <w:color w:val="000000"/>
                <w:lang w:val="en-GB"/>
              </w:rPr>
              <w:t> </w:t>
            </w:r>
          </w:p>
        </w:tc>
        <w:tc>
          <w:tcPr>
            <w:tcW w:w="1341" w:type="dxa"/>
            <w:hideMark/>
          </w:tcPr>
          <w:p w:rsidR="008B6C03" w:rsidRPr="00F51FB9" w:rsidRDefault="008B6C03" w:rsidP="008B6C03">
            <w:pPr>
              <w:jc w:val="center"/>
              <w:cnfStyle w:val="000000000000"/>
              <w:rPr>
                <w:rFonts w:ascii="Arial" w:eastAsia="Times New Roman" w:hAnsi="Arial" w:cs="Arial"/>
                <w:b/>
                <w:bCs/>
                <w:i/>
                <w:iCs/>
                <w:color w:val="000000"/>
                <w:lang w:val="en-GB"/>
              </w:rPr>
            </w:pPr>
            <w:r w:rsidRPr="00F51FB9">
              <w:rPr>
                <w:rFonts w:ascii="Arial" w:eastAsia="Times New Roman" w:hAnsi="Arial" w:cs="Arial"/>
                <w:b/>
                <w:bCs/>
                <w:i/>
                <w:iCs/>
                <w:color w:val="000000"/>
                <w:lang w:val="en-GB"/>
              </w:rPr>
              <w:t> </w:t>
            </w:r>
          </w:p>
        </w:tc>
        <w:tc>
          <w:tcPr>
            <w:tcW w:w="1341" w:type="dxa"/>
            <w:hideMark/>
          </w:tcPr>
          <w:p w:rsidR="008B6C03" w:rsidRPr="00F51FB9" w:rsidRDefault="008B6C03" w:rsidP="008B6C03">
            <w:pPr>
              <w:jc w:val="center"/>
              <w:cnfStyle w:val="000000000000"/>
              <w:rPr>
                <w:rFonts w:ascii="Arial" w:eastAsia="Times New Roman" w:hAnsi="Arial" w:cs="Arial"/>
                <w:b/>
                <w:bCs/>
                <w:i/>
                <w:iCs/>
                <w:color w:val="000000"/>
                <w:lang w:val="en-GB"/>
              </w:rPr>
            </w:pPr>
            <w:r w:rsidRPr="00F51FB9">
              <w:rPr>
                <w:rFonts w:ascii="Arial" w:eastAsia="Times New Roman" w:hAnsi="Arial" w:cs="Arial"/>
                <w:b/>
                <w:bCs/>
                <w:i/>
                <w:iCs/>
                <w:color w:val="000000"/>
                <w:lang w:val="en-GB"/>
              </w:rPr>
              <w:t> </w:t>
            </w:r>
          </w:p>
        </w:tc>
      </w:tr>
      <w:tr w:rsidR="008B6C03" w:rsidRPr="008B6C03" w:rsidTr="00BF3EE6">
        <w:trPr>
          <w:trHeight w:val="315"/>
        </w:trPr>
        <w:tc>
          <w:tcPr>
            <w:cnfStyle w:val="001000000000"/>
            <w:tcW w:w="1524" w:type="dxa"/>
            <w:hideMark/>
          </w:tcPr>
          <w:p w:rsidR="008B6C03" w:rsidRPr="00F51FB9" w:rsidRDefault="008B6C03" w:rsidP="008B6C03">
            <w:pPr>
              <w:jc w:val="center"/>
              <w:rPr>
                <w:rFonts w:ascii="Arial" w:eastAsia="Times New Roman" w:hAnsi="Arial" w:cs="Arial"/>
                <w:color w:val="000000"/>
                <w:sz w:val="20"/>
                <w:szCs w:val="20"/>
                <w:lang w:val="en-GB"/>
              </w:rPr>
            </w:pPr>
            <w:r w:rsidRPr="00F51FB9">
              <w:rPr>
                <w:rFonts w:ascii="Arial" w:eastAsia="Times New Roman" w:hAnsi="Arial" w:cs="Arial"/>
                <w:color w:val="000000"/>
                <w:sz w:val="20"/>
                <w:szCs w:val="20"/>
                <w:lang w:val="en-GB"/>
              </w:rPr>
              <w:t>PDI</w:t>
            </w:r>
          </w:p>
        </w:tc>
        <w:tc>
          <w:tcPr>
            <w:tcW w:w="1195" w:type="dxa"/>
            <w:hideMark/>
          </w:tcPr>
          <w:p w:rsidR="008B6C03" w:rsidRPr="00F51FB9" w:rsidRDefault="008B6C03" w:rsidP="008B6C03">
            <w:pPr>
              <w:jc w:val="center"/>
              <w:cnfStyle w:val="000000000000"/>
              <w:rPr>
                <w:rFonts w:ascii="Arial" w:eastAsia="Times New Roman" w:hAnsi="Arial" w:cs="Arial"/>
                <w:color w:val="000000"/>
                <w:sz w:val="20"/>
                <w:szCs w:val="20"/>
                <w:lang w:val="en-GB"/>
              </w:rPr>
            </w:pPr>
            <w:r w:rsidRPr="00F51FB9">
              <w:rPr>
                <w:rFonts w:ascii="Arial" w:eastAsia="Times New Roman" w:hAnsi="Arial" w:cs="Arial"/>
                <w:color w:val="000000"/>
                <w:sz w:val="20"/>
                <w:szCs w:val="20"/>
                <w:lang w:val="en-GB"/>
              </w:rPr>
              <w:t>+</w:t>
            </w:r>
          </w:p>
        </w:tc>
        <w:tc>
          <w:tcPr>
            <w:tcW w:w="1341" w:type="dxa"/>
            <w:hideMark/>
          </w:tcPr>
          <w:p w:rsidR="008B6C03" w:rsidRPr="00F51FB9" w:rsidRDefault="002F4ECB" w:rsidP="008B6C03">
            <w:pPr>
              <w:jc w:val="center"/>
              <w:cnfStyle w:val="000000000000"/>
              <w:rPr>
                <w:rFonts w:ascii="Arial" w:eastAsia="Times New Roman" w:hAnsi="Arial" w:cs="Arial"/>
                <w:color w:val="000000"/>
                <w:sz w:val="18"/>
                <w:szCs w:val="18"/>
                <w:lang w:val="en-GB"/>
              </w:rPr>
            </w:pPr>
            <w:r>
              <w:rPr>
                <w:rFonts w:ascii="Arial" w:eastAsia="Times New Roman" w:hAnsi="Arial" w:cs="Arial"/>
                <w:color w:val="000000"/>
                <w:sz w:val="18"/>
                <w:szCs w:val="18"/>
                <w:lang w:val="en-GB"/>
              </w:rPr>
              <w:t>0,222</w:t>
            </w:r>
            <w:r w:rsidR="00E57369">
              <w:rPr>
                <w:rFonts w:ascii="Arial" w:eastAsia="Times New Roman" w:hAnsi="Arial" w:cs="Arial"/>
                <w:color w:val="000000"/>
                <w:sz w:val="18"/>
                <w:szCs w:val="18"/>
                <w:lang w:val="en-GB"/>
              </w:rPr>
              <w:t>*</w:t>
            </w:r>
          </w:p>
        </w:tc>
        <w:tc>
          <w:tcPr>
            <w:tcW w:w="1341" w:type="dxa"/>
            <w:hideMark/>
          </w:tcPr>
          <w:p w:rsidR="008B6C03" w:rsidRPr="00F51FB9" w:rsidRDefault="002F4ECB" w:rsidP="008B6C03">
            <w:pPr>
              <w:jc w:val="center"/>
              <w:cnfStyle w:val="000000000000"/>
              <w:rPr>
                <w:rFonts w:ascii="Arial" w:eastAsia="Times New Roman" w:hAnsi="Arial" w:cs="Arial"/>
                <w:color w:val="000000"/>
                <w:sz w:val="18"/>
                <w:szCs w:val="18"/>
                <w:lang w:val="en-GB"/>
              </w:rPr>
            </w:pPr>
            <w:r>
              <w:rPr>
                <w:rFonts w:ascii="Arial" w:eastAsia="Times New Roman" w:hAnsi="Arial" w:cs="Arial"/>
                <w:color w:val="000000"/>
                <w:sz w:val="18"/>
                <w:szCs w:val="18"/>
                <w:lang w:val="en-GB"/>
              </w:rPr>
              <w:t>0,482</w:t>
            </w:r>
            <w:r w:rsidR="00E57369">
              <w:rPr>
                <w:rFonts w:ascii="Arial" w:eastAsia="Times New Roman" w:hAnsi="Arial" w:cs="Arial"/>
                <w:color w:val="000000"/>
                <w:sz w:val="18"/>
                <w:szCs w:val="18"/>
                <w:lang w:val="en-GB"/>
              </w:rPr>
              <w:t>*</w:t>
            </w:r>
          </w:p>
        </w:tc>
        <w:tc>
          <w:tcPr>
            <w:tcW w:w="1341" w:type="dxa"/>
            <w:hideMark/>
          </w:tcPr>
          <w:p w:rsidR="008B6C03" w:rsidRPr="00F51FB9" w:rsidRDefault="008B6C03" w:rsidP="002F4ECB">
            <w:pPr>
              <w:jc w:val="center"/>
              <w:cnfStyle w:val="000000000000"/>
              <w:rPr>
                <w:rFonts w:ascii="Arial" w:eastAsia="Times New Roman" w:hAnsi="Arial" w:cs="Arial"/>
                <w:color w:val="000000"/>
                <w:sz w:val="18"/>
                <w:szCs w:val="18"/>
                <w:lang w:val="en-GB"/>
              </w:rPr>
            </w:pPr>
            <w:r w:rsidRPr="00F51FB9">
              <w:rPr>
                <w:rFonts w:ascii="Arial" w:eastAsia="Times New Roman" w:hAnsi="Arial" w:cs="Arial"/>
                <w:color w:val="000000"/>
                <w:sz w:val="18"/>
                <w:szCs w:val="18"/>
                <w:lang w:val="en-GB"/>
              </w:rPr>
              <w:t>0,480</w:t>
            </w:r>
            <w:r w:rsidR="00E57369">
              <w:rPr>
                <w:rFonts w:ascii="Arial" w:eastAsia="Times New Roman" w:hAnsi="Arial" w:cs="Arial"/>
                <w:color w:val="000000"/>
                <w:sz w:val="18"/>
                <w:szCs w:val="18"/>
                <w:lang w:val="en-GB"/>
              </w:rPr>
              <w:t>*</w:t>
            </w:r>
          </w:p>
        </w:tc>
        <w:tc>
          <w:tcPr>
            <w:tcW w:w="1341" w:type="dxa"/>
            <w:hideMark/>
          </w:tcPr>
          <w:p w:rsidR="008B6C03" w:rsidRPr="00F51FB9" w:rsidRDefault="002F4ECB" w:rsidP="008B6C03">
            <w:pPr>
              <w:jc w:val="center"/>
              <w:cnfStyle w:val="000000000000"/>
              <w:rPr>
                <w:rFonts w:ascii="Arial" w:eastAsia="Times New Roman" w:hAnsi="Arial" w:cs="Arial"/>
                <w:color w:val="000000"/>
                <w:sz w:val="18"/>
                <w:szCs w:val="18"/>
                <w:lang w:val="en-GB"/>
              </w:rPr>
            </w:pPr>
            <w:r>
              <w:rPr>
                <w:rFonts w:ascii="Arial" w:eastAsia="Times New Roman" w:hAnsi="Arial" w:cs="Arial"/>
                <w:color w:val="000000"/>
                <w:sz w:val="18"/>
                <w:szCs w:val="18"/>
                <w:lang w:val="en-GB"/>
              </w:rPr>
              <w:t>0,483</w:t>
            </w:r>
            <w:r w:rsidR="00E57369">
              <w:rPr>
                <w:rFonts w:ascii="Arial" w:eastAsia="Times New Roman" w:hAnsi="Arial" w:cs="Arial"/>
                <w:color w:val="000000"/>
                <w:sz w:val="18"/>
                <w:szCs w:val="18"/>
                <w:lang w:val="en-GB"/>
              </w:rPr>
              <w:t>*</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F51FB9">
              <w:rPr>
                <w:rFonts w:ascii="Arial" w:eastAsia="Times New Roman" w:hAnsi="Arial" w:cs="Arial"/>
                <w:color w:val="000000"/>
                <w:sz w:val="18"/>
                <w:szCs w:val="18"/>
                <w:lang w:val="en-GB"/>
              </w:rPr>
              <w:t>0,</w:t>
            </w:r>
            <w:r w:rsidR="002F4ECB">
              <w:rPr>
                <w:rFonts w:ascii="Arial" w:eastAsia="Times New Roman" w:hAnsi="Arial" w:cs="Arial"/>
                <w:color w:val="000000"/>
                <w:sz w:val="18"/>
                <w:szCs w:val="18"/>
              </w:rPr>
              <w:t>381</w:t>
            </w:r>
            <w:r w:rsidR="00E57369">
              <w:rPr>
                <w:rFonts w:ascii="Arial" w:eastAsia="Times New Roman" w:hAnsi="Arial" w:cs="Arial"/>
                <w:color w:val="000000"/>
                <w:sz w:val="18"/>
                <w:szCs w:val="18"/>
              </w:rPr>
              <w:t>*</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195"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341" w:type="dxa"/>
            <w:hideMark/>
          </w:tcPr>
          <w:p w:rsidR="008B6C03" w:rsidRPr="008B6C03" w:rsidRDefault="0015698D"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2F4ECB">
              <w:rPr>
                <w:rFonts w:ascii="Arial" w:eastAsia="Times New Roman" w:hAnsi="Arial" w:cs="Arial"/>
                <w:color w:val="000000"/>
                <w:sz w:val="18"/>
                <w:szCs w:val="18"/>
              </w:rPr>
              <w:t>0,173</w:t>
            </w:r>
            <w:r>
              <w:rPr>
                <w:rFonts w:ascii="Arial" w:eastAsia="Times New Roman" w:hAnsi="Arial" w:cs="Arial"/>
                <w:color w:val="000000"/>
                <w:sz w:val="18"/>
                <w:szCs w:val="18"/>
              </w:rPr>
              <w:t>)</w:t>
            </w:r>
          </w:p>
        </w:tc>
        <w:tc>
          <w:tcPr>
            <w:tcW w:w="1341" w:type="dxa"/>
            <w:hideMark/>
          </w:tcPr>
          <w:p w:rsidR="008B6C03" w:rsidRPr="008B6C03" w:rsidRDefault="0015698D"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2F4ECB">
              <w:rPr>
                <w:rFonts w:ascii="Arial" w:eastAsia="Times New Roman" w:hAnsi="Arial" w:cs="Arial"/>
                <w:color w:val="000000"/>
                <w:sz w:val="18"/>
                <w:szCs w:val="18"/>
              </w:rPr>
              <w:t>0,143</w:t>
            </w:r>
            <w:r>
              <w:rPr>
                <w:rFonts w:ascii="Arial" w:eastAsia="Times New Roman" w:hAnsi="Arial" w:cs="Arial"/>
                <w:color w:val="000000"/>
                <w:sz w:val="18"/>
                <w:szCs w:val="18"/>
              </w:rPr>
              <w:t>)</w:t>
            </w:r>
          </w:p>
        </w:tc>
        <w:tc>
          <w:tcPr>
            <w:tcW w:w="1341" w:type="dxa"/>
            <w:hideMark/>
          </w:tcPr>
          <w:p w:rsidR="008B6C03" w:rsidRPr="008B6C03" w:rsidRDefault="0015698D" w:rsidP="002F4ECB">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2F4ECB">
              <w:rPr>
                <w:rFonts w:ascii="Arial" w:eastAsia="Times New Roman" w:hAnsi="Arial" w:cs="Arial"/>
                <w:color w:val="000000"/>
                <w:sz w:val="18"/>
                <w:szCs w:val="18"/>
              </w:rPr>
              <w:t>0,142</w:t>
            </w:r>
            <w:r>
              <w:rPr>
                <w:rFonts w:ascii="Arial" w:eastAsia="Times New Roman" w:hAnsi="Arial" w:cs="Arial"/>
                <w:color w:val="000000"/>
                <w:sz w:val="18"/>
                <w:szCs w:val="18"/>
              </w:rPr>
              <w:t>)</w:t>
            </w:r>
          </w:p>
        </w:tc>
        <w:tc>
          <w:tcPr>
            <w:tcW w:w="1341" w:type="dxa"/>
            <w:hideMark/>
          </w:tcPr>
          <w:p w:rsidR="008B6C03" w:rsidRPr="008B6C03" w:rsidRDefault="0015698D" w:rsidP="002F4ECB">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2F4ECB">
              <w:rPr>
                <w:rFonts w:ascii="Arial" w:eastAsia="Times New Roman" w:hAnsi="Arial" w:cs="Arial"/>
                <w:color w:val="000000"/>
                <w:sz w:val="18"/>
                <w:szCs w:val="18"/>
              </w:rPr>
              <w:t>0,135</w:t>
            </w:r>
            <w:r>
              <w:rPr>
                <w:rFonts w:ascii="Arial" w:eastAsia="Times New Roman" w:hAnsi="Arial" w:cs="Arial"/>
                <w:color w:val="000000"/>
                <w:sz w:val="18"/>
                <w:szCs w:val="18"/>
              </w:rPr>
              <w:t>)</w:t>
            </w:r>
          </w:p>
        </w:tc>
        <w:tc>
          <w:tcPr>
            <w:tcW w:w="1341" w:type="dxa"/>
            <w:hideMark/>
          </w:tcPr>
          <w:p w:rsidR="008B6C03" w:rsidRPr="008B6C03" w:rsidRDefault="0015698D"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8B6C03" w:rsidRPr="008B6C03">
              <w:rPr>
                <w:rFonts w:ascii="Arial" w:eastAsia="Times New Roman" w:hAnsi="Arial" w:cs="Arial"/>
                <w:color w:val="000000"/>
                <w:sz w:val="18"/>
                <w:szCs w:val="18"/>
              </w:rPr>
              <w:t>0,13</w:t>
            </w:r>
            <w:r w:rsidR="002F4ECB">
              <w:rPr>
                <w:rFonts w:ascii="Arial" w:eastAsia="Times New Roman" w:hAnsi="Arial" w:cs="Arial"/>
                <w:color w:val="000000"/>
                <w:sz w:val="18"/>
                <w:szCs w:val="18"/>
              </w:rPr>
              <w:t>3</w:t>
            </w:r>
            <w:r>
              <w:rPr>
                <w:rFonts w:ascii="Arial" w:eastAsia="Times New Roman" w:hAnsi="Arial" w:cs="Arial"/>
                <w:color w:val="000000"/>
                <w:sz w:val="18"/>
                <w:szCs w:val="18"/>
              </w:rPr>
              <w:t>)</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LEQINV</w:t>
            </w:r>
          </w:p>
        </w:tc>
        <w:tc>
          <w:tcPr>
            <w:tcW w:w="1195" w:type="dxa"/>
            <w:hideMark/>
          </w:tcPr>
          <w:p w:rsidR="008B6C03" w:rsidRPr="008B6C03" w:rsidRDefault="00D52B25" w:rsidP="008B6C03">
            <w:pPr>
              <w:jc w:val="center"/>
              <w:cnfStyle w:val="000000000000"/>
              <w:rPr>
                <w:rFonts w:ascii="Arial" w:eastAsia="Times New Roman" w:hAnsi="Arial" w:cs="Arial"/>
                <w:color w:val="000000"/>
                <w:sz w:val="20"/>
                <w:szCs w:val="20"/>
              </w:rPr>
            </w:pPr>
            <w:r>
              <w:rPr>
                <w:rFonts w:ascii="Arial" w:eastAsia="Times New Roman" w:hAnsi="Arial" w:cs="Arial"/>
                <w:color w:val="000000"/>
                <w:sz w:val="20"/>
                <w:szCs w:val="20"/>
              </w:rPr>
              <w:t>-</w:t>
            </w:r>
            <w:r w:rsidR="008B6C03" w:rsidRPr="008B6C03">
              <w:rPr>
                <w:rFonts w:ascii="Arial" w:eastAsia="Times New Roman" w:hAnsi="Arial" w:cs="Arial"/>
                <w:color w:val="000000"/>
                <w:sz w:val="20"/>
                <w:szCs w:val="20"/>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0,011</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w:t>
            </w:r>
            <w:r w:rsidR="002F4ECB">
              <w:rPr>
                <w:rFonts w:ascii="Arial" w:eastAsia="Times New Roman" w:hAnsi="Arial" w:cs="Arial"/>
                <w:color w:val="000000"/>
                <w:sz w:val="18"/>
                <w:szCs w:val="18"/>
              </w:rPr>
              <w:t>40</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-0,00</w:t>
            </w:r>
            <w:r w:rsidR="002F4ECB">
              <w:rPr>
                <w:rFonts w:ascii="Arial" w:eastAsia="Times New Roman" w:hAnsi="Arial" w:cs="Arial"/>
                <w:color w:val="000000"/>
                <w:sz w:val="18"/>
                <w:szCs w:val="18"/>
              </w:rPr>
              <w:t>5</w:t>
            </w:r>
          </w:p>
        </w:tc>
        <w:tc>
          <w:tcPr>
            <w:tcW w:w="1341" w:type="dxa"/>
            <w:hideMark/>
          </w:tcPr>
          <w:p w:rsidR="008B6C03" w:rsidRPr="008B6C03" w:rsidRDefault="002F4ECB"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-0,023</w:t>
            </w:r>
          </w:p>
        </w:tc>
        <w:tc>
          <w:tcPr>
            <w:tcW w:w="1341" w:type="dxa"/>
            <w:hideMark/>
          </w:tcPr>
          <w:p w:rsidR="008B6C03" w:rsidRPr="008B6C03" w:rsidRDefault="002F4ECB"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-0,057</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195"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341" w:type="dxa"/>
            <w:hideMark/>
          </w:tcPr>
          <w:p w:rsidR="008B6C03" w:rsidRPr="008B6C03" w:rsidRDefault="0015698D"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2F4ECB">
              <w:rPr>
                <w:rFonts w:ascii="Arial" w:eastAsia="Times New Roman" w:hAnsi="Arial" w:cs="Arial"/>
                <w:color w:val="000000"/>
                <w:sz w:val="18"/>
                <w:szCs w:val="18"/>
              </w:rPr>
              <w:t>0,106</w:t>
            </w:r>
            <w:r>
              <w:rPr>
                <w:rFonts w:ascii="Arial" w:eastAsia="Times New Roman" w:hAnsi="Arial" w:cs="Arial"/>
                <w:color w:val="000000"/>
                <w:sz w:val="18"/>
                <w:szCs w:val="18"/>
              </w:rPr>
              <w:t>)</w:t>
            </w:r>
          </w:p>
        </w:tc>
        <w:tc>
          <w:tcPr>
            <w:tcW w:w="1341" w:type="dxa"/>
            <w:hideMark/>
          </w:tcPr>
          <w:p w:rsidR="008B6C03" w:rsidRPr="008B6C03" w:rsidRDefault="0015698D"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2F4ECB">
              <w:rPr>
                <w:rFonts w:ascii="Arial" w:eastAsia="Times New Roman" w:hAnsi="Arial" w:cs="Arial"/>
                <w:color w:val="000000"/>
                <w:sz w:val="18"/>
                <w:szCs w:val="18"/>
              </w:rPr>
              <w:t>0,059</w:t>
            </w:r>
            <w:r>
              <w:rPr>
                <w:rFonts w:ascii="Arial" w:eastAsia="Times New Roman" w:hAnsi="Arial" w:cs="Arial"/>
                <w:color w:val="000000"/>
                <w:sz w:val="18"/>
                <w:szCs w:val="18"/>
              </w:rPr>
              <w:t>)</w:t>
            </w:r>
          </w:p>
        </w:tc>
        <w:tc>
          <w:tcPr>
            <w:tcW w:w="1341" w:type="dxa"/>
            <w:hideMark/>
          </w:tcPr>
          <w:p w:rsidR="008B6C03" w:rsidRPr="008B6C03" w:rsidRDefault="0015698D"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2F4ECB">
              <w:rPr>
                <w:rFonts w:ascii="Arial" w:eastAsia="Times New Roman" w:hAnsi="Arial" w:cs="Arial"/>
                <w:color w:val="000000"/>
                <w:sz w:val="18"/>
                <w:szCs w:val="18"/>
              </w:rPr>
              <w:t>0,067</w:t>
            </w:r>
            <w:r>
              <w:rPr>
                <w:rFonts w:ascii="Arial" w:eastAsia="Times New Roman" w:hAnsi="Arial" w:cs="Arial"/>
                <w:color w:val="000000"/>
                <w:sz w:val="18"/>
                <w:szCs w:val="18"/>
              </w:rPr>
              <w:t>)</w:t>
            </w:r>
          </w:p>
        </w:tc>
        <w:tc>
          <w:tcPr>
            <w:tcW w:w="1341" w:type="dxa"/>
            <w:hideMark/>
          </w:tcPr>
          <w:p w:rsidR="008B6C03" w:rsidRPr="008B6C03" w:rsidRDefault="0015698D"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2F4ECB">
              <w:rPr>
                <w:rFonts w:ascii="Arial" w:eastAsia="Times New Roman" w:hAnsi="Arial" w:cs="Arial"/>
                <w:color w:val="000000"/>
                <w:sz w:val="18"/>
                <w:szCs w:val="18"/>
              </w:rPr>
              <w:t>0,080</w:t>
            </w:r>
            <w:r>
              <w:rPr>
                <w:rFonts w:ascii="Arial" w:eastAsia="Times New Roman" w:hAnsi="Arial" w:cs="Arial"/>
                <w:color w:val="000000"/>
                <w:sz w:val="18"/>
                <w:szCs w:val="18"/>
              </w:rPr>
              <w:t>)</w:t>
            </w:r>
          </w:p>
        </w:tc>
        <w:tc>
          <w:tcPr>
            <w:tcW w:w="1341" w:type="dxa"/>
            <w:hideMark/>
          </w:tcPr>
          <w:p w:rsidR="008B6C03" w:rsidRPr="008B6C03" w:rsidRDefault="0015698D"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2F4ECB">
              <w:rPr>
                <w:rFonts w:ascii="Arial" w:eastAsia="Times New Roman" w:hAnsi="Arial" w:cs="Arial"/>
                <w:color w:val="000000"/>
                <w:sz w:val="18"/>
                <w:szCs w:val="18"/>
              </w:rPr>
              <w:t>0,083</w:t>
            </w:r>
            <w:r>
              <w:rPr>
                <w:rFonts w:ascii="Arial" w:eastAsia="Times New Roman" w:hAnsi="Arial" w:cs="Arial"/>
                <w:color w:val="000000"/>
                <w:sz w:val="18"/>
                <w:szCs w:val="18"/>
              </w:rPr>
              <w:t>)</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LNGDP</w:t>
            </w:r>
          </w:p>
        </w:tc>
        <w:tc>
          <w:tcPr>
            <w:tcW w:w="1195"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 </w:t>
            </w:r>
            <w:r w:rsidR="00D52B25">
              <w:rPr>
                <w:rFonts w:ascii="Arial" w:eastAsia="Times New Roman" w:hAnsi="Arial" w:cs="Arial"/>
                <w:color w:val="000000"/>
                <w:sz w:val="20"/>
                <w:szCs w:val="20"/>
              </w:rPr>
              <w:t>+</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2F4ECB"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-0,140</w:t>
            </w:r>
            <w:r w:rsidR="00E57369">
              <w:rPr>
                <w:rFonts w:ascii="Arial" w:eastAsia="Times New Roman" w:hAnsi="Arial" w:cs="Arial"/>
                <w:color w:val="000000"/>
                <w:sz w:val="18"/>
                <w:szCs w:val="18"/>
              </w:rPr>
              <w:t>*</w:t>
            </w:r>
          </w:p>
        </w:tc>
        <w:tc>
          <w:tcPr>
            <w:tcW w:w="1341" w:type="dxa"/>
            <w:hideMark/>
          </w:tcPr>
          <w:p w:rsidR="008B6C03" w:rsidRPr="008B6C03" w:rsidRDefault="002F4ECB"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-0,150</w:t>
            </w:r>
            <w:r w:rsidR="00E57369">
              <w:rPr>
                <w:rFonts w:ascii="Arial" w:eastAsia="Times New Roman" w:hAnsi="Arial" w:cs="Arial"/>
                <w:color w:val="000000"/>
                <w:sz w:val="18"/>
                <w:szCs w:val="18"/>
              </w:rPr>
              <w:t>*</w:t>
            </w:r>
          </w:p>
        </w:tc>
        <w:tc>
          <w:tcPr>
            <w:tcW w:w="1341" w:type="dxa"/>
            <w:hideMark/>
          </w:tcPr>
          <w:p w:rsidR="008B6C03" w:rsidRPr="008B6C03" w:rsidRDefault="002F4ECB"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-0,158</w:t>
            </w:r>
            <w:r w:rsidR="00E57369">
              <w:rPr>
                <w:rFonts w:ascii="Arial" w:eastAsia="Times New Roman" w:hAnsi="Arial" w:cs="Arial"/>
                <w:color w:val="000000"/>
                <w:sz w:val="18"/>
                <w:szCs w:val="18"/>
              </w:rPr>
              <w:t>*</w:t>
            </w:r>
          </w:p>
        </w:tc>
        <w:tc>
          <w:tcPr>
            <w:tcW w:w="1341" w:type="dxa"/>
            <w:hideMark/>
          </w:tcPr>
          <w:p w:rsidR="008B6C03" w:rsidRPr="008B6C03" w:rsidRDefault="002F4ECB"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-0,139</w:t>
            </w:r>
            <w:r w:rsidR="00E57369">
              <w:rPr>
                <w:rFonts w:ascii="Arial" w:eastAsia="Times New Roman" w:hAnsi="Arial" w:cs="Arial"/>
                <w:color w:val="000000"/>
                <w:sz w:val="18"/>
                <w:szCs w:val="18"/>
              </w:rPr>
              <w:t>*</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195"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15698D"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2F4ECB">
              <w:rPr>
                <w:rFonts w:ascii="Arial" w:eastAsia="Times New Roman" w:hAnsi="Arial" w:cs="Arial"/>
                <w:color w:val="000000"/>
                <w:sz w:val="18"/>
                <w:szCs w:val="18"/>
              </w:rPr>
              <w:t>0,017</w:t>
            </w:r>
            <w:r>
              <w:rPr>
                <w:rFonts w:ascii="Arial" w:eastAsia="Times New Roman" w:hAnsi="Arial" w:cs="Arial"/>
                <w:color w:val="000000"/>
                <w:sz w:val="18"/>
                <w:szCs w:val="18"/>
              </w:rPr>
              <w:t>)</w:t>
            </w:r>
          </w:p>
        </w:tc>
        <w:tc>
          <w:tcPr>
            <w:tcW w:w="1341" w:type="dxa"/>
            <w:hideMark/>
          </w:tcPr>
          <w:p w:rsidR="008B6C03" w:rsidRPr="008B6C03" w:rsidRDefault="0015698D" w:rsidP="002F4ECB">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2F4ECB">
              <w:rPr>
                <w:rFonts w:ascii="Arial" w:eastAsia="Times New Roman" w:hAnsi="Arial" w:cs="Arial"/>
                <w:color w:val="000000"/>
                <w:sz w:val="18"/>
                <w:szCs w:val="18"/>
              </w:rPr>
              <w:t>0,016</w:t>
            </w:r>
            <w:r>
              <w:rPr>
                <w:rFonts w:ascii="Arial" w:eastAsia="Times New Roman" w:hAnsi="Arial" w:cs="Arial"/>
                <w:color w:val="000000"/>
                <w:sz w:val="18"/>
                <w:szCs w:val="18"/>
              </w:rPr>
              <w:t>)</w:t>
            </w:r>
          </w:p>
        </w:tc>
        <w:tc>
          <w:tcPr>
            <w:tcW w:w="1341" w:type="dxa"/>
            <w:hideMark/>
          </w:tcPr>
          <w:p w:rsidR="008B6C03" w:rsidRPr="008B6C03" w:rsidRDefault="0015698D"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2F4ECB">
              <w:rPr>
                <w:rFonts w:ascii="Arial" w:eastAsia="Times New Roman" w:hAnsi="Arial" w:cs="Arial"/>
                <w:color w:val="000000"/>
                <w:sz w:val="18"/>
                <w:szCs w:val="18"/>
              </w:rPr>
              <w:t>0,020</w:t>
            </w:r>
            <w:r>
              <w:rPr>
                <w:rFonts w:ascii="Arial" w:eastAsia="Times New Roman" w:hAnsi="Arial" w:cs="Arial"/>
                <w:color w:val="000000"/>
                <w:sz w:val="18"/>
                <w:szCs w:val="18"/>
              </w:rPr>
              <w:t>)</w:t>
            </w:r>
          </w:p>
        </w:tc>
        <w:tc>
          <w:tcPr>
            <w:tcW w:w="1341" w:type="dxa"/>
            <w:hideMark/>
          </w:tcPr>
          <w:p w:rsidR="008B6C03" w:rsidRPr="008B6C03" w:rsidRDefault="0015698D"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2F4ECB">
              <w:rPr>
                <w:rFonts w:ascii="Arial" w:eastAsia="Times New Roman" w:hAnsi="Arial" w:cs="Arial"/>
                <w:color w:val="000000"/>
                <w:sz w:val="18"/>
                <w:szCs w:val="18"/>
              </w:rPr>
              <w:t>0,021</w:t>
            </w:r>
            <w:r>
              <w:rPr>
                <w:rFonts w:ascii="Arial" w:eastAsia="Times New Roman" w:hAnsi="Arial" w:cs="Arial"/>
                <w:color w:val="000000"/>
                <w:sz w:val="18"/>
                <w:szCs w:val="18"/>
              </w:rPr>
              <w:t>)</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LNMARCAP</w:t>
            </w:r>
          </w:p>
        </w:tc>
        <w:tc>
          <w:tcPr>
            <w:tcW w:w="1195"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 </w:t>
            </w:r>
            <w:r w:rsidR="00D52B25">
              <w:rPr>
                <w:rFonts w:ascii="Arial" w:eastAsia="Times New Roman" w:hAnsi="Arial" w:cs="Arial"/>
                <w:color w:val="000000"/>
                <w:sz w:val="20"/>
                <w:szCs w:val="20"/>
              </w:rPr>
              <w:t>+</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0,042</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0,05</w:t>
            </w:r>
            <w:r w:rsidR="002F4ECB">
              <w:rPr>
                <w:rFonts w:ascii="Arial" w:eastAsia="Times New Roman" w:hAnsi="Arial" w:cs="Arial"/>
                <w:color w:val="000000"/>
                <w:sz w:val="18"/>
                <w:szCs w:val="18"/>
              </w:rPr>
              <w:t>8</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0,058</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195"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15698D"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2F4ECB">
              <w:rPr>
                <w:rFonts w:ascii="Arial" w:eastAsia="Times New Roman" w:hAnsi="Arial" w:cs="Arial"/>
                <w:color w:val="000000"/>
                <w:sz w:val="18"/>
                <w:szCs w:val="18"/>
              </w:rPr>
              <w:t>0,032</w:t>
            </w:r>
            <w:r>
              <w:rPr>
                <w:rFonts w:ascii="Arial" w:eastAsia="Times New Roman" w:hAnsi="Arial" w:cs="Arial"/>
                <w:color w:val="000000"/>
                <w:sz w:val="18"/>
                <w:szCs w:val="18"/>
              </w:rPr>
              <w:t>)</w:t>
            </w:r>
          </w:p>
        </w:tc>
        <w:tc>
          <w:tcPr>
            <w:tcW w:w="1341" w:type="dxa"/>
            <w:hideMark/>
          </w:tcPr>
          <w:p w:rsidR="008B6C03" w:rsidRPr="008B6C03" w:rsidRDefault="0015698D"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2F4ECB">
              <w:rPr>
                <w:rFonts w:ascii="Arial" w:eastAsia="Times New Roman" w:hAnsi="Arial" w:cs="Arial"/>
                <w:color w:val="000000"/>
                <w:sz w:val="18"/>
                <w:szCs w:val="18"/>
              </w:rPr>
              <w:t>0,043</w:t>
            </w:r>
            <w:r>
              <w:rPr>
                <w:rFonts w:ascii="Arial" w:eastAsia="Times New Roman" w:hAnsi="Arial" w:cs="Arial"/>
                <w:color w:val="000000"/>
                <w:sz w:val="18"/>
                <w:szCs w:val="18"/>
              </w:rPr>
              <w:t>)</w:t>
            </w:r>
          </w:p>
        </w:tc>
        <w:tc>
          <w:tcPr>
            <w:tcW w:w="1341" w:type="dxa"/>
            <w:hideMark/>
          </w:tcPr>
          <w:p w:rsidR="008B6C03" w:rsidRPr="008B6C03" w:rsidRDefault="0015698D"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2F4ECB">
              <w:rPr>
                <w:rFonts w:ascii="Arial" w:eastAsia="Times New Roman" w:hAnsi="Arial" w:cs="Arial"/>
                <w:color w:val="000000"/>
                <w:sz w:val="18"/>
                <w:szCs w:val="18"/>
              </w:rPr>
              <w:t>0,040</w:t>
            </w:r>
            <w:r>
              <w:rPr>
                <w:rFonts w:ascii="Arial" w:eastAsia="Times New Roman" w:hAnsi="Arial" w:cs="Arial"/>
                <w:color w:val="000000"/>
                <w:sz w:val="18"/>
                <w:szCs w:val="18"/>
              </w:rPr>
              <w:t>)</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AGEDR</w:t>
            </w:r>
          </w:p>
        </w:tc>
        <w:tc>
          <w:tcPr>
            <w:tcW w:w="1195"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 </w:t>
            </w:r>
            <w:r w:rsidR="00D52B25">
              <w:rPr>
                <w:rFonts w:ascii="Arial" w:eastAsia="Times New Roman" w:hAnsi="Arial" w:cs="Arial"/>
                <w:color w:val="000000"/>
                <w:sz w:val="20"/>
                <w:szCs w:val="20"/>
              </w:rPr>
              <w:t>-</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-0,390</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0,088</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195"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15698D"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2F4ECB">
              <w:rPr>
                <w:rFonts w:ascii="Arial" w:eastAsia="Times New Roman" w:hAnsi="Arial" w:cs="Arial"/>
                <w:color w:val="000000"/>
                <w:sz w:val="18"/>
                <w:szCs w:val="18"/>
              </w:rPr>
              <w:t>0,504</w:t>
            </w:r>
            <w:r>
              <w:rPr>
                <w:rFonts w:ascii="Arial" w:eastAsia="Times New Roman" w:hAnsi="Arial" w:cs="Arial"/>
                <w:color w:val="000000"/>
                <w:sz w:val="18"/>
                <w:szCs w:val="18"/>
              </w:rPr>
              <w:t>)</w:t>
            </w:r>
          </w:p>
        </w:tc>
        <w:tc>
          <w:tcPr>
            <w:tcW w:w="1341" w:type="dxa"/>
            <w:hideMark/>
          </w:tcPr>
          <w:p w:rsidR="008B6C03" w:rsidRPr="008B6C03" w:rsidRDefault="0015698D"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2F4ECB">
              <w:rPr>
                <w:rFonts w:ascii="Arial" w:eastAsia="Times New Roman" w:hAnsi="Arial" w:cs="Arial"/>
                <w:color w:val="000000"/>
                <w:sz w:val="18"/>
                <w:szCs w:val="18"/>
              </w:rPr>
              <w:t>0,507</w:t>
            </w:r>
            <w:r>
              <w:rPr>
                <w:rFonts w:ascii="Arial" w:eastAsia="Times New Roman" w:hAnsi="Arial" w:cs="Arial"/>
                <w:color w:val="000000"/>
                <w:sz w:val="18"/>
                <w:szCs w:val="18"/>
              </w:rPr>
              <w:t>)</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DB</w:t>
            </w:r>
          </w:p>
        </w:tc>
        <w:tc>
          <w:tcPr>
            <w:tcW w:w="1195"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 </w:t>
            </w:r>
            <w:r w:rsidR="00D52B25">
              <w:rPr>
                <w:rFonts w:ascii="Arial" w:eastAsia="Times New Roman" w:hAnsi="Arial" w:cs="Arial"/>
                <w:color w:val="000000"/>
                <w:sz w:val="20"/>
                <w:szCs w:val="20"/>
              </w:rPr>
              <w:t>-</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-0,17152</w:t>
            </w:r>
            <w:r w:rsidR="00E57369">
              <w:rPr>
                <w:rFonts w:ascii="Arial" w:eastAsia="Times New Roman" w:hAnsi="Arial" w:cs="Arial"/>
                <w:color w:val="000000"/>
                <w:sz w:val="18"/>
                <w:szCs w:val="18"/>
              </w:rPr>
              <w:t>*</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195"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15698D"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2F4ECB">
              <w:rPr>
                <w:rFonts w:ascii="Arial" w:eastAsia="Times New Roman" w:hAnsi="Arial" w:cs="Arial"/>
                <w:color w:val="000000"/>
                <w:sz w:val="18"/>
                <w:szCs w:val="18"/>
              </w:rPr>
              <w:t>0,040</w:t>
            </w:r>
            <w:r>
              <w:rPr>
                <w:rFonts w:ascii="Arial" w:eastAsia="Times New Roman" w:hAnsi="Arial" w:cs="Arial"/>
                <w:color w:val="000000"/>
                <w:sz w:val="18"/>
                <w:szCs w:val="18"/>
              </w:rPr>
              <w:t>)</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R</w:t>
            </w:r>
            <w:r w:rsidRPr="008B6C03">
              <w:rPr>
                <w:rFonts w:ascii="Arial" w:eastAsia="Times New Roman" w:hAnsi="Arial" w:cs="Arial"/>
                <w:color w:val="000000"/>
                <w:sz w:val="20"/>
                <w:szCs w:val="20"/>
                <w:vertAlign w:val="superscript"/>
              </w:rPr>
              <w:t>2</w:t>
            </w:r>
          </w:p>
        </w:tc>
        <w:tc>
          <w:tcPr>
            <w:tcW w:w="1195"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0,04</w:t>
            </w:r>
            <w:r w:rsidR="002F4ECB">
              <w:rPr>
                <w:rFonts w:ascii="Arial" w:eastAsia="Times New Roman" w:hAnsi="Arial" w:cs="Arial"/>
                <w:color w:val="000000"/>
                <w:sz w:val="18"/>
                <w:szCs w:val="18"/>
              </w:rPr>
              <w:t>9</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0,614</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0,6623</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0,68</w:t>
            </w:r>
            <w:r w:rsidR="002F4ECB">
              <w:rPr>
                <w:rFonts w:ascii="Arial" w:eastAsia="Times New Roman" w:hAnsi="Arial" w:cs="Arial"/>
                <w:color w:val="000000"/>
                <w:sz w:val="18"/>
                <w:szCs w:val="18"/>
              </w:rPr>
              <w:t>0</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0,7</w:t>
            </w:r>
            <w:r w:rsidR="002F4ECB">
              <w:rPr>
                <w:rFonts w:ascii="Arial" w:eastAsia="Times New Roman" w:hAnsi="Arial" w:cs="Arial"/>
                <w:color w:val="000000"/>
                <w:sz w:val="18"/>
                <w:szCs w:val="18"/>
              </w:rPr>
              <w:t>80</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195"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r>
      <w:tr w:rsidR="008B6C03" w:rsidRPr="008B6C03" w:rsidTr="00BF3EE6">
        <w:trPr>
          <w:trHeight w:val="600"/>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Number of observations</w:t>
            </w:r>
          </w:p>
        </w:tc>
        <w:tc>
          <w:tcPr>
            <w:tcW w:w="1195"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19</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19</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19</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19</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19</w:t>
            </w:r>
          </w:p>
        </w:tc>
      </w:tr>
    </w:tbl>
    <w:p w:rsidR="007D3407" w:rsidRDefault="00F51FB9" w:rsidP="00F51FB9">
      <w:pPr>
        <w:pStyle w:val="ListParagraph"/>
        <w:numPr>
          <w:ilvl w:val="0"/>
          <w:numId w:val="30"/>
        </w:numPr>
        <w:autoSpaceDE w:val="0"/>
        <w:autoSpaceDN w:val="0"/>
        <w:adjustRightInd w:val="0"/>
        <w:spacing w:after="0" w:line="240" w:lineRule="auto"/>
        <w:rPr>
          <w:rFonts w:ascii="Arial" w:hAnsi="Arial" w:cs="Arial"/>
          <w:b/>
          <w:sz w:val="18"/>
          <w:szCs w:val="18"/>
          <w:lang w:val="en-US"/>
        </w:rPr>
      </w:pPr>
      <w:r w:rsidRPr="00F51FB9">
        <w:rPr>
          <w:rFonts w:ascii="Arial" w:hAnsi="Arial" w:cs="Arial"/>
          <w:b/>
          <w:sz w:val="18"/>
          <w:szCs w:val="18"/>
          <w:lang w:val="en-US"/>
        </w:rPr>
        <w:lastRenderedPageBreak/>
        <w:t>Masculinity</w:t>
      </w:r>
    </w:p>
    <w:p w:rsidR="00F51FB9" w:rsidRPr="00F51FB9" w:rsidRDefault="00F51FB9" w:rsidP="00F51FB9">
      <w:pPr>
        <w:pStyle w:val="ListParagraph"/>
        <w:autoSpaceDE w:val="0"/>
        <w:autoSpaceDN w:val="0"/>
        <w:adjustRightInd w:val="0"/>
        <w:spacing w:after="0" w:line="240" w:lineRule="auto"/>
        <w:ind w:left="1080"/>
        <w:rPr>
          <w:rFonts w:ascii="Arial" w:hAnsi="Arial" w:cs="Arial"/>
          <w:b/>
          <w:sz w:val="18"/>
          <w:szCs w:val="18"/>
          <w:lang w:val="en-US"/>
        </w:rPr>
      </w:pPr>
    </w:p>
    <w:tbl>
      <w:tblPr>
        <w:tblStyle w:val="LightShading1"/>
        <w:tblW w:w="0" w:type="auto"/>
        <w:tblLook w:val="06A0"/>
      </w:tblPr>
      <w:tblGrid>
        <w:gridCol w:w="1524"/>
        <w:gridCol w:w="1195"/>
        <w:gridCol w:w="1341"/>
        <w:gridCol w:w="1341"/>
        <w:gridCol w:w="1341"/>
        <w:gridCol w:w="1341"/>
        <w:gridCol w:w="1341"/>
      </w:tblGrid>
      <w:tr w:rsidR="007D3407" w:rsidTr="00BF3EE6">
        <w:trPr>
          <w:cnfStyle w:val="100000000000"/>
        </w:trPr>
        <w:tc>
          <w:tcPr>
            <w:cnfStyle w:val="001000000000"/>
            <w:tcW w:w="1524" w:type="dxa"/>
          </w:tcPr>
          <w:p w:rsidR="007D3407" w:rsidRPr="00A1756F" w:rsidRDefault="007D3407" w:rsidP="007D3407">
            <w:pPr>
              <w:jc w:val="both"/>
              <w:rPr>
                <w:rFonts w:ascii="Arial" w:hAnsi="Arial" w:cs="Arial"/>
                <w:i/>
                <w:lang w:val="en-US"/>
              </w:rPr>
            </w:pPr>
            <w:r>
              <w:rPr>
                <w:rFonts w:ascii="Arial" w:hAnsi="Arial" w:cs="Arial"/>
                <w:i/>
                <w:lang w:val="en-US"/>
              </w:rPr>
              <w:t>Variable</w:t>
            </w:r>
          </w:p>
        </w:tc>
        <w:tc>
          <w:tcPr>
            <w:tcW w:w="1195" w:type="dxa"/>
          </w:tcPr>
          <w:p w:rsidR="007D3407" w:rsidRPr="002D207A" w:rsidRDefault="007D3407" w:rsidP="007D3407">
            <w:pPr>
              <w:jc w:val="both"/>
              <w:cnfStyle w:val="100000000000"/>
              <w:rPr>
                <w:rFonts w:ascii="Arial" w:hAnsi="Arial" w:cs="Arial"/>
                <w:i/>
                <w:lang w:val="en-US"/>
              </w:rPr>
            </w:pPr>
            <w:r>
              <w:rPr>
                <w:rFonts w:ascii="Arial" w:hAnsi="Arial" w:cs="Arial"/>
                <w:i/>
                <w:lang w:val="en-US"/>
              </w:rPr>
              <w:t>Expected sign</w:t>
            </w:r>
          </w:p>
        </w:tc>
        <w:tc>
          <w:tcPr>
            <w:tcW w:w="1341" w:type="dxa"/>
          </w:tcPr>
          <w:p w:rsidR="007D3407" w:rsidRPr="002D207A" w:rsidRDefault="007D3407" w:rsidP="007D3407">
            <w:pPr>
              <w:jc w:val="both"/>
              <w:cnfStyle w:val="100000000000"/>
              <w:rPr>
                <w:rFonts w:ascii="Arial" w:hAnsi="Arial" w:cs="Arial"/>
                <w:i/>
                <w:lang w:val="en-US"/>
              </w:rPr>
            </w:pPr>
            <w:r w:rsidRPr="002D207A">
              <w:rPr>
                <w:rFonts w:ascii="Arial" w:hAnsi="Arial" w:cs="Arial"/>
                <w:i/>
                <w:lang w:val="en-US"/>
              </w:rPr>
              <w:t>Model 1</w:t>
            </w:r>
          </w:p>
        </w:tc>
        <w:tc>
          <w:tcPr>
            <w:tcW w:w="1341" w:type="dxa"/>
          </w:tcPr>
          <w:p w:rsidR="007D3407" w:rsidRPr="002D207A" w:rsidRDefault="007D3407" w:rsidP="007D3407">
            <w:pPr>
              <w:cnfStyle w:val="100000000000"/>
              <w:rPr>
                <w:rFonts w:ascii="Arial" w:hAnsi="Arial" w:cs="Arial"/>
                <w:i/>
                <w:lang w:val="en-US"/>
              </w:rPr>
            </w:pPr>
            <w:r w:rsidRPr="002D207A">
              <w:rPr>
                <w:rFonts w:ascii="Arial" w:hAnsi="Arial" w:cs="Arial"/>
                <w:i/>
                <w:lang w:val="en-US"/>
              </w:rPr>
              <w:t>Model 2</w:t>
            </w:r>
          </w:p>
        </w:tc>
        <w:tc>
          <w:tcPr>
            <w:tcW w:w="1341" w:type="dxa"/>
          </w:tcPr>
          <w:p w:rsidR="007D3407" w:rsidRPr="002D207A" w:rsidRDefault="007D3407" w:rsidP="007D3407">
            <w:pPr>
              <w:cnfStyle w:val="100000000000"/>
              <w:rPr>
                <w:rFonts w:ascii="Arial" w:hAnsi="Arial" w:cs="Arial"/>
                <w:i/>
                <w:lang w:val="en-US"/>
              </w:rPr>
            </w:pPr>
            <w:r w:rsidRPr="002D207A">
              <w:rPr>
                <w:rFonts w:ascii="Arial" w:hAnsi="Arial" w:cs="Arial"/>
                <w:i/>
                <w:lang w:val="en-US"/>
              </w:rPr>
              <w:t>Model 3</w:t>
            </w:r>
          </w:p>
        </w:tc>
        <w:tc>
          <w:tcPr>
            <w:tcW w:w="1341" w:type="dxa"/>
          </w:tcPr>
          <w:p w:rsidR="007D3407" w:rsidRPr="002D207A" w:rsidRDefault="007D3407" w:rsidP="007D3407">
            <w:pPr>
              <w:cnfStyle w:val="100000000000"/>
              <w:rPr>
                <w:rFonts w:ascii="Arial" w:hAnsi="Arial" w:cs="Arial"/>
                <w:i/>
                <w:lang w:val="en-US"/>
              </w:rPr>
            </w:pPr>
            <w:r w:rsidRPr="002D207A">
              <w:rPr>
                <w:rFonts w:ascii="Arial" w:hAnsi="Arial" w:cs="Arial"/>
                <w:i/>
                <w:lang w:val="en-US"/>
              </w:rPr>
              <w:t>Model 4</w:t>
            </w:r>
          </w:p>
        </w:tc>
        <w:tc>
          <w:tcPr>
            <w:tcW w:w="1341" w:type="dxa"/>
          </w:tcPr>
          <w:p w:rsidR="007D3407" w:rsidRPr="002D207A" w:rsidRDefault="007D3407" w:rsidP="007D3407">
            <w:pPr>
              <w:cnfStyle w:val="100000000000"/>
              <w:rPr>
                <w:rFonts w:ascii="Arial" w:hAnsi="Arial" w:cs="Arial"/>
                <w:i/>
                <w:lang w:val="en-US"/>
              </w:rPr>
            </w:pPr>
            <w:r w:rsidRPr="002D207A">
              <w:rPr>
                <w:rFonts w:ascii="Arial" w:hAnsi="Arial" w:cs="Arial"/>
                <w:i/>
                <w:lang w:val="en-US"/>
              </w:rPr>
              <w:t>Model 5</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i/>
                <w:iCs/>
                <w:color w:val="000000"/>
              </w:rPr>
            </w:pPr>
            <w:r w:rsidRPr="008B6C03">
              <w:rPr>
                <w:rFonts w:ascii="Arial" w:eastAsia="Times New Roman" w:hAnsi="Arial" w:cs="Arial"/>
                <w:i/>
                <w:iCs/>
                <w:color w:val="000000"/>
              </w:rPr>
              <w:t> </w:t>
            </w:r>
          </w:p>
        </w:tc>
        <w:tc>
          <w:tcPr>
            <w:tcW w:w="1195" w:type="dxa"/>
            <w:hideMark/>
          </w:tcPr>
          <w:p w:rsidR="008B6C03" w:rsidRPr="008B6C03" w:rsidRDefault="008B6C03" w:rsidP="008B6C03">
            <w:pPr>
              <w:jc w:val="center"/>
              <w:cnfStyle w:val="000000000000"/>
              <w:rPr>
                <w:rFonts w:ascii="Arial" w:eastAsia="Times New Roman" w:hAnsi="Arial" w:cs="Arial"/>
                <w:b/>
                <w:bCs/>
                <w:i/>
                <w:iCs/>
                <w:color w:val="000000"/>
              </w:rPr>
            </w:pPr>
            <w:r w:rsidRPr="008B6C03">
              <w:rPr>
                <w:rFonts w:ascii="Arial" w:eastAsia="Times New Roman" w:hAnsi="Arial" w:cs="Arial"/>
                <w:b/>
                <w:bCs/>
                <w:i/>
                <w:iCs/>
                <w:color w:val="000000"/>
              </w:rPr>
              <w:t> </w:t>
            </w:r>
          </w:p>
        </w:tc>
        <w:tc>
          <w:tcPr>
            <w:tcW w:w="1341" w:type="dxa"/>
            <w:hideMark/>
          </w:tcPr>
          <w:p w:rsidR="008B6C03" w:rsidRPr="008B6C03" w:rsidRDefault="008B6C03" w:rsidP="008B6C03">
            <w:pPr>
              <w:jc w:val="center"/>
              <w:cnfStyle w:val="000000000000"/>
              <w:rPr>
                <w:rFonts w:ascii="Arial" w:eastAsia="Times New Roman" w:hAnsi="Arial" w:cs="Arial"/>
                <w:b/>
                <w:bCs/>
                <w:i/>
                <w:iCs/>
                <w:color w:val="000000"/>
              </w:rPr>
            </w:pPr>
            <w:r w:rsidRPr="008B6C03">
              <w:rPr>
                <w:rFonts w:ascii="Arial" w:eastAsia="Times New Roman" w:hAnsi="Arial" w:cs="Arial"/>
                <w:b/>
                <w:bCs/>
                <w:i/>
                <w:iCs/>
                <w:color w:val="000000"/>
              </w:rPr>
              <w:t> </w:t>
            </w:r>
          </w:p>
        </w:tc>
        <w:tc>
          <w:tcPr>
            <w:tcW w:w="1341" w:type="dxa"/>
            <w:hideMark/>
          </w:tcPr>
          <w:p w:rsidR="008B6C03" w:rsidRPr="008B6C03" w:rsidRDefault="008B6C03" w:rsidP="008B6C03">
            <w:pPr>
              <w:jc w:val="center"/>
              <w:cnfStyle w:val="000000000000"/>
              <w:rPr>
                <w:rFonts w:ascii="Arial" w:eastAsia="Times New Roman" w:hAnsi="Arial" w:cs="Arial"/>
                <w:b/>
                <w:bCs/>
                <w:i/>
                <w:iCs/>
                <w:color w:val="000000"/>
              </w:rPr>
            </w:pPr>
            <w:r w:rsidRPr="008B6C03">
              <w:rPr>
                <w:rFonts w:ascii="Arial" w:eastAsia="Times New Roman" w:hAnsi="Arial" w:cs="Arial"/>
                <w:b/>
                <w:bCs/>
                <w:i/>
                <w:iCs/>
                <w:color w:val="000000"/>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MASC</w:t>
            </w:r>
          </w:p>
        </w:tc>
        <w:tc>
          <w:tcPr>
            <w:tcW w:w="1195"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0,1</w:t>
            </w:r>
            <w:r w:rsidR="002F4ECB">
              <w:rPr>
                <w:rFonts w:ascii="Arial" w:eastAsia="Times New Roman" w:hAnsi="Arial" w:cs="Arial"/>
                <w:color w:val="000000"/>
                <w:sz w:val="18"/>
                <w:szCs w:val="18"/>
              </w:rPr>
              <w:t>60</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0,22</w:t>
            </w:r>
            <w:r w:rsidR="002F4ECB">
              <w:rPr>
                <w:rFonts w:ascii="Arial" w:eastAsia="Times New Roman" w:hAnsi="Arial" w:cs="Arial"/>
                <w:color w:val="000000"/>
                <w:sz w:val="18"/>
                <w:szCs w:val="18"/>
              </w:rPr>
              <w:t>3</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0,243</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0,27</w:t>
            </w:r>
            <w:r w:rsidR="000371D6">
              <w:rPr>
                <w:rFonts w:ascii="Arial" w:eastAsia="Times New Roman" w:hAnsi="Arial" w:cs="Arial"/>
                <w:color w:val="000000"/>
                <w:sz w:val="18"/>
                <w:szCs w:val="18"/>
              </w:rPr>
              <w:t>6</w:t>
            </w:r>
          </w:p>
        </w:tc>
        <w:tc>
          <w:tcPr>
            <w:tcW w:w="1341" w:type="dxa"/>
            <w:hideMark/>
          </w:tcPr>
          <w:p w:rsidR="008B6C03" w:rsidRPr="008B6C03" w:rsidRDefault="008B6C03" w:rsidP="000371D6">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0,194</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195"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341" w:type="dxa"/>
            <w:hideMark/>
          </w:tcPr>
          <w:p w:rsidR="008B6C03" w:rsidRPr="008B6C03" w:rsidRDefault="0037215D"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2F4ECB">
              <w:rPr>
                <w:rFonts w:ascii="Arial" w:eastAsia="Times New Roman" w:hAnsi="Arial" w:cs="Arial"/>
                <w:color w:val="000000"/>
                <w:sz w:val="18"/>
                <w:szCs w:val="18"/>
              </w:rPr>
              <w:t>0,316</w:t>
            </w:r>
            <w:r>
              <w:rPr>
                <w:rFonts w:ascii="Arial" w:eastAsia="Times New Roman" w:hAnsi="Arial" w:cs="Arial"/>
                <w:color w:val="000000"/>
                <w:sz w:val="18"/>
                <w:szCs w:val="18"/>
              </w:rPr>
              <w:t>)</w:t>
            </w:r>
          </w:p>
        </w:tc>
        <w:tc>
          <w:tcPr>
            <w:tcW w:w="1341" w:type="dxa"/>
            <w:hideMark/>
          </w:tcPr>
          <w:p w:rsidR="008B6C03" w:rsidRPr="008B6C03" w:rsidRDefault="0037215D"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2F4ECB">
              <w:rPr>
                <w:rFonts w:ascii="Arial" w:eastAsia="Times New Roman" w:hAnsi="Arial" w:cs="Arial"/>
                <w:color w:val="000000"/>
                <w:sz w:val="18"/>
                <w:szCs w:val="18"/>
              </w:rPr>
              <w:t>0,213</w:t>
            </w:r>
            <w:r>
              <w:rPr>
                <w:rFonts w:ascii="Arial" w:eastAsia="Times New Roman" w:hAnsi="Arial" w:cs="Arial"/>
                <w:color w:val="000000"/>
                <w:sz w:val="18"/>
                <w:szCs w:val="18"/>
              </w:rPr>
              <w:t>)</w:t>
            </w:r>
          </w:p>
        </w:tc>
        <w:tc>
          <w:tcPr>
            <w:tcW w:w="1341" w:type="dxa"/>
            <w:hideMark/>
          </w:tcPr>
          <w:p w:rsidR="008B6C03" w:rsidRPr="008B6C03" w:rsidRDefault="0037215D"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2F4ECB">
              <w:rPr>
                <w:rFonts w:ascii="Arial" w:eastAsia="Times New Roman" w:hAnsi="Arial" w:cs="Arial"/>
                <w:color w:val="000000"/>
                <w:sz w:val="18"/>
                <w:szCs w:val="18"/>
              </w:rPr>
              <w:t>0,196</w:t>
            </w:r>
            <w:r>
              <w:rPr>
                <w:rFonts w:ascii="Arial" w:eastAsia="Times New Roman" w:hAnsi="Arial" w:cs="Arial"/>
                <w:color w:val="000000"/>
                <w:sz w:val="18"/>
                <w:szCs w:val="18"/>
              </w:rPr>
              <w:t>)</w:t>
            </w:r>
          </w:p>
        </w:tc>
        <w:tc>
          <w:tcPr>
            <w:tcW w:w="1341" w:type="dxa"/>
            <w:hideMark/>
          </w:tcPr>
          <w:p w:rsidR="008B6C03" w:rsidRPr="008B6C03" w:rsidRDefault="0037215D"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2F4ECB">
              <w:rPr>
                <w:rFonts w:ascii="Arial" w:eastAsia="Times New Roman" w:hAnsi="Arial" w:cs="Arial"/>
                <w:color w:val="000000"/>
                <w:sz w:val="18"/>
                <w:szCs w:val="18"/>
              </w:rPr>
              <w:t>0,216</w:t>
            </w:r>
            <w:r>
              <w:rPr>
                <w:rFonts w:ascii="Arial" w:eastAsia="Times New Roman" w:hAnsi="Arial" w:cs="Arial"/>
                <w:color w:val="000000"/>
                <w:sz w:val="18"/>
                <w:szCs w:val="18"/>
              </w:rPr>
              <w:t>)</w:t>
            </w:r>
          </w:p>
        </w:tc>
        <w:tc>
          <w:tcPr>
            <w:tcW w:w="1341" w:type="dxa"/>
            <w:hideMark/>
          </w:tcPr>
          <w:p w:rsidR="008B6C03" w:rsidRPr="008B6C03" w:rsidRDefault="0037215D" w:rsidP="000371D6">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0371D6">
              <w:rPr>
                <w:rFonts w:ascii="Arial" w:eastAsia="Times New Roman" w:hAnsi="Arial" w:cs="Arial"/>
                <w:color w:val="000000"/>
                <w:sz w:val="18"/>
                <w:szCs w:val="18"/>
              </w:rPr>
              <w:t>0,208</w:t>
            </w:r>
            <w:r>
              <w:rPr>
                <w:rFonts w:ascii="Arial" w:eastAsia="Times New Roman" w:hAnsi="Arial" w:cs="Arial"/>
                <w:color w:val="000000"/>
                <w:sz w:val="18"/>
                <w:szCs w:val="18"/>
              </w:rPr>
              <w:t>)</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LEQINV</w:t>
            </w:r>
          </w:p>
        </w:tc>
        <w:tc>
          <w:tcPr>
            <w:tcW w:w="1195"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 </w:t>
            </w:r>
            <w:r w:rsidR="00D52B25">
              <w:rPr>
                <w:rFonts w:ascii="Arial" w:eastAsia="Times New Roman" w:hAnsi="Arial" w:cs="Arial"/>
                <w:color w:val="000000"/>
                <w:sz w:val="20"/>
                <w:szCs w:val="20"/>
              </w:rPr>
              <w:t>-</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w:t>
            </w:r>
            <w:r w:rsidR="002F4ECB">
              <w:rPr>
                <w:rFonts w:ascii="Arial" w:eastAsia="Times New Roman" w:hAnsi="Arial" w:cs="Arial"/>
                <w:color w:val="000000"/>
                <w:sz w:val="18"/>
                <w:szCs w:val="18"/>
              </w:rPr>
              <w:t>60</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-0,09</w:t>
            </w:r>
            <w:r w:rsidR="002F4ECB">
              <w:rPr>
                <w:rFonts w:ascii="Arial" w:eastAsia="Times New Roman" w:hAnsi="Arial" w:cs="Arial"/>
                <w:color w:val="000000"/>
                <w:sz w:val="18"/>
                <w:szCs w:val="18"/>
              </w:rPr>
              <w:t>8</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-0,14</w:t>
            </w:r>
            <w:r w:rsidR="002F4ECB">
              <w:rPr>
                <w:rFonts w:ascii="Arial" w:eastAsia="Times New Roman" w:hAnsi="Arial" w:cs="Arial"/>
                <w:color w:val="000000"/>
                <w:sz w:val="18"/>
                <w:szCs w:val="18"/>
              </w:rPr>
              <w:t>7</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-0,172</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-0,17</w:t>
            </w:r>
            <w:r w:rsidR="000371D6">
              <w:rPr>
                <w:rFonts w:ascii="Arial" w:eastAsia="Times New Roman" w:hAnsi="Arial" w:cs="Arial"/>
                <w:color w:val="000000"/>
                <w:sz w:val="18"/>
                <w:szCs w:val="18"/>
              </w:rPr>
              <w:t>4</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195"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341" w:type="dxa"/>
            <w:hideMark/>
          </w:tcPr>
          <w:p w:rsidR="008B6C03" w:rsidRPr="008B6C03" w:rsidRDefault="0037215D"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2F4ECB">
              <w:rPr>
                <w:rFonts w:ascii="Arial" w:eastAsia="Times New Roman" w:hAnsi="Arial" w:cs="Arial"/>
                <w:color w:val="000000"/>
                <w:sz w:val="18"/>
                <w:szCs w:val="18"/>
              </w:rPr>
              <w:t>0,096</w:t>
            </w:r>
            <w:r>
              <w:rPr>
                <w:rFonts w:ascii="Arial" w:eastAsia="Times New Roman" w:hAnsi="Arial" w:cs="Arial"/>
                <w:color w:val="000000"/>
                <w:sz w:val="18"/>
                <w:szCs w:val="18"/>
              </w:rPr>
              <w:t>)</w:t>
            </w:r>
          </w:p>
        </w:tc>
        <w:tc>
          <w:tcPr>
            <w:tcW w:w="1341" w:type="dxa"/>
            <w:hideMark/>
          </w:tcPr>
          <w:p w:rsidR="008B6C03" w:rsidRPr="008B6C03" w:rsidRDefault="0037215D" w:rsidP="002F4ECB">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2F4ECB">
              <w:rPr>
                <w:rFonts w:ascii="Arial" w:eastAsia="Times New Roman" w:hAnsi="Arial" w:cs="Arial"/>
                <w:color w:val="000000"/>
                <w:sz w:val="18"/>
                <w:szCs w:val="18"/>
              </w:rPr>
              <w:t>0,077</w:t>
            </w:r>
            <w:r>
              <w:rPr>
                <w:rFonts w:ascii="Arial" w:eastAsia="Times New Roman" w:hAnsi="Arial" w:cs="Arial"/>
                <w:color w:val="000000"/>
                <w:sz w:val="18"/>
                <w:szCs w:val="18"/>
              </w:rPr>
              <w:t>)</w:t>
            </w:r>
          </w:p>
        </w:tc>
        <w:tc>
          <w:tcPr>
            <w:tcW w:w="1341" w:type="dxa"/>
            <w:hideMark/>
          </w:tcPr>
          <w:p w:rsidR="008B6C03" w:rsidRPr="008B6C03" w:rsidRDefault="0037215D"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2F4ECB">
              <w:rPr>
                <w:rFonts w:ascii="Arial" w:eastAsia="Times New Roman" w:hAnsi="Arial" w:cs="Arial"/>
                <w:color w:val="000000"/>
                <w:sz w:val="18"/>
                <w:szCs w:val="18"/>
              </w:rPr>
              <w:t>0,074</w:t>
            </w:r>
            <w:r>
              <w:rPr>
                <w:rFonts w:ascii="Arial" w:eastAsia="Times New Roman" w:hAnsi="Arial" w:cs="Arial"/>
                <w:color w:val="000000"/>
                <w:sz w:val="18"/>
                <w:szCs w:val="18"/>
              </w:rPr>
              <w:t>)</w:t>
            </w:r>
          </w:p>
        </w:tc>
        <w:tc>
          <w:tcPr>
            <w:tcW w:w="1341" w:type="dxa"/>
            <w:hideMark/>
          </w:tcPr>
          <w:p w:rsidR="008B6C03" w:rsidRPr="008B6C03" w:rsidRDefault="0037215D"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2F4ECB">
              <w:rPr>
                <w:rFonts w:ascii="Arial" w:eastAsia="Times New Roman" w:hAnsi="Arial" w:cs="Arial"/>
                <w:color w:val="000000"/>
                <w:sz w:val="18"/>
                <w:szCs w:val="18"/>
              </w:rPr>
              <w:t>0,098</w:t>
            </w:r>
            <w:r>
              <w:rPr>
                <w:rFonts w:ascii="Arial" w:eastAsia="Times New Roman" w:hAnsi="Arial" w:cs="Arial"/>
                <w:color w:val="000000"/>
                <w:sz w:val="18"/>
                <w:szCs w:val="18"/>
              </w:rPr>
              <w:t>)</w:t>
            </w:r>
          </w:p>
        </w:tc>
        <w:tc>
          <w:tcPr>
            <w:tcW w:w="1341" w:type="dxa"/>
            <w:hideMark/>
          </w:tcPr>
          <w:p w:rsidR="008B6C03" w:rsidRPr="008B6C03" w:rsidRDefault="0037215D"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0371D6">
              <w:rPr>
                <w:rFonts w:ascii="Arial" w:eastAsia="Times New Roman" w:hAnsi="Arial" w:cs="Arial"/>
                <w:color w:val="000000"/>
                <w:sz w:val="18"/>
                <w:szCs w:val="18"/>
              </w:rPr>
              <w:t>0,085</w:t>
            </w:r>
            <w:r>
              <w:rPr>
                <w:rFonts w:ascii="Arial" w:eastAsia="Times New Roman" w:hAnsi="Arial" w:cs="Arial"/>
                <w:color w:val="000000"/>
                <w:sz w:val="18"/>
                <w:szCs w:val="18"/>
              </w:rPr>
              <w:t>)</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LNGDP</w:t>
            </w:r>
          </w:p>
        </w:tc>
        <w:tc>
          <w:tcPr>
            <w:tcW w:w="1195"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 </w:t>
            </w:r>
            <w:r w:rsidR="00D52B25">
              <w:rPr>
                <w:rFonts w:ascii="Arial" w:eastAsia="Times New Roman" w:hAnsi="Arial" w:cs="Arial"/>
                <w:color w:val="000000"/>
                <w:sz w:val="20"/>
                <w:szCs w:val="20"/>
              </w:rPr>
              <w:t>+</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2F4ECB"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-0,120</w:t>
            </w:r>
            <w:r w:rsidR="00E57369">
              <w:rPr>
                <w:rFonts w:ascii="Arial" w:eastAsia="Times New Roman" w:hAnsi="Arial" w:cs="Arial"/>
                <w:color w:val="000000"/>
                <w:sz w:val="18"/>
                <w:szCs w:val="18"/>
              </w:rPr>
              <w:t>*</w:t>
            </w:r>
          </w:p>
        </w:tc>
        <w:tc>
          <w:tcPr>
            <w:tcW w:w="1341" w:type="dxa"/>
            <w:hideMark/>
          </w:tcPr>
          <w:p w:rsidR="008B6C03" w:rsidRPr="008B6C03" w:rsidRDefault="002F4ECB"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-0,132</w:t>
            </w:r>
            <w:r w:rsidR="00E57369">
              <w:rPr>
                <w:rFonts w:ascii="Arial" w:eastAsia="Times New Roman" w:hAnsi="Arial" w:cs="Arial"/>
                <w:color w:val="000000"/>
                <w:sz w:val="18"/>
                <w:szCs w:val="18"/>
              </w:rPr>
              <w:t>*</w:t>
            </w:r>
          </w:p>
        </w:tc>
        <w:tc>
          <w:tcPr>
            <w:tcW w:w="1341" w:type="dxa"/>
            <w:hideMark/>
          </w:tcPr>
          <w:p w:rsidR="008B6C03" w:rsidRPr="008B6C03" w:rsidRDefault="002F4ECB"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-0,140</w:t>
            </w:r>
            <w:r w:rsidR="00E57369">
              <w:rPr>
                <w:rFonts w:ascii="Arial" w:eastAsia="Times New Roman" w:hAnsi="Arial" w:cs="Arial"/>
                <w:color w:val="000000"/>
                <w:sz w:val="18"/>
                <w:szCs w:val="18"/>
              </w:rPr>
              <w:t>*</w:t>
            </w:r>
          </w:p>
        </w:tc>
        <w:tc>
          <w:tcPr>
            <w:tcW w:w="1341" w:type="dxa"/>
            <w:hideMark/>
          </w:tcPr>
          <w:p w:rsidR="008B6C03" w:rsidRPr="008B6C03" w:rsidRDefault="000371D6"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-0,123</w:t>
            </w:r>
            <w:r w:rsidR="00E57369">
              <w:rPr>
                <w:rFonts w:ascii="Arial" w:eastAsia="Times New Roman" w:hAnsi="Arial" w:cs="Arial"/>
                <w:color w:val="000000"/>
                <w:sz w:val="18"/>
                <w:szCs w:val="18"/>
              </w:rPr>
              <w:t>*</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195"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37215D"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2F4ECB">
              <w:rPr>
                <w:rFonts w:ascii="Arial" w:eastAsia="Times New Roman" w:hAnsi="Arial" w:cs="Arial"/>
                <w:color w:val="000000"/>
                <w:sz w:val="18"/>
                <w:szCs w:val="18"/>
              </w:rPr>
              <w:t>0,024</w:t>
            </w:r>
            <w:r>
              <w:rPr>
                <w:rFonts w:ascii="Arial" w:eastAsia="Times New Roman" w:hAnsi="Arial" w:cs="Arial"/>
                <w:color w:val="000000"/>
                <w:sz w:val="18"/>
                <w:szCs w:val="18"/>
              </w:rPr>
              <w:t>)</w:t>
            </w:r>
          </w:p>
        </w:tc>
        <w:tc>
          <w:tcPr>
            <w:tcW w:w="1341" w:type="dxa"/>
            <w:hideMark/>
          </w:tcPr>
          <w:p w:rsidR="008B6C03" w:rsidRPr="008B6C03" w:rsidRDefault="0037215D"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2F4ECB">
              <w:rPr>
                <w:rFonts w:ascii="Arial" w:eastAsia="Times New Roman" w:hAnsi="Arial" w:cs="Arial"/>
                <w:color w:val="000000"/>
                <w:sz w:val="18"/>
                <w:szCs w:val="18"/>
              </w:rPr>
              <w:t>0,024</w:t>
            </w:r>
            <w:r>
              <w:rPr>
                <w:rFonts w:ascii="Arial" w:eastAsia="Times New Roman" w:hAnsi="Arial" w:cs="Arial"/>
                <w:color w:val="000000"/>
                <w:sz w:val="18"/>
                <w:szCs w:val="18"/>
              </w:rPr>
              <w:t>)</w:t>
            </w:r>
          </w:p>
        </w:tc>
        <w:tc>
          <w:tcPr>
            <w:tcW w:w="1341" w:type="dxa"/>
            <w:hideMark/>
          </w:tcPr>
          <w:p w:rsidR="008B6C03" w:rsidRPr="008B6C03" w:rsidRDefault="0037215D"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2F4ECB">
              <w:rPr>
                <w:rFonts w:ascii="Arial" w:eastAsia="Times New Roman" w:hAnsi="Arial" w:cs="Arial"/>
                <w:color w:val="000000"/>
                <w:sz w:val="18"/>
                <w:szCs w:val="18"/>
              </w:rPr>
              <w:t>0,024</w:t>
            </w:r>
            <w:r>
              <w:rPr>
                <w:rFonts w:ascii="Arial" w:eastAsia="Times New Roman" w:hAnsi="Arial" w:cs="Arial"/>
                <w:color w:val="000000"/>
                <w:sz w:val="18"/>
                <w:szCs w:val="18"/>
              </w:rPr>
              <w:t>)</w:t>
            </w:r>
          </w:p>
        </w:tc>
        <w:tc>
          <w:tcPr>
            <w:tcW w:w="1341" w:type="dxa"/>
            <w:hideMark/>
          </w:tcPr>
          <w:p w:rsidR="008B6C03" w:rsidRPr="008B6C03" w:rsidRDefault="0037215D"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0371D6">
              <w:rPr>
                <w:rFonts w:ascii="Arial" w:eastAsia="Times New Roman" w:hAnsi="Arial" w:cs="Arial"/>
                <w:color w:val="000000"/>
                <w:sz w:val="18"/>
                <w:szCs w:val="18"/>
              </w:rPr>
              <w:t>0,027</w:t>
            </w:r>
            <w:r>
              <w:rPr>
                <w:rFonts w:ascii="Arial" w:eastAsia="Times New Roman" w:hAnsi="Arial" w:cs="Arial"/>
                <w:color w:val="000000"/>
                <w:sz w:val="18"/>
                <w:szCs w:val="18"/>
              </w:rPr>
              <w:t>)</w:t>
            </w:r>
          </w:p>
        </w:tc>
      </w:tr>
      <w:tr w:rsidR="008B6C03" w:rsidRPr="008B6C03" w:rsidTr="00BF3EE6">
        <w:trPr>
          <w:trHeight w:val="34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LNMARCAP</w:t>
            </w:r>
          </w:p>
        </w:tc>
        <w:tc>
          <w:tcPr>
            <w:tcW w:w="1195"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 </w:t>
            </w:r>
            <w:r w:rsidR="00D52B25">
              <w:rPr>
                <w:rFonts w:ascii="Arial" w:eastAsia="Times New Roman" w:hAnsi="Arial" w:cs="Arial"/>
                <w:color w:val="000000"/>
                <w:sz w:val="20"/>
                <w:szCs w:val="20"/>
              </w:rPr>
              <w:t>+</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0,045</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0,06</w:t>
            </w:r>
            <w:r w:rsidR="002F4ECB">
              <w:rPr>
                <w:rFonts w:ascii="Arial" w:eastAsia="Times New Roman" w:hAnsi="Arial" w:cs="Arial"/>
                <w:color w:val="000000"/>
                <w:sz w:val="18"/>
                <w:szCs w:val="18"/>
              </w:rPr>
              <w:t>4</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0,062</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195"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37215D"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2F4ECB">
              <w:rPr>
                <w:rFonts w:ascii="Arial" w:eastAsia="Times New Roman" w:hAnsi="Arial" w:cs="Arial"/>
                <w:color w:val="000000"/>
                <w:sz w:val="18"/>
                <w:szCs w:val="18"/>
              </w:rPr>
              <w:t>0,028</w:t>
            </w:r>
            <w:r>
              <w:rPr>
                <w:rFonts w:ascii="Arial" w:eastAsia="Times New Roman" w:hAnsi="Arial" w:cs="Arial"/>
                <w:color w:val="000000"/>
                <w:sz w:val="18"/>
                <w:szCs w:val="18"/>
              </w:rPr>
              <w:t>)</w:t>
            </w:r>
          </w:p>
        </w:tc>
        <w:tc>
          <w:tcPr>
            <w:tcW w:w="1341" w:type="dxa"/>
            <w:hideMark/>
          </w:tcPr>
          <w:p w:rsidR="008B6C03" w:rsidRPr="008B6C03" w:rsidRDefault="0037215D" w:rsidP="002F4ECB">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2F4ECB">
              <w:rPr>
                <w:rFonts w:ascii="Arial" w:eastAsia="Times New Roman" w:hAnsi="Arial" w:cs="Arial"/>
                <w:color w:val="000000"/>
                <w:sz w:val="18"/>
                <w:szCs w:val="18"/>
              </w:rPr>
              <w:t>0,039</w:t>
            </w:r>
            <w:r>
              <w:rPr>
                <w:rFonts w:ascii="Arial" w:eastAsia="Times New Roman" w:hAnsi="Arial" w:cs="Arial"/>
                <w:color w:val="000000"/>
                <w:sz w:val="18"/>
                <w:szCs w:val="18"/>
              </w:rPr>
              <w:t>)</w:t>
            </w:r>
          </w:p>
        </w:tc>
        <w:tc>
          <w:tcPr>
            <w:tcW w:w="1341" w:type="dxa"/>
            <w:hideMark/>
          </w:tcPr>
          <w:p w:rsidR="008B6C03" w:rsidRPr="008B6C03" w:rsidRDefault="0037215D"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0371D6">
              <w:rPr>
                <w:rFonts w:ascii="Arial" w:eastAsia="Times New Roman" w:hAnsi="Arial" w:cs="Arial"/>
                <w:color w:val="000000"/>
                <w:sz w:val="18"/>
                <w:szCs w:val="18"/>
              </w:rPr>
              <w:t>0,036</w:t>
            </w:r>
            <w:r>
              <w:rPr>
                <w:rFonts w:ascii="Arial" w:eastAsia="Times New Roman" w:hAnsi="Arial" w:cs="Arial"/>
                <w:color w:val="000000"/>
                <w:sz w:val="18"/>
                <w:szCs w:val="18"/>
              </w:rPr>
              <w:t>)</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AGEDR</w:t>
            </w:r>
          </w:p>
        </w:tc>
        <w:tc>
          <w:tcPr>
            <w:tcW w:w="1195"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 </w:t>
            </w:r>
            <w:r w:rsidR="00D52B25">
              <w:rPr>
                <w:rFonts w:ascii="Arial" w:eastAsia="Times New Roman" w:hAnsi="Arial" w:cs="Arial"/>
                <w:color w:val="000000"/>
                <w:sz w:val="20"/>
                <w:szCs w:val="20"/>
              </w:rPr>
              <w:t>-</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-0,460</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0,1</w:t>
            </w:r>
            <w:r w:rsidR="000371D6">
              <w:rPr>
                <w:rFonts w:ascii="Arial" w:eastAsia="Times New Roman" w:hAnsi="Arial" w:cs="Arial"/>
                <w:color w:val="000000"/>
                <w:sz w:val="18"/>
                <w:szCs w:val="18"/>
              </w:rPr>
              <w:t>30</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195"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37215D"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2F4ECB">
              <w:rPr>
                <w:rFonts w:ascii="Arial" w:eastAsia="Times New Roman" w:hAnsi="Arial" w:cs="Arial"/>
                <w:color w:val="000000"/>
                <w:sz w:val="18"/>
                <w:szCs w:val="18"/>
              </w:rPr>
              <w:t>0,541</w:t>
            </w:r>
            <w:r>
              <w:rPr>
                <w:rFonts w:ascii="Arial" w:eastAsia="Times New Roman" w:hAnsi="Arial" w:cs="Arial"/>
                <w:color w:val="000000"/>
                <w:sz w:val="18"/>
                <w:szCs w:val="18"/>
              </w:rPr>
              <w:t>)</w:t>
            </w:r>
          </w:p>
        </w:tc>
        <w:tc>
          <w:tcPr>
            <w:tcW w:w="1341" w:type="dxa"/>
            <w:hideMark/>
          </w:tcPr>
          <w:p w:rsidR="008B6C03" w:rsidRPr="008B6C03" w:rsidRDefault="0037215D"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0371D6">
              <w:rPr>
                <w:rFonts w:ascii="Arial" w:eastAsia="Times New Roman" w:hAnsi="Arial" w:cs="Arial"/>
                <w:color w:val="000000"/>
                <w:sz w:val="18"/>
                <w:szCs w:val="18"/>
              </w:rPr>
              <w:t>0,453</w:t>
            </w:r>
            <w:r>
              <w:rPr>
                <w:rFonts w:ascii="Arial" w:eastAsia="Times New Roman" w:hAnsi="Arial" w:cs="Arial"/>
                <w:color w:val="000000"/>
                <w:sz w:val="18"/>
                <w:szCs w:val="18"/>
              </w:rPr>
              <w:t>)</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DB</w:t>
            </w:r>
          </w:p>
        </w:tc>
        <w:tc>
          <w:tcPr>
            <w:tcW w:w="1195"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 </w:t>
            </w:r>
            <w:r w:rsidR="00D52B25">
              <w:rPr>
                <w:rFonts w:ascii="Arial" w:eastAsia="Times New Roman" w:hAnsi="Arial" w:cs="Arial"/>
                <w:color w:val="000000"/>
                <w:sz w:val="20"/>
                <w:szCs w:val="20"/>
              </w:rPr>
              <w:t>-</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0371D6"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-0,204</w:t>
            </w:r>
            <w:r w:rsidR="00E57369">
              <w:rPr>
                <w:rFonts w:ascii="Arial" w:eastAsia="Times New Roman" w:hAnsi="Arial" w:cs="Arial"/>
                <w:color w:val="000000"/>
                <w:sz w:val="18"/>
                <w:szCs w:val="18"/>
              </w:rPr>
              <w:t>*</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195"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37215D"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0371D6">
              <w:rPr>
                <w:rFonts w:ascii="Arial" w:eastAsia="Times New Roman" w:hAnsi="Arial" w:cs="Arial"/>
                <w:color w:val="000000"/>
                <w:sz w:val="18"/>
                <w:szCs w:val="18"/>
              </w:rPr>
              <w:t>0,062</w:t>
            </w:r>
            <w:r>
              <w:rPr>
                <w:rFonts w:ascii="Arial" w:eastAsia="Times New Roman" w:hAnsi="Arial" w:cs="Arial"/>
                <w:color w:val="000000"/>
                <w:sz w:val="18"/>
                <w:szCs w:val="18"/>
              </w:rPr>
              <w:t>)</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R</w:t>
            </w:r>
            <w:r w:rsidRPr="008B6C03">
              <w:rPr>
                <w:rFonts w:ascii="Arial" w:eastAsia="Times New Roman" w:hAnsi="Arial" w:cs="Arial"/>
                <w:color w:val="000000"/>
                <w:sz w:val="20"/>
                <w:szCs w:val="20"/>
                <w:vertAlign w:val="superscript"/>
              </w:rPr>
              <w:t>2</w:t>
            </w:r>
          </w:p>
        </w:tc>
        <w:tc>
          <w:tcPr>
            <w:tcW w:w="1195"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0,025</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0,479</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0,53</w:t>
            </w:r>
            <w:r w:rsidR="002F4ECB">
              <w:rPr>
                <w:rFonts w:ascii="Arial" w:eastAsia="Times New Roman" w:hAnsi="Arial" w:cs="Arial"/>
                <w:color w:val="000000"/>
                <w:sz w:val="18"/>
                <w:szCs w:val="18"/>
              </w:rPr>
              <w:t>4</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0,55</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0,70</w:t>
            </w:r>
            <w:r w:rsidR="000371D6">
              <w:rPr>
                <w:rFonts w:ascii="Arial" w:eastAsia="Times New Roman" w:hAnsi="Arial" w:cs="Arial"/>
                <w:color w:val="000000"/>
                <w:sz w:val="18"/>
                <w:szCs w:val="18"/>
              </w:rPr>
              <w:t>5</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195"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r>
      <w:tr w:rsidR="008B6C03" w:rsidRPr="008B6C03" w:rsidTr="00BF3EE6">
        <w:trPr>
          <w:trHeight w:val="58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Number of observations</w:t>
            </w:r>
          </w:p>
        </w:tc>
        <w:tc>
          <w:tcPr>
            <w:tcW w:w="1195"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19</w:t>
            </w:r>
          </w:p>
        </w:tc>
        <w:tc>
          <w:tcPr>
            <w:tcW w:w="1341"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19</w:t>
            </w:r>
          </w:p>
        </w:tc>
        <w:tc>
          <w:tcPr>
            <w:tcW w:w="1341"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19</w:t>
            </w:r>
          </w:p>
        </w:tc>
        <w:tc>
          <w:tcPr>
            <w:tcW w:w="1341"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19</w:t>
            </w:r>
          </w:p>
        </w:tc>
        <w:tc>
          <w:tcPr>
            <w:tcW w:w="1341"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19</w:t>
            </w:r>
          </w:p>
        </w:tc>
      </w:tr>
    </w:tbl>
    <w:p w:rsidR="007D3407" w:rsidRDefault="007D3407" w:rsidP="007D3407">
      <w:pPr>
        <w:autoSpaceDE w:val="0"/>
        <w:autoSpaceDN w:val="0"/>
        <w:adjustRightInd w:val="0"/>
        <w:spacing w:after="0" w:line="240" w:lineRule="auto"/>
        <w:rPr>
          <w:rFonts w:ascii="Arial" w:hAnsi="Arial" w:cs="Arial"/>
          <w:sz w:val="18"/>
          <w:szCs w:val="18"/>
          <w:lang w:val="en-US"/>
        </w:rPr>
      </w:pPr>
    </w:p>
    <w:p w:rsidR="001D7A5C" w:rsidRDefault="001D7A5C" w:rsidP="007D3407">
      <w:pPr>
        <w:autoSpaceDE w:val="0"/>
        <w:autoSpaceDN w:val="0"/>
        <w:adjustRightInd w:val="0"/>
        <w:spacing w:after="0" w:line="240" w:lineRule="auto"/>
        <w:rPr>
          <w:rFonts w:ascii="Arial" w:hAnsi="Arial" w:cs="Arial"/>
          <w:sz w:val="18"/>
          <w:szCs w:val="18"/>
          <w:lang w:val="en-US"/>
        </w:rPr>
      </w:pPr>
    </w:p>
    <w:p w:rsidR="007D3407" w:rsidRDefault="007D3407" w:rsidP="007D3407">
      <w:pPr>
        <w:autoSpaceDE w:val="0"/>
        <w:autoSpaceDN w:val="0"/>
        <w:adjustRightInd w:val="0"/>
        <w:spacing w:after="0" w:line="240" w:lineRule="auto"/>
        <w:rPr>
          <w:rFonts w:ascii="Arial" w:hAnsi="Arial" w:cs="Arial"/>
          <w:sz w:val="18"/>
          <w:szCs w:val="18"/>
          <w:lang w:val="en-US"/>
        </w:rPr>
      </w:pPr>
    </w:p>
    <w:p w:rsidR="007D3407" w:rsidRPr="00F51FB9" w:rsidRDefault="00F51FB9" w:rsidP="00F51FB9">
      <w:pPr>
        <w:pStyle w:val="ListParagraph"/>
        <w:numPr>
          <w:ilvl w:val="0"/>
          <w:numId w:val="30"/>
        </w:numPr>
        <w:autoSpaceDE w:val="0"/>
        <w:autoSpaceDN w:val="0"/>
        <w:adjustRightInd w:val="0"/>
        <w:spacing w:after="0" w:line="240" w:lineRule="auto"/>
        <w:rPr>
          <w:rFonts w:ascii="Arial" w:hAnsi="Arial" w:cs="Arial"/>
          <w:b/>
          <w:sz w:val="18"/>
          <w:szCs w:val="18"/>
          <w:lang w:val="en-US"/>
        </w:rPr>
      </w:pPr>
      <w:r w:rsidRPr="00F51FB9">
        <w:rPr>
          <w:rFonts w:ascii="Arial" w:hAnsi="Arial" w:cs="Arial"/>
          <w:b/>
          <w:sz w:val="18"/>
          <w:szCs w:val="18"/>
          <w:lang w:val="en-US"/>
        </w:rPr>
        <w:t>Uncertainty Avoidance</w:t>
      </w:r>
    </w:p>
    <w:p w:rsidR="00F51FB9" w:rsidRDefault="00F51FB9" w:rsidP="007D3407">
      <w:pPr>
        <w:autoSpaceDE w:val="0"/>
        <w:autoSpaceDN w:val="0"/>
        <w:adjustRightInd w:val="0"/>
        <w:spacing w:after="0" w:line="240" w:lineRule="auto"/>
        <w:rPr>
          <w:rFonts w:ascii="Arial" w:hAnsi="Arial" w:cs="Arial"/>
          <w:sz w:val="18"/>
          <w:szCs w:val="18"/>
          <w:lang w:val="en-US"/>
        </w:rPr>
      </w:pPr>
    </w:p>
    <w:tbl>
      <w:tblPr>
        <w:tblStyle w:val="LightShading1"/>
        <w:tblW w:w="0" w:type="auto"/>
        <w:tblLook w:val="06A0"/>
      </w:tblPr>
      <w:tblGrid>
        <w:gridCol w:w="1524"/>
        <w:gridCol w:w="1195"/>
        <w:gridCol w:w="1341"/>
        <w:gridCol w:w="1341"/>
        <w:gridCol w:w="1341"/>
        <w:gridCol w:w="1341"/>
        <w:gridCol w:w="1341"/>
      </w:tblGrid>
      <w:tr w:rsidR="007D3407" w:rsidTr="00BF3EE6">
        <w:trPr>
          <w:cnfStyle w:val="100000000000"/>
        </w:trPr>
        <w:tc>
          <w:tcPr>
            <w:cnfStyle w:val="001000000000"/>
            <w:tcW w:w="1524" w:type="dxa"/>
          </w:tcPr>
          <w:p w:rsidR="007D3407" w:rsidRPr="00A1756F" w:rsidRDefault="007D3407" w:rsidP="007D3407">
            <w:pPr>
              <w:jc w:val="both"/>
              <w:rPr>
                <w:rFonts w:ascii="Arial" w:hAnsi="Arial" w:cs="Arial"/>
                <w:i/>
                <w:lang w:val="en-US"/>
              </w:rPr>
            </w:pPr>
            <w:r>
              <w:rPr>
                <w:rFonts w:ascii="Arial" w:hAnsi="Arial" w:cs="Arial"/>
                <w:i/>
                <w:lang w:val="en-US"/>
              </w:rPr>
              <w:t>Variable</w:t>
            </w:r>
          </w:p>
        </w:tc>
        <w:tc>
          <w:tcPr>
            <w:tcW w:w="1195" w:type="dxa"/>
          </w:tcPr>
          <w:p w:rsidR="007D3407" w:rsidRPr="002D207A" w:rsidRDefault="007D3407" w:rsidP="007D3407">
            <w:pPr>
              <w:jc w:val="both"/>
              <w:cnfStyle w:val="100000000000"/>
              <w:rPr>
                <w:rFonts w:ascii="Arial" w:hAnsi="Arial" w:cs="Arial"/>
                <w:i/>
                <w:lang w:val="en-US"/>
              </w:rPr>
            </w:pPr>
            <w:r>
              <w:rPr>
                <w:rFonts w:ascii="Arial" w:hAnsi="Arial" w:cs="Arial"/>
                <w:i/>
                <w:lang w:val="en-US"/>
              </w:rPr>
              <w:t>Expected sign</w:t>
            </w:r>
          </w:p>
        </w:tc>
        <w:tc>
          <w:tcPr>
            <w:tcW w:w="1341" w:type="dxa"/>
          </w:tcPr>
          <w:p w:rsidR="007D3407" w:rsidRPr="002D207A" w:rsidRDefault="007D3407" w:rsidP="007D3407">
            <w:pPr>
              <w:jc w:val="both"/>
              <w:cnfStyle w:val="100000000000"/>
              <w:rPr>
                <w:rFonts w:ascii="Arial" w:hAnsi="Arial" w:cs="Arial"/>
                <w:i/>
                <w:lang w:val="en-US"/>
              </w:rPr>
            </w:pPr>
            <w:r w:rsidRPr="002D207A">
              <w:rPr>
                <w:rFonts w:ascii="Arial" w:hAnsi="Arial" w:cs="Arial"/>
                <w:i/>
                <w:lang w:val="en-US"/>
              </w:rPr>
              <w:t>Model 1</w:t>
            </w:r>
          </w:p>
        </w:tc>
        <w:tc>
          <w:tcPr>
            <w:tcW w:w="1341" w:type="dxa"/>
          </w:tcPr>
          <w:p w:rsidR="007D3407" w:rsidRPr="002D207A" w:rsidRDefault="007D3407" w:rsidP="007D3407">
            <w:pPr>
              <w:cnfStyle w:val="100000000000"/>
              <w:rPr>
                <w:rFonts w:ascii="Arial" w:hAnsi="Arial" w:cs="Arial"/>
                <w:i/>
                <w:lang w:val="en-US"/>
              </w:rPr>
            </w:pPr>
            <w:r w:rsidRPr="002D207A">
              <w:rPr>
                <w:rFonts w:ascii="Arial" w:hAnsi="Arial" w:cs="Arial"/>
                <w:i/>
                <w:lang w:val="en-US"/>
              </w:rPr>
              <w:t>Model 2</w:t>
            </w:r>
          </w:p>
        </w:tc>
        <w:tc>
          <w:tcPr>
            <w:tcW w:w="1341" w:type="dxa"/>
          </w:tcPr>
          <w:p w:rsidR="007D3407" w:rsidRPr="002D207A" w:rsidRDefault="007D3407" w:rsidP="007D3407">
            <w:pPr>
              <w:cnfStyle w:val="100000000000"/>
              <w:rPr>
                <w:rFonts w:ascii="Arial" w:hAnsi="Arial" w:cs="Arial"/>
                <w:i/>
                <w:lang w:val="en-US"/>
              </w:rPr>
            </w:pPr>
            <w:r w:rsidRPr="002D207A">
              <w:rPr>
                <w:rFonts w:ascii="Arial" w:hAnsi="Arial" w:cs="Arial"/>
                <w:i/>
                <w:lang w:val="en-US"/>
              </w:rPr>
              <w:t>Model 3</w:t>
            </w:r>
          </w:p>
        </w:tc>
        <w:tc>
          <w:tcPr>
            <w:tcW w:w="1341" w:type="dxa"/>
          </w:tcPr>
          <w:p w:rsidR="007D3407" w:rsidRPr="002D207A" w:rsidRDefault="007D3407" w:rsidP="007D3407">
            <w:pPr>
              <w:cnfStyle w:val="100000000000"/>
              <w:rPr>
                <w:rFonts w:ascii="Arial" w:hAnsi="Arial" w:cs="Arial"/>
                <w:i/>
                <w:lang w:val="en-US"/>
              </w:rPr>
            </w:pPr>
            <w:r w:rsidRPr="002D207A">
              <w:rPr>
                <w:rFonts w:ascii="Arial" w:hAnsi="Arial" w:cs="Arial"/>
                <w:i/>
                <w:lang w:val="en-US"/>
              </w:rPr>
              <w:t>Model 4</w:t>
            </w:r>
          </w:p>
        </w:tc>
        <w:tc>
          <w:tcPr>
            <w:tcW w:w="1341" w:type="dxa"/>
          </w:tcPr>
          <w:p w:rsidR="007D3407" w:rsidRPr="002D207A" w:rsidRDefault="007D3407" w:rsidP="007D3407">
            <w:pPr>
              <w:cnfStyle w:val="100000000000"/>
              <w:rPr>
                <w:rFonts w:ascii="Arial" w:hAnsi="Arial" w:cs="Arial"/>
                <w:i/>
                <w:lang w:val="en-US"/>
              </w:rPr>
            </w:pPr>
            <w:r w:rsidRPr="002D207A">
              <w:rPr>
                <w:rFonts w:ascii="Arial" w:hAnsi="Arial" w:cs="Arial"/>
                <w:i/>
                <w:lang w:val="en-US"/>
              </w:rPr>
              <w:t>Model 5</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i/>
                <w:iCs/>
                <w:color w:val="000000"/>
              </w:rPr>
            </w:pPr>
            <w:r w:rsidRPr="008B6C03">
              <w:rPr>
                <w:rFonts w:ascii="Arial" w:eastAsia="Times New Roman" w:hAnsi="Arial" w:cs="Arial"/>
                <w:i/>
                <w:iCs/>
                <w:color w:val="000000"/>
              </w:rPr>
              <w:t> </w:t>
            </w:r>
          </w:p>
        </w:tc>
        <w:tc>
          <w:tcPr>
            <w:tcW w:w="1195" w:type="dxa"/>
            <w:hideMark/>
          </w:tcPr>
          <w:p w:rsidR="008B6C03" w:rsidRPr="008B6C03" w:rsidRDefault="008B6C03" w:rsidP="008B6C03">
            <w:pPr>
              <w:jc w:val="center"/>
              <w:cnfStyle w:val="000000000000"/>
              <w:rPr>
                <w:rFonts w:ascii="Arial" w:eastAsia="Times New Roman" w:hAnsi="Arial" w:cs="Arial"/>
                <w:b/>
                <w:bCs/>
                <w:i/>
                <w:iCs/>
                <w:color w:val="000000"/>
              </w:rPr>
            </w:pPr>
            <w:r w:rsidRPr="008B6C03">
              <w:rPr>
                <w:rFonts w:ascii="Arial" w:eastAsia="Times New Roman" w:hAnsi="Arial" w:cs="Arial"/>
                <w:b/>
                <w:bCs/>
                <w:i/>
                <w:iCs/>
                <w:color w:val="000000"/>
              </w:rPr>
              <w:t> </w:t>
            </w:r>
          </w:p>
        </w:tc>
        <w:tc>
          <w:tcPr>
            <w:tcW w:w="1341" w:type="dxa"/>
            <w:hideMark/>
          </w:tcPr>
          <w:p w:rsidR="008B6C03" w:rsidRPr="008B6C03" w:rsidRDefault="008B6C03" w:rsidP="008B6C03">
            <w:pPr>
              <w:jc w:val="center"/>
              <w:cnfStyle w:val="000000000000"/>
              <w:rPr>
                <w:rFonts w:ascii="Arial" w:eastAsia="Times New Roman" w:hAnsi="Arial" w:cs="Arial"/>
                <w:b/>
                <w:bCs/>
                <w:i/>
                <w:iCs/>
                <w:color w:val="000000"/>
              </w:rPr>
            </w:pPr>
            <w:r w:rsidRPr="008B6C03">
              <w:rPr>
                <w:rFonts w:ascii="Arial" w:eastAsia="Times New Roman" w:hAnsi="Arial" w:cs="Arial"/>
                <w:b/>
                <w:bCs/>
                <w:i/>
                <w:iCs/>
                <w:color w:val="000000"/>
              </w:rPr>
              <w:t> </w:t>
            </w:r>
          </w:p>
        </w:tc>
        <w:tc>
          <w:tcPr>
            <w:tcW w:w="1341" w:type="dxa"/>
            <w:hideMark/>
          </w:tcPr>
          <w:p w:rsidR="008B6C03" w:rsidRPr="008B6C03" w:rsidRDefault="008B6C03" w:rsidP="008B6C03">
            <w:pPr>
              <w:jc w:val="center"/>
              <w:cnfStyle w:val="000000000000"/>
              <w:rPr>
                <w:rFonts w:ascii="Arial" w:eastAsia="Times New Roman" w:hAnsi="Arial" w:cs="Arial"/>
                <w:b/>
                <w:bCs/>
                <w:i/>
                <w:iCs/>
                <w:color w:val="000000"/>
              </w:rPr>
            </w:pPr>
            <w:r w:rsidRPr="008B6C03">
              <w:rPr>
                <w:rFonts w:ascii="Arial" w:eastAsia="Times New Roman" w:hAnsi="Arial" w:cs="Arial"/>
                <w:b/>
                <w:bCs/>
                <w:i/>
                <w:iCs/>
                <w:color w:val="000000"/>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UAI</w:t>
            </w:r>
          </w:p>
        </w:tc>
        <w:tc>
          <w:tcPr>
            <w:tcW w:w="1195"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-0,091</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-0,05</w:t>
            </w:r>
            <w:r w:rsidR="000371D6">
              <w:rPr>
                <w:rFonts w:ascii="Arial" w:eastAsia="Times New Roman" w:hAnsi="Arial" w:cs="Arial"/>
                <w:color w:val="000000"/>
                <w:sz w:val="18"/>
                <w:szCs w:val="18"/>
              </w:rPr>
              <w:t>7</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-0,012</w:t>
            </w:r>
            <w:r w:rsidR="000371D6">
              <w:rPr>
                <w:rFonts w:ascii="Arial" w:eastAsia="Times New Roman" w:hAnsi="Arial" w:cs="Arial"/>
                <w:color w:val="000000"/>
                <w:sz w:val="18"/>
                <w:szCs w:val="18"/>
              </w:rPr>
              <w:t>6</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-0,00</w:t>
            </w:r>
            <w:r w:rsidR="000371D6">
              <w:rPr>
                <w:rFonts w:ascii="Arial" w:eastAsia="Times New Roman" w:hAnsi="Arial" w:cs="Arial"/>
                <w:color w:val="000000"/>
                <w:sz w:val="18"/>
                <w:szCs w:val="18"/>
              </w:rPr>
              <w:t>5</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0,05</w:t>
            </w:r>
            <w:r w:rsidR="000371D6">
              <w:rPr>
                <w:rFonts w:ascii="Arial" w:eastAsia="Times New Roman" w:hAnsi="Arial" w:cs="Arial"/>
                <w:color w:val="000000"/>
                <w:sz w:val="18"/>
                <w:szCs w:val="18"/>
              </w:rPr>
              <w:t>5</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195"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341" w:type="dxa"/>
            <w:hideMark/>
          </w:tcPr>
          <w:p w:rsidR="008B6C03" w:rsidRPr="008B6C03" w:rsidRDefault="001B1286"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0371D6">
              <w:rPr>
                <w:rFonts w:ascii="Arial" w:eastAsia="Times New Roman" w:hAnsi="Arial" w:cs="Arial"/>
                <w:color w:val="000000"/>
                <w:sz w:val="18"/>
                <w:szCs w:val="18"/>
              </w:rPr>
              <w:t>0,213</w:t>
            </w:r>
            <w:r>
              <w:rPr>
                <w:rFonts w:ascii="Arial" w:eastAsia="Times New Roman" w:hAnsi="Arial" w:cs="Arial"/>
                <w:color w:val="000000"/>
                <w:sz w:val="18"/>
                <w:szCs w:val="18"/>
              </w:rPr>
              <w:t>)</w:t>
            </w:r>
          </w:p>
        </w:tc>
        <w:tc>
          <w:tcPr>
            <w:tcW w:w="1341" w:type="dxa"/>
            <w:hideMark/>
          </w:tcPr>
          <w:p w:rsidR="008B6C03" w:rsidRPr="008B6C03" w:rsidRDefault="001B1286"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0371D6">
              <w:rPr>
                <w:rFonts w:ascii="Arial" w:eastAsia="Times New Roman" w:hAnsi="Arial" w:cs="Arial"/>
                <w:color w:val="000000"/>
                <w:sz w:val="18"/>
                <w:szCs w:val="18"/>
              </w:rPr>
              <w:t>0,115</w:t>
            </w:r>
            <w:r>
              <w:rPr>
                <w:rFonts w:ascii="Arial" w:eastAsia="Times New Roman" w:hAnsi="Arial" w:cs="Arial"/>
                <w:color w:val="000000"/>
                <w:sz w:val="18"/>
                <w:szCs w:val="18"/>
              </w:rPr>
              <w:t>)</w:t>
            </w:r>
          </w:p>
        </w:tc>
        <w:tc>
          <w:tcPr>
            <w:tcW w:w="1341" w:type="dxa"/>
            <w:hideMark/>
          </w:tcPr>
          <w:p w:rsidR="008B6C03" w:rsidRPr="008B6C03" w:rsidRDefault="001B1286"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0371D6">
              <w:rPr>
                <w:rFonts w:ascii="Arial" w:eastAsia="Times New Roman" w:hAnsi="Arial" w:cs="Arial"/>
                <w:color w:val="000000"/>
                <w:sz w:val="18"/>
                <w:szCs w:val="18"/>
              </w:rPr>
              <w:t>0,122</w:t>
            </w:r>
            <w:r>
              <w:rPr>
                <w:rFonts w:ascii="Arial" w:eastAsia="Times New Roman" w:hAnsi="Arial" w:cs="Arial"/>
                <w:color w:val="000000"/>
                <w:sz w:val="18"/>
                <w:szCs w:val="18"/>
              </w:rPr>
              <w:t>)</w:t>
            </w:r>
          </w:p>
        </w:tc>
        <w:tc>
          <w:tcPr>
            <w:tcW w:w="1341" w:type="dxa"/>
            <w:hideMark/>
          </w:tcPr>
          <w:p w:rsidR="008B6C03" w:rsidRPr="008B6C03" w:rsidRDefault="001B1286"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0371D6">
              <w:rPr>
                <w:rFonts w:ascii="Arial" w:eastAsia="Times New Roman" w:hAnsi="Arial" w:cs="Arial"/>
                <w:color w:val="000000"/>
                <w:sz w:val="18"/>
                <w:szCs w:val="18"/>
              </w:rPr>
              <w:t>0,115</w:t>
            </w:r>
            <w:r>
              <w:rPr>
                <w:rFonts w:ascii="Arial" w:eastAsia="Times New Roman" w:hAnsi="Arial" w:cs="Arial"/>
                <w:color w:val="000000"/>
                <w:sz w:val="18"/>
                <w:szCs w:val="18"/>
              </w:rPr>
              <w:t>)</w:t>
            </w:r>
          </w:p>
        </w:tc>
        <w:tc>
          <w:tcPr>
            <w:tcW w:w="1341" w:type="dxa"/>
            <w:hideMark/>
          </w:tcPr>
          <w:p w:rsidR="008B6C03" w:rsidRPr="008B6C03" w:rsidRDefault="001B1286"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0371D6">
              <w:rPr>
                <w:rFonts w:ascii="Arial" w:eastAsia="Times New Roman" w:hAnsi="Arial" w:cs="Arial"/>
                <w:color w:val="000000"/>
                <w:sz w:val="18"/>
                <w:szCs w:val="18"/>
              </w:rPr>
              <w:t>0,105</w:t>
            </w:r>
            <w:r>
              <w:rPr>
                <w:rFonts w:ascii="Arial" w:eastAsia="Times New Roman" w:hAnsi="Arial" w:cs="Arial"/>
                <w:color w:val="000000"/>
                <w:sz w:val="18"/>
                <w:szCs w:val="18"/>
              </w:rPr>
              <w:t>)</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LEQINV</w:t>
            </w:r>
          </w:p>
        </w:tc>
        <w:tc>
          <w:tcPr>
            <w:tcW w:w="1195" w:type="dxa"/>
            <w:hideMark/>
          </w:tcPr>
          <w:p w:rsidR="008B6C03" w:rsidRPr="008B6C03" w:rsidRDefault="00D52B25" w:rsidP="008B6C03">
            <w:pPr>
              <w:jc w:val="center"/>
              <w:cnfStyle w:val="000000000000"/>
              <w:rPr>
                <w:rFonts w:ascii="Arial" w:eastAsia="Times New Roman" w:hAnsi="Arial" w:cs="Arial"/>
                <w:color w:val="000000"/>
                <w:sz w:val="20"/>
                <w:szCs w:val="20"/>
              </w:rPr>
            </w:pPr>
            <w:r>
              <w:rPr>
                <w:rFonts w:ascii="Arial" w:eastAsia="Times New Roman" w:hAnsi="Arial" w:cs="Arial"/>
                <w:color w:val="000000"/>
                <w:sz w:val="20"/>
                <w:szCs w:val="20"/>
              </w:rPr>
              <w:t>-</w:t>
            </w:r>
            <w:r w:rsidR="008B6C03" w:rsidRPr="008B6C03">
              <w:rPr>
                <w:rFonts w:ascii="Arial" w:eastAsia="Times New Roman" w:hAnsi="Arial" w:cs="Arial"/>
                <w:color w:val="000000"/>
                <w:sz w:val="20"/>
                <w:szCs w:val="20"/>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-0,059</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-0,088</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-0,126</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-0,143</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-0,152</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195"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341" w:type="dxa"/>
            <w:hideMark/>
          </w:tcPr>
          <w:p w:rsidR="008B6C03" w:rsidRPr="008B6C03" w:rsidRDefault="001B1286"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0371D6">
              <w:rPr>
                <w:rFonts w:ascii="Arial" w:eastAsia="Times New Roman" w:hAnsi="Arial" w:cs="Arial"/>
                <w:color w:val="000000"/>
                <w:sz w:val="18"/>
                <w:szCs w:val="18"/>
              </w:rPr>
              <w:t>0,103</w:t>
            </w:r>
            <w:r>
              <w:rPr>
                <w:rFonts w:ascii="Arial" w:eastAsia="Times New Roman" w:hAnsi="Arial" w:cs="Arial"/>
                <w:color w:val="000000"/>
                <w:sz w:val="18"/>
                <w:szCs w:val="18"/>
              </w:rPr>
              <w:t>)</w:t>
            </w:r>
          </w:p>
        </w:tc>
        <w:tc>
          <w:tcPr>
            <w:tcW w:w="1341" w:type="dxa"/>
            <w:hideMark/>
          </w:tcPr>
          <w:p w:rsidR="008B6C03" w:rsidRPr="008B6C03" w:rsidRDefault="001B1286" w:rsidP="000371D6">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0371D6">
              <w:rPr>
                <w:rFonts w:ascii="Arial" w:eastAsia="Times New Roman" w:hAnsi="Arial" w:cs="Arial"/>
                <w:color w:val="000000"/>
                <w:sz w:val="18"/>
                <w:szCs w:val="18"/>
              </w:rPr>
              <w:t>0,080</w:t>
            </w:r>
            <w:r>
              <w:rPr>
                <w:rFonts w:ascii="Arial" w:eastAsia="Times New Roman" w:hAnsi="Arial" w:cs="Arial"/>
                <w:color w:val="000000"/>
                <w:sz w:val="18"/>
                <w:szCs w:val="18"/>
              </w:rPr>
              <w:t>)</w:t>
            </w:r>
          </w:p>
        </w:tc>
        <w:tc>
          <w:tcPr>
            <w:tcW w:w="1341" w:type="dxa"/>
            <w:hideMark/>
          </w:tcPr>
          <w:p w:rsidR="008B6C03" w:rsidRPr="008B6C03" w:rsidRDefault="001B1286"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0371D6">
              <w:rPr>
                <w:rFonts w:ascii="Arial" w:eastAsia="Times New Roman" w:hAnsi="Arial" w:cs="Arial"/>
                <w:color w:val="000000"/>
                <w:sz w:val="18"/>
                <w:szCs w:val="18"/>
              </w:rPr>
              <w:t>0,080</w:t>
            </w:r>
            <w:r>
              <w:rPr>
                <w:rFonts w:ascii="Arial" w:eastAsia="Times New Roman" w:hAnsi="Arial" w:cs="Arial"/>
                <w:color w:val="000000"/>
                <w:sz w:val="18"/>
                <w:szCs w:val="18"/>
              </w:rPr>
              <w:t>)</w:t>
            </w:r>
          </w:p>
        </w:tc>
        <w:tc>
          <w:tcPr>
            <w:tcW w:w="1341" w:type="dxa"/>
            <w:hideMark/>
          </w:tcPr>
          <w:p w:rsidR="008B6C03" w:rsidRPr="008B6C03" w:rsidRDefault="001B1286"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0371D6">
              <w:rPr>
                <w:rFonts w:ascii="Arial" w:eastAsia="Times New Roman" w:hAnsi="Arial" w:cs="Arial"/>
                <w:color w:val="000000"/>
                <w:sz w:val="18"/>
                <w:szCs w:val="18"/>
              </w:rPr>
              <w:t>0,104</w:t>
            </w:r>
            <w:r>
              <w:rPr>
                <w:rFonts w:ascii="Arial" w:eastAsia="Times New Roman" w:hAnsi="Arial" w:cs="Arial"/>
                <w:color w:val="000000"/>
                <w:sz w:val="18"/>
                <w:szCs w:val="18"/>
              </w:rPr>
              <w:t>)</w:t>
            </w:r>
          </w:p>
        </w:tc>
        <w:tc>
          <w:tcPr>
            <w:tcW w:w="1341" w:type="dxa"/>
            <w:hideMark/>
          </w:tcPr>
          <w:p w:rsidR="008B6C03" w:rsidRPr="008B6C03" w:rsidRDefault="001B1286"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0371D6">
              <w:rPr>
                <w:rFonts w:ascii="Arial" w:eastAsia="Times New Roman" w:hAnsi="Arial" w:cs="Arial"/>
                <w:color w:val="000000"/>
                <w:sz w:val="18"/>
                <w:szCs w:val="18"/>
              </w:rPr>
              <w:t>0,090</w:t>
            </w:r>
            <w:r>
              <w:rPr>
                <w:rFonts w:ascii="Arial" w:eastAsia="Times New Roman" w:hAnsi="Arial" w:cs="Arial"/>
                <w:color w:val="000000"/>
                <w:sz w:val="18"/>
                <w:szCs w:val="18"/>
              </w:rPr>
              <w:t>)</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LNGDP</w:t>
            </w:r>
          </w:p>
        </w:tc>
        <w:tc>
          <w:tcPr>
            <w:tcW w:w="1195"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 </w:t>
            </w:r>
            <w:r w:rsidR="00D52B25">
              <w:rPr>
                <w:rFonts w:ascii="Arial" w:eastAsia="Times New Roman" w:hAnsi="Arial" w:cs="Arial"/>
                <w:color w:val="000000"/>
                <w:sz w:val="20"/>
                <w:szCs w:val="20"/>
              </w:rPr>
              <w:t>+</w:t>
            </w:r>
          </w:p>
        </w:tc>
        <w:tc>
          <w:tcPr>
            <w:tcW w:w="1341"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341" w:type="dxa"/>
            <w:hideMark/>
          </w:tcPr>
          <w:p w:rsidR="008B6C03" w:rsidRPr="008B6C03" w:rsidRDefault="000371D6"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-0,117</w:t>
            </w:r>
            <w:r w:rsidR="00E57369">
              <w:rPr>
                <w:rFonts w:ascii="Arial" w:eastAsia="Times New Roman" w:hAnsi="Arial" w:cs="Arial"/>
                <w:color w:val="000000"/>
                <w:sz w:val="18"/>
                <w:szCs w:val="18"/>
              </w:rPr>
              <w:t>*</w:t>
            </w:r>
          </w:p>
        </w:tc>
        <w:tc>
          <w:tcPr>
            <w:tcW w:w="1341" w:type="dxa"/>
            <w:hideMark/>
          </w:tcPr>
          <w:p w:rsidR="008B6C03" w:rsidRPr="008B6C03" w:rsidRDefault="000371D6"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-0,128</w:t>
            </w:r>
            <w:r w:rsidR="00E57369">
              <w:rPr>
                <w:rFonts w:ascii="Arial" w:eastAsia="Times New Roman" w:hAnsi="Arial" w:cs="Arial"/>
                <w:color w:val="000000"/>
                <w:sz w:val="18"/>
                <w:szCs w:val="18"/>
              </w:rPr>
              <w:t>*</w:t>
            </w:r>
          </w:p>
        </w:tc>
        <w:tc>
          <w:tcPr>
            <w:tcW w:w="1341" w:type="dxa"/>
            <w:hideMark/>
          </w:tcPr>
          <w:p w:rsidR="008B6C03" w:rsidRPr="008B6C03" w:rsidRDefault="000371D6"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-0,135</w:t>
            </w:r>
            <w:r w:rsidR="00E57369">
              <w:rPr>
                <w:rFonts w:ascii="Arial" w:eastAsia="Times New Roman" w:hAnsi="Arial" w:cs="Arial"/>
                <w:color w:val="000000"/>
                <w:sz w:val="18"/>
                <w:szCs w:val="18"/>
              </w:rPr>
              <w:t>*</w:t>
            </w:r>
          </w:p>
        </w:tc>
        <w:tc>
          <w:tcPr>
            <w:tcW w:w="1341" w:type="dxa"/>
            <w:hideMark/>
          </w:tcPr>
          <w:p w:rsidR="008B6C03" w:rsidRPr="008B6C03" w:rsidRDefault="000371D6"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-0,120</w:t>
            </w:r>
            <w:r w:rsidR="00E57369">
              <w:rPr>
                <w:rFonts w:ascii="Arial" w:eastAsia="Times New Roman" w:hAnsi="Arial" w:cs="Arial"/>
                <w:color w:val="000000"/>
                <w:sz w:val="18"/>
                <w:szCs w:val="18"/>
              </w:rPr>
              <w:t>*</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195"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1B1286"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0371D6">
              <w:rPr>
                <w:rFonts w:ascii="Arial" w:eastAsia="Times New Roman" w:hAnsi="Arial" w:cs="Arial"/>
                <w:color w:val="000000"/>
                <w:sz w:val="18"/>
                <w:szCs w:val="18"/>
              </w:rPr>
              <w:t>0,025</w:t>
            </w:r>
            <w:r>
              <w:rPr>
                <w:rFonts w:ascii="Arial" w:eastAsia="Times New Roman" w:hAnsi="Arial" w:cs="Arial"/>
                <w:color w:val="000000"/>
                <w:sz w:val="18"/>
                <w:szCs w:val="18"/>
              </w:rPr>
              <w:t>)</w:t>
            </w:r>
          </w:p>
        </w:tc>
        <w:tc>
          <w:tcPr>
            <w:tcW w:w="1341" w:type="dxa"/>
            <w:hideMark/>
          </w:tcPr>
          <w:p w:rsidR="008B6C03" w:rsidRPr="008B6C03" w:rsidRDefault="001B1286"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0371D6">
              <w:rPr>
                <w:rFonts w:ascii="Arial" w:eastAsia="Times New Roman" w:hAnsi="Arial" w:cs="Arial"/>
                <w:color w:val="000000"/>
                <w:sz w:val="18"/>
                <w:szCs w:val="18"/>
              </w:rPr>
              <w:t>0,025</w:t>
            </w:r>
            <w:r>
              <w:rPr>
                <w:rFonts w:ascii="Arial" w:eastAsia="Times New Roman" w:hAnsi="Arial" w:cs="Arial"/>
                <w:color w:val="000000"/>
                <w:sz w:val="18"/>
                <w:szCs w:val="18"/>
              </w:rPr>
              <w:t>)</w:t>
            </w:r>
          </w:p>
        </w:tc>
        <w:tc>
          <w:tcPr>
            <w:tcW w:w="1341" w:type="dxa"/>
            <w:hideMark/>
          </w:tcPr>
          <w:p w:rsidR="008B6C03" w:rsidRPr="008B6C03" w:rsidRDefault="001B1286"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0371D6">
              <w:rPr>
                <w:rFonts w:ascii="Arial" w:eastAsia="Times New Roman" w:hAnsi="Arial" w:cs="Arial"/>
                <w:color w:val="000000"/>
                <w:sz w:val="18"/>
                <w:szCs w:val="18"/>
              </w:rPr>
              <w:t>0,023</w:t>
            </w:r>
            <w:r>
              <w:rPr>
                <w:rFonts w:ascii="Arial" w:eastAsia="Times New Roman" w:hAnsi="Arial" w:cs="Arial"/>
                <w:color w:val="000000"/>
                <w:sz w:val="18"/>
                <w:szCs w:val="18"/>
              </w:rPr>
              <w:t>)</w:t>
            </w:r>
          </w:p>
        </w:tc>
        <w:tc>
          <w:tcPr>
            <w:tcW w:w="1341" w:type="dxa"/>
            <w:hideMark/>
          </w:tcPr>
          <w:p w:rsidR="008B6C03" w:rsidRPr="008B6C03" w:rsidRDefault="001B1286"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0371D6">
              <w:rPr>
                <w:rFonts w:ascii="Arial" w:eastAsia="Times New Roman" w:hAnsi="Arial" w:cs="Arial"/>
                <w:color w:val="000000"/>
                <w:sz w:val="18"/>
                <w:szCs w:val="18"/>
              </w:rPr>
              <w:t>0,022</w:t>
            </w:r>
            <w:r>
              <w:rPr>
                <w:rFonts w:ascii="Arial" w:eastAsia="Times New Roman" w:hAnsi="Arial" w:cs="Arial"/>
                <w:color w:val="000000"/>
                <w:sz w:val="18"/>
                <w:szCs w:val="18"/>
              </w:rPr>
              <w:t>)</w:t>
            </w:r>
          </w:p>
        </w:tc>
      </w:tr>
      <w:tr w:rsidR="008B6C03" w:rsidRPr="008B6C03" w:rsidTr="00BF3EE6">
        <w:trPr>
          <w:trHeight w:val="34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LNMARCAP</w:t>
            </w:r>
          </w:p>
        </w:tc>
        <w:tc>
          <w:tcPr>
            <w:tcW w:w="1195"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 </w:t>
            </w:r>
            <w:r w:rsidR="00D52B25">
              <w:rPr>
                <w:rFonts w:ascii="Arial" w:eastAsia="Times New Roman" w:hAnsi="Arial" w:cs="Arial"/>
                <w:color w:val="000000"/>
                <w:sz w:val="20"/>
                <w:szCs w:val="20"/>
              </w:rPr>
              <w:t>+</w:t>
            </w:r>
          </w:p>
        </w:tc>
        <w:tc>
          <w:tcPr>
            <w:tcW w:w="1341"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0,042</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0,057</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0,062</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195"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1B1286"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0371D6">
              <w:rPr>
                <w:rFonts w:ascii="Arial" w:eastAsia="Times New Roman" w:hAnsi="Arial" w:cs="Arial"/>
                <w:color w:val="000000"/>
                <w:sz w:val="18"/>
                <w:szCs w:val="18"/>
              </w:rPr>
              <w:t>0,037</w:t>
            </w:r>
            <w:r>
              <w:rPr>
                <w:rFonts w:ascii="Arial" w:eastAsia="Times New Roman" w:hAnsi="Arial" w:cs="Arial"/>
                <w:color w:val="000000"/>
                <w:sz w:val="18"/>
                <w:szCs w:val="18"/>
              </w:rPr>
              <w:t>)</w:t>
            </w:r>
          </w:p>
        </w:tc>
        <w:tc>
          <w:tcPr>
            <w:tcW w:w="1341" w:type="dxa"/>
            <w:hideMark/>
          </w:tcPr>
          <w:p w:rsidR="008B6C03" w:rsidRPr="008B6C03" w:rsidRDefault="001B1286"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0371D6">
              <w:rPr>
                <w:rFonts w:ascii="Arial" w:eastAsia="Times New Roman" w:hAnsi="Arial" w:cs="Arial"/>
                <w:color w:val="000000"/>
                <w:sz w:val="18"/>
                <w:szCs w:val="18"/>
              </w:rPr>
              <w:t>0,050</w:t>
            </w:r>
            <w:r>
              <w:rPr>
                <w:rFonts w:ascii="Arial" w:eastAsia="Times New Roman" w:hAnsi="Arial" w:cs="Arial"/>
                <w:color w:val="000000"/>
                <w:sz w:val="18"/>
                <w:szCs w:val="18"/>
              </w:rPr>
              <w:t>)</w:t>
            </w:r>
          </w:p>
        </w:tc>
        <w:tc>
          <w:tcPr>
            <w:tcW w:w="1341" w:type="dxa"/>
            <w:hideMark/>
          </w:tcPr>
          <w:p w:rsidR="008B6C03" w:rsidRPr="008B6C03" w:rsidRDefault="001B1286"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0371D6">
              <w:rPr>
                <w:rFonts w:ascii="Arial" w:eastAsia="Times New Roman" w:hAnsi="Arial" w:cs="Arial"/>
                <w:color w:val="000000"/>
                <w:sz w:val="18"/>
                <w:szCs w:val="18"/>
              </w:rPr>
              <w:t>0,043</w:t>
            </w:r>
            <w:r>
              <w:rPr>
                <w:rFonts w:ascii="Arial" w:eastAsia="Times New Roman" w:hAnsi="Arial" w:cs="Arial"/>
                <w:color w:val="000000"/>
                <w:sz w:val="18"/>
                <w:szCs w:val="18"/>
              </w:rPr>
              <w:t>)</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AGEDR</w:t>
            </w:r>
          </w:p>
        </w:tc>
        <w:tc>
          <w:tcPr>
            <w:tcW w:w="1195"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 </w:t>
            </w:r>
            <w:r w:rsidR="00D52B25">
              <w:rPr>
                <w:rFonts w:ascii="Arial" w:eastAsia="Times New Roman" w:hAnsi="Arial" w:cs="Arial"/>
                <w:color w:val="000000"/>
                <w:sz w:val="20"/>
                <w:szCs w:val="20"/>
              </w:rPr>
              <w:t>-</w:t>
            </w:r>
          </w:p>
        </w:tc>
        <w:tc>
          <w:tcPr>
            <w:tcW w:w="1341"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-0,36</w:t>
            </w:r>
            <w:r w:rsidR="000371D6">
              <w:rPr>
                <w:rFonts w:ascii="Arial" w:eastAsia="Times New Roman" w:hAnsi="Arial" w:cs="Arial"/>
                <w:color w:val="000000"/>
                <w:sz w:val="18"/>
                <w:szCs w:val="18"/>
              </w:rPr>
              <w:t>6</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0,224</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195"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1B1286"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0371D6">
              <w:rPr>
                <w:rFonts w:ascii="Arial" w:eastAsia="Times New Roman" w:hAnsi="Arial" w:cs="Arial"/>
                <w:color w:val="000000"/>
                <w:sz w:val="18"/>
                <w:szCs w:val="18"/>
              </w:rPr>
              <w:t>0,578</w:t>
            </w:r>
            <w:r>
              <w:rPr>
                <w:rFonts w:ascii="Arial" w:eastAsia="Times New Roman" w:hAnsi="Arial" w:cs="Arial"/>
                <w:color w:val="000000"/>
                <w:sz w:val="18"/>
                <w:szCs w:val="18"/>
              </w:rPr>
              <w:t>)</w:t>
            </w:r>
          </w:p>
        </w:tc>
        <w:tc>
          <w:tcPr>
            <w:tcW w:w="1341" w:type="dxa"/>
            <w:hideMark/>
          </w:tcPr>
          <w:p w:rsidR="008B6C03" w:rsidRPr="008B6C03" w:rsidRDefault="001B1286"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0371D6">
              <w:rPr>
                <w:rFonts w:ascii="Arial" w:eastAsia="Times New Roman" w:hAnsi="Arial" w:cs="Arial"/>
                <w:color w:val="000000"/>
                <w:sz w:val="18"/>
                <w:szCs w:val="18"/>
              </w:rPr>
              <w:t>0,491</w:t>
            </w:r>
            <w:r>
              <w:rPr>
                <w:rFonts w:ascii="Arial" w:eastAsia="Times New Roman" w:hAnsi="Arial" w:cs="Arial"/>
                <w:color w:val="000000"/>
                <w:sz w:val="18"/>
                <w:szCs w:val="18"/>
              </w:rPr>
              <w:t>)</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DB</w:t>
            </w:r>
          </w:p>
        </w:tc>
        <w:tc>
          <w:tcPr>
            <w:tcW w:w="1195"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 </w:t>
            </w:r>
            <w:r w:rsidR="00D52B25">
              <w:rPr>
                <w:rFonts w:ascii="Arial" w:eastAsia="Times New Roman" w:hAnsi="Arial" w:cs="Arial"/>
                <w:color w:val="000000"/>
                <w:sz w:val="20"/>
                <w:szCs w:val="20"/>
              </w:rPr>
              <w:t>-</w:t>
            </w:r>
          </w:p>
        </w:tc>
        <w:tc>
          <w:tcPr>
            <w:tcW w:w="1341"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0371D6"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-0,221</w:t>
            </w:r>
            <w:r w:rsidR="00E57369">
              <w:rPr>
                <w:rFonts w:ascii="Arial" w:eastAsia="Times New Roman" w:hAnsi="Arial" w:cs="Arial"/>
                <w:color w:val="000000"/>
                <w:sz w:val="18"/>
                <w:szCs w:val="18"/>
              </w:rPr>
              <w:t>*</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195"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1B1286" w:rsidP="008B6C03">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w:t>
            </w:r>
            <w:r w:rsidR="000371D6">
              <w:rPr>
                <w:rFonts w:ascii="Arial" w:eastAsia="Times New Roman" w:hAnsi="Arial" w:cs="Arial"/>
                <w:color w:val="000000"/>
                <w:sz w:val="18"/>
                <w:szCs w:val="18"/>
              </w:rPr>
              <w:t>0,050</w:t>
            </w:r>
            <w:r>
              <w:rPr>
                <w:rFonts w:ascii="Arial" w:eastAsia="Times New Roman" w:hAnsi="Arial" w:cs="Arial"/>
                <w:color w:val="000000"/>
                <w:sz w:val="18"/>
                <w:szCs w:val="18"/>
              </w:rPr>
              <w:t>)</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R</w:t>
            </w:r>
            <w:r w:rsidRPr="008B6C03">
              <w:rPr>
                <w:rFonts w:ascii="Arial" w:eastAsia="Times New Roman" w:hAnsi="Arial" w:cs="Arial"/>
                <w:color w:val="000000"/>
                <w:sz w:val="20"/>
                <w:szCs w:val="20"/>
                <w:vertAlign w:val="superscript"/>
              </w:rPr>
              <w:t>2</w:t>
            </w:r>
          </w:p>
        </w:tc>
        <w:tc>
          <w:tcPr>
            <w:tcW w:w="1195"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341" w:type="dxa"/>
            <w:noWrap/>
            <w:hideMark/>
          </w:tcPr>
          <w:p w:rsidR="008B6C03" w:rsidRPr="001B1286" w:rsidRDefault="008B6C03" w:rsidP="001B1286">
            <w:pPr>
              <w:jc w:val="center"/>
              <w:cnfStyle w:val="000000000000"/>
              <w:rPr>
                <w:rFonts w:ascii="Arial" w:eastAsia="Times New Roman" w:hAnsi="Arial" w:cs="Arial"/>
                <w:color w:val="000000"/>
                <w:sz w:val="18"/>
                <w:szCs w:val="18"/>
              </w:rPr>
            </w:pPr>
            <w:r w:rsidRPr="001B1286">
              <w:rPr>
                <w:rFonts w:ascii="Arial" w:eastAsia="Times New Roman" w:hAnsi="Arial" w:cs="Arial"/>
                <w:color w:val="000000"/>
                <w:sz w:val="18"/>
                <w:szCs w:val="18"/>
              </w:rPr>
              <w:t>0,025</w:t>
            </w:r>
          </w:p>
        </w:tc>
        <w:tc>
          <w:tcPr>
            <w:tcW w:w="1341" w:type="dxa"/>
            <w:noWrap/>
            <w:hideMark/>
          </w:tcPr>
          <w:p w:rsidR="008B6C03" w:rsidRPr="001B1286" w:rsidRDefault="008B6C03" w:rsidP="001B1286">
            <w:pPr>
              <w:jc w:val="center"/>
              <w:cnfStyle w:val="000000000000"/>
              <w:rPr>
                <w:rFonts w:ascii="Arial" w:eastAsia="Times New Roman" w:hAnsi="Arial" w:cs="Arial"/>
                <w:color w:val="000000"/>
                <w:sz w:val="18"/>
                <w:szCs w:val="18"/>
              </w:rPr>
            </w:pPr>
            <w:r w:rsidRPr="001B1286">
              <w:rPr>
                <w:rFonts w:ascii="Arial" w:eastAsia="Times New Roman" w:hAnsi="Arial" w:cs="Arial"/>
                <w:color w:val="000000"/>
                <w:sz w:val="18"/>
                <w:szCs w:val="18"/>
              </w:rPr>
              <w:t>0,45</w:t>
            </w:r>
            <w:r w:rsidR="000371D6">
              <w:rPr>
                <w:rFonts w:ascii="Arial" w:eastAsia="Times New Roman" w:hAnsi="Arial" w:cs="Arial"/>
                <w:color w:val="000000"/>
                <w:sz w:val="18"/>
                <w:szCs w:val="18"/>
              </w:rPr>
              <w:t>7</w:t>
            </w:r>
          </w:p>
        </w:tc>
        <w:tc>
          <w:tcPr>
            <w:tcW w:w="1341" w:type="dxa"/>
            <w:noWrap/>
            <w:hideMark/>
          </w:tcPr>
          <w:p w:rsidR="008B6C03" w:rsidRPr="001B1286" w:rsidRDefault="008B6C03" w:rsidP="001B1286">
            <w:pPr>
              <w:jc w:val="center"/>
              <w:cnfStyle w:val="000000000000"/>
              <w:rPr>
                <w:rFonts w:ascii="Arial" w:eastAsia="Times New Roman" w:hAnsi="Arial" w:cs="Arial"/>
                <w:color w:val="000000"/>
                <w:sz w:val="18"/>
                <w:szCs w:val="18"/>
              </w:rPr>
            </w:pPr>
            <w:r w:rsidRPr="001B1286">
              <w:rPr>
                <w:rFonts w:ascii="Arial" w:eastAsia="Times New Roman" w:hAnsi="Arial" w:cs="Arial"/>
                <w:color w:val="000000"/>
                <w:sz w:val="18"/>
                <w:szCs w:val="18"/>
              </w:rPr>
              <w:t>0,501</w:t>
            </w:r>
          </w:p>
        </w:tc>
        <w:tc>
          <w:tcPr>
            <w:tcW w:w="1341" w:type="dxa"/>
            <w:noWrap/>
            <w:hideMark/>
          </w:tcPr>
          <w:p w:rsidR="008B6C03" w:rsidRPr="001B1286" w:rsidRDefault="008B6C03" w:rsidP="000371D6">
            <w:pPr>
              <w:jc w:val="center"/>
              <w:cnfStyle w:val="000000000000"/>
              <w:rPr>
                <w:rFonts w:ascii="Arial" w:eastAsia="Times New Roman" w:hAnsi="Arial" w:cs="Arial"/>
                <w:color w:val="000000"/>
                <w:sz w:val="18"/>
                <w:szCs w:val="18"/>
              </w:rPr>
            </w:pPr>
            <w:r w:rsidRPr="001B1286">
              <w:rPr>
                <w:rFonts w:ascii="Arial" w:eastAsia="Times New Roman" w:hAnsi="Arial" w:cs="Arial"/>
                <w:color w:val="000000"/>
                <w:sz w:val="18"/>
                <w:szCs w:val="18"/>
              </w:rPr>
              <w:t>0,51</w:t>
            </w:r>
            <w:r w:rsidR="000371D6">
              <w:rPr>
                <w:rFonts w:ascii="Arial" w:eastAsia="Times New Roman" w:hAnsi="Arial" w:cs="Arial"/>
                <w:color w:val="000000"/>
                <w:sz w:val="18"/>
                <w:szCs w:val="18"/>
              </w:rPr>
              <w:t>7</w:t>
            </w:r>
          </w:p>
        </w:tc>
        <w:tc>
          <w:tcPr>
            <w:tcW w:w="1341" w:type="dxa"/>
            <w:noWrap/>
            <w:hideMark/>
          </w:tcPr>
          <w:p w:rsidR="008B6C03" w:rsidRPr="001B1286" w:rsidRDefault="000371D6" w:rsidP="001B1286">
            <w:pPr>
              <w:jc w:val="center"/>
              <w:cnfStyle w:val="000000000000"/>
              <w:rPr>
                <w:rFonts w:ascii="Arial" w:eastAsia="Times New Roman" w:hAnsi="Arial" w:cs="Arial"/>
                <w:color w:val="000000"/>
                <w:sz w:val="18"/>
                <w:szCs w:val="18"/>
              </w:rPr>
            </w:pPr>
            <w:r>
              <w:rPr>
                <w:rFonts w:ascii="Arial" w:eastAsia="Times New Roman" w:hAnsi="Arial" w:cs="Arial"/>
                <w:color w:val="000000"/>
                <w:sz w:val="18"/>
                <w:szCs w:val="18"/>
              </w:rPr>
              <w:t>0,690</w:t>
            </w:r>
          </w:p>
        </w:tc>
      </w:tr>
      <w:tr w:rsidR="008B6C03" w:rsidRPr="008B6C03" w:rsidTr="00BF3EE6">
        <w:trPr>
          <w:trHeight w:val="31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195"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341" w:type="dxa"/>
            <w:hideMark/>
          </w:tcPr>
          <w:p w:rsidR="008B6C03" w:rsidRPr="001B1286" w:rsidRDefault="008B6C03" w:rsidP="008B6C03">
            <w:pPr>
              <w:jc w:val="center"/>
              <w:cnfStyle w:val="000000000000"/>
              <w:rPr>
                <w:rFonts w:ascii="Arial" w:eastAsia="Times New Roman" w:hAnsi="Arial" w:cs="Arial"/>
                <w:color w:val="000000"/>
                <w:sz w:val="18"/>
                <w:szCs w:val="18"/>
              </w:rPr>
            </w:pPr>
            <w:r w:rsidRPr="001B1286">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c>
          <w:tcPr>
            <w:tcW w:w="1341" w:type="dxa"/>
            <w:hideMark/>
          </w:tcPr>
          <w:p w:rsidR="008B6C03" w:rsidRPr="008B6C03" w:rsidRDefault="008B6C03" w:rsidP="008B6C03">
            <w:pPr>
              <w:jc w:val="center"/>
              <w:cnfStyle w:val="000000000000"/>
              <w:rPr>
                <w:rFonts w:ascii="Arial" w:eastAsia="Times New Roman" w:hAnsi="Arial" w:cs="Arial"/>
                <w:color w:val="000000"/>
                <w:sz w:val="18"/>
                <w:szCs w:val="18"/>
              </w:rPr>
            </w:pPr>
            <w:r w:rsidRPr="008B6C03">
              <w:rPr>
                <w:rFonts w:ascii="Arial" w:eastAsia="Times New Roman" w:hAnsi="Arial" w:cs="Arial"/>
                <w:color w:val="000000"/>
                <w:sz w:val="18"/>
                <w:szCs w:val="18"/>
              </w:rPr>
              <w:t> </w:t>
            </w:r>
          </w:p>
        </w:tc>
      </w:tr>
      <w:tr w:rsidR="008B6C03" w:rsidRPr="008B6C03" w:rsidTr="00BF3EE6">
        <w:trPr>
          <w:trHeight w:val="585"/>
        </w:trPr>
        <w:tc>
          <w:tcPr>
            <w:cnfStyle w:val="001000000000"/>
            <w:tcW w:w="1524" w:type="dxa"/>
            <w:hideMark/>
          </w:tcPr>
          <w:p w:rsidR="008B6C03" w:rsidRPr="008B6C03" w:rsidRDefault="008B6C03" w:rsidP="008B6C03">
            <w:pPr>
              <w:jc w:val="center"/>
              <w:rPr>
                <w:rFonts w:ascii="Arial" w:eastAsia="Times New Roman" w:hAnsi="Arial" w:cs="Arial"/>
                <w:color w:val="000000"/>
                <w:sz w:val="20"/>
                <w:szCs w:val="20"/>
              </w:rPr>
            </w:pPr>
            <w:r w:rsidRPr="008B6C03">
              <w:rPr>
                <w:rFonts w:ascii="Arial" w:eastAsia="Times New Roman" w:hAnsi="Arial" w:cs="Arial"/>
                <w:color w:val="000000"/>
                <w:sz w:val="20"/>
                <w:szCs w:val="20"/>
              </w:rPr>
              <w:t>Number of observations</w:t>
            </w:r>
          </w:p>
        </w:tc>
        <w:tc>
          <w:tcPr>
            <w:tcW w:w="1195" w:type="dxa"/>
            <w:hideMark/>
          </w:tcPr>
          <w:p w:rsidR="008B6C03" w:rsidRPr="008B6C03" w:rsidRDefault="008B6C03" w:rsidP="008B6C03">
            <w:pPr>
              <w:jc w:val="center"/>
              <w:cnfStyle w:val="000000000000"/>
              <w:rPr>
                <w:rFonts w:ascii="Arial" w:eastAsia="Times New Roman" w:hAnsi="Arial" w:cs="Arial"/>
                <w:color w:val="000000"/>
                <w:sz w:val="20"/>
                <w:szCs w:val="20"/>
              </w:rPr>
            </w:pPr>
            <w:r w:rsidRPr="008B6C03">
              <w:rPr>
                <w:rFonts w:ascii="Arial" w:eastAsia="Times New Roman" w:hAnsi="Arial" w:cs="Arial"/>
                <w:color w:val="000000"/>
                <w:sz w:val="20"/>
                <w:szCs w:val="20"/>
              </w:rPr>
              <w:t> </w:t>
            </w:r>
          </w:p>
        </w:tc>
        <w:tc>
          <w:tcPr>
            <w:tcW w:w="1341" w:type="dxa"/>
            <w:hideMark/>
          </w:tcPr>
          <w:p w:rsidR="008B6C03" w:rsidRPr="001B1286" w:rsidRDefault="008B6C03" w:rsidP="008B6C03">
            <w:pPr>
              <w:jc w:val="center"/>
              <w:cnfStyle w:val="000000000000"/>
              <w:rPr>
                <w:rFonts w:ascii="Arial" w:eastAsia="Times New Roman" w:hAnsi="Arial" w:cs="Arial"/>
                <w:color w:val="000000"/>
                <w:sz w:val="18"/>
                <w:szCs w:val="18"/>
              </w:rPr>
            </w:pPr>
            <w:r w:rsidRPr="001B1286">
              <w:rPr>
                <w:rFonts w:ascii="Arial" w:eastAsia="Times New Roman" w:hAnsi="Arial" w:cs="Arial"/>
                <w:color w:val="000000"/>
                <w:sz w:val="18"/>
                <w:szCs w:val="18"/>
              </w:rPr>
              <w:t>19</w:t>
            </w:r>
          </w:p>
        </w:tc>
        <w:tc>
          <w:tcPr>
            <w:tcW w:w="1341" w:type="dxa"/>
            <w:hideMark/>
          </w:tcPr>
          <w:p w:rsidR="008B6C03" w:rsidRPr="001B1286" w:rsidRDefault="008B6C03" w:rsidP="008B6C03">
            <w:pPr>
              <w:jc w:val="center"/>
              <w:cnfStyle w:val="000000000000"/>
              <w:rPr>
                <w:rFonts w:ascii="Arial" w:eastAsia="Times New Roman" w:hAnsi="Arial" w:cs="Arial"/>
                <w:color w:val="000000"/>
                <w:sz w:val="18"/>
                <w:szCs w:val="18"/>
              </w:rPr>
            </w:pPr>
            <w:r w:rsidRPr="001B1286">
              <w:rPr>
                <w:rFonts w:ascii="Arial" w:eastAsia="Times New Roman" w:hAnsi="Arial" w:cs="Arial"/>
                <w:color w:val="000000"/>
                <w:sz w:val="18"/>
                <w:szCs w:val="18"/>
              </w:rPr>
              <w:t>19</w:t>
            </w:r>
          </w:p>
        </w:tc>
        <w:tc>
          <w:tcPr>
            <w:tcW w:w="1341" w:type="dxa"/>
            <w:hideMark/>
          </w:tcPr>
          <w:p w:rsidR="008B6C03" w:rsidRPr="001B1286" w:rsidRDefault="008B6C03" w:rsidP="008B6C03">
            <w:pPr>
              <w:jc w:val="center"/>
              <w:cnfStyle w:val="000000000000"/>
              <w:rPr>
                <w:rFonts w:ascii="Arial" w:eastAsia="Times New Roman" w:hAnsi="Arial" w:cs="Arial"/>
                <w:color w:val="000000"/>
                <w:sz w:val="18"/>
                <w:szCs w:val="18"/>
              </w:rPr>
            </w:pPr>
            <w:r w:rsidRPr="001B1286">
              <w:rPr>
                <w:rFonts w:ascii="Arial" w:eastAsia="Times New Roman" w:hAnsi="Arial" w:cs="Arial"/>
                <w:color w:val="000000"/>
                <w:sz w:val="18"/>
                <w:szCs w:val="18"/>
              </w:rPr>
              <w:t>19</w:t>
            </w:r>
          </w:p>
        </w:tc>
        <w:tc>
          <w:tcPr>
            <w:tcW w:w="1341" w:type="dxa"/>
            <w:hideMark/>
          </w:tcPr>
          <w:p w:rsidR="008B6C03" w:rsidRPr="001B1286" w:rsidRDefault="008B6C03" w:rsidP="008B6C03">
            <w:pPr>
              <w:jc w:val="center"/>
              <w:cnfStyle w:val="000000000000"/>
              <w:rPr>
                <w:rFonts w:ascii="Arial" w:eastAsia="Times New Roman" w:hAnsi="Arial" w:cs="Arial"/>
                <w:color w:val="000000"/>
                <w:sz w:val="18"/>
                <w:szCs w:val="18"/>
              </w:rPr>
            </w:pPr>
            <w:r w:rsidRPr="001B1286">
              <w:rPr>
                <w:rFonts w:ascii="Arial" w:eastAsia="Times New Roman" w:hAnsi="Arial" w:cs="Arial"/>
                <w:color w:val="000000"/>
                <w:sz w:val="18"/>
                <w:szCs w:val="18"/>
              </w:rPr>
              <w:t>19</w:t>
            </w:r>
          </w:p>
        </w:tc>
        <w:tc>
          <w:tcPr>
            <w:tcW w:w="1341" w:type="dxa"/>
            <w:hideMark/>
          </w:tcPr>
          <w:p w:rsidR="008B6C03" w:rsidRPr="001B1286" w:rsidRDefault="008B6C03" w:rsidP="008B6C03">
            <w:pPr>
              <w:jc w:val="center"/>
              <w:cnfStyle w:val="000000000000"/>
              <w:rPr>
                <w:rFonts w:ascii="Arial" w:eastAsia="Times New Roman" w:hAnsi="Arial" w:cs="Arial"/>
                <w:color w:val="000000"/>
                <w:sz w:val="18"/>
                <w:szCs w:val="18"/>
              </w:rPr>
            </w:pPr>
            <w:r w:rsidRPr="001B1286">
              <w:rPr>
                <w:rFonts w:ascii="Arial" w:eastAsia="Times New Roman" w:hAnsi="Arial" w:cs="Arial"/>
                <w:color w:val="000000"/>
                <w:sz w:val="18"/>
                <w:szCs w:val="18"/>
              </w:rPr>
              <w:t>19</w:t>
            </w:r>
          </w:p>
        </w:tc>
      </w:tr>
    </w:tbl>
    <w:p w:rsidR="000F634B" w:rsidRPr="0017001F" w:rsidRDefault="000F634B" w:rsidP="000F634B">
      <w:pPr>
        <w:autoSpaceDE w:val="0"/>
        <w:autoSpaceDN w:val="0"/>
        <w:adjustRightInd w:val="0"/>
        <w:spacing w:after="0" w:line="240" w:lineRule="auto"/>
        <w:rPr>
          <w:rFonts w:ascii="Times New Roman" w:hAnsi="Times New Roman" w:cs="Times New Roman"/>
          <w:sz w:val="20"/>
          <w:szCs w:val="20"/>
          <w:lang w:val="en-US"/>
        </w:rPr>
      </w:pPr>
      <w:r w:rsidRPr="0017001F">
        <w:rPr>
          <w:rFonts w:ascii="Times New Roman" w:hAnsi="Times New Roman" w:cs="Times New Roman"/>
          <w:sz w:val="20"/>
          <w:szCs w:val="20"/>
          <w:lang w:val="en-US"/>
        </w:rPr>
        <w:t>The four tables above present the regression results for the multiple and single models, each table for one of the dimensions, particularly for the Develo</w:t>
      </w:r>
      <w:r>
        <w:rPr>
          <w:rFonts w:ascii="Times New Roman" w:hAnsi="Times New Roman" w:cs="Times New Roman"/>
          <w:sz w:val="20"/>
          <w:szCs w:val="20"/>
          <w:lang w:val="en-US"/>
        </w:rPr>
        <w:t>ping</w:t>
      </w:r>
      <w:r w:rsidRPr="0017001F">
        <w:rPr>
          <w:rFonts w:ascii="Times New Roman" w:hAnsi="Times New Roman" w:cs="Times New Roman"/>
          <w:sz w:val="20"/>
          <w:szCs w:val="20"/>
          <w:lang w:val="en-US"/>
        </w:rPr>
        <w:t xml:space="preserve"> countries. No statistically significant results could be found. </w:t>
      </w:r>
    </w:p>
    <w:p w:rsidR="00B71F9B" w:rsidRDefault="00B71F9B">
      <w:pPr>
        <w:rPr>
          <w:rFonts w:ascii="Times New Roman" w:hAnsi="Times New Roman" w:cs="Times New Roman"/>
          <w:lang w:val="en-US"/>
        </w:rPr>
      </w:pPr>
      <w:r>
        <w:rPr>
          <w:rFonts w:ascii="Times New Roman" w:hAnsi="Times New Roman" w:cs="Times New Roman"/>
          <w:lang w:val="en-US"/>
        </w:rPr>
        <w:br w:type="page"/>
      </w:r>
    </w:p>
    <w:p w:rsidR="00D22234" w:rsidRDefault="00E57369" w:rsidP="000371D6">
      <w:pPr>
        <w:spacing w:line="360" w:lineRule="auto"/>
        <w:jc w:val="both"/>
        <w:rPr>
          <w:rFonts w:ascii="Times New Roman" w:hAnsi="Times New Roman" w:cs="Times New Roman"/>
          <w:szCs w:val="24"/>
          <w:lang w:val="en-US"/>
        </w:rPr>
      </w:pPr>
      <w:r w:rsidRPr="000371D6">
        <w:rPr>
          <w:rFonts w:ascii="Times New Roman" w:hAnsi="Times New Roman" w:cs="Times New Roman"/>
          <w:szCs w:val="24"/>
          <w:lang w:val="en-US"/>
        </w:rPr>
        <w:lastRenderedPageBreak/>
        <w:t>For the Developing countries</w:t>
      </w:r>
      <w:r w:rsidR="008F7947" w:rsidRPr="000371D6">
        <w:rPr>
          <w:rFonts w:ascii="Times New Roman" w:hAnsi="Times New Roman" w:cs="Times New Roman"/>
          <w:szCs w:val="24"/>
          <w:lang w:val="en-US"/>
        </w:rPr>
        <w:t xml:space="preserve"> the results have some more interest than the ones for the Developed. As we can see from the tables above, national wealth (GDP) and the relative shares of Defined Benefit plans give statistically significant results. For all four cultural dimensions, GDP is negatively correlated with equity allocation of </w:t>
      </w:r>
      <w:r w:rsidR="0005178E" w:rsidRPr="000371D6">
        <w:rPr>
          <w:rFonts w:ascii="Times New Roman" w:hAnsi="Times New Roman" w:cs="Times New Roman"/>
          <w:szCs w:val="24"/>
          <w:lang w:val="en-US"/>
        </w:rPr>
        <w:t xml:space="preserve">pension funds.  </w:t>
      </w:r>
      <w:r w:rsidR="00D304FA" w:rsidRPr="000371D6">
        <w:rPr>
          <w:rFonts w:ascii="Times New Roman" w:hAnsi="Times New Roman" w:cs="Times New Roman"/>
          <w:szCs w:val="24"/>
          <w:lang w:val="en-US"/>
        </w:rPr>
        <w:t xml:space="preserve">With values from -0.09957 for Individualism to a maximum of -0,15759 for Power distance,  GDP has a small but stable negative effect on risk appetite. We can say that for the Developing countries, a higher GDP </w:t>
      </w:r>
      <w:r w:rsidR="00D22234" w:rsidRPr="000371D6">
        <w:rPr>
          <w:rFonts w:ascii="Times New Roman" w:hAnsi="Times New Roman" w:cs="Times New Roman"/>
          <w:szCs w:val="24"/>
          <w:lang w:val="en-US"/>
        </w:rPr>
        <w:t>would lead to a lower risk appetite.</w:t>
      </w:r>
      <w:r w:rsidR="00D22234" w:rsidRPr="000371D6">
        <w:rPr>
          <w:rFonts w:ascii="Times New Roman" w:hAnsi="Times New Roman" w:cs="Times New Roman"/>
          <w:szCs w:val="24"/>
          <w:lang w:val="en-US"/>
        </w:rPr>
        <w:tab/>
      </w:r>
    </w:p>
    <w:p w:rsidR="000371D6" w:rsidRPr="000371D6" w:rsidRDefault="000371D6" w:rsidP="000371D6">
      <w:pPr>
        <w:spacing w:line="360" w:lineRule="auto"/>
        <w:jc w:val="both"/>
        <w:rPr>
          <w:rFonts w:ascii="Times New Roman" w:hAnsi="Times New Roman" w:cs="Times New Roman"/>
          <w:szCs w:val="24"/>
          <w:lang w:val="en-US"/>
        </w:rPr>
      </w:pPr>
    </w:p>
    <w:p w:rsidR="00D22234" w:rsidRPr="000371D6" w:rsidRDefault="00D22234" w:rsidP="000371D6">
      <w:pPr>
        <w:spacing w:line="360" w:lineRule="auto"/>
        <w:jc w:val="both"/>
        <w:rPr>
          <w:rFonts w:ascii="Times New Roman" w:hAnsi="Times New Roman" w:cs="Times New Roman"/>
          <w:szCs w:val="24"/>
          <w:lang w:val="en-US"/>
        </w:rPr>
      </w:pPr>
      <w:r w:rsidRPr="000371D6">
        <w:rPr>
          <w:rFonts w:ascii="Times New Roman" w:hAnsi="Times New Roman" w:cs="Times New Roman"/>
          <w:szCs w:val="24"/>
          <w:lang w:val="en-US"/>
        </w:rPr>
        <w:t>As for  the DB control variable, our expectations are verified, and Developing countries with higher relative shares in Defined Benefit plans seem to have a lowe</w:t>
      </w:r>
      <w:r w:rsidR="002F3ABC" w:rsidRPr="000371D6">
        <w:rPr>
          <w:rFonts w:ascii="Times New Roman" w:hAnsi="Times New Roman" w:cs="Times New Roman"/>
          <w:szCs w:val="24"/>
          <w:lang w:val="en-US"/>
        </w:rPr>
        <w:t>r risk appetite as predicted. On</w:t>
      </w:r>
      <w:r w:rsidRPr="000371D6">
        <w:rPr>
          <w:rFonts w:ascii="Times New Roman" w:hAnsi="Times New Roman" w:cs="Times New Roman"/>
          <w:szCs w:val="24"/>
          <w:lang w:val="en-US"/>
        </w:rPr>
        <w:t xml:space="preserve"> average, an increase of the power of DB plans, would lead to a decrease of equity allocation of 0,20</w:t>
      </w:r>
      <w:r w:rsidR="002F3ABC" w:rsidRPr="000371D6">
        <w:rPr>
          <w:rFonts w:ascii="Times New Roman" w:hAnsi="Times New Roman" w:cs="Times New Roman"/>
          <w:szCs w:val="24"/>
          <w:lang w:val="en-US"/>
        </w:rPr>
        <w:t>5.</w:t>
      </w:r>
    </w:p>
    <w:p w:rsidR="002F3ABC" w:rsidRPr="000371D6" w:rsidRDefault="002F3ABC" w:rsidP="000371D6">
      <w:pPr>
        <w:spacing w:line="360" w:lineRule="auto"/>
        <w:jc w:val="both"/>
        <w:rPr>
          <w:rFonts w:ascii="Times New Roman" w:hAnsi="Times New Roman" w:cs="Times New Roman"/>
          <w:szCs w:val="24"/>
          <w:lang w:val="en-US"/>
        </w:rPr>
      </w:pPr>
    </w:p>
    <w:p w:rsidR="002F3ABC" w:rsidRPr="000371D6" w:rsidRDefault="002F3ABC" w:rsidP="000371D6">
      <w:pPr>
        <w:spacing w:line="360" w:lineRule="auto"/>
        <w:jc w:val="both"/>
        <w:rPr>
          <w:rFonts w:ascii="Times New Roman" w:hAnsi="Times New Roman" w:cs="Times New Roman"/>
          <w:szCs w:val="24"/>
          <w:lang w:val="en-US"/>
        </w:rPr>
      </w:pPr>
      <w:r w:rsidRPr="000371D6">
        <w:rPr>
          <w:rFonts w:ascii="Times New Roman" w:hAnsi="Times New Roman" w:cs="Times New Roman"/>
          <w:szCs w:val="24"/>
          <w:lang w:val="en-US"/>
        </w:rPr>
        <w:t xml:space="preserve">The rest of the control variables do not show any important effect on equity holdings for the Developing countries. </w:t>
      </w:r>
    </w:p>
    <w:p w:rsidR="002F3ABC" w:rsidRPr="000371D6" w:rsidRDefault="002F3ABC" w:rsidP="000371D6">
      <w:pPr>
        <w:spacing w:line="360" w:lineRule="auto"/>
        <w:jc w:val="both"/>
        <w:rPr>
          <w:rFonts w:ascii="Times New Roman" w:hAnsi="Times New Roman" w:cs="Times New Roman"/>
          <w:szCs w:val="24"/>
          <w:lang w:val="en-US"/>
        </w:rPr>
      </w:pPr>
    </w:p>
    <w:p w:rsidR="002F3ABC" w:rsidRDefault="002F3ABC" w:rsidP="00D22234">
      <w:pPr>
        <w:autoSpaceDE w:val="0"/>
        <w:autoSpaceDN w:val="0"/>
        <w:adjustRightInd w:val="0"/>
        <w:spacing w:after="0" w:line="240" w:lineRule="auto"/>
        <w:jc w:val="both"/>
        <w:rPr>
          <w:rFonts w:ascii="Times New Roman" w:hAnsi="Times New Roman" w:cs="Times New Roman"/>
          <w:lang w:val="en-US"/>
        </w:rPr>
      </w:pPr>
    </w:p>
    <w:p w:rsidR="002F3ABC" w:rsidRPr="00E57369" w:rsidRDefault="002F3ABC" w:rsidP="00D22234">
      <w:pPr>
        <w:autoSpaceDE w:val="0"/>
        <w:autoSpaceDN w:val="0"/>
        <w:adjustRightInd w:val="0"/>
        <w:spacing w:after="0" w:line="240" w:lineRule="auto"/>
        <w:jc w:val="both"/>
        <w:rPr>
          <w:rFonts w:ascii="Times New Roman" w:hAnsi="Times New Roman" w:cs="Times New Roman"/>
          <w:lang w:val="en-US"/>
        </w:rPr>
        <w:sectPr w:rsidR="002F3ABC" w:rsidRPr="00E57369" w:rsidSect="001D2711">
          <w:pgSz w:w="11906" w:h="16838"/>
          <w:pgMar w:top="1418" w:right="1134" w:bottom="1418" w:left="1418" w:header="708" w:footer="113" w:gutter="0"/>
          <w:cols w:space="708"/>
          <w:docGrid w:linePitch="360"/>
        </w:sectPr>
      </w:pPr>
    </w:p>
    <w:p w:rsidR="005717B5" w:rsidRPr="004011A1" w:rsidRDefault="004011A1" w:rsidP="004011A1">
      <w:pPr>
        <w:spacing w:line="360" w:lineRule="auto"/>
        <w:jc w:val="both"/>
        <w:rPr>
          <w:rFonts w:ascii="Arial" w:hAnsi="Arial" w:cs="Arial"/>
          <w:b/>
          <w:sz w:val="28"/>
          <w:lang w:val="en-US"/>
        </w:rPr>
      </w:pPr>
      <w:r w:rsidRPr="004011A1">
        <w:rPr>
          <w:rFonts w:ascii="Arial" w:hAnsi="Arial" w:cs="Arial"/>
          <w:b/>
          <w:sz w:val="28"/>
          <w:lang w:val="en-US"/>
        </w:rPr>
        <w:lastRenderedPageBreak/>
        <w:t xml:space="preserve">5 </w:t>
      </w:r>
      <w:r w:rsidR="005717B5" w:rsidRPr="004011A1">
        <w:rPr>
          <w:rFonts w:ascii="Arial" w:hAnsi="Arial" w:cs="Arial"/>
          <w:b/>
          <w:sz w:val="28"/>
          <w:lang w:val="en-US"/>
        </w:rPr>
        <w:t>Results</w:t>
      </w:r>
      <w:r w:rsidR="00136C13" w:rsidRPr="004011A1">
        <w:rPr>
          <w:rFonts w:ascii="Arial" w:hAnsi="Arial" w:cs="Arial"/>
          <w:b/>
          <w:sz w:val="28"/>
          <w:lang w:val="en-US"/>
        </w:rPr>
        <w:t xml:space="preserve"> and conclusions</w:t>
      </w:r>
    </w:p>
    <w:p w:rsidR="005717B5" w:rsidRDefault="005717B5" w:rsidP="005717B5">
      <w:pPr>
        <w:spacing w:line="360" w:lineRule="auto"/>
        <w:jc w:val="both"/>
        <w:rPr>
          <w:rFonts w:ascii="Times New Roman" w:hAnsi="Times New Roman" w:cs="Times New Roman"/>
          <w:szCs w:val="24"/>
          <w:lang w:val="en-US"/>
        </w:rPr>
      </w:pPr>
      <w:r w:rsidRPr="002C595D">
        <w:rPr>
          <w:rFonts w:ascii="Times New Roman" w:hAnsi="Times New Roman" w:cs="Times New Roman"/>
          <w:szCs w:val="24"/>
          <w:lang w:val="en-US"/>
        </w:rPr>
        <w:t xml:space="preserve">In this section we are going to present the outcome of the methodology and the results of our analysis. We will try to justify our conclusions by taking into consideration the theory and any kind of limitations that this thesis project is subjected to. </w:t>
      </w:r>
    </w:p>
    <w:p w:rsidR="003B1D8F" w:rsidRPr="002C595D" w:rsidRDefault="009124AA" w:rsidP="005717B5">
      <w:pPr>
        <w:spacing w:line="360" w:lineRule="auto"/>
        <w:jc w:val="both"/>
        <w:rPr>
          <w:rFonts w:ascii="Times New Roman" w:hAnsi="Times New Roman" w:cs="Times New Roman"/>
          <w:szCs w:val="24"/>
          <w:lang w:val="en-US"/>
        </w:rPr>
      </w:pPr>
      <w:r w:rsidRPr="002C595D">
        <w:rPr>
          <w:rFonts w:ascii="Times New Roman" w:hAnsi="Times New Roman" w:cs="Times New Roman"/>
          <w:szCs w:val="24"/>
          <w:lang w:val="en-US"/>
        </w:rPr>
        <w:t xml:space="preserve">Having no success in establishing a statistical significant relationship between the cultural differences and the risk appetite of pension funds </w:t>
      </w:r>
      <w:r>
        <w:rPr>
          <w:rFonts w:ascii="Times New Roman" w:hAnsi="Times New Roman" w:cs="Times New Roman"/>
          <w:szCs w:val="24"/>
          <w:lang w:val="en-US"/>
        </w:rPr>
        <w:t>in the total sample</w:t>
      </w:r>
      <w:r w:rsidRPr="002C595D">
        <w:rPr>
          <w:rFonts w:ascii="Times New Roman" w:hAnsi="Times New Roman" w:cs="Times New Roman"/>
          <w:szCs w:val="24"/>
          <w:lang w:val="en-US"/>
        </w:rPr>
        <w:t xml:space="preserve">, we tried to test whether the outcome would be different if we examined the Developed countries separately from the Developing. </w:t>
      </w:r>
      <w:r w:rsidR="003B1D8F">
        <w:rPr>
          <w:rFonts w:ascii="Times New Roman" w:hAnsi="Times New Roman" w:cs="Times New Roman"/>
          <w:szCs w:val="24"/>
          <w:lang w:val="en-US"/>
        </w:rPr>
        <w:t xml:space="preserve">We can argue depending on the results from the previous chapter that the results can be slightly different between </w:t>
      </w:r>
      <w:r>
        <w:rPr>
          <w:rFonts w:ascii="Times New Roman" w:hAnsi="Times New Roman" w:cs="Times New Roman"/>
          <w:szCs w:val="24"/>
          <w:lang w:val="en-US"/>
        </w:rPr>
        <w:t>these two</w:t>
      </w:r>
      <w:r w:rsidR="003B1D8F">
        <w:rPr>
          <w:rFonts w:ascii="Times New Roman" w:hAnsi="Times New Roman" w:cs="Times New Roman"/>
          <w:szCs w:val="24"/>
          <w:lang w:val="en-US"/>
        </w:rPr>
        <w:t xml:space="preserve">. </w:t>
      </w:r>
    </w:p>
    <w:p w:rsidR="005717B5" w:rsidRPr="002C595D" w:rsidRDefault="005717B5" w:rsidP="005717B5">
      <w:pPr>
        <w:spacing w:line="360" w:lineRule="auto"/>
        <w:jc w:val="both"/>
        <w:rPr>
          <w:rFonts w:ascii="Times New Roman" w:hAnsi="Times New Roman" w:cs="Times New Roman"/>
          <w:szCs w:val="24"/>
          <w:lang w:val="en-US"/>
        </w:rPr>
      </w:pPr>
      <w:r w:rsidRPr="002C595D">
        <w:rPr>
          <w:rFonts w:ascii="Times New Roman" w:hAnsi="Times New Roman" w:cs="Times New Roman"/>
          <w:szCs w:val="24"/>
          <w:lang w:val="en-US"/>
        </w:rPr>
        <w:t xml:space="preserve">We have assumed in our hypothesis that Power distance is positively related to the risk appetite displayed by pension funds.   High PDI scores were linked in </w:t>
      </w:r>
      <w:r w:rsidR="005D4597" w:rsidRPr="002C595D">
        <w:rPr>
          <w:rFonts w:ascii="Times New Roman" w:hAnsi="Times New Roman" w:cs="Times New Roman"/>
          <w:szCs w:val="24"/>
          <w:lang w:val="en-US"/>
        </w:rPr>
        <w:t>our previous</w:t>
      </w:r>
      <w:r w:rsidRPr="002C595D">
        <w:rPr>
          <w:rFonts w:ascii="Times New Roman" w:hAnsi="Times New Roman" w:cs="Times New Roman"/>
          <w:szCs w:val="24"/>
          <w:lang w:val="en-US"/>
        </w:rPr>
        <w:t xml:space="preserve"> literature with market financing, higher upper limits in equity investments and therefore we suggested a positive relationship between Power distance and</w:t>
      </w:r>
      <w:r w:rsidR="003B1D8F">
        <w:rPr>
          <w:rFonts w:ascii="Times New Roman" w:hAnsi="Times New Roman" w:cs="Times New Roman"/>
          <w:szCs w:val="24"/>
          <w:lang w:val="en-US"/>
        </w:rPr>
        <w:t xml:space="preserve"> risk appetite.  However, in the sub-</w:t>
      </w:r>
      <w:r w:rsidRPr="002C595D">
        <w:rPr>
          <w:rFonts w:ascii="Times New Roman" w:hAnsi="Times New Roman" w:cs="Times New Roman"/>
          <w:szCs w:val="24"/>
          <w:lang w:val="en-US"/>
        </w:rPr>
        <w:t>sample</w:t>
      </w:r>
      <w:r w:rsidR="003B1D8F">
        <w:rPr>
          <w:rFonts w:ascii="Times New Roman" w:hAnsi="Times New Roman" w:cs="Times New Roman"/>
          <w:szCs w:val="24"/>
          <w:lang w:val="en-US"/>
        </w:rPr>
        <w:t xml:space="preserve"> of Developed countries</w:t>
      </w:r>
      <w:r w:rsidR="005D4597" w:rsidRPr="002C595D">
        <w:rPr>
          <w:rFonts w:ascii="Times New Roman" w:hAnsi="Times New Roman" w:cs="Times New Roman"/>
          <w:szCs w:val="24"/>
          <w:lang w:val="en-US"/>
        </w:rPr>
        <w:t>, the</w:t>
      </w:r>
      <w:r w:rsidRPr="002C595D">
        <w:rPr>
          <w:rFonts w:ascii="Times New Roman" w:hAnsi="Times New Roman" w:cs="Times New Roman"/>
          <w:szCs w:val="24"/>
          <w:lang w:val="en-US"/>
        </w:rPr>
        <w:t xml:space="preserve"> hypothesis is rejected. Looking into the numbers of our statistical analysis, the estimated coefficient of PDI has a </w:t>
      </w:r>
      <w:r w:rsidR="003B1D8F">
        <w:rPr>
          <w:rFonts w:ascii="Times New Roman" w:hAnsi="Times New Roman" w:cs="Times New Roman"/>
          <w:szCs w:val="24"/>
          <w:lang w:val="en-US"/>
        </w:rPr>
        <w:t xml:space="preserve">negative </w:t>
      </w:r>
      <w:r w:rsidRPr="002C595D">
        <w:rPr>
          <w:rFonts w:ascii="Times New Roman" w:hAnsi="Times New Roman" w:cs="Times New Roman"/>
          <w:szCs w:val="24"/>
          <w:lang w:val="en-US"/>
        </w:rPr>
        <w:t xml:space="preserve">value </w:t>
      </w:r>
      <w:r w:rsidR="003B1D8F">
        <w:rPr>
          <w:rFonts w:ascii="Times New Roman" w:hAnsi="Times New Roman" w:cs="Times New Roman"/>
          <w:szCs w:val="24"/>
          <w:lang w:val="en-US"/>
        </w:rPr>
        <w:t>for both multiple and single models.</w:t>
      </w:r>
      <w:r w:rsidRPr="002C595D">
        <w:rPr>
          <w:rFonts w:ascii="Times New Roman" w:hAnsi="Times New Roman" w:cs="Times New Roman"/>
          <w:szCs w:val="24"/>
          <w:lang w:val="en-US"/>
        </w:rPr>
        <w:t xml:space="preserve"> This negative value suggests a negative relationship between risk appetite and Power distance dimension. Also, our null hypothesis is rejected, since the p-value is very </w:t>
      </w:r>
      <w:r w:rsidR="005E4C9E">
        <w:rPr>
          <w:rFonts w:ascii="Times New Roman" w:hAnsi="Times New Roman" w:cs="Times New Roman"/>
          <w:szCs w:val="24"/>
          <w:lang w:val="en-US"/>
        </w:rPr>
        <w:t xml:space="preserve">  </w:t>
      </w:r>
      <w:r w:rsidRPr="002C595D">
        <w:rPr>
          <w:rFonts w:ascii="Times New Roman" w:hAnsi="Times New Roman" w:cs="Times New Roman"/>
          <w:szCs w:val="24"/>
          <w:lang w:val="en-US"/>
        </w:rPr>
        <w:t>high, and therefore statistically insignificant in the 95% confidence level.</w:t>
      </w:r>
      <w:r w:rsidR="003B1D8F">
        <w:rPr>
          <w:rFonts w:ascii="Times New Roman" w:hAnsi="Times New Roman" w:cs="Times New Roman"/>
          <w:szCs w:val="24"/>
          <w:lang w:val="en-US"/>
        </w:rPr>
        <w:t xml:space="preserve"> For the Developing countries, we succeeded in predicting the trend but the result is still not significant in statistical terms. </w:t>
      </w:r>
    </w:p>
    <w:p w:rsidR="00A22590" w:rsidRPr="002C595D" w:rsidRDefault="005717B5" w:rsidP="005717B5">
      <w:pPr>
        <w:spacing w:line="360" w:lineRule="auto"/>
        <w:jc w:val="both"/>
        <w:rPr>
          <w:rFonts w:ascii="Times New Roman" w:hAnsi="Times New Roman" w:cs="Times New Roman"/>
          <w:szCs w:val="24"/>
          <w:lang w:val="en-US"/>
        </w:rPr>
      </w:pPr>
      <w:r w:rsidRPr="002C595D">
        <w:rPr>
          <w:rFonts w:ascii="Times New Roman" w:hAnsi="Times New Roman" w:cs="Times New Roman"/>
          <w:szCs w:val="24"/>
          <w:lang w:val="en-US"/>
        </w:rPr>
        <w:t>Our second hypothesis assumed that Uncertainty avoidance is negatively related to the risk appetite of pension funds.  High uncertainty avoiding countries, show signs of risk aversion since they feel threatened by ambiguous situations, and therefore we would expect lower levels of risky investments from their side. According to our results, we do find a negative relationship between UAI and risk appetite of pension funds</w:t>
      </w:r>
      <w:r w:rsidR="003B1D8F">
        <w:rPr>
          <w:rFonts w:ascii="Times New Roman" w:hAnsi="Times New Roman" w:cs="Times New Roman"/>
          <w:szCs w:val="24"/>
          <w:lang w:val="en-US"/>
        </w:rPr>
        <w:t xml:space="preserve"> for the Single model of Developed countries and for all models in Developing</w:t>
      </w:r>
      <w:r w:rsidRPr="002C595D">
        <w:rPr>
          <w:rFonts w:ascii="Times New Roman" w:hAnsi="Times New Roman" w:cs="Times New Roman"/>
          <w:szCs w:val="24"/>
          <w:lang w:val="en-US"/>
        </w:rPr>
        <w:t>, however, when we see the probability value</w:t>
      </w:r>
      <w:r w:rsidR="003B1D8F">
        <w:rPr>
          <w:rFonts w:ascii="Times New Roman" w:hAnsi="Times New Roman" w:cs="Times New Roman"/>
          <w:szCs w:val="24"/>
          <w:lang w:val="en-US"/>
        </w:rPr>
        <w:t>s</w:t>
      </w:r>
      <w:r w:rsidRPr="002C595D">
        <w:rPr>
          <w:rFonts w:ascii="Times New Roman" w:hAnsi="Times New Roman" w:cs="Times New Roman"/>
          <w:szCs w:val="24"/>
          <w:lang w:val="en-US"/>
        </w:rPr>
        <w:t>, we</w:t>
      </w:r>
      <w:r w:rsidR="003B1D8F">
        <w:rPr>
          <w:rFonts w:ascii="Times New Roman" w:hAnsi="Times New Roman" w:cs="Times New Roman"/>
          <w:szCs w:val="24"/>
          <w:lang w:val="en-US"/>
        </w:rPr>
        <w:t xml:space="preserve"> have to reject our hypothesis.</w:t>
      </w:r>
      <w:r w:rsidRPr="002C595D">
        <w:rPr>
          <w:rFonts w:ascii="Times New Roman" w:hAnsi="Times New Roman" w:cs="Times New Roman"/>
          <w:szCs w:val="24"/>
          <w:lang w:val="en-US"/>
        </w:rPr>
        <w:t xml:space="preserve"> </w:t>
      </w:r>
      <w:r w:rsidR="00A22590" w:rsidRPr="002C595D">
        <w:rPr>
          <w:rFonts w:ascii="Times New Roman" w:hAnsi="Times New Roman" w:cs="Times New Roman"/>
          <w:szCs w:val="24"/>
          <w:lang w:val="en-US"/>
        </w:rPr>
        <w:t xml:space="preserve">A reason why we found opposite results for Uncertainty Avoidance is because, as we said before, uncertainty avoidance is not equivalent to risk avoidance. It is possible that societies with clear laws and procedures can bear a higher risk. We can suspect that in Developed countries, such rules exist, and therefore risk taking </w:t>
      </w:r>
      <w:r w:rsidR="00A22590">
        <w:rPr>
          <w:rFonts w:ascii="Times New Roman" w:hAnsi="Times New Roman" w:cs="Times New Roman"/>
          <w:szCs w:val="24"/>
          <w:lang w:val="en-US"/>
        </w:rPr>
        <w:t xml:space="preserve">is </w:t>
      </w:r>
      <w:r w:rsidR="00A22590" w:rsidRPr="002C595D">
        <w:rPr>
          <w:rFonts w:ascii="Times New Roman" w:hAnsi="Times New Roman" w:cs="Times New Roman"/>
          <w:szCs w:val="24"/>
          <w:lang w:val="en-US"/>
        </w:rPr>
        <w:t xml:space="preserve">not that stressful for its members. </w:t>
      </w:r>
    </w:p>
    <w:p w:rsidR="00A22590" w:rsidRDefault="005717B5" w:rsidP="00A22590">
      <w:pPr>
        <w:spacing w:line="360" w:lineRule="auto"/>
        <w:jc w:val="both"/>
        <w:rPr>
          <w:rFonts w:ascii="Times New Roman" w:hAnsi="Times New Roman" w:cs="Times New Roman"/>
          <w:szCs w:val="24"/>
          <w:lang w:val="en-US"/>
        </w:rPr>
      </w:pPr>
      <w:r w:rsidRPr="002C595D">
        <w:rPr>
          <w:rFonts w:ascii="Times New Roman" w:hAnsi="Times New Roman" w:cs="Times New Roman"/>
          <w:szCs w:val="24"/>
          <w:lang w:val="en-US"/>
        </w:rPr>
        <w:t xml:space="preserve">Individualism was supposed to be positive correlated with the equity investments of the pension funds according to our third Hypothesis. People from highly individualistic countries are interested in their own benefit and are willing to take riskier strategies. </w:t>
      </w:r>
      <w:r w:rsidR="00A22590" w:rsidRPr="002C595D">
        <w:rPr>
          <w:rFonts w:ascii="Times New Roman" w:hAnsi="Times New Roman" w:cs="Times New Roman"/>
          <w:szCs w:val="24"/>
          <w:lang w:val="en-US"/>
        </w:rPr>
        <w:t>In general, we could not verify most of our hypotheses</w:t>
      </w:r>
      <w:r w:rsidR="00A22590">
        <w:rPr>
          <w:rFonts w:ascii="Times New Roman" w:hAnsi="Times New Roman" w:cs="Times New Roman"/>
          <w:szCs w:val="24"/>
          <w:lang w:val="en-US"/>
        </w:rPr>
        <w:t xml:space="preserve"> in none of the two sub-samples and o</w:t>
      </w:r>
      <w:r w:rsidR="00A22590" w:rsidRPr="002C595D">
        <w:rPr>
          <w:rFonts w:ascii="Times New Roman" w:hAnsi="Times New Roman" w:cs="Times New Roman"/>
          <w:szCs w:val="24"/>
          <w:lang w:val="en-US"/>
        </w:rPr>
        <w:t xml:space="preserve">ur </w:t>
      </w:r>
      <w:r w:rsidR="00A22590">
        <w:rPr>
          <w:rFonts w:ascii="Times New Roman" w:hAnsi="Times New Roman" w:cs="Times New Roman"/>
          <w:szCs w:val="24"/>
          <w:lang w:val="en-US"/>
        </w:rPr>
        <w:t>hypothesis is again rejected</w:t>
      </w:r>
      <w:r w:rsidR="00A22590" w:rsidRPr="002C595D">
        <w:rPr>
          <w:rFonts w:ascii="Times New Roman" w:hAnsi="Times New Roman" w:cs="Times New Roman"/>
          <w:szCs w:val="24"/>
          <w:lang w:val="en-US"/>
        </w:rPr>
        <w:t xml:space="preserve"> with 95% confidence. However, we find some evidence for Individualism. In the developed countries, th</w:t>
      </w:r>
      <w:r w:rsidR="00A22590">
        <w:rPr>
          <w:rFonts w:ascii="Times New Roman" w:hAnsi="Times New Roman" w:cs="Times New Roman"/>
          <w:szCs w:val="24"/>
          <w:lang w:val="en-US"/>
        </w:rPr>
        <w:t xml:space="preserve">is </w:t>
      </w:r>
      <w:r w:rsidR="00A22590" w:rsidRPr="002C595D">
        <w:rPr>
          <w:rFonts w:ascii="Times New Roman" w:hAnsi="Times New Roman" w:cs="Times New Roman"/>
          <w:szCs w:val="24"/>
          <w:lang w:val="en-US"/>
        </w:rPr>
        <w:t xml:space="preserve">dimension </w:t>
      </w:r>
      <w:r w:rsidR="00A22590">
        <w:rPr>
          <w:rFonts w:ascii="Times New Roman" w:hAnsi="Times New Roman" w:cs="Times New Roman"/>
          <w:szCs w:val="24"/>
          <w:lang w:val="en-US"/>
        </w:rPr>
        <w:t>has</w:t>
      </w:r>
      <w:r w:rsidR="00A22590" w:rsidRPr="002C595D">
        <w:rPr>
          <w:rFonts w:ascii="Times New Roman" w:hAnsi="Times New Roman" w:cs="Times New Roman"/>
          <w:szCs w:val="24"/>
          <w:lang w:val="en-US"/>
        </w:rPr>
        <w:t xml:space="preserve"> a positive effect on the risk appetite of pension funds. This means that the more individualistic a society is, and the higher the </w:t>
      </w:r>
      <w:r w:rsidR="00A22590" w:rsidRPr="002C595D">
        <w:rPr>
          <w:rFonts w:ascii="Times New Roman" w:hAnsi="Times New Roman" w:cs="Times New Roman"/>
          <w:szCs w:val="24"/>
          <w:lang w:val="en-US"/>
        </w:rPr>
        <w:lastRenderedPageBreak/>
        <w:t>uncertainty avoidance level, the more risky they b</w:t>
      </w:r>
      <w:r w:rsidR="00A22590">
        <w:rPr>
          <w:rFonts w:ascii="Times New Roman" w:hAnsi="Times New Roman" w:cs="Times New Roman"/>
          <w:szCs w:val="24"/>
          <w:lang w:val="en-US"/>
        </w:rPr>
        <w:t>ecome in their investments.  This</w:t>
      </w:r>
      <w:r w:rsidR="00A22590" w:rsidRPr="002C595D">
        <w:rPr>
          <w:rFonts w:ascii="Times New Roman" w:hAnsi="Times New Roman" w:cs="Times New Roman"/>
          <w:szCs w:val="24"/>
          <w:lang w:val="en-US"/>
        </w:rPr>
        <w:t xml:space="preserve"> result comes into agreement with our expectations regarding Individualism. </w:t>
      </w:r>
    </w:p>
    <w:p w:rsidR="005717B5" w:rsidRPr="002C595D" w:rsidRDefault="005717B5" w:rsidP="005717B5">
      <w:pPr>
        <w:spacing w:line="360" w:lineRule="auto"/>
        <w:jc w:val="both"/>
        <w:rPr>
          <w:rFonts w:ascii="Times New Roman" w:hAnsi="Times New Roman" w:cs="Times New Roman"/>
          <w:szCs w:val="24"/>
          <w:lang w:val="en-US"/>
        </w:rPr>
      </w:pPr>
    </w:p>
    <w:p w:rsidR="009124AA" w:rsidRPr="002C595D" w:rsidRDefault="005717B5" w:rsidP="005717B5">
      <w:pPr>
        <w:spacing w:line="360" w:lineRule="auto"/>
        <w:jc w:val="both"/>
        <w:rPr>
          <w:rFonts w:ascii="Times New Roman" w:hAnsi="Times New Roman" w:cs="Times New Roman"/>
          <w:szCs w:val="24"/>
          <w:lang w:val="en-US"/>
        </w:rPr>
      </w:pPr>
      <w:r w:rsidRPr="002C595D">
        <w:rPr>
          <w:rFonts w:ascii="Times New Roman" w:hAnsi="Times New Roman" w:cs="Times New Roman"/>
          <w:szCs w:val="24"/>
          <w:lang w:val="en-US"/>
        </w:rPr>
        <w:t xml:space="preserve">Last, the final hypothesis of our research, suggests that Masculinity is positively associated with pension funds' appetite for risk. Although we find a slightly positive relationship between the coefficient of  MASC and asset allocation </w:t>
      </w:r>
      <w:r w:rsidR="003B1D8F">
        <w:rPr>
          <w:rFonts w:ascii="Times New Roman" w:hAnsi="Times New Roman" w:cs="Times New Roman"/>
          <w:szCs w:val="24"/>
          <w:lang w:val="en-US"/>
        </w:rPr>
        <w:t>for the Developing countries</w:t>
      </w:r>
      <w:r w:rsidRPr="002C595D">
        <w:rPr>
          <w:rFonts w:ascii="Times New Roman" w:hAnsi="Times New Roman" w:cs="Times New Roman"/>
          <w:szCs w:val="24"/>
          <w:lang w:val="en-US"/>
        </w:rPr>
        <w:t xml:space="preserve"> our hypothesis is again rejected because of the </w:t>
      </w:r>
      <w:r w:rsidR="009124AA">
        <w:rPr>
          <w:rFonts w:ascii="Times New Roman" w:hAnsi="Times New Roman" w:cs="Times New Roman"/>
          <w:szCs w:val="24"/>
          <w:lang w:val="en-US"/>
        </w:rPr>
        <w:t>very high p-value we have found.</w:t>
      </w:r>
    </w:p>
    <w:p w:rsidR="005717B5" w:rsidRDefault="005717B5" w:rsidP="005717B5">
      <w:pPr>
        <w:spacing w:line="360" w:lineRule="auto"/>
        <w:jc w:val="both"/>
        <w:rPr>
          <w:rFonts w:ascii="Times New Roman" w:hAnsi="Times New Roman" w:cs="Times New Roman"/>
          <w:szCs w:val="24"/>
          <w:lang w:val="en-US"/>
        </w:rPr>
      </w:pPr>
      <w:r w:rsidRPr="002C595D">
        <w:rPr>
          <w:rFonts w:ascii="Times New Roman" w:hAnsi="Times New Roman" w:cs="Times New Roman"/>
          <w:szCs w:val="24"/>
          <w:lang w:val="en-US"/>
        </w:rPr>
        <w:t>We also controlled for the influence of some other variables, namely Gross Domestic Product, Limits in equity inv</w:t>
      </w:r>
      <w:r w:rsidR="009124AA">
        <w:rPr>
          <w:rFonts w:ascii="Times New Roman" w:hAnsi="Times New Roman" w:cs="Times New Roman"/>
          <w:szCs w:val="24"/>
          <w:lang w:val="en-US"/>
        </w:rPr>
        <w:t>estments, Age dependency ratio, M</w:t>
      </w:r>
      <w:r w:rsidRPr="002C595D">
        <w:rPr>
          <w:rFonts w:ascii="Times New Roman" w:hAnsi="Times New Roman" w:cs="Times New Roman"/>
          <w:szCs w:val="24"/>
          <w:lang w:val="en-US"/>
        </w:rPr>
        <w:t>arket capitalization</w:t>
      </w:r>
      <w:r w:rsidR="009124AA">
        <w:rPr>
          <w:rFonts w:ascii="Times New Roman" w:hAnsi="Times New Roman" w:cs="Times New Roman"/>
          <w:szCs w:val="24"/>
          <w:lang w:val="en-US"/>
        </w:rPr>
        <w:t xml:space="preserve"> and relative shares of Defined Benefit plans</w:t>
      </w:r>
      <w:r w:rsidRPr="002C595D">
        <w:rPr>
          <w:rFonts w:ascii="Times New Roman" w:hAnsi="Times New Roman" w:cs="Times New Roman"/>
          <w:szCs w:val="24"/>
          <w:lang w:val="en-US"/>
        </w:rPr>
        <w:t xml:space="preserve">. According to our results none of the above determinants affect the risk appetite of pension funds </w:t>
      </w:r>
      <w:r w:rsidR="009124AA">
        <w:rPr>
          <w:rFonts w:ascii="Times New Roman" w:hAnsi="Times New Roman" w:cs="Times New Roman"/>
          <w:szCs w:val="24"/>
          <w:lang w:val="en-US"/>
        </w:rPr>
        <w:t>when it comes to the Developed countries</w:t>
      </w:r>
      <w:r w:rsidRPr="002C595D">
        <w:rPr>
          <w:rFonts w:ascii="Times New Roman" w:hAnsi="Times New Roman" w:cs="Times New Roman"/>
          <w:szCs w:val="24"/>
          <w:lang w:val="en-US"/>
        </w:rPr>
        <w:t>.</w:t>
      </w:r>
      <w:r w:rsidR="009124AA">
        <w:rPr>
          <w:rFonts w:ascii="Times New Roman" w:hAnsi="Times New Roman" w:cs="Times New Roman"/>
          <w:szCs w:val="24"/>
          <w:lang w:val="en-US"/>
        </w:rPr>
        <w:t xml:space="preserve"> However, we do have some interesting findings </w:t>
      </w:r>
      <w:r w:rsidRPr="002C595D">
        <w:rPr>
          <w:rFonts w:ascii="Times New Roman" w:hAnsi="Times New Roman" w:cs="Times New Roman"/>
          <w:szCs w:val="24"/>
          <w:lang w:val="en-US"/>
        </w:rPr>
        <w:t xml:space="preserve"> </w:t>
      </w:r>
      <w:r w:rsidR="009124AA">
        <w:rPr>
          <w:rFonts w:ascii="Times New Roman" w:hAnsi="Times New Roman" w:cs="Times New Roman"/>
          <w:szCs w:val="24"/>
          <w:lang w:val="en-US"/>
        </w:rPr>
        <w:t xml:space="preserve">for the Developing. </w:t>
      </w:r>
    </w:p>
    <w:p w:rsidR="009124AA" w:rsidRDefault="009124AA" w:rsidP="005717B5">
      <w:pPr>
        <w:spacing w:line="360" w:lineRule="auto"/>
        <w:jc w:val="both"/>
        <w:rPr>
          <w:rFonts w:ascii="Times New Roman" w:hAnsi="Times New Roman" w:cs="Times New Roman"/>
          <w:szCs w:val="24"/>
          <w:lang w:val="en-US"/>
        </w:rPr>
      </w:pPr>
      <w:r>
        <w:rPr>
          <w:rFonts w:ascii="Times New Roman" w:hAnsi="Times New Roman" w:cs="Times New Roman"/>
          <w:szCs w:val="24"/>
          <w:lang w:val="en-US"/>
        </w:rPr>
        <w:t>Apparently, national wealth and the power of Defined benefit plans, have a significant negative effect on the equity holdings of pension funds in Developing countries. It seems that when the national wealth, when counted n terms of GDP, is increasing, pension funds lose their interest in risky investments in Developing countries.</w:t>
      </w:r>
      <w:r w:rsidR="00A22590" w:rsidRPr="002C595D">
        <w:rPr>
          <w:rFonts w:ascii="Times New Roman" w:hAnsi="Times New Roman" w:cs="Times New Roman"/>
          <w:szCs w:val="24"/>
          <w:lang w:val="en-US"/>
        </w:rPr>
        <w:t xml:space="preserve"> Apparently, in these countries the level of GDP can affect the risk appetite of pension funds</w:t>
      </w:r>
      <w:r w:rsidR="00A22590">
        <w:rPr>
          <w:rFonts w:ascii="Times New Roman" w:hAnsi="Times New Roman" w:cs="Times New Roman"/>
          <w:szCs w:val="24"/>
          <w:lang w:val="en-US"/>
        </w:rPr>
        <w:t>;</w:t>
      </w:r>
      <w:r w:rsidR="00A22590" w:rsidRPr="002C595D">
        <w:rPr>
          <w:rFonts w:ascii="Times New Roman" w:hAnsi="Times New Roman" w:cs="Times New Roman"/>
          <w:szCs w:val="24"/>
          <w:lang w:val="en-US"/>
        </w:rPr>
        <w:t xml:space="preserve"> the lower the GDP, the more risk seeking they become. </w:t>
      </w:r>
      <w:r>
        <w:rPr>
          <w:rFonts w:ascii="Times New Roman" w:hAnsi="Times New Roman" w:cs="Times New Roman"/>
          <w:szCs w:val="24"/>
          <w:lang w:val="en-US"/>
        </w:rPr>
        <w:t xml:space="preserve"> Also, when Defined benefit plans have the biggest share of assets among other types of plans, and especially in comparison to Defined Contribution plans, the risk appetite is relatively</w:t>
      </w:r>
      <w:r w:rsidR="00A22590">
        <w:rPr>
          <w:rFonts w:ascii="Times New Roman" w:hAnsi="Times New Roman" w:cs="Times New Roman"/>
          <w:szCs w:val="24"/>
          <w:lang w:val="en-US"/>
        </w:rPr>
        <w:t xml:space="preserve"> lower, as expected by theory. </w:t>
      </w:r>
    </w:p>
    <w:p w:rsidR="00A22590" w:rsidRPr="002C595D" w:rsidRDefault="00A22590" w:rsidP="005717B5">
      <w:pPr>
        <w:spacing w:line="360" w:lineRule="auto"/>
        <w:jc w:val="both"/>
        <w:rPr>
          <w:rFonts w:ascii="Times New Roman" w:hAnsi="Times New Roman" w:cs="Times New Roman"/>
          <w:szCs w:val="24"/>
          <w:lang w:val="en-US"/>
        </w:rPr>
      </w:pPr>
    </w:p>
    <w:p w:rsidR="009124AA" w:rsidRPr="002C595D" w:rsidRDefault="009124AA" w:rsidP="009124AA">
      <w:pPr>
        <w:spacing w:line="360" w:lineRule="auto"/>
        <w:jc w:val="both"/>
        <w:rPr>
          <w:rFonts w:ascii="Times New Roman" w:hAnsi="Times New Roman" w:cs="Times New Roman"/>
          <w:szCs w:val="24"/>
          <w:lang w:val="en-US"/>
        </w:rPr>
      </w:pPr>
      <w:r w:rsidRPr="002C595D">
        <w:rPr>
          <w:rFonts w:ascii="Times New Roman" w:hAnsi="Times New Roman" w:cs="Times New Roman"/>
          <w:szCs w:val="24"/>
          <w:lang w:val="en-US"/>
        </w:rPr>
        <w:t xml:space="preserve">Having  rejected all of our secondary hypothesis, we can conclude that our main hypothesis is rejected as well. This means that there is no significant relationship between Hofstede's cultural dimensions and the risk appetite of pension  funds. </w:t>
      </w:r>
    </w:p>
    <w:p w:rsidR="009124AA" w:rsidRPr="002C595D" w:rsidRDefault="009124AA" w:rsidP="005717B5">
      <w:pPr>
        <w:spacing w:line="360" w:lineRule="auto"/>
        <w:jc w:val="both"/>
        <w:rPr>
          <w:rFonts w:ascii="Times New Roman" w:hAnsi="Times New Roman" w:cs="Times New Roman"/>
          <w:szCs w:val="24"/>
          <w:lang w:val="en-US"/>
        </w:rPr>
      </w:pPr>
    </w:p>
    <w:p w:rsidR="00E839E2" w:rsidRPr="002C595D" w:rsidRDefault="007025C9" w:rsidP="005717B5">
      <w:pPr>
        <w:spacing w:line="360" w:lineRule="auto"/>
        <w:jc w:val="both"/>
        <w:rPr>
          <w:rFonts w:ascii="Times New Roman" w:hAnsi="Times New Roman" w:cs="Times New Roman"/>
          <w:szCs w:val="24"/>
          <w:lang w:val="en-US"/>
        </w:rPr>
      </w:pPr>
      <w:r w:rsidRPr="002C595D">
        <w:rPr>
          <w:rFonts w:ascii="Times New Roman" w:hAnsi="Times New Roman" w:cs="Times New Roman"/>
          <w:szCs w:val="24"/>
          <w:lang w:val="en-US"/>
        </w:rPr>
        <w:t>All in all, we have tried in this thesis to investigate the relationship between culture and risk appetite of pension funds. Despite the fact that we could not establish a strong relationship between these two, we believe that we set the grounds for future research</w:t>
      </w:r>
      <w:r w:rsidR="00E839E2" w:rsidRPr="002C595D">
        <w:rPr>
          <w:rFonts w:ascii="Times New Roman" w:hAnsi="Times New Roman" w:cs="Times New Roman"/>
          <w:szCs w:val="24"/>
          <w:lang w:val="en-US"/>
        </w:rPr>
        <w:t xml:space="preserve">, giving a direction that could be of great use for governments and pension funds. </w:t>
      </w:r>
    </w:p>
    <w:p w:rsidR="001E3DAE" w:rsidRPr="002C595D" w:rsidRDefault="001E3DAE" w:rsidP="005717B5">
      <w:pPr>
        <w:spacing w:line="360" w:lineRule="auto"/>
        <w:jc w:val="both"/>
        <w:rPr>
          <w:rFonts w:ascii="Arial" w:hAnsi="Arial" w:cs="Arial"/>
          <w:b/>
          <w:sz w:val="24"/>
          <w:lang w:val="en-US"/>
        </w:rPr>
      </w:pPr>
    </w:p>
    <w:p w:rsidR="002C595D" w:rsidRDefault="002C595D">
      <w:pPr>
        <w:rPr>
          <w:rFonts w:ascii="Arial" w:hAnsi="Arial" w:cs="Arial"/>
          <w:b/>
          <w:sz w:val="28"/>
          <w:lang w:val="en-US"/>
        </w:rPr>
      </w:pPr>
      <w:r>
        <w:rPr>
          <w:rFonts w:ascii="Arial" w:hAnsi="Arial" w:cs="Arial"/>
          <w:b/>
          <w:sz w:val="28"/>
          <w:lang w:val="en-US"/>
        </w:rPr>
        <w:br w:type="page"/>
      </w:r>
    </w:p>
    <w:p w:rsidR="005717B5" w:rsidRPr="007025C9" w:rsidRDefault="007025C9" w:rsidP="005717B5">
      <w:pPr>
        <w:spacing w:line="360" w:lineRule="auto"/>
        <w:jc w:val="both"/>
        <w:rPr>
          <w:rFonts w:ascii="Arial" w:hAnsi="Arial" w:cs="Arial"/>
          <w:b/>
          <w:sz w:val="28"/>
          <w:lang w:val="en-US"/>
        </w:rPr>
      </w:pPr>
      <w:r w:rsidRPr="007025C9">
        <w:rPr>
          <w:rFonts w:ascii="Arial" w:hAnsi="Arial" w:cs="Arial"/>
          <w:b/>
          <w:sz w:val="28"/>
          <w:lang w:val="en-US"/>
        </w:rPr>
        <w:lastRenderedPageBreak/>
        <w:t xml:space="preserve">6 </w:t>
      </w:r>
      <w:r w:rsidR="005717B5" w:rsidRPr="007025C9">
        <w:rPr>
          <w:rFonts w:ascii="Arial" w:hAnsi="Arial" w:cs="Arial"/>
          <w:b/>
          <w:sz w:val="28"/>
          <w:lang w:val="en-US"/>
        </w:rPr>
        <w:t xml:space="preserve">Limitations and </w:t>
      </w:r>
      <w:r w:rsidRPr="007025C9">
        <w:rPr>
          <w:rFonts w:ascii="Arial" w:hAnsi="Arial" w:cs="Arial"/>
          <w:b/>
          <w:sz w:val="28"/>
          <w:lang w:val="en-US"/>
        </w:rPr>
        <w:t>recommendations for future research</w:t>
      </w:r>
    </w:p>
    <w:p w:rsidR="005717B5" w:rsidRPr="002C595D" w:rsidRDefault="005717B5" w:rsidP="005717B5">
      <w:pPr>
        <w:spacing w:line="360" w:lineRule="auto"/>
        <w:jc w:val="both"/>
        <w:rPr>
          <w:rFonts w:ascii="Times New Roman" w:hAnsi="Times New Roman" w:cs="Times New Roman"/>
          <w:szCs w:val="24"/>
          <w:lang w:val="en-US"/>
        </w:rPr>
      </w:pPr>
      <w:r w:rsidRPr="002C595D">
        <w:rPr>
          <w:rFonts w:ascii="Times New Roman" w:hAnsi="Times New Roman" w:cs="Times New Roman"/>
          <w:szCs w:val="24"/>
          <w:lang w:val="en-US"/>
        </w:rPr>
        <w:t xml:space="preserve">The first limitation that we should take into consideration is the size of our sample. Hofstede's study involves cultural scores for 76 countries. However, because of data unavailability for all of the 76, we were able to make use of 49 of them. Our sample size is relatively small, which probably contributes to the extremely low significance levels that we have found for our tests. </w:t>
      </w:r>
    </w:p>
    <w:p w:rsidR="007025C9" w:rsidRDefault="005717B5" w:rsidP="00D85F40">
      <w:pPr>
        <w:spacing w:line="360" w:lineRule="auto"/>
        <w:jc w:val="both"/>
        <w:rPr>
          <w:rFonts w:ascii="Times New Roman" w:hAnsi="Times New Roman" w:cs="Times New Roman"/>
          <w:szCs w:val="24"/>
          <w:lang w:val="en-US"/>
        </w:rPr>
      </w:pPr>
      <w:r w:rsidRPr="002C595D">
        <w:rPr>
          <w:rFonts w:ascii="Times New Roman" w:hAnsi="Times New Roman" w:cs="Times New Roman"/>
          <w:szCs w:val="24"/>
          <w:lang w:val="en-US"/>
        </w:rPr>
        <w:t>Another factor that could possibly affect the outcome of our results is the time period of our data. In 2011, crisis is still taking its toll. In this year, there is still intense pressure for pension funds, both public and private, to reduce the intake of risk in their portfolio in order to keep volatility low and maintain the funding ratios more secure in comparison to the previous years. This could affect their risk appetite, heading for a safer asset portfolio with lower equity investments.</w:t>
      </w:r>
    </w:p>
    <w:p w:rsidR="00AA54AC" w:rsidRDefault="00AA54AC" w:rsidP="00D85F40">
      <w:pPr>
        <w:spacing w:line="360" w:lineRule="auto"/>
        <w:jc w:val="both"/>
        <w:rPr>
          <w:rFonts w:ascii="Times New Roman" w:hAnsi="Times New Roman" w:cs="Times New Roman"/>
          <w:szCs w:val="24"/>
          <w:lang w:val="en-US"/>
        </w:rPr>
      </w:pPr>
      <w:r>
        <w:rPr>
          <w:rFonts w:ascii="Times New Roman" w:hAnsi="Times New Roman" w:cs="Times New Roman"/>
          <w:szCs w:val="24"/>
          <w:lang w:val="en-US"/>
        </w:rPr>
        <w:t>Moreover, we had limited data for some of the control variables (</w:t>
      </w:r>
      <w:r w:rsidR="000C52F1">
        <w:rPr>
          <w:rFonts w:ascii="Times New Roman" w:hAnsi="Times New Roman" w:cs="Times New Roman"/>
          <w:szCs w:val="24"/>
          <w:lang w:val="en-US"/>
        </w:rPr>
        <w:t>e.g.</w:t>
      </w:r>
      <w:r>
        <w:rPr>
          <w:rFonts w:ascii="Times New Roman" w:hAnsi="Times New Roman" w:cs="Times New Roman"/>
          <w:szCs w:val="24"/>
          <w:lang w:val="en-US"/>
        </w:rPr>
        <w:t xml:space="preserve"> relative shares of DB). As we saw, the DB control variable is somehow correlated with Developing countries. It would be suggested for future research to extend their focus in this variable, when more data will be available for use. </w:t>
      </w:r>
    </w:p>
    <w:p w:rsidR="007025C9" w:rsidRPr="002C595D" w:rsidRDefault="00AA54AC" w:rsidP="00D85F40">
      <w:pPr>
        <w:spacing w:line="360" w:lineRule="auto"/>
        <w:jc w:val="both"/>
        <w:rPr>
          <w:rFonts w:ascii="Times New Roman" w:hAnsi="Times New Roman" w:cs="Times New Roman"/>
          <w:b/>
          <w:szCs w:val="24"/>
          <w:lang w:val="en-US"/>
        </w:rPr>
      </w:pPr>
      <w:r>
        <w:rPr>
          <w:rFonts w:ascii="Times New Roman" w:hAnsi="Times New Roman" w:cs="Times New Roman"/>
          <w:szCs w:val="24"/>
          <w:lang w:val="en-US"/>
        </w:rPr>
        <w:t>C</w:t>
      </w:r>
      <w:r w:rsidR="007025C9" w:rsidRPr="002C595D">
        <w:rPr>
          <w:rFonts w:ascii="Times New Roman" w:hAnsi="Times New Roman" w:cs="Times New Roman"/>
          <w:szCs w:val="24"/>
          <w:lang w:val="en-US"/>
        </w:rPr>
        <w:t>ulture is found to have an impact in many aspects of economics and finance. Pension funds’ assets allocation is a topic that will have an augmenting interest, especially with the aging problem that countries are facing nowadays. Therefore it would be helpful to have a better understanding of how pension funds investment behavior works within a cultural frame.</w:t>
      </w:r>
      <w:r w:rsidR="000C52F1">
        <w:rPr>
          <w:rFonts w:ascii="Times New Roman" w:hAnsi="Times New Roman" w:cs="Times New Roman"/>
          <w:szCs w:val="24"/>
          <w:lang w:val="en-US"/>
        </w:rPr>
        <w:t xml:space="preserve"> In our research we noticed that there are differences between Developing and Developed counties in respect of risk appetite and the factors that can affect it. Therefore, it would be of great interest o get in more depth regarding the sources of these differences, and see hoe pension funds vary their risk taking strategies and pension products in those two different country categories. </w:t>
      </w:r>
      <w:r w:rsidR="007025C9" w:rsidRPr="002C595D">
        <w:rPr>
          <w:rFonts w:ascii="Times New Roman" w:hAnsi="Times New Roman" w:cs="Times New Roman"/>
          <w:szCs w:val="24"/>
          <w:lang w:val="en-US"/>
        </w:rPr>
        <w:t>Future research could try to examine specific types of pension funds, gathering a bigger sample of funds from different countries</w:t>
      </w:r>
      <w:r w:rsidR="00BD104E">
        <w:rPr>
          <w:rFonts w:ascii="Times New Roman" w:hAnsi="Times New Roman" w:cs="Times New Roman"/>
          <w:szCs w:val="24"/>
          <w:lang w:val="en-US"/>
        </w:rPr>
        <w:t xml:space="preserve">, or even a </w:t>
      </w:r>
      <w:r w:rsidR="000236D5">
        <w:rPr>
          <w:rFonts w:ascii="Times New Roman" w:hAnsi="Times New Roman" w:cs="Times New Roman"/>
          <w:szCs w:val="24"/>
          <w:lang w:val="en-US"/>
        </w:rPr>
        <w:t xml:space="preserve">more detailed research between a developed and a developing country. </w:t>
      </w:r>
    </w:p>
    <w:p w:rsidR="007025C9" w:rsidRDefault="007025C9">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000000" w:rsidRDefault="00CF0630">
      <w:pPr>
        <w:jc w:val="both"/>
        <w:rPr>
          <w:rFonts w:ascii="Arial" w:hAnsi="Arial" w:cs="Arial"/>
          <w:sz w:val="28"/>
          <w:szCs w:val="24"/>
          <w:lang w:val="en-US"/>
        </w:rPr>
        <w:pPrChange w:id="7" w:author="Dora" w:date="2013-08-25T20:32:00Z">
          <w:pPr/>
        </w:pPrChange>
      </w:pPr>
      <w:r w:rsidRPr="004011A1">
        <w:rPr>
          <w:rFonts w:ascii="Arial" w:hAnsi="Arial" w:cs="Arial"/>
          <w:b/>
          <w:sz w:val="28"/>
          <w:szCs w:val="24"/>
          <w:lang w:val="en-US"/>
        </w:rPr>
        <w:lastRenderedPageBreak/>
        <w:t>R</w:t>
      </w:r>
      <w:r w:rsidR="00C922C0" w:rsidRPr="004011A1">
        <w:rPr>
          <w:rFonts w:ascii="Arial" w:hAnsi="Arial" w:cs="Arial"/>
          <w:b/>
          <w:sz w:val="28"/>
          <w:szCs w:val="24"/>
          <w:lang w:val="en-US"/>
        </w:rPr>
        <w:t>EFERENCES</w:t>
      </w:r>
    </w:p>
    <w:p w:rsidR="00C922C0" w:rsidRDefault="00C922C0" w:rsidP="00E32AAC">
      <w:pPr>
        <w:autoSpaceDE w:val="0"/>
        <w:autoSpaceDN w:val="0"/>
        <w:adjustRightInd w:val="0"/>
        <w:spacing w:after="0" w:line="360" w:lineRule="auto"/>
        <w:jc w:val="both"/>
        <w:rPr>
          <w:rFonts w:ascii="Times New Roman" w:hAnsi="Times New Roman" w:cs="Times New Roman"/>
          <w:b/>
          <w:sz w:val="24"/>
          <w:szCs w:val="24"/>
          <w:lang w:val="en-US"/>
        </w:rPr>
      </w:pPr>
    </w:p>
    <w:p w:rsidR="009B7488" w:rsidRDefault="009B7488" w:rsidP="00E32AAC">
      <w:pPr>
        <w:pStyle w:val="ListParagraph"/>
        <w:numPr>
          <w:ilvl w:val="0"/>
          <w:numId w:val="1"/>
        </w:numPr>
        <w:autoSpaceDE w:val="0"/>
        <w:autoSpaceDN w:val="0"/>
        <w:adjustRightInd w:val="0"/>
        <w:spacing w:after="0" w:line="360" w:lineRule="auto"/>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Amirhosseini Z., V.O. Okere 2012, "Effect of cultural dimensions on stock  exchange investment decision in Iran", </w:t>
      </w:r>
      <w:r w:rsidRPr="000E597B">
        <w:rPr>
          <w:rFonts w:ascii="Times New Roman" w:hAnsi="Times New Roman" w:cs="Times New Roman"/>
          <w:i/>
          <w:sz w:val="24"/>
          <w:szCs w:val="24"/>
          <w:lang w:val="en-US"/>
        </w:rPr>
        <w:t>Clute Institute International Conference.</w:t>
      </w:r>
    </w:p>
    <w:p w:rsidR="009B7488" w:rsidRPr="009B7488" w:rsidRDefault="009B7488" w:rsidP="009B7488">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lang w:val="en-US"/>
        </w:rPr>
      </w:pPr>
      <w:r w:rsidRPr="00C17A2F">
        <w:rPr>
          <w:rFonts w:ascii="Times New Roman" w:hAnsi="Times New Roman" w:cs="Times New Roman"/>
          <w:sz w:val="24"/>
          <w:szCs w:val="24"/>
          <w:lang w:val="en-US"/>
        </w:rPr>
        <w:t>A</w:t>
      </w:r>
      <w:r>
        <w:rPr>
          <w:rFonts w:ascii="Times New Roman" w:hAnsi="Times New Roman" w:cs="Times New Roman"/>
          <w:sz w:val="24"/>
          <w:szCs w:val="24"/>
          <w:lang w:val="en-US"/>
        </w:rPr>
        <w:t xml:space="preserve">ndy CW Chui and Chuck CY Kwok. (2008) </w:t>
      </w:r>
      <w:r w:rsidRPr="00C17A2F">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C17A2F">
        <w:rPr>
          <w:rFonts w:ascii="Times New Roman" w:hAnsi="Times New Roman" w:cs="Times New Roman"/>
          <w:sz w:val="24"/>
          <w:szCs w:val="24"/>
          <w:lang w:val="en-US"/>
        </w:rPr>
        <w:t xml:space="preserve">National culture and life </w:t>
      </w:r>
      <w:r w:rsidRPr="00F464E6">
        <w:rPr>
          <w:rFonts w:ascii="Times New Roman" w:hAnsi="Times New Roman" w:cs="Times New Roman"/>
          <w:sz w:val="24"/>
          <w:szCs w:val="24"/>
          <w:lang w:val="en-US"/>
        </w:rPr>
        <w:t>insurance consumption".</w:t>
      </w:r>
    </w:p>
    <w:p w:rsidR="00696DB1" w:rsidRDefault="00C922C0">
      <w:pPr>
        <w:pStyle w:val="ListParagraph"/>
        <w:numPr>
          <w:ilvl w:val="0"/>
          <w:numId w:val="1"/>
        </w:numPr>
        <w:autoSpaceDE w:val="0"/>
        <w:autoSpaceDN w:val="0"/>
        <w:adjustRightInd w:val="0"/>
        <w:spacing w:after="0" w:line="360" w:lineRule="auto"/>
        <w:jc w:val="both"/>
        <w:rPr>
          <w:rFonts w:ascii="Times New Roman" w:hAnsi="Times New Roman" w:cs="Times New Roman"/>
          <w:iCs/>
          <w:sz w:val="24"/>
          <w:szCs w:val="24"/>
          <w:lang w:val="en-US"/>
        </w:rPr>
      </w:pPr>
      <w:r w:rsidRPr="000203B2">
        <w:rPr>
          <w:rFonts w:ascii="Times New Roman" w:hAnsi="Times New Roman" w:cs="Times New Roman"/>
          <w:iCs/>
          <w:sz w:val="24"/>
          <w:szCs w:val="24"/>
          <w:lang w:val="en-US"/>
        </w:rPr>
        <w:t xml:space="preserve">Bodie, Z., and J. Treussard. 2007. “Making Investment Choices as Simple as Possible, But Not Simpler.” </w:t>
      </w:r>
      <w:r w:rsidRPr="000203B2">
        <w:rPr>
          <w:rFonts w:ascii="Times New Roman" w:hAnsi="Times New Roman" w:cs="Times New Roman"/>
          <w:i/>
          <w:iCs/>
          <w:sz w:val="24"/>
          <w:szCs w:val="24"/>
          <w:lang w:val="en-US"/>
        </w:rPr>
        <w:t xml:space="preserve">Financial Analysts Journal </w:t>
      </w:r>
      <w:r w:rsidRPr="000203B2">
        <w:rPr>
          <w:rFonts w:ascii="Times New Roman" w:hAnsi="Times New Roman" w:cs="Times New Roman"/>
          <w:iCs/>
          <w:sz w:val="24"/>
          <w:szCs w:val="24"/>
          <w:lang w:val="en-US"/>
        </w:rPr>
        <w:t>63 (3): 42–47.</w:t>
      </w:r>
    </w:p>
    <w:p w:rsidR="00696DB1" w:rsidRDefault="00C922C0">
      <w:pPr>
        <w:pStyle w:val="ListParagraph"/>
        <w:numPr>
          <w:ilvl w:val="0"/>
          <w:numId w:val="1"/>
        </w:numPr>
        <w:autoSpaceDE w:val="0"/>
        <w:autoSpaceDN w:val="0"/>
        <w:adjustRightInd w:val="0"/>
        <w:spacing w:after="0" w:line="360" w:lineRule="auto"/>
        <w:jc w:val="both"/>
        <w:rPr>
          <w:rFonts w:ascii="Times New Roman" w:hAnsi="Times New Roman" w:cs="Times New Roman"/>
          <w:iCs/>
          <w:sz w:val="24"/>
          <w:szCs w:val="24"/>
          <w:lang w:val="en-US"/>
        </w:rPr>
      </w:pPr>
      <w:r w:rsidRPr="000203B2">
        <w:rPr>
          <w:rFonts w:ascii="Times New Roman" w:hAnsi="Times New Roman" w:cs="Times New Roman"/>
          <w:iCs/>
          <w:sz w:val="24"/>
          <w:szCs w:val="24"/>
          <w:lang w:val="en-US"/>
        </w:rPr>
        <w:t xml:space="preserve">Booth, L. 2004. “Formulating Retirement Targets and the Impact of Time Horizon on Asset Allocation.” </w:t>
      </w:r>
      <w:r w:rsidRPr="000203B2">
        <w:rPr>
          <w:rFonts w:ascii="Times New Roman" w:hAnsi="Times New Roman" w:cs="Times New Roman"/>
          <w:i/>
          <w:iCs/>
          <w:sz w:val="24"/>
          <w:szCs w:val="24"/>
          <w:lang w:val="en-US"/>
        </w:rPr>
        <w:t xml:space="preserve">Financial Services Review </w:t>
      </w:r>
      <w:r w:rsidRPr="000203B2">
        <w:rPr>
          <w:rFonts w:ascii="Times New Roman" w:hAnsi="Times New Roman" w:cs="Times New Roman"/>
          <w:iCs/>
          <w:sz w:val="24"/>
          <w:szCs w:val="24"/>
          <w:lang w:val="en-US"/>
        </w:rPr>
        <w:t>13 (1): 1–17.</w:t>
      </w:r>
    </w:p>
    <w:p w:rsidR="009B7488" w:rsidRPr="009B7488" w:rsidRDefault="009B7488" w:rsidP="009B7488">
      <w:pPr>
        <w:pStyle w:val="ListParagraph"/>
        <w:numPr>
          <w:ilvl w:val="0"/>
          <w:numId w:val="1"/>
        </w:numPr>
        <w:autoSpaceDE w:val="0"/>
        <w:autoSpaceDN w:val="0"/>
        <w:adjustRightInd w:val="0"/>
        <w:spacing w:after="0" w:line="360" w:lineRule="auto"/>
        <w:jc w:val="both"/>
        <w:rPr>
          <w:rFonts w:ascii="Times New Roman" w:hAnsi="Times New Roman" w:cs="Times New Roman"/>
          <w:i/>
          <w:sz w:val="24"/>
          <w:szCs w:val="24"/>
          <w:lang w:val="en-US"/>
        </w:rPr>
      </w:pPr>
      <w:r w:rsidRPr="00F464E6">
        <w:rPr>
          <w:rFonts w:ascii="Times New Roman" w:hAnsi="Times New Roman" w:cs="Times New Roman"/>
          <w:sz w:val="24"/>
          <w:szCs w:val="24"/>
          <w:lang w:val="en-US"/>
        </w:rPr>
        <w:t xml:space="preserve">Brooks C., (2009). Introductory Econometrics for Finance (4 ed.). </w:t>
      </w:r>
      <w:r w:rsidRPr="00F464E6">
        <w:rPr>
          <w:rFonts w:ascii="Times New Roman" w:hAnsi="Times New Roman" w:cs="Times New Roman"/>
          <w:i/>
          <w:sz w:val="24"/>
          <w:szCs w:val="24"/>
          <w:lang w:val="en-US"/>
        </w:rPr>
        <w:t>Campridge: Campridge University Press.</w:t>
      </w:r>
    </w:p>
    <w:p w:rsidR="009B7488" w:rsidRDefault="009B7488" w:rsidP="009B7488">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lang w:val="en-US"/>
        </w:rPr>
      </w:pPr>
      <w:r w:rsidRPr="00D6762F">
        <w:rPr>
          <w:rFonts w:ascii="Times New Roman" w:hAnsi="Times New Roman" w:cs="Times New Roman"/>
          <w:sz w:val="24"/>
          <w:szCs w:val="24"/>
          <w:lang w:val="en-US"/>
        </w:rPr>
        <w:t xml:space="preserve">Christopher W. Anderson, Mark Fedenia, Mark Hirschey, Hilla Skiba, </w:t>
      </w:r>
      <w:r>
        <w:rPr>
          <w:rFonts w:ascii="Times New Roman" w:hAnsi="Times New Roman" w:cs="Times New Roman"/>
          <w:sz w:val="24"/>
          <w:szCs w:val="24"/>
          <w:lang w:val="en-US"/>
        </w:rPr>
        <w:t>"</w:t>
      </w:r>
      <w:r w:rsidRPr="00D6762F">
        <w:rPr>
          <w:rFonts w:ascii="Times New Roman" w:hAnsi="Times New Roman" w:cs="Times New Roman"/>
          <w:sz w:val="24"/>
          <w:szCs w:val="24"/>
          <w:lang w:val="en-US"/>
        </w:rPr>
        <w:t>Cultural influences on home bias and international diversification by institutional investors</w:t>
      </w:r>
      <w:r>
        <w:rPr>
          <w:rFonts w:ascii="Times New Roman" w:hAnsi="Times New Roman" w:cs="Times New Roman"/>
          <w:sz w:val="24"/>
          <w:szCs w:val="24"/>
          <w:lang w:val="en-US"/>
        </w:rPr>
        <w:t>"</w:t>
      </w:r>
      <w:r w:rsidRPr="00D6762F">
        <w:rPr>
          <w:rFonts w:ascii="Times New Roman" w:hAnsi="Times New Roman" w:cs="Times New Roman"/>
          <w:sz w:val="24"/>
          <w:szCs w:val="24"/>
          <w:lang w:val="en-US"/>
        </w:rPr>
        <w:t xml:space="preserve">, </w:t>
      </w:r>
      <w:r w:rsidRPr="00D6762F">
        <w:rPr>
          <w:rFonts w:ascii="Times New Roman" w:hAnsi="Times New Roman" w:cs="Times New Roman"/>
          <w:i/>
          <w:sz w:val="24"/>
          <w:szCs w:val="24"/>
          <w:lang w:val="en-US"/>
        </w:rPr>
        <w:t>Journal of Banking &amp; Finance</w:t>
      </w:r>
      <w:r w:rsidRPr="00D6762F">
        <w:rPr>
          <w:rFonts w:ascii="Times New Roman" w:hAnsi="Times New Roman" w:cs="Times New Roman"/>
          <w:sz w:val="24"/>
          <w:szCs w:val="24"/>
          <w:lang w:val="en-US"/>
        </w:rPr>
        <w:t>, Volume 35, Issue 4, April 2011</w:t>
      </w:r>
    </w:p>
    <w:p w:rsidR="009B7488" w:rsidRDefault="009B7488" w:rsidP="009B7488">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lang w:val="en-US"/>
        </w:rPr>
      </w:pPr>
      <w:r w:rsidRPr="00C17A2F">
        <w:rPr>
          <w:rFonts w:ascii="Times New Roman" w:hAnsi="Times New Roman" w:cs="Times New Roman"/>
          <w:sz w:val="24"/>
          <w:szCs w:val="24"/>
          <w:lang w:val="en-US"/>
        </w:rPr>
        <w:t>Chuck CY Kwo</w:t>
      </w:r>
      <w:r>
        <w:rPr>
          <w:rFonts w:ascii="Times New Roman" w:hAnsi="Times New Roman" w:cs="Times New Roman"/>
          <w:sz w:val="24"/>
          <w:szCs w:val="24"/>
          <w:lang w:val="en-US"/>
        </w:rPr>
        <w:t>k</w:t>
      </w:r>
      <w:r w:rsidRPr="00C17A2F">
        <w:rPr>
          <w:rFonts w:ascii="Times New Roman" w:hAnsi="Times New Roman" w:cs="Times New Roman"/>
          <w:sz w:val="24"/>
          <w:szCs w:val="24"/>
          <w:lang w:val="en-US"/>
        </w:rPr>
        <w:t xml:space="preserve"> and </w:t>
      </w:r>
      <w:r>
        <w:rPr>
          <w:rFonts w:ascii="Times New Roman" w:hAnsi="Times New Roman" w:cs="Times New Roman"/>
          <w:sz w:val="24"/>
          <w:szCs w:val="24"/>
          <w:lang w:val="en-US"/>
        </w:rPr>
        <w:t>S</w:t>
      </w:r>
      <w:r w:rsidRPr="00C17A2F">
        <w:rPr>
          <w:rFonts w:ascii="Times New Roman" w:hAnsi="Times New Roman" w:cs="Times New Roman"/>
          <w:sz w:val="24"/>
          <w:szCs w:val="24"/>
          <w:lang w:val="en-US"/>
        </w:rPr>
        <w:t>olomon Tadesse. (2006).</w:t>
      </w:r>
      <w:r w:rsidRPr="009520F3">
        <w:rPr>
          <w:rFonts w:ascii="Times New Roman" w:hAnsi="Times New Roman" w:cs="Times New Roman"/>
          <w:sz w:val="24"/>
          <w:szCs w:val="24"/>
          <w:lang w:val="en-US"/>
        </w:rPr>
        <w:t> </w:t>
      </w:r>
      <w:r w:rsidRPr="00C17A2F">
        <w:rPr>
          <w:rFonts w:ascii="Times New Roman" w:hAnsi="Times New Roman" w:cs="Times New Roman"/>
          <w:sz w:val="24"/>
          <w:szCs w:val="24"/>
          <w:lang w:val="en-US"/>
        </w:rPr>
        <w:t>National culture and financial systems</w:t>
      </w:r>
      <w:r w:rsidRPr="009520F3">
        <w:rPr>
          <w:rFonts w:ascii="Times New Roman" w:hAnsi="Times New Roman" w:cs="Times New Roman"/>
          <w:sz w:val="24"/>
          <w:szCs w:val="24"/>
          <w:lang w:val="en-US"/>
        </w:rPr>
        <w:t> </w:t>
      </w:r>
      <w:r w:rsidRPr="00C17A2F">
        <w:rPr>
          <w:rFonts w:ascii="Times New Roman" w:hAnsi="Times New Roman" w:cs="Times New Roman"/>
          <w:sz w:val="24"/>
          <w:szCs w:val="24"/>
          <w:lang w:val="en-US"/>
        </w:rPr>
        <w:t>(Vol. 37, pp. 227-247). n.p. Journal Of International Business Studies.</w:t>
      </w:r>
    </w:p>
    <w:p w:rsidR="009B7488" w:rsidRPr="009B7488" w:rsidRDefault="009B7488" w:rsidP="009B7488">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lang w:val="en-US"/>
        </w:rPr>
      </w:pPr>
      <w:r w:rsidRPr="000E77E2">
        <w:rPr>
          <w:rFonts w:ascii="Times New Roman" w:hAnsi="Times New Roman" w:cs="Times New Roman"/>
          <w:sz w:val="24"/>
          <w:szCs w:val="24"/>
          <w:lang w:val="en-US"/>
        </w:rPr>
        <w:t>D R Dawdy, N C Matalas</w:t>
      </w:r>
      <w:r>
        <w:rPr>
          <w:rFonts w:ascii="Times New Roman" w:hAnsi="Times New Roman" w:cs="Times New Roman"/>
          <w:sz w:val="24"/>
          <w:szCs w:val="24"/>
          <w:lang w:val="en-US"/>
        </w:rPr>
        <w:t>.</w:t>
      </w:r>
      <w:r w:rsidRPr="000E77E2">
        <w:rPr>
          <w:rFonts w:ascii="Times New Roman" w:hAnsi="Times New Roman" w:cs="Times New Roman"/>
          <w:sz w:val="24"/>
          <w:szCs w:val="24"/>
          <w:lang w:val="en-US"/>
        </w:rPr>
        <w:t xml:space="preserve"> (1964) </w:t>
      </w:r>
      <w:r w:rsidRPr="000E77E2">
        <w:rPr>
          <w:rFonts w:ascii="Times New Roman" w:hAnsi="Times New Roman" w:cs="Times New Roman"/>
          <w:sz w:val="24"/>
          <w:szCs w:val="24"/>
          <w:lang w:val="en-GB"/>
        </w:rPr>
        <w:t>“</w:t>
      </w:r>
      <w:r w:rsidRPr="000E77E2">
        <w:rPr>
          <w:rFonts w:ascii="Times New Roman" w:hAnsi="Times New Roman" w:cs="Times New Roman"/>
          <w:sz w:val="24"/>
          <w:szCs w:val="24"/>
          <w:lang w:val="en-US"/>
        </w:rPr>
        <w:t>Statistical and probability analysis of hydrologic data, part III: Analysis of variance, covariance and time series”</w:t>
      </w:r>
    </w:p>
    <w:p w:rsidR="009B7488" w:rsidRDefault="009B7488" w:rsidP="009B7488">
      <w:pPr>
        <w:pStyle w:val="ListParagraph"/>
        <w:numPr>
          <w:ilvl w:val="0"/>
          <w:numId w:val="1"/>
        </w:numPr>
        <w:autoSpaceDE w:val="0"/>
        <w:autoSpaceDN w:val="0"/>
        <w:adjustRightInd w:val="0"/>
        <w:spacing w:after="0" w:line="360" w:lineRule="auto"/>
        <w:jc w:val="both"/>
        <w:rPr>
          <w:rFonts w:ascii="Times New Roman" w:hAnsi="Times New Roman" w:cs="Times New Roman"/>
          <w:i/>
          <w:sz w:val="24"/>
          <w:szCs w:val="24"/>
          <w:lang w:val="en-US"/>
        </w:rPr>
      </w:pPr>
      <w:r w:rsidRPr="009520F3">
        <w:rPr>
          <w:rFonts w:ascii="Times New Roman" w:hAnsi="Times New Roman" w:cs="Times New Roman"/>
          <w:sz w:val="24"/>
          <w:szCs w:val="24"/>
          <w:lang w:val="en-US"/>
        </w:rPr>
        <w:t>David Blake, Bruce, N. Lehmann and llan Timmerman. (1999). </w:t>
      </w:r>
      <w:r>
        <w:rPr>
          <w:rFonts w:ascii="Times New Roman" w:hAnsi="Times New Roman" w:cs="Times New Roman"/>
          <w:sz w:val="24"/>
          <w:szCs w:val="24"/>
          <w:lang w:val="en-US"/>
        </w:rPr>
        <w:t>"</w:t>
      </w:r>
      <w:r w:rsidRPr="009520F3">
        <w:rPr>
          <w:rFonts w:ascii="Times New Roman" w:hAnsi="Times New Roman" w:cs="Times New Roman"/>
          <w:sz w:val="24"/>
          <w:szCs w:val="24"/>
          <w:lang w:val="en-US"/>
        </w:rPr>
        <w:t>Asset Allocation Dynamics and Pension Fund Performance</w:t>
      </w:r>
      <w:r>
        <w:rPr>
          <w:rFonts w:ascii="Times New Roman" w:hAnsi="Times New Roman" w:cs="Times New Roman"/>
          <w:sz w:val="24"/>
          <w:szCs w:val="24"/>
          <w:lang w:val="en-US"/>
        </w:rPr>
        <w:t>"</w:t>
      </w:r>
      <w:r w:rsidRPr="009520F3">
        <w:rPr>
          <w:rFonts w:ascii="Times New Roman" w:hAnsi="Times New Roman" w:cs="Times New Roman"/>
          <w:sz w:val="24"/>
          <w:szCs w:val="24"/>
          <w:lang w:val="en-US"/>
        </w:rPr>
        <w:t> </w:t>
      </w:r>
      <w:r>
        <w:rPr>
          <w:rFonts w:ascii="Times New Roman" w:hAnsi="Times New Roman" w:cs="Times New Roman"/>
          <w:sz w:val="24"/>
          <w:szCs w:val="24"/>
          <w:lang w:val="en-US"/>
        </w:rPr>
        <w:t xml:space="preserve">(Vol. 72, pp. 429-461). </w:t>
      </w:r>
      <w:r w:rsidRPr="009520F3">
        <w:rPr>
          <w:rFonts w:ascii="Times New Roman" w:hAnsi="Times New Roman" w:cs="Times New Roman"/>
          <w:sz w:val="24"/>
          <w:szCs w:val="24"/>
          <w:lang w:val="en-US"/>
        </w:rPr>
        <w:t xml:space="preserve"> </w:t>
      </w:r>
      <w:r w:rsidRPr="009520F3">
        <w:rPr>
          <w:rFonts w:ascii="Times New Roman" w:hAnsi="Times New Roman" w:cs="Times New Roman"/>
          <w:i/>
          <w:sz w:val="24"/>
          <w:szCs w:val="24"/>
          <w:lang w:val="en-US"/>
        </w:rPr>
        <w:t>The Journal Of Business.</w:t>
      </w:r>
    </w:p>
    <w:p w:rsidR="009B7488" w:rsidRDefault="009B7488" w:rsidP="009B7488">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lang w:val="en-US"/>
        </w:rPr>
      </w:pPr>
      <w:r w:rsidRPr="00C17A2F">
        <w:rPr>
          <w:rFonts w:ascii="Times New Roman" w:hAnsi="Times New Roman" w:cs="Times New Roman"/>
          <w:sz w:val="24"/>
          <w:szCs w:val="24"/>
          <w:lang w:val="en-US"/>
        </w:rPr>
        <w:t>Deborah, J. Luca and tephen, P. Zeldes. (2009). </w:t>
      </w:r>
      <w:r>
        <w:rPr>
          <w:rFonts w:ascii="Times New Roman" w:hAnsi="Times New Roman" w:cs="Times New Roman"/>
          <w:sz w:val="24"/>
          <w:szCs w:val="24"/>
          <w:lang w:val="en-US"/>
        </w:rPr>
        <w:t>"</w:t>
      </w:r>
      <w:r w:rsidRPr="00C17A2F">
        <w:rPr>
          <w:rFonts w:ascii="Times New Roman" w:hAnsi="Times New Roman" w:cs="Times New Roman"/>
          <w:sz w:val="24"/>
          <w:szCs w:val="24"/>
          <w:lang w:val="en-US"/>
        </w:rPr>
        <w:t xml:space="preserve"> How Should Public Pension Plans Invest? </w:t>
      </w:r>
      <w:r>
        <w:rPr>
          <w:rFonts w:ascii="Times New Roman" w:hAnsi="Times New Roman" w:cs="Times New Roman"/>
          <w:sz w:val="24"/>
          <w:szCs w:val="24"/>
          <w:lang w:val="en-US"/>
        </w:rPr>
        <w:t>"(Vol. 99, pp. 527-532). </w:t>
      </w:r>
      <w:r w:rsidRPr="00C17A2F">
        <w:rPr>
          <w:rFonts w:ascii="Times New Roman" w:hAnsi="Times New Roman" w:cs="Times New Roman"/>
          <w:sz w:val="24"/>
          <w:szCs w:val="24"/>
          <w:lang w:val="en-US"/>
        </w:rPr>
        <w:t> </w:t>
      </w:r>
      <w:r w:rsidRPr="00C17A2F">
        <w:rPr>
          <w:rFonts w:ascii="Times New Roman" w:hAnsi="Times New Roman" w:cs="Times New Roman"/>
          <w:i/>
          <w:sz w:val="24"/>
          <w:szCs w:val="24"/>
          <w:lang w:val="en-US"/>
        </w:rPr>
        <w:t>The American Economic Review</w:t>
      </w:r>
    </w:p>
    <w:p w:rsidR="009B7488" w:rsidRPr="009B7488" w:rsidRDefault="009B7488" w:rsidP="009B7488">
      <w:pPr>
        <w:pStyle w:val="ListParagraph"/>
        <w:numPr>
          <w:ilvl w:val="0"/>
          <w:numId w:val="1"/>
        </w:numPr>
        <w:autoSpaceDE w:val="0"/>
        <w:autoSpaceDN w:val="0"/>
        <w:adjustRightInd w:val="0"/>
        <w:spacing w:after="0" w:line="360" w:lineRule="auto"/>
        <w:jc w:val="both"/>
        <w:rPr>
          <w:rFonts w:ascii="Times New Roman" w:hAnsi="Times New Roman" w:cs="Times New Roman"/>
          <w:i/>
          <w:sz w:val="24"/>
          <w:szCs w:val="24"/>
          <w:lang w:val="en-US"/>
        </w:rPr>
      </w:pPr>
      <w:r w:rsidRPr="009520F3">
        <w:rPr>
          <w:rFonts w:ascii="Times New Roman" w:hAnsi="Times New Roman" w:cs="Times New Roman"/>
          <w:sz w:val="24"/>
          <w:szCs w:val="24"/>
          <w:lang w:val="en-US"/>
        </w:rPr>
        <w:t>Dimitri Vittas. (1998). </w:t>
      </w:r>
      <w:r>
        <w:rPr>
          <w:rFonts w:ascii="Times New Roman" w:hAnsi="Times New Roman" w:cs="Times New Roman"/>
          <w:sz w:val="24"/>
          <w:szCs w:val="24"/>
          <w:lang w:val="en-US"/>
        </w:rPr>
        <w:t>"</w:t>
      </w:r>
      <w:r w:rsidRPr="009520F3">
        <w:rPr>
          <w:rFonts w:ascii="Times New Roman" w:hAnsi="Times New Roman" w:cs="Times New Roman"/>
          <w:sz w:val="24"/>
          <w:szCs w:val="24"/>
          <w:lang w:val="en-US"/>
        </w:rPr>
        <w:t>Regulatory Controversies of Private Pension Funds</w:t>
      </w:r>
      <w:r>
        <w:rPr>
          <w:rFonts w:ascii="Times New Roman" w:hAnsi="Times New Roman" w:cs="Times New Roman"/>
          <w:sz w:val="24"/>
          <w:szCs w:val="24"/>
          <w:lang w:val="en-US"/>
        </w:rPr>
        <w:t>"</w:t>
      </w:r>
      <w:r w:rsidRPr="009520F3">
        <w:rPr>
          <w:rFonts w:ascii="Times New Roman" w:hAnsi="Times New Roman" w:cs="Times New Roman"/>
          <w:sz w:val="24"/>
          <w:szCs w:val="24"/>
          <w:lang w:val="en-US"/>
        </w:rPr>
        <w:t xml:space="preserve">. </w:t>
      </w:r>
      <w:r w:rsidRPr="009520F3">
        <w:rPr>
          <w:rFonts w:ascii="Times New Roman" w:hAnsi="Times New Roman" w:cs="Times New Roman"/>
          <w:i/>
          <w:sz w:val="24"/>
          <w:szCs w:val="24"/>
          <w:lang w:val="en-US"/>
        </w:rPr>
        <w:t>Development Research Group The World Bank.</w:t>
      </w:r>
    </w:p>
    <w:p w:rsidR="00696DB1" w:rsidRPr="009B7488" w:rsidRDefault="00C922C0">
      <w:pPr>
        <w:pStyle w:val="ListParagraph"/>
        <w:numPr>
          <w:ilvl w:val="0"/>
          <w:numId w:val="1"/>
        </w:numPr>
        <w:autoSpaceDE w:val="0"/>
        <w:autoSpaceDN w:val="0"/>
        <w:adjustRightInd w:val="0"/>
        <w:spacing w:after="0" w:line="360" w:lineRule="auto"/>
        <w:jc w:val="both"/>
        <w:rPr>
          <w:rFonts w:ascii="Times New Roman" w:hAnsi="Times New Roman" w:cs="Times New Roman"/>
          <w:iCs/>
          <w:sz w:val="24"/>
          <w:szCs w:val="24"/>
          <w:lang w:val="en-US"/>
        </w:rPr>
      </w:pPr>
      <w:r w:rsidRPr="003C732C">
        <w:rPr>
          <w:rFonts w:ascii="Times New Roman" w:hAnsi="Times New Roman" w:cs="Times New Roman"/>
          <w:iCs/>
          <w:sz w:val="24"/>
          <w:szCs w:val="24"/>
          <w:lang w:val="en-US"/>
        </w:rPr>
        <w:t>Dodor, Jean Baptiste K.</w:t>
      </w:r>
      <w:r>
        <w:rPr>
          <w:rFonts w:ascii="Times New Roman" w:hAnsi="Times New Roman" w:cs="Times New Roman"/>
          <w:iCs/>
          <w:sz w:val="24"/>
          <w:szCs w:val="24"/>
          <w:lang w:val="en-US"/>
        </w:rPr>
        <w:t xml:space="preserve">, </w:t>
      </w:r>
      <w:r w:rsidRPr="003C732C">
        <w:rPr>
          <w:rFonts w:ascii="Times New Roman" w:hAnsi="Times New Roman" w:cs="Times New Roman"/>
          <w:iCs/>
          <w:sz w:val="24"/>
          <w:szCs w:val="24"/>
          <w:lang w:val="en-US"/>
        </w:rPr>
        <w:t>Rana, Dharam S.</w:t>
      </w:r>
      <w:r>
        <w:rPr>
          <w:rFonts w:ascii="Times New Roman" w:hAnsi="Times New Roman" w:cs="Times New Roman"/>
          <w:iCs/>
          <w:sz w:val="24"/>
          <w:szCs w:val="24"/>
          <w:lang w:val="en-US"/>
        </w:rPr>
        <w:t xml:space="preserve"> 2007. "</w:t>
      </w:r>
      <w:r w:rsidRPr="003C732C">
        <w:rPr>
          <w:rFonts w:ascii="Times New Roman" w:hAnsi="Times New Roman" w:cs="Times New Roman"/>
          <w:iCs/>
          <w:sz w:val="24"/>
          <w:szCs w:val="24"/>
          <w:lang w:val="en-US"/>
        </w:rPr>
        <w:t>Culture and economic development: an investigation using Hofstede cultural dimensions.</w:t>
      </w:r>
      <w:r>
        <w:rPr>
          <w:rFonts w:ascii="Times New Roman" w:hAnsi="Times New Roman" w:cs="Times New Roman"/>
          <w:iCs/>
          <w:sz w:val="24"/>
          <w:szCs w:val="24"/>
          <w:lang w:val="en-US"/>
        </w:rPr>
        <w:t xml:space="preserve">", </w:t>
      </w:r>
      <w:r w:rsidRPr="003C732C">
        <w:rPr>
          <w:rFonts w:ascii="Times New Roman" w:hAnsi="Times New Roman" w:cs="Times New Roman"/>
          <w:i/>
          <w:iCs/>
          <w:sz w:val="24"/>
          <w:szCs w:val="24"/>
          <w:lang w:val="en-US"/>
        </w:rPr>
        <w:t>International Journal of Business Research</w:t>
      </w:r>
      <w:r>
        <w:rPr>
          <w:rFonts w:ascii="Times New Roman" w:hAnsi="Times New Roman" w:cs="Times New Roman"/>
          <w:i/>
          <w:iCs/>
          <w:sz w:val="24"/>
          <w:szCs w:val="24"/>
          <w:lang w:val="en-US"/>
        </w:rPr>
        <w:t xml:space="preserve"> </w:t>
      </w:r>
      <w:r w:rsidRPr="003C732C">
        <w:rPr>
          <w:rFonts w:ascii="Times New Roman" w:hAnsi="Times New Roman" w:cs="Times New Roman"/>
          <w:i/>
          <w:iCs/>
          <w:sz w:val="24"/>
          <w:szCs w:val="24"/>
          <w:lang w:val="en-US"/>
        </w:rPr>
        <w:t xml:space="preserve"> 7</w:t>
      </w:r>
      <w:r>
        <w:rPr>
          <w:rFonts w:ascii="Times New Roman" w:hAnsi="Times New Roman" w:cs="Times New Roman"/>
          <w:i/>
          <w:iCs/>
          <w:sz w:val="24"/>
          <w:szCs w:val="24"/>
          <w:lang w:val="en-US"/>
        </w:rPr>
        <w:t>(</w:t>
      </w:r>
      <w:r w:rsidRPr="003C732C">
        <w:rPr>
          <w:rFonts w:ascii="Times New Roman" w:hAnsi="Times New Roman" w:cs="Times New Roman"/>
          <w:i/>
          <w:iCs/>
          <w:sz w:val="24"/>
          <w:szCs w:val="24"/>
          <w:lang w:val="en-US"/>
        </w:rPr>
        <w:t xml:space="preserve"> 2</w:t>
      </w:r>
      <w:r>
        <w:rPr>
          <w:rFonts w:ascii="Times New Roman" w:hAnsi="Times New Roman" w:cs="Times New Roman"/>
          <w:i/>
          <w:iCs/>
          <w:sz w:val="24"/>
          <w:szCs w:val="24"/>
          <w:lang w:val="en-US"/>
        </w:rPr>
        <w:t>).</w:t>
      </w:r>
    </w:p>
    <w:p w:rsidR="009B7488" w:rsidRDefault="009B7488" w:rsidP="009B7488">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lang w:val="en-US"/>
        </w:rPr>
      </w:pPr>
      <w:r w:rsidRPr="000203B2">
        <w:rPr>
          <w:rFonts w:ascii="Times New Roman" w:hAnsi="Times New Roman" w:cs="Times New Roman"/>
          <w:sz w:val="24"/>
          <w:szCs w:val="24"/>
          <w:lang w:val="en-US"/>
        </w:rPr>
        <w:t xml:space="preserve">Előd Takáts,  August 2010, "Ageing and asset prices", </w:t>
      </w:r>
      <w:r w:rsidRPr="000203B2">
        <w:rPr>
          <w:rFonts w:ascii="Times New Roman" w:hAnsi="Times New Roman" w:cs="Times New Roman"/>
          <w:i/>
          <w:sz w:val="24"/>
          <w:szCs w:val="24"/>
          <w:lang w:val="en-US"/>
        </w:rPr>
        <w:t xml:space="preserve">BIS Working Papers </w:t>
      </w:r>
      <w:r w:rsidRPr="000203B2">
        <w:rPr>
          <w:rFonts w:ascii="Times New Roman" w:hAnsi="Times New Roman" w:cs="Times New Roman"/>
          <w:sz w:val="24"/>
          <w:szCs w:val="24"/>
          <w:lang w:val="en-US"/>
        </w:rPr>
        <w:t>No 318.</w:t>
      </w:r>
    </w:p>
    <w:p w:rsidR="009B7488" w:rsidRPr="009B7488" w:rsidRDefault="009B7488" w:rsidP="009B7488">
      <w:pPr>
        <w:pStyle w:val="ListParagraph"/>
        <w:numPr>
          <w:ilvl w:val="0"/>
          <w:numId w:val="1"/>
        </w:numPr>
        <w:autoSpaceDE w:val="0"/>
        <w:autoSpaceDN w:val="0"/>
        <w:adjustRightInd w:val="0"/>
        <w:spacing w:after="0" w:line="360" w:lineRule="auto"/>
        <w:jc w:val="both"/>
        <w:rPr>
          <w:rFonts w:ascii="Times New Roman" w:hAnsi="Times New Roman" w:cs="Times New Roman"/>
          <w:i/>
          <w:sz w:val="24"/>
          <w:szCs w:val="24"/>
          <w:lang w:val="en-US"/>
        </w:rPr>
      </w:pPr>
      <w:r w:rsidRPr="00472824">
        <w:rPr>
          <w:rFonts w:ascii="Times New Roman" w:hAnsi="Times New Roman" w:cs="Times New Roman"/>
          <w:sz w:val="24"/>
          <w:szCs w:val="24"/>
        </w:rPr>
        <w:t xml:space="preserve">Fieke Van Der Lecq Jairo Rivera-Rozo, Onno Steenbeek. </w:t>
      </w:r>
      <w:r w:rsidRPr="009520F3">
        <w:rPr>
          <w:rFonts w:ascii="Times New Roman" w:hAnsi="Times New Roman" w:cs="Times New Roman"/>
          <w:sz w:val="24"/>
          <w:szCs w:val="24"/>
          <w:lang w:val="en-US"/>
        </w:rPr>
        <w:t>(2013). </w:t>
      </w:r>
      <w:r>
        <w:rPr>
          <w:rFonts w:ascii="Times New Roman" w:hAnsi="Times New Roman" w:cs="Times New Roman"/>
          <w:sz w:val="24"/>
          <w:szCs w:val="24"/>
          <w:lang w:val="en-US"/>
        </w:rPr>
        <w:t>"</w:t>
      </w:r>
      <w:r w:rsidRPr="009520F3">
        <w:rPr>
          <w:rFonts w:ascii="Times New Roman" w:hAnsi="Times New Roman" w:cs="Times New Roman"/>
          <w:sz w:val="24"/>
          <w:szCs w:val="24"/>
          <w:lang w:val="en-US"/>
        </w:rPr>
        <w:t>Cultural determinants of regulation and supervision of pension funds</w:t>
      </w:r>
      <w:r>
        <w:rPr>
          <w:rFonts w:ascii="Times New Roman" w:hAnsi="Times New Roman" w:cs="Times New Roman"/>
          <w:sz w:val="24"/>
          <w:szCs w:val="24"/>
          <w:lang w:val="en-US"/>
        </w:rPr>
        <w:t>"</w:t>
      </w:r>
      <w:r w:rsidRPr="009520F3">
        <w:rPr>
          <w:rFonts w:ascii="Times New Roman" w:hAnsi="Times New Roman" w:cs="Times New Roman"/>
          <w:sz w:val="24"/>
          <w:szCs w:val="24"/>
          <w:lang w:val="en-US"/>
        </w:rPr>
        <w:t xml:space="preserve">. </w:t>
      </w:r>
      <w:r w:rsidRPr="009520F3">
        <w:rPr>
          <w:rFonts w:ascii="Times New Roman" w:hAnsi="Times New Roman" w:cs="Times New Roman"/>
          <w:i/>
          <w:sz w:val="24"/>
          <w:szCs w:val="24"/>
          <w:lang w:val="en-US"/>
        </w:rPr>
        <w:t>Erasmus School Of Economics (ESE).</w:t>
      </w:r>
    </w:p>
    <w:p w:rsidR="009B7488" w:rsidRPr="009B7488" w:rsidRDefault="009B7488" w:rsidP="009B7488">
      <w:pPr>
        <w:pStyle w:val="ListParagraph"/>
        <w:numPr>
          <w:ilvl w:val="0"/>
          <w:numId w:val="1"/>
        </w:numPr>
        <w:autoSpaceDE w:val="0"/>
        <w:autoSpaceDN w:val="0"/>
        <w:adjustRightInd w:val="0"/>
        <w:spacing w:after="0" w:line="360" w:lineRule="auto"/>
        <w:jc w:val="both"/>
        <w:rPr>
          <w:rFonts w:ascii="Times New Roman" w:hAnsi="Times New Roman" w:cs="Times New Roman"/>
          <w:i/>
          <w:sz w:val="24"/>
          <w:szCs w:val="24"/>
          <w:lang w:val="en-US"/>
        </w:rPr>
      </w:pPr>
      <w:r w:rsidRPr="009520F3">
        <w:rPr>
          <w:rFonts w:ascii="Times New Roman" w:hAnsi="Times New Roman" w:cs="Times New Roman"/>
          <w:sz w:val="24"/>
          <w:szCs w:val="24"/>
          <w:lang w:val="en-US"/>
        </w:rPr>
        <w:lastRenderedPageBreak/>
        <w:t>Geert Hofstede. (2002). </w:t>
      </w:r>
      <w:r>
        <w:rPr>
          <w:rFonts w:ascii="Times New Roman" w:hAnsi="Times New Roman" w:cs="Times New Roman"/>
          <w:sz w:val="24"/>
          <w:szCs w:val="24"/>
          <w:lang w:val="en-US"/>
        </w:rPr>
        <w:t>"</w:t>
      </w:r>
      <w:r w:rsidRPr="009520F3">
        <w:rPr>
          <w:rFonts w:ascii="Times New Roman" w:hAnsi="Times New Roman" w:cs="Times New Roman"/>
          <w:sz w:val="24"/>
          <w:szCs w:val="24"/>
          <w:lang w:val="en-US"/>
        </w:rPr>
        <w:t>Culture's Consequences: Comparing Values, Behaviors, Institutions, and Organizations across Nations</w:t>
      </w:r>
      <w:r>
        <w:rPr>
          <w:rFonts w:ascii="Times New Roman" w:hAnsi="Times New Roman" w:cs="Times New Roman"/>
          <w:sz w:val="24"/>
          <w:szCs w:val="24"/>
          <w:lang w:val="en-US"/>
        </w:rPr>
        <w:t>"</w:t>
      </w:r>
      <w:r w:rsidRPr="009520F3">
        <w:rPr>
          <w:rFonts w:ascii="Times New Roman" w:hAnsi="Times New Roman" w:cs="Times New Roman"/>
          <w:sz w:val="24"/>
          <w:szCs w:val="24"/>
          <w:lang w:val="en-US"/>
        </w:rPr>
        <w:t> </w:t>
      </w:r>
      <w:r>
        <w:rPr>
          <w:rFonts w:ascii="Times New Roman" w:hAnsi="Times New Roman" w:cs="Times New Roman"/>
          <w:sz w:val="24"/>
          <w:szCs w:val="24"/>
          <w:lang w:val="en-US"/>
        </w:rPr>
        <w:t xml:space="preserve">(Vol. 27, pp. 460-462). </w:t>
      </w:r>
      <w:r w:rsidRPr="009520F3">
        <w:rPr>
          <w:rFonts w:ascii="Times New Roman" w:hAnsi="Times New Roman" w:cs="Times New Roman"/>
          <w:sz w:val="24"/>
          <w:szCs w:val="24"/>
          <w:lang w:val="en-US"/>
        </w:rPr>
        <w:t xml:space="preserve"> </w:t>
      </w:r>
      <w:r w:rsidRPr="009520F3">
        <w:rPr>
          <w:rFonts w:ascii="Times New Roman" w:hAnsi="Times New Roman" w:cs="Times New Roman"/>
          <w:i/>
          <w:sz w:val="24"/>
          <w:szCs w:val="24"/>
          <w:lang w:val="en-US"/>
        </w:rPr>
        <w:t>The Academy Of Management Review.</w:t>
      </w:r>
    </w:p>
    <w:p w:rsidR="009B7488" w:rsidRPr="009B7488" w:rsidRDefault="009B7488" w:rsidP="009B7488">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lang w:val="en-US"/>
        </w:rPr>
      </w:pPr>
      <w:r w:rsidRPr="009B7488">
        <w:rPr>
          <w:rFonts w:ascii="Times New Roman" w:hAnsi="Times New Roman" w:cs="Times New Roman"/>
          <w:sz w:val="24"/>
          <w:szCs w:val="24"/>
          <w:lang w:val="en-US"/>
        </w:rPr>
        <w:t xml:space="preserve"> </w:t>
      </w:r>
      <w:r w:rsidRPr="009520F3">
        <w:rPr>
          <w:rFonts w:ascii="Times New Roman" w:hAnsi="Times New Roman" w:cs="Times New Roman"/>
          <w:sz w:val="24"/>
          <w:szCs w:val="24"/>
          <w:lang w:val="en-US"/>
        </w:rPr>
        <w:t>Hempel. (1998). </w:t>
      </w:r>
      <w:r>
        <w:rPr>
          <w:rFonts w:ascii="Times New Roman" w:hAnsi="Times New Roman" w:cs="Times New Roman"/>
          <w:sz w:val="24"/>
          <w:szCs w:val="24"/>
          <w:lang w:val="en-US"/>
        </w:rPr>
        <w:t>"</w:t>
      </w:r>
      <w:r w:rsidRPr="009520F3">
        <w:rPr>
          <w:rFonts w:ascii="Times New Roman" w:hAnsi="Times New Roman" w:cs="Times New Roman"/>
          <w:sz w:val="24"/>
          <w:szCs w:val="24"/>
          <w:lang w:val="en-US"/>
        </w:rPr>
        <w:t>Designing Multinational Benefits Programs: The Role of National Culture</w:t>
      </w:r>
      <w:r>
        <w:rPr>
          <w:rFonts w:ascii="Times New Roman" w:hAnsi="Times New Roman" w:cs="Times New Roman"/>
          <w:sz w:val="24"/>
          <w:szCs w:val="24"/>
          <w:lang w:val="en-US"/>
        </w:rPr>
        <w:t>".</w:t>
      </w:r>
    </w:p>
    <w:p w:rsidR="00000000" w:rsidRDefault="00C922C0">
      <w:pPr>
        <w:pStyle w:val="ListParagraph"/>
        <w:numPr>
          <w:ilvl w:val="0"/>
          <w:numId w:val="1"/>
        </w:numPr>
        <w:spacing w:after="0" w:line="360" w:lineRule="auto"/>
        <w:jc w:val="both"/>
        <w:rPr>
          <w:lang w:val="en-US"/>
        </w:rPr>
        <w:pPrChange w:id="8" w:author="Dora" w:date="2013-08-25T20:32:00Z">
          <w:pPr>
            <w:pStyle w:val="ListParagraph"/>
            <w:numPr>
              <w:numId w:val="1"/>
            </w:numPr>
            <w:spacing w:after="0" w:line="360" w:lineRule="auto"/>
            <w:ind w:hanging="360"/>
          </w:pPr>
        </w:pPrChange>
      </w:pPr>
      <w:r w:rsidRPr="00472824">
        <w:rPr>
          <w:rFonts w:ascii="Times New Roman" w:hAnsi="Times New Roman" w:cs="Times New Roman"/>
          <w:iCs/>
          <w:sz w:val="24"/>
          <w:szCs w:val="24"/>
        </w:rPr>
        <w:t xml:space="preserve">Hofstede, G., G.J. Hofstede, and M. Minkov 2010. </w:t>
      </w:r>
      <w:r w:rsidRPr="000E597B">
        <w:rPr>
          <w:rFonts w:ascii="Times New Roman" w:hAnsi="Times New Roman" w:cs="Times New Roman"/>
          <w:iCs/>
          <w:sz w:val="24"/>
          <w:szCs w:val="24"/>
          <w:lang w:val="en-US"/>
        </w:rPr>
        <w:t>"Cultures and organizations: software of the mind "(3rd ed.).</w:t>
      </w:r>
      <w:r w:rsidRPr="000E597B">
        <w:rPr>
          <w:lang w:val="en-US"/>
        </w:rPr>
        <w:t xml:space="preserve">  </w:t>
      </w:r>
      <w:r w:rsidRPr="000E597B">
        <w:rPr>
          <w:rFonts w:ascii="Times New Roman" w:hAnsi="Times New Roman" w:cs="Times New Roman"/>
          <w:i/>
          <w:iCs/>
          <w:sz w:val="24"/>
          <w:szCs w:val="24"/>
          <w:lang w:val="en-US"/>
        </w:rPr>
        <w:t>New York: McGraw-Hill</w:t>
      </w:r>
      <w:r w:rsidRPr="000E597B">
        <w:rPr>
          <w:lang w:val="en-US"/>
        </w:rPr>
        <w:t>.</w:t>
      </w:r>
    </w:p>
    <w:p w:rsidR="009B7488" w:rsidRPr="009B7488" w:rsidRDefault="009B7488" w:rsidP="009B7488">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lang w:val="en-US"/>
        </w:rPr>
      </w:pPr>
      <w:r w:rsidRPr="00E14539">
        <w:rPr>
          <w:rFonts w:ascii="Times New Roman" w:hAnsi="Times New Roman" w:cs="Times New Roman"/>
          <w:sz w:val="24"/>
          <w:szCs w:val="24"/>
          <w:lang w:val="en-US"/>
        </w:rPr>
        <w:t xml:space="preserve">Hofstede, G. (2011). </w:t>
      </w:r>
      <w:r>
        <w:rPr>
          <w:rFonts w:ascii="Times New Roman" w:hAnsi="Times New Roman" w:cs="Times New Roman"/>
          <w:sz w:val="24"/>
          <w:szCs w:val="24"/>
          <w:lang w:val="en-US"/>
        </w:rPr>
        <w:t>"</w:t>
      </w:r>
      <w:r w:rsidRPr="00E14539">
        <w:rPr>
          <w:rFonts w:ascii="Times New Roman" w:hAnsi="Times New Roman" w:cs="Times New Roman"/>
          <w:sz w:val="24"/>
          <w:szCs w:val="24"/>
          <w:lang w:val="en-US"/>
        </w:rPr>
        <w:t>Dimensionalizing Cultures: The Hofstede Model in Context</w:t>
      </w:r>
      <w:r>
        <w:rPr>
          <w:rFonts w:ascii="Times New Roman" w:hAnsi="Times New Roman" w:cs="Times New Roman"/>
          <w:sz w:val="24"/>
          <w:szCs w:val="24"/>
          <w:lang w:val="en-US"/>
        </w:rPr>
        <w:t>",</w:t>
      </w:r>
      <w:r w:rsidRPr="00E14539">
        <w:rPr>
          <w:rFonts w:ascii="Times New Roman" w:hAnsi="Times New Roman" w:cs="Times New Roman"/>
          <w:sz w:val="24"/>
          <w:szCs w:val="24"/>
          <w:lang w:val="en-US"/>
        </w:rPr>
        <w:t> </w:t>
      </w:r>
      <w:r w:rsidRPr="009520F3">
        <w:rPr>
          <w:rFonts w:ascii="Times New Roman" w:hAnsi="Times New Roman" w:cs="Times New Roman"/>
          <w:sz w:val="24"/>
          <w:szCs w:val="24"/>
          <w:lang w:val="en-US"/>
        </w:rPr>
        <w:t>Online Readings in Psychology and Culture, 2</w:t>
      </w:r>
      <w:r w:rsidRPr="00E14539">
        <w:rPr>
          <w:rFonts w:ascii="Times New Roman" w:hAnsi="Times New Roman" w:cs="Times New Roman"/>
          <w:sz w:val="24"/>
          <w:szCs w:val="24"/>
          <w:lang w:val="en-US"/>
        </w:rPr>
        <w:t>(1). </w:t>
      </w:r>
      <w:r w:rsidR="006D19F1">
        <w:fldChar w:fldCharType="begin"/>
      </w:r>
      <w:r w:rsidR="006D19F1" w:rsidRPr="006D19F1">
        <w:rPr>
          <w:lang w:val="en-US"/>
          <w:rPrChange w:id="9" w:author="Δώρα" w:date="2013-08-25T20:17:00Z">
            <w:rPr/>
          </w:rPrChange>
        </w:rPr>
        <w:instrText>HYPERLINK "http://dx.doi.org/10.9707/2307-0919.1014"</w:instrText>
      </w:r>
      <w:r w:rsidR="006D19F1">
        <w:fldChar w:fldCharType="separate"/>
      </w:r>
      <w:r w:rsidRPr="00E14539">
        <w:rPr>
          <w:rFonts w:ascii="Times New Roman" w:hAnsi="Times New Roman" w:cs="Times New Roman"/>
          <w:sz w:val="24"/>
          <w:szCs w:val="24"/>
          <w:lang w:val="en-US"/>
        </w:rPr>
        <w:t>http://dx.doi.org/10.9707/2307-0919.1014</w:t>
      </w:r>
      <w:r w:rsidR="006D19F1">
        <w:fldChar w:fldCharType="end"/>
      </w:r>
    </w:p>
    <w:p w:rsidR="009B7488" w:rsidRDefault="009B7488" w:rsidP="009B7488">
      <w:pPr>
        <w:pStyle w:val="ListParagraph"/>
        <w:numPr>
          <w:ilvl w:val="0"/>
          <w:numId w:val="1"/>
        </w:numPr>
        <w:autoSpaceDE w:val="0"/>
        <w:autoSpaceDN w:val="0"/>
        <w:adjustRightInd w:val="0"/>
        <w:spacing w:after="0" w:line="360" w:lineRule="auto"/>
        <w:jc w:val="both"/>
        <w:rPr>
          <w:rFonts w:ascii="Times New Roman" w:hAnsi="Times New Roman" w:cs="Times New Roman"/>
          <w:i/>
          <w:sz w:val="24"/>
          <w:szCs w:val="24"/>
          <w:lang w:val="en-US"/>
        </w:rPr>
      </w:pPr>
      <w:r w:rsidRPr="009520F3">
        <w:rPr>
          <w:rFonts w:ascii="Times New Roman" w:hAnsi="Times New Roman" w:cs="Times New Roman"/>
          <w:sz w:val="24"/>
          <w:szCs w:val="24"/>
          <w:lang w:val="en-US"/>
        </w:rPr>
        <w:t>Karen, S. Craven and lizabeth Goad Olivery. (2000). </w:t>
      </w:r>
      <w:r>
        <w:rPr>
          <w:rFonts w:ascii="Times New Roman" w:hAnsi="Times New Roman" w:cs="Times New Roman"/>
          <w:sz w:val="24"/>
          <w:szCs w:val="24"/>
          <w:lang w:val="en-US"/>
        </w:rPr>
        <w:t>"</w:t>
      </w:r>
      <w:r w:rsidRPr="009520F3">
        <w:rPr>
          <w:rFonts w:ascii="Times New Roman" w:hAnsi="Times New Roman" w:cs="Times New Roman"/>
          <w:sz w:val="24"/>
          <w:szCs w:val="24"/>
          <w:lang w:val="en-US"/>
        </w:rPr>
        <w:t>The Influence of Culture on Pension Plans </w:t>
      </w:r>
      <w:r>
        <w:rPr>
          <w:rFonts w:ascii="Times New Roman" w:hAnsi="Times New Roman" w:cs="Times New Roman"/>
          <w:sz w:val="24"/>
          <w:szCs w:val="24"/>
          <w:lang w:val="en-US"/>
        </w:rPr>
        <w:t xml:space="preserve">"(Vol. 35, p. 521±537). </w:t>
      </w:r>
      <w:r w:rsidRPr="009520F3">
        <w:rPr>
          <w:rFonts w:ascii="Times New Roman" w:hAnsi="Times New Roman" w:cs="Times New Roman"/>
          <w:i/>
          <w:sz w:val="24"/>
          <w:szCs w:val="24"/>
          <w:lang w:val="en-US"/>
        </w:rPr>
        <w:t>The International Journal Of Accounting.</w:t>
      </w:r>
    </w:p>
    <w:p w:rsidR="009B7488" w:rsidRPr="009B7488" w:rsidRDefault="009B7488" w:rsidP="009B7488">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lang w:val="en-US"/>
        </w:rPr>
      </w:pPr>
      <w:r w:rsidRPr="00F464E6">
        <w:rPr>
          <w:rFonts w:ascii="Times New Roman" w:hAnsi="Times New Roman" w:cs="Times New Roman"/>
          <w:sz w:val="24"/>
          <w:szCs w:val="24"/>
          <w:lang w:val="en-US"/>
        </w:rPr>
        <w:t>Kiridaran Kanagaretnam, Chee Yeow Lim and  Gerald J. Lobo</w:t>
      </w:r>
      <w:r>
        <w:rPr>
          <w:rFonts w:ascii="Times New Roman" w:hAnsi="Times New Roman" w:cs="Times New Roman"/>
          <w:sz w:val="24"/>
          <w:szCs w:val="24"/>
          <w:lang w:val="en-US"/>
        </w:rPr>
        <w:t>,</w:t>
      </w:r>
      <w:r w:rsidRPr="00F464E6">
        <w:rPr>
          <w:rFonts w:ascii="Times New Roman" w:hAnsi="Times New Roman" w:cs="Times New Roman"/>
          <w:sz w:val="24"/>
          <w:szCs w:val="24"/>
          <w:lang w:val="en-US"/>
        </w:rPr>
        <w:t xml:space="preserve"> (2011) "Effects of National Culture on Bank Risk Taking" </w:t>
      </w:r>
    </w:p>
    <w:p w:rsidR="009B7488" w:rsidRPr="009B7488" w:rsidRDefault="009B7488" w:rsidP="009B7488">
      <w:pPr>
        <w:pStyle w:val="ListParagraph"/>
        <w:numPr>
          <w:ilvl w:val="0"/>
          <w:numId w:val="1"/>
        </w:numPr>
        <w:autoSpaceDE w:val="0"/>
        <w:autoSpaceDN w:val="0"/>
        <w:adjustRightInd w:val="0"/>
        <w:spacing w:after="0" w:line="360" w:lineRule="auto"/>
        <w:jc w:val="both"/>
        <w:rPr>
          <w:rFonts w:ascii="Times New Roman" w:hAnsi="Times New Roman" w:cs="Times New Roman"/>
          <w:iCs/>
          <w:sz w:val="24"/>
          <w:szCs w:val="24"/>
          <w:lang w:val="en-US"/>
        </w:rPr>
      </w:pPr>
      <w:r w:rsidRPr="000203B2">
        <w:rPr>
          <w:rFonts w:ascii="Times New Roman" w:hAnsi="Times New Roman" w:cs="Times New Roman"/>
          <w:bCs/>
          <w:sz w:val="24"/>
          <w:szCs w:val="24"/>
          <w:lang w:val="en-US"/>
        </w:rPr>
        <w:t xml:space="preserve">Laurence Booth and Bin Chang, 2011, "The Global Financial Crisis and the Performance of Target-Date Funds in the United States", </w:t>
      </w:r>
      <w:r w:rsidRPr="000203B2">
        <w:rPr>
          <w:rFonts w:ascii="Times New Roman" w:hAnsi="Times New Roman" w:cs="Times New Roman"/>
          <w:bCs/>
          <w:i/>
          <w:sz w:val="24"/>
          <w:szCs w:val="24"/>
          <w:lang w:val="en-US"/>
        </w:rPr>
        <w:t>Rotman International Journal of Pension Management,</w:t>
      </w:r>
      <w:r w:rsidRPr="000203B2">
        <w:rPr>
          <w:rFonts w:ascii="Frutiger-Light" w:hAnsi="Frutiger-Light" w:cs="Frutiger-Light"/>
          <w:color w:val="004287"/>
          <w:sz w:val="14"/>
          <w:szCs w:val="14"/>
          <w:lang w:val="en-US"/>
        </w:rPr>
        <w:t xml:space="preserve"> </w:t>
      </w:r>
      <w:r w:rsidRPr="000203B2">
        <w:rPr>
          <w:rFonts w:ascii="Times New Roman" w:hAnsi="Times New Roman" w:cs="Times New Roman"/>
          <w:bCs/>
          <w:sz w:val="24"/>
          <w:szCs w:val="24"/>
          <w:lang w:val="en-US"/>
        </w:rPr>
        <w:t>Volume 4, Issue 2.</w:t>
      </w:r>
    </w:p>
    <w:p w:rsidR="009B7488" w:rsidRPr="009B7488" w:rsidRDefault="009B7488" w:rsidP="009B7488">
      <w:pPr>
        <w:pStyle w:val="ListParagraph"/>
        <w:numPr>
          <w:ilvl w:val="0"/>
          <w:numId w:val="1"/>
        </w:numPr>
        <w:autoSpaceDE w:val="0"/>
        <w:autoSpaceDN w:val="0"/>
        <w:adjustRightInd w:val="0"/>
        <w:spacing w:after="0" w:line="360" w:lineRule="auto"/>
        <w:jc w:val="both"/>
        <w:rPr>
          <w:rFonts w:ascii="Times New Roman" w:hAnsi="Times New Roman" w:cs="Times New Roman"/>
          <w:i/>
          <w:sz w:val="24"/>
          <w:szCs w:val="24"/>
          <w:lang w:val="en-US"/>
        </w:rPr>
      </w:pPr>
      <w:r w:rsidRPr="00440A24">
        <w:rPr>
          <w:rFonts w:ascii="Times New Roman" w:hAnsi="Times New Roman" w:cs="Times New Roman"/>
          <w:sz w:val="24"/>
          <w:szCs w:val="24"/>
          <w:lang w:val="en-US"/>
        </w:rPr>
        <w:t>Liang Shao, Chuck C Y</w:t>
      </w:r>
      <w:r>
        <w:rPr>
          <w:rFonts w:ascii="Times New Roman" w:hAnsi="Times New Roman" w:cs="Times New Roman"/>
          <w:sz w:val="24"/>
          <w:szCs w:val="24"/>
          <w:lang w:val="en-US"/>
        </w:rPr>
        <w:t xml:space="preserve"> and </w:t>
      </w:r>
      <w:r w:rsidRPr="00440A24">
        <w:rPr>
          <w:rFonts w:ascii="Times New Roman" w:hAnsi="Times New Roman" w:cs="Times New Roman"/>
          <w:sz w:val="24"/>
          <w:szCs w:val="24"/>
          <w:lang w:val="en-US"/>
        </w:rPr>
        <w:t>Kwok and Ran Zhang</w:t>
      </w:r>
      <w:r>
        <w:rPr>
          <w:rFonts w:ascii="Times New Roman" w:hAnsi="Times New Roman" w:cs="Times New Roman"/>
          <w:sz w:val="24"/>
          <w:szCs w:val="24"/>
          <w:lang w:val="en-US"/>
        </w:rPr>
        <w:t>. (2013) "</w:t>
      </w:r>
      <w:r w:rsidRPr="00440A24">
        <w:rPr>
          <w:rFonts w:ascii="Times New Roman" w:hAnsi="Times New Roman" w:cs="Times New Roman"/>
          <w:sz w:val="24"/>
          <w:szCs w:val="24"/>
          <w:lang w:val="en-US"/>
        </w:rPr>
        <w:t>National culture and corporate investment</w:t>
      </w:r>
      <w:r>
        <w:rPr>
          <w:rFonts w:ascii="Times New Roman" w:hAnsi="Times New Roman" w:cs="Times New Roman"/>
          <w:sz w:val="24"/>
          <w:szCs w:val="24"/>
          <w:lang w:val="en-US"/>
        </w:rPr>
        <w:t>" Vol.</w:t>
      </w:r>
      <w:r w:rsidRPr="00440A24">
        <w:rPr>
          <w:rFonts w:ascii="Times New Roman" w:hAnsi="Times New Roman" w:cs="Times New Roman"/>
          <w:sz w:val="24"/>
          <w:szCs w:val="24"/>
          <w:lang w:val="en-US"/>
        </w:rPr>
        <w:t xml:space="preserve"> 44, 745–763</w:t>
      </w:r>
      <w:r>
        <w:rPr>
          <w:rFonts w:ascii="Times New Roman" w:hAnsi="Times New Roman" w:cs="Times New Roman"/>
          <w:sz w:val="24"/>
          <w:szCs w:val="24"/>
          <w:lang w:val="en-US"/>
        </w:rPr>
        <w:t xml:space="preserve"> </w:t>
      </w:r>
      <w:r w:rsidRPr="00440A24">
        <w:rPr>
          <w:rFonts w:ascii="Times New Roman" w:hAnsi="Times New Roman" w:cs="Times New Roman"/>
          <w:i/>
          <w:sz w:val="24"/>
          <w:szCs w:val="24"/>
          <w:lang w:val="en-US"/>
        </w:rPr>
        <w:t>Journal of International Business Studies</w:t>
      </w:r>
    </w:p>
    <w:p w:rsidR="00696DB1" w:rsidRPr="009B7488" w:rsidRDefault="00C922C0">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472824">
        <w:rPr>
          <w:rFonts w:ascii="Times New Roman" w:hAnsi="Times New Roman" w:cs="Times New Roman"/>
          <w:sz w:val="24"/>
          <w:szCs w:val="24"/>
        </w:rPr>
        <w:t xml:space="preserve">OECD website: </w:t>
      </w:r>
      <w:hyperlink r:id="rId24" w:history="1">
        <w:r w:rsidR="00A536C4" w:rsidRPr="00472824">
          <w:rPr>
            <w:rStyle w:val="Hyperlink"/>
            <w:rFonts w:ascii="Times New Roman" w:hAnsi="Times New Roman" w:cs="Times New Roman"/>
            <w:sz w:val="24"/>
            <w:szCs w:val="24"/>
          </w:rPr>
          <w:t>http://www.oecd.org/</w:t>
        </w:r>
      </w:hyperlink>
    </w:p>
    <w:p w:rsidR="009B7488" w:rsidRPr="009B7488" w:rsidRDefault="009B7488" w:rsidP="009B7488">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lang w:val="en-US"/>
        </w:rPr>
      </w:pPr>
      <w:r w:rsidRPr="009520F3">
        <w:rPr>
          <w:rFonts w:ascii="Times New Roman" w:hAnsi="Times New Roman" w:cs="Times New Roman"/>
          <w:sz w:val="24"/>
          <w:szCs w:val="24"/>
          <w:lang w:val="en-US"/>
        </w:rPr>
        <w:t>OECD GUIDELINES ON PENSION FUND ASSET MANAGEMENT (2006). n.p. OECD.</w:t>
      </w:r>
    </w:p>
    <w:p w:rsidR="009B7488" w:rsidRDefault="009B7488" w:rsidP="009B7488">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lang w:val="en-US"/>
        </w:rPr>
      </w:pPr>
      <w:r w:rsidRPr="000203B2">
        <w:rPr>
          <w:rFonts w:ascii="Times New Roman" w:hAnsi="Times New Roman" w:cs="Times New Roman"/>
          <w:sz w:val="24"/>
          <w:szCs w:val="24"/>
          <w:lang w:val="en-US"/>
        </w:rPr>
        <w:t>Phillip G. Scott, 1991, Strategic Asset Allocation of Pension Funds.</w:t>
      </w:r>
    </w:p>
    <w:p w:rsidR="009B7488" w:rsidRDefault="009B7488" w:rsidP="009B7488">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lang w:val="en-US"/>
        </w:rPr>
      </w:pPr>
      <w:r w:rsidRPr="00E14539">
        <w:rPr>
          <w:rFonts w:ascii="Times New Roman" w:hAnsi="Times New Roman" w:cs="Times New Roman"/>
          <w:sz w:val="24"/>
          <w:szCs w:val="24"/>
          <w:lang w:val="en-US"/>
        </w:rPr>
        <w:t xml:space="preserve">Raj Aggarwal, John W. Goodell, </w:t>
      </w:r>
      <w:r>
        <w:rPr>
          <w:rFonts w:ascii="Times New Roman" w:hAnsi="Times New Roman" w:cs="Times New Roman"/>
          <w:sz w:val="24"/>
          <w:szCs w:val="24"/>
          <w:lang w:val="en-US"/>
        </w:rPr>
        <w:t>"</w:t>
      </w:r>
      <w:r w:rsidRPr="00E14539">
        <w:rPr>
          <w:rFonts w:ascii="Times New Roman" w:hAnsi="Times New Roman" w:cs="Times New Roman"/>
          <w:sz w:val="24"/>
          <w:szCs w:val="24"/>
          <w:lang w:val="en-US"/>
        </w:rPr>
        <w:t>Financial markets versus institutions in European countries: Influence of culture and other national characteristics</w:t>
      </w:r>
      <w:r>
        <w:rPr>
          <w:rFonts w:ascii="Times New Roman" w:hAnsi="Times New Roman" w:cs="Times New Roman"/>
          <w:sz w:val="24"/>
          <w:szCs w:val="24"/>
          <w:lang w:val="en-US"/>
        </w:rPr>
        <w:t>"</w:t>
      </w:r>
      <w:r w:rsidRPr="00E14539">
        <w:rPr>
          <w:rFonts w:ascii="Times New Roman" w:hAnsi="Times New Roman" w:cs="Times New Roman"/>
          <w:sz w:val="24"/>
          <w:szCs w:val="24"/>
          <w:lang w:val="en-US"/>
        </w:rPr>
        <w:t xml:space="preserve">, </w:t>
      </w:r>
      <w:r w:rsidRPr="009520F3">
        <w:rPr>
          <w:rFonts w:ascii="Times New Roman" w:hAnsi="Times New Roman" w:cs="Times New Roman"/>
          <w:sz w:val="24"/>
          <w:szCs w:val="24"/>
          <w:lang w:val="en-US"/>
        </w:rPr>
        <w:t>International Business Review</w:t>
      </w:r>
      <w:r w:rsidRPr="00E14539">
        <w:rPr>
          <w:rFonts w:ascii="Times New Roman" w:hAnsi="Times New Roman" w:cs="Times New Roman"/>
          <w:sz w:val="24"/>
          <w:szCs w:val="24"/>
          <w:lang w:val="en-US"/>
        </w:rPr>
        <w:t>, Volume 19, Issue 5, October 2010, Pages 502-520</w:t>
      </w:r>
    </w:p>
    <w:p w:rsidR="009B7488" w:rsidRDefault="009B7488" w:rsidP="009B7488">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lang w:val="en-US"/>
        </w:rPr>
      </w:pPr>
      <w:r w:rsidRPr="00472824">
        <w:rPr>
          <w:rFonts w:ascii="Times New Roman" w:hAnsi="Times New Roman" w:cs="Times New Roman"/>
          <w:sz w:val="24"/>
          <w:szCs w:val="24"/>
        </w:rPr>
        <w:t xml:space="preserve">Reginald Deschepper, Larissa Grigoryan, Cecilia Stålsby Lundborg, Geert Hofstede, Joachim Cohen, Greta Van Der Kelen, Luc Delien and lora, M. Haaijer-Ruskamp. </w:t>
      </w:r>
      <w:r w:rsidRPr="009520F3">
        <w:rPr>
          <w:rFonts w:ascii="Times New Roman" w:hAnsi="Times New Roman" w:cs="Times New Roman"/>
          <w:sz w:val="24"/>
          <w:szCs w:val="24"/>
          <w:lang w:val="en-US"/>
        </w:rPr>
        <w:t>(2008).Are cultural dimensions relevant for explaining cross-national differences in antibiotic use in Europe n.p. BMC Health Services Research.</w:t>
      </w:r>
    </w:p>
    <w:p w:rsidR="009B7488" w:rsidRPr="009B7488" w:rsidRDefault="009B7488" w:rsidP="009B7488">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lang w:val="en-US"/>
        </w:rPr>
      </w:pPr>
      <w:r w:rsidRPr="00F464E6">
        <w:rPr>
          <w:rFonts w:ascii="Times New Roman" w:hAnsi="Times New Roman" w:cs="Times New Roman"/>
          <w:sz w:val="24"/>
          <w:szCs w:val="24"/>
          <w:lang w:val="en-US"/>
        </w:rPr>
        <w:t xml:space="preserve">Ross Levine and Sara Zervos. (1998) " Stock Markets, Banks, and Economic Growth"  Vol. 88, No. 3,  pp. 537-558 </w:t>
      </w:r>
      <w:r w:rsidRPr="00F464E6">
        <w:rPr>
          <w:rFonts w:ascii="Times New Roman" w:hAnsi="Times New Roman" w:cs="Times New Roman"/>
          <w:i/>
          <w:sz w:val="24"/>
          <w:szCs w:val="24"/>
          <w:lang w:val="en-US"/>
        </w:rPr>
        <w:t>The American Economic Review</w:t>
      </w:r>
      <w:r w:rsidRPr="00F464E6">
        <w:rPr>
          <w:rFonts w:ascii="Times New Roman" w:hAnsi="Times New Roman" w:cs="Times New Roman"/>
          <w:sz w:val="24"/>
          <w:szCs w:val="24"/>
          <w:lang w:val="en-US"/>
        </w:rPr>
        <w:t>.</w:t>
      </w:r>
    </w:p>
    <w:p w:rsidR="009B7488" w:rsidRDefault="009B7488" w:rsidP="009B7488">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lang w:val="en-US"/>
        </w:rPr>
      </w:pPr>
      <w:r w:rsidRPr="009B7488">
        <w:rPr>
          <w:rFonts w:ascii="Times New Roman" w:hAnsi="Times New Roman" w:cs="Times New Roman"/>
          <w:sz w:val="24"/>
          <w:szCs w:val="24"/>
        </w:rPr>
        <w:lastRenderedPageBreak/>
        <w:t xml:space="preserve">Sjoerd Beugelsdijk A, Bart Frijns B. (2010). </w:t>
      </w:r>
      <w:r w:rsidRPr="009B7488">
        <w:rPr>
          <w:rFonts w:ascii="Times New Roman" w:hAnsi="Times New Roman" w:cs="Times New Roman"/>
          <w:sz w:val="24"/>
          <w:szCs w:val="24"/>
          <w:lang w:val="en-US"/>
        </w:rPr>
        <w:t>A cultural explanation of the foreign bias in international asset allocation.</w:t>
      </w:r>
    </w:p>
    <w:p w:rsidR="009B7488" w:rsidRPr="009B7488" w:rsidRDefault="009B7488" w:rsidP="009B7488">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lang w:val="en-US"/>
        </w:rPr>
      </w:pPr>
      <w:r w:rsidRPr="009B7488">
        <w:rPr>
          <w:rFonts w:ascii="Times New Roman" w:hAnsi="Times New Roman" w:cs="Times New Roman"/>
          <w:sz w:val="24"/>
          <w:szCs w:val="24"/>
          <w:lang w:val="en-US"/>
        </w:rPr>
        <w:t>Stephen, G. Dimmock, Roy Kouwenberg, Olivia, S. Mitchell, and Kim Peijnenburg. (2013). Ambiguity Attitudes and Economic Behavior </w:t>
      </w:r>
    </w:p>
    <w:p w:rsidR="00696DB1" w:rsidRDefault="00CB41CE">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lang w:val="en-US"/>
        </w:rPr>
      </w:pPr>
      <w:r w:rsidRPr="00E14539">
        <w:rPr>
          <w:rFonts w:ascii="Times New Roman" w:hAnsi="Times New Roman" w:cs="Times New Roman"/>
          <w:sz w:val="24"/>
          <w:szCs w:val="24"/>
          <w:lang w:val="en-US"/>
        </w:rPr>
        <w:t>Stewart, F. (2010), "Pension Funds’ Risk-Management</w:t>
      </w:r>
      <w:r w:rsidR="00E14539" w:rsidRPr="00E14539">
        <w:rPr>
          <w:rFonts w:ascii="Times New Roman" w:hAnsi="Times New Roman" w:cs="Times New Roman"/>
          <w:sz w:val="24"/>
          <w:szCs w:val="24"/>
          <w:lang w:val="en-US"/>
        </w:rPr>
        <w:t xml:space="preserve"> </w:t>
      </w:r>
      <w:r w:rsidRPr="00E14539">
        <w:rPr>
          <w:rFonts w:ascii="Times New Roman" w:hAnsi="Times New Roman" w:cs="Times New Roman"/>
          <w:sz w:val="24"/>
          <w:szCs w:val="24"/>
          <w:lang w:val="en-US"/>
        </w:rPr>
        <w:t>Framework: Regulation and Supervisory Oversight", OECD</w:t>
      </w:r>
      <w:r w:rsidR="00E14539" w:rsidRPr="00E14539">
        <w:rPr>
          <w:rFonts w:ascii="Times New Roman" w:hAnsi="Times New Roman" w:cs="Times New Roman"/>
          <w:sz w:val="24"/>
          <w:szCs w:val="24"/>
          <w:lang w:val="en-US"/>
        </w:rPr>
        <w:t xml:space="preserve"> </w:t>
      </w:r>
      <w:r w:rsidRPr="00E14539">
        <w:rPr>
          <w:rFonts w:ascii="Times New Roman" w:hAnsi="Times New Roman" w:cs="Times New Roman"/>
          <w:sz w:val="24"/>
          <w:szCs w:val="24"/>
          <w:lang w:val="en-US"/>
        </w:rPr>
        <w:t>Working Papers on Insurance and Private Pensions,</w:t>
      </w:r>
      <w:r w:rsidR="00E14539">
        <w:rPr>
          <w:rFonts w:ascii="Times New Roman" w:hAnsi="Times New Roman" w:cs="Times New Roman"/>
          <w:sz w:val="24"/>
          <w:szCs w:val="24"/>
          <w:lang w:val="en-US"/>
        </w:rPr>
        <w:t xml:space="preserve"> </w:t>
      </w:r>
      <w:r w:rsidRPr="00E14539">
        <w:rPr>
          <w:rFonts w:ascii="Times New Roman" w:hAnsi="Times New Roman" w:cs="Times New Roman"/>
          <w:sz w:val="24"/>
          <w:szCs w:val="24"/>
          <w:lang w:val="en-US"/>
        </w:rPr>
        <w:t>No. 40, OECD publishing, © OECD</w:t>
      </w:r>
    </w:p>
    <w:p w:rsidR="009B7488" w:rsidRPr="009B7488" w:rsidRDefault="009B7488" w:rsidP="009B7488">
      <w:pPr>
        <w:pStyle w:val="ListParagraph"/>
        <w:numPr>
          <w:ilvl w:val="0"/>
          <w:numId w:val="1"/>
        </w:numPr>
        <w:autoSpaceDE w:val="0"/>
        <w:autoSpaceDN w:val="0"/>
        <w:adjustRightInd w:val="0"/>
        <w:spacing w:after="0" w:line="360" w:lineRule="auto"/>
        <w:jc w:val="both"/>
        <w:rPr>
          <w:rFonts w:ascii="Times New Roman" w:hAnsi="Times New Roman" w:cs="Times New Roman"/>
          <w:iCs/>
          <w:sz w:val="24"/>
          <w:szCs w:val="24"/>
          <w:lang w:val="en-US"/>
        </w:rPr>
      </w:pPr>
      <w:r w:rsidRPr="000203B2">
        <w:rPr>
          <w:rFonts w:ascii="Times New Roman" w:hAnsi="Times New Roman" w:cs="Times New Roman"/>
          <w:iCs/>
          <w:sz w:val="24"/>
          <w:szCs w:val="24"/>
          <w:lang w:val="en-US"/>
        </w:rPr>
        <w:t xml:space="preserve">Viceira, L.M. 2007. “Life-Cycle Funds.”Working paper, </w:t>
      </w:r>
      <w:r w:rsidRPr="000203B2">
        <w:rPr>
          <w:rFonts w:ascii="Times New Roman" w:hAnsi="Times New Roman" w:cs="Times New Roman"/>
          <w:i/>
          <w:iCs/>
          <w:sz w:val="24"/>
          <w:szCs w:val="24"/>
          <w:lang w:val="en-US"/>
        </w:rPr>
        <w:t>Harvard Business School.</w:t>
      </w:r>
    </w:p>
    <w:p w:rsidR="00696DB1" w:rsidRDefault="00E14539">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lang w:val="en-US"/>
        </w:rPr>
      </w:pPr>
      <w:r w:rsidRPr="009520F3">
        <w:rPr>
          <w:rFonts w:ascii="Times New Roman" w:hAnsi="Times New Roman" w:cs="Times New Roman"/>
          <w:sz w:val="24"/>
          <w:szCs w:val="24"/>
          <w:lang w:val="en-US"/>
        </w:rPr>
        <w:t>Zahra Amirhosseini, Shahr-e-Qods Branch, Iran Vivian, O. Okere. (2012). Effect Of Cultural Dimensions On Stock Exchange Investment Decisions In Iran (Vol. 10). n.p. Journal Of Business &amp; Economics Research</w:t>
      </w:r>
    </w:p>
    <w:p w:rsidR="00701E67" w:rsidRPr="000E77E2" w:rsidRDefault="006D19F1" w:rsidP="000E77E2">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lang w:val="en-US"/>
        </w:rPr>
      </w:pPr>
      <w:hyperlink r:id="rId25" w:anchor="rFkWmcmVXG3kdjoM.99" w:history="1">
        <w:r w:rsidR="00701E67" w:rsidRPr="00A4441C">
          <w:rPr>
            <w:rStyle w:val="Hyperlink"/>
            <w:rFonts w:ascii="Arial" w:hAnsi="Arial" w:cs="Arial"/>
            <w:color w:val="003399"/>
            <w:sz w:val="20"/>
            <w:szCs w:val="20"/>
            <w:lang w:val="en-GB"/>
          </w:rPr>
          <w:t>http://www.milliondollarjourney.com/defined-benefit-pension-vs-defined-contribution-pension.htm#rFkWmcmVXG3kdjoM.99</w:t>
        </w:r>
      </w:hyperlink>
    </w:p>
    <w:p w:rsidR="00B2431A" w:rsidRDefault="00B2431A">
      <w:pPr>
        <w:rPr>
          <w:rFonts w:ascii="Times New Roman" w:hAnsi="Times New Roman" w:cs="Times New Roman"/>
          <w:i/>
          <w:sz w:val="24"/>
          <w:szCs w:val="24"/>
          <w:lang w:val="en-US"/>
        </w:rPr>
        <w:sectPr w:rsidR="00B2431A" w:rsidSect="001D2711">
          <w:pgSz w:w="11906" w:h="16838"/>
          <w:pgMar w:top="1418" w:right="1134" w:bottom="1418" w:left="1418" w:header="708" w:footer="113" w:gutter="0"/>
          <w:cols w:space="708"/>
          <w:docGrid w:linePitch="360"/>
        </w:sectPr>
      </w:pPr>
    </w:p>
    <w:p w:rsidR="00B2431A" w:rsidRPr="004011A1" w:rsidRDefault="00B2431A" w:rsidP="00B2431A">
      <w:pPr>
        <w:pStyle w:val="Heading1"/>
        <w:keepLines w:val="0"/>
        <w:spacing w:before="240" w:after="60" w:line="360" w:lineRule="auto"/>
        <w:rPr>
          <w:lang w:val="en-GB"/>
        </w:rPr>
      </w:pPr>
      <w:bookmarkStart w:id="10" w:name="_Toc367968002"/>
      <w:r w:rsidRPr="004011A1">
        <w:rPr>
          <w:rFonts w:ascii="Arial" w:eastAsia="Times New Roman" w:hAnsi="Arial" w:cs="Arial"/>
          <w:color w:val="auto"/>
          <w:kern w:val="32"/>
          <w:szCs w:val="32"/>
          <w:lang w:val="en-GB" w:eastAsia="en-US"/>
        </w:rPr>
        <w:lastRenderedPageBreak/>
        <w:t xml:space="preserve">APPENDIX A  </w:t>
      </w:r>
      <w:bookmarkEnd w:id="10"/>
    </w:p>
    <w:p w:rsidR="00B2431A" w:rsidRDefault="002F0796">
      <w:pPr>
        <w:rPr>
          <w:rFonts w:ascii="Times New Roman" w:hAnsi="Times New Roman" w:cs="Times New Roman"/>
          <w:i/>
          <w:sz w:val="24"/>
          <w:szCs w:val="24"/>
          <w:lang w:val="en-US"/>
        </w:rPr>
      </w:pPr>
      <w:r w:rsidRPr="002F0796">
        <w:rPr>
          <w:rFonts w:ascii="Times New Roman" w:hAnsi="Times New Roman" w:cs="Times New Roman"/>
          <w:lang w:val="en-US"/>
        </w:rPr>
        <w:t>Data for all the variables in use</w:t>
      </w:r>
      <w:r>
        <w:rPr>
          <w:rFonts w:ascii="Times New Roman" w:hAnsi="Times New Roman" w:cs="Times New Roman"/>
          <w:lang w:val="en-US"/>
        </w:rPr>
        <w:t xml:space="preserve"> for Developed and Developing countries:</w:t>
      </w:r>
    </w:p>
    <w:tbl>
      <w:tblPr>
        <w:tblStyle w:val="LightShading1"/>
        <w:tblW w:w="12649" w:type="dxa"/>
        <w:tblLook w:val="06A0"/>
      </w:tblPr>
      <w:tblGrid>
        <w:gridCol w:w="1522"/>
        <w:gridCol w:w="961"/>
        <w:gridCol w:w="961"/>
        <w:gridCol w:w="961"/>
        <w:gridCol w:w="961"/>
        <w:gridCol w:w="961"/>
        <w:gridCol w:w="961"/>
        <w:gridCol w:w="1389"/>
        <w:gridCol w:w="1389"/>
        <w:gridCol w:w="1389"/>
        <w:gridCol w:w="1194"/>
      </w:tblGrid>
      <w:tr w:rsidR="00B2431A" w:rsidRPr="00B2431A" w:rsidTr="002F0796">
        <w:trPr>
          <w:cnfStyle w:val="100000000000"/>
          <w:trHeight w:val="345"/>
        </w:trPr>
        <w:tc>
          <w:tcPr>
            <w:cnfStyle w:val="001000000000"/>
            <w:tcW w:w="1522" w:type="dxa"/>
            <w:noWrap/>
            <w:hideMark/>
          </w:tcPr>
          <w:p w:rsidR="00B2431A" w:rsidRPr="00B2431A" w:rsidRDefault="00B2431A" w:rsidP="00B2431A">
            <w:pPr>
              <w:rPr>
                <w:rFonts w:ascii="Calibri" w:eastAsia="Times New Roman" w:hAnsi="Calibri" w:cs="Times New Roman"/>
                <w:color w:val="000000"/>
                <w:lang w:val="en-US" w:eastAsia="el-GR"/>
              </w:rPr>
            </w:pPr>
          </w:p>
        </w:tc>
        <w:tc>
          <w:tcPr>
            <w:tcW w:w="961" w:type="dxa"/>
            <w:noWrap/>
            <w:hideMark/>
          </w:tcPr>
          <w:p w:rsidR="00B2431A" w:rsidRPr="00B2431A" w:rsidRDefault="00B2431A" w:rsidP="00B2431A">
            <w:pPr>
              <w:cnfStyle w:val="1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eq all</w:t>
            </w:r>
          </w:p>
        </w:tc>
        <w:tc>
          <w:tcPr>
            <w:tcW w:w="961" w:type="dxa"/>
            <w:noWrap/>
            <w:hideMark/>
          </w:tcPr>
          <w:p w:rsidR="00B2431A" w:rsidRPr="00B2431A" w:rsidRDefault="00B2431A" w:rsidP="00B2431A">
            <w:pPr>
              <w:cnfStyle w:val="1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PDI</w:t>
            </w:r>
          </w:p>
        </w:tc>
        <w:tc>
          <w:tcPr>
            <w:tcW w:w="961" w:type="dxa"/>
            <w:noWrap/>
            <w:hideMark/>
          </w:tcPr>
          <w:p w:rsidR="00B2431A" w:rsidRPr="00B2431A" w:rsidRDefault="00B2431A" w:rsidP="00B2431A">
            <w:pPr>
              <w:cnfStyle w:val="1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IDV</w:t>
            </w:r>
          </w:p>
        </w:tc>
        <w:tc>
          <w:tcPr>
            <w:tcW w:w="961" w:type="dxa"/>
            <w:noWrap/>
            <w:hideMark/>
          </w:tcPr>
          <w:p w:rsidR="00B2431A" w:rsidRPr="00B2431A" w:rsidRDefault="00B2431A" w:rsidP="00B2431A">
            <w:pPr>
              <w:cnfStyle w:val="1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UAI</w:t>
            </w:r>
          </w:p>
        </w:tc>
        <w:tc>
          <w:tcPr>
            <w:tcW w:w="961" w:type="dxa"/>
            <w:noWrap/>
            <w:hideMark/>
          </w:tcPr>
          <w:p w:rsidR="00B2431A" w:rsidRPr="00B2431A" w:rsidRDefault="00B2431A" w:rsidP="00B2431A">
            <w:pPr>
              <w:cnfStyle w:val="1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Masc</w:t>
            </w:r>
          </w:p>
        </w:tc>
        <w:tc>
          <w:tcPr>
            <w:tcW w:w="961" w:type="dxa"/>
            <w:noWrap/>
            <w:hideMark/>
          </w:tcPr>
          <w:p w:rsidR="00B2431A" w:rsidRPr="00B2431A" w:rsidRDefault="00B2431A" w:rsidP="00B2431A">
            <w:pPr>
              <w:cnfStyle w:val="1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LEqInv</w:t>
            </w:r>
          </w:p>
        </w:tc>
        <w:tc>
          <w:tcPr>
            <w:tcW w:w="1389" w:type="dxa"/>
            <w:noWrap/>
            <w:hideMark/>
          </w:tcPr>
          <w:p w:rsidR="00B2431A" w:rsidRPr="00B2431A" w:rsidRDefault="00B2431A" w:rsidP="00B2431A">
            <w:pPr>
              <w:cnfStyle w:val="1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Ln(GDP)</w:t>
            </w:r>
          </w:p>
        </w:tc>
        <w:tc>
          <w:tcPr>
            <w:tcW w:w="1389" w:type="dxa"/>
            <w:noWrap/>
            <w:hideMark/>
          </w:tcPr>
          <w:p w:rsidR="00B2431A" w:rsidRPr="00B2431A" w:rsidRDefault="00B2431A" w:rsidP="00B2431A">
            <w:pPr>
              <w:cnfStyle w:val="1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ln(MarCAP)</w:t>
            </w:r>
          </w:p>
        </w:tc>
        <w:tc>
          <w:tcPr>
            <w:tcW w:w="1389" w:type="dxa"/>
            <w:noWrap/>
            <w:hideMark/>
          </w:tcPr>
          <w:p w:rsidR="00B2431A" w:rsidRPr="00B2431A" w:rsidRDefault="00B2431A" w:rsidP="00B2431A">
            <w:pPr>
              <w:cnfStyle w:val="1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AgeDR</w:t>
            </w:r>
          </w:p>
        </w:tc>
        <w:tc>
          <w:tcPr>
            <w:tcW w:w="1194" w:type="dxa"/>
            <w:noWrap/>
            <w:hideMark/>
          </w:tcPr>
          <w:p w:rsidR="00B2431A" w:rsidRPr="00B2431A" w:rsidRDefault="00B2431A" w:rsidP="00B2431A">
            <w:pPr>
              <w:cnfStyle w:val="1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DBU</w:t>
            </w:r>
          </w:p>
        </w:tc>
      </w:tr>
      <w:tr w:rsidR="00B2431A" w:rsidRPr="00B2431A" w:rsidTr="002F0796">
        <w:trPr>
          <w:trHeight w:val="345"/>
        </w:trPr>
        <w:tc>
          <w:tcPr>
            <w:cnfStyle w:val="001000000000"/>
            <w:tcW w:w="1522" w:type="dxa"/>
            <w:noWrap/>
            <w:hideMark/>
          </w:tcPr>
          <w:p w:rsidR="00B2431A" w:rsidRPr="00B2431A" w:rsidRDefault="00B2431A" w:rsidP="00B2431A">
            <w:pPr>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Africa S(wte)</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0.49</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0.65</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0.49</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0.63</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0.75</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11.0182853</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4.464324456</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0.484561879</w:t>
            </w:r>
          </w:p>
        </w:tc>
        <w:tc>
          <w:tcPr>
            <w:tcW w:w="1194"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w:t>
            </w:r>
          </w:p>
        </w:tc>
      </w:tr>
      <w:tr w:rsidR="00B2431A" w:rsidRPr="00B2431A" w:rsidTr="002F0796">
        <w:trPr>
          <w:trHeight w:val="345"/>
        </w:trPr>
        <w:tc>
          <w:tcPr>
            <w:cnfStyle w:val="001000000000"/>
            <w:tcW w:w="1522" w:type="dxa"/>
            <w:noWrap/>
            <w:hideMark/>
          </w:tcPr>
          <w:p w:rsidR="00B2431A" w:rsidRPr="00B2431A" w:rsidRDefault="00B2431A" w:rsidP="00B2431A">
            <w:pPr>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Brazil</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0.298</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0.69</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0.38</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0.76</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0.49</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0.6</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8.876007806</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2.735815616</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0.461816766</w:t>
            </w:r>
          </w:p>
        </w:tc>
        <w:tc>
          <w:tcPr>
            <w:tcW w:w="1194"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w:t>
            </w:r>
          </w:p>
        </w:tc>
      </w:tr>
      <w:tr w:rsidR="00B2431A" w:rsidRPr="00B2431A" w:rsidTr="002F0796">
        <w:trPr>
          <w:trHeight w:val="345"/>
        </w:trPr>
        <w:tc>
          <w:tcPr>
            <w:cnfStyle w:val="001000000000"/>
            <w:tcW w:w="1522" w:type="dxa"/>
            <w:noWrap/>
            <w:hideMark/>
          </w:tcPr>
          <w:p w:rsidR="00B2431A" w:rsidRPr="00B2431A" w:rsidRDefault="00B2431A" w:rsidP="00B2431A">
            <w:pPr>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Chile</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0.406</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0.63</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0.23</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0.86</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0.28</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0.41</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8.86841821</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4.100685366</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0.518432549</w:t>
            </w:r>
          </w:p>
        </w:tc>
        <w:tc>
          <w:tcPr>
            <w:tcW w:w="1194"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w:t>
            </w:r>
          </w:p>
        </w:tc>
      </w:tr>
      <w:tr w:rsidR="00B2431A" w:rsidRPr="00B2431A" w:rsidTr="002F0796">
        <w:trPr>
          <w:trHeight w:val="345"/>
        </w:trPr>
        <w:tc>
          <w:tcPr>
            <w:cnfStyle w:val="001000000000"/>
            <w:tcW w:w="1522" w:type="dxa"/>
            <w:noWrap/>
            <w:hideMark/>
          </w:tcPr>
          <w:p w:rsidR="00B2431A" w:rsidRPr="00B2431A" w:rsidRDefault="00B2431A" w:rsidP="00B2431A">
            <w:pPr>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Colombia</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0.331</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0.67</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0.13</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0.8</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0.64</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0.4</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9.064945074</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1.261539761</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0.451032653</w:t>
            </w:r>
          </w:p>
        </w:tc>
        <w:tc>
          <w:tcPr>
            <w:tcW w:w="1194"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w:t>
            </w:r>
          </w:p>
        </w:tc>
      </w:tr>
      <w:tr w:rsidR="00B2431A" w:rsidRPr="00B2431A" w:rsidTr="002F0796">
        <w:trPr>
          <w:trHeight w:val="345"/>
        </w:trPr>
        <w:tc>
          <w:tcPr>
            <w:cnfStyle w:val="001000000000"/>
            <w:tcW w:w="1522" w:type="dxa"/>
            <w:noWrap/>
            <w:hideMark/>
          </w:tcPr>
          <w:p w:rsidR="00B2431A" w:rsidRPr="00B2431A" w:rsidRDefault="00B2431A" w:rsidP="00B2431A">
            <w:pPr>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Costa Rica</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0.35</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0.15</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0.86</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0.21</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0.1</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9.932028351</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2.871965888</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0.414706492</w:t>
            </w:r>
          </w:p>
        </w:tc>
        <w:tc>
          <w:tcPr>
            <w:tcW w:w="1194"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w:t>
            </w:r>
          </w:p>
        </w:tc>
      </w:tr>
      <w:tr w:rsidR="00B2431A" w:rsidRPr="00B2431A" w:rsidTr="002F0796">
        <w:trPr>
          <w:trHeight w:val="345"/>
        </w:trPr>
        <w:tc>
          <w:tcPr>
            <w:cnfStyle w:val="001000000000"/>
            <w:tcW w:w="1522" w:type="dxa"/>
            <w:noWrap/>
            <w:hideMark/>
          </w:tcPr>
          <w:p w:rsidR="00B2431A" w:rsidRPr="00B2431A" w:rsidRDefault="00B2431A" w:rsidP="00B2431A">
            <w:pPr>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Hong kong</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0.541</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0.68</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0.25</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0.29</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0.57</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0.1</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7.30553282</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4.006331873</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0.543377138</w:t>
            </w:r>
          </w:p>
        </w:tc>
        <w:tc>
          <w:tcPr>
            <w:tcW w:w="1194"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w:t>
            </w:r>
          </w:p>
        </w:tc>
      </w:tr>
      <w:tr w:rsidR="00B2431A" w:rsidRPr="00B2431A" w:rsidTr="002F0796">
        <w:trPr>
          <w:trHeight w:val="345"/>
        </w:trPr>
        <w:tc>
          <w:tcPr>
            <w:cnfStyle w:val="001000000000"/>
            <w:tcW w:w="1522" w:type="dxa"/>
            <w:noWrap/>
            <w:hideMark/>
          </w:tcPr>
          <w:p w:rsidR="00B2431A" w:rsidRPr="00B2431A" w:rsidRDefault="00B2431A" w:rsidP="00B2431A">
            <w:pPr>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India</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0.77</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0.48</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0.4</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0.56</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0.325</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10.78773456</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2.789662231</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0.497773595</w:t>
            </w:r>
          </w:p>
        </w:tc>
        <w:tc>
          <w:tcPr>
            <w:tcW w:w="1194"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w:t>
            </w:r>
          </w:p>
        </w:tc>
      </w:tr>
      <w:tr w:rsidR="00B2431A" w:rsidRPr="00B2431A" w:rsidTr="002F0796">
        <w:trPr>
          <w:trHeight w:val="345"/>
        </w:trPr>
        <w:tc>
          <w:tcPr>
            <w:cnfStyle w:val="001000000000"/>
            <w:tcW w:w="1522" w:type="dxa"/>
            <w:noWrap/>
            <w:hideMark/>
          </w:tcPr>
          <w:p w:rsidR="00B2431A" w:rsidRPr="00B2431A" w:rsidRDefault="00B2431A" w:rsidP="00B2431A">
            <w:pPr>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Indonesia</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0.174</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0.78</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0.14</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0.48</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0.46</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10.35080679</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4.088925944</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0.608220427</w:t>
            </w:r>
          </w:p>
        </w:tc>
        <w:tc>
          <w:tcPr>
            <w:tcW w:w="1194"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w:t>
            </w:r>
          </w:p>
        </w:tc>
      </w:tr>
      <w:tr w:rsidR="00B2431A" w:rsidRPr="00B2431A" w:rsidTr="002F0796">
        <w:trPr>
          <w:trHeight w:val="345"/>
        </w:trPr>
        <w:tc>
          <w:tcPr>
            <w:cnfStyle w:val="001000000000"/>
            <w:tcW w:w="1522" w:type="dxa"/>
            <w:noWrap/>
            <w:hideMark/>
          </w:tcPr>
          <w:p w:rsidR="00B2431A" w:rsidRPr="00B2431A" w:rsidRDefault="00B2431A" w:rsidP="00B2431A">
            <w:pPr>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Israel</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0.005</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0.13</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0.54</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0.81</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0.47</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1</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8.58102081</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3.912443093</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0.57071331</w:t>
            </w:r>
          </w:p>
        </w:tc>
        <w:tc>
          <w:tcPr>
            <w:tcW w:w="1194"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0.805</w:t>
            </w:r>
          </w:p>
        </w:tc>
      </w:tr>
      <w:tr w:rsidR="00B2431A" w:rsidRPr="00B2431A" w:rsidTr="002F0796">
        <w:trPr>
          <w:trHeight w:val="345"/>
        </w:trPr>
        <w:tc>
          <w:tcPr>
            <w:cnfStyle w:val="001000000000"/>
            <w:tcW w:w="1522" w:type="dxa"/>
            <w:noWrap/>
            <w:hideMark/>
          </w:tcPr>
          <w:p w:rsidR="00B2431A" w:rsidRPr="00B2431A" w:rsidRDefault="00B2431A" w:rsidP="00B2431A">
            <w:pPr>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Jamaica</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0.16</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0.45</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0.39</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0.13</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0.68</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1</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10.01788987</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4.489483102</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0.378805479</w:t>
            </w:r>
          </w:p>
        </w:tc>
        <w:tc>
          <w:tcPr>
            <w:tcW w:w="1194"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w:t>
            </w:r>
          </w:p>
        </w:tc>
      </w:tr>
      <w:tr w:rsidR="00B2431A" w:rsidRPr="00B2431A" w:rsidTr="002F0796">
        <w:trPr>
          <w:trHeight w:val="345"/>
        </w:trPr>
        <w:tc>
          <w:tcPr>
            <w:cnfStyle w:val="001000000000"/>
            <w:tcW w:w="1522" w:type="dxa"/>
            <w:noWrap/>
            <w:hideMark/>
          </w:tcPr>
          <w:p w:rsidR="00B2431A" w:rsidRPr="00B2431A" w:rsidRDefault="00B2431A" w:rsidP="00B2431A">
            <w:pPr>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Mexico</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0.176</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0.81</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0.3</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0.82</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0.69</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0.23</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10.82130277</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4.264563802</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0.499192457</w:t>
            </w:r>
          </w:p>
        </w:tc>
        <w:tc>
          <w:tcPr>
            <w:tcW w:w="1194"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0.163</w:t>
            </w:r>
          </w:p>
        </w:tc>
      </w:tr>
      <w:tr w:rsidR="00B2431A" w:rsidRPr="00B2431A" w:rsidTr="002F0796">
        <w:trPr>
          <w:trHeight w:val="345"/>
        </w:trPr>
        <w:tc>
          <w:tcPr>
            <w:cnfStyle w:val="001000000000"/>
            <w:tcW w:w="1522" w:type="dxa"/>
            <w:noWrap/>
            <w:hideMark/>
          </w:tcPr>
          <w:p w:rsidR="00B2431A" w:rsidRPr="00B2431A" w:rsidRDefault="00B2431A" w:rsidP="00B2431A">
            <w:pPr>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Pakistan</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0.287</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0.55</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0.14</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0.7</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0.5</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1</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8.702494676</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3.803049472</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0.556644555</w:t>
            </w:r>
          </w:p>
        </w:tc>
        <w:tc>
          <w:tcPr>
            <w:tcW w:w="1194"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w:t>
            </w:r>
          </w:p>
        </w:tc>
      </w:tr>
      <w:tr w:rsidR="00B2431A" w:rsidRPr="00B2431A" w:rsidTr="002F0796">
        <w:trPr>
          <w:trHeight w:val="345"/>
        </w:trPr>
        <w:tc>
          <w:tcPr>
            <w:cnfStyle w:val="001000000000"/>
            <w:tcW w:w="1522" w:type="dxa"/>
            <w:noWrap/>
            <w:hideMark/>
          </w:tcPr>
          <w:p w:rsidR="00B2431A" w:rsidRPr="00B2431A" w:rsidRDefault="00B2431A" w:rsidP="00B2431A">
            <w:pPr>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Peru</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0.439</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0.64</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0.16</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0.87</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0.42</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0.2</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9.507689671</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3.291017969</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0.398620834</w:t>
            </w:r>
          </w:p>
        </w:tc>
        <w:tc>
          <w:tcPr>
            <w:tcW w:w="1194"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w:t>
            </w:r>
          </w:p>
        </w:tc>
      </w:tr>
      <w:tr w:rsidR="00B2431A" w:rsidRPr="00B2431A" w:rsidTr="002F0796">
        <w:trPr>
          <w:trHeight w:val="345"/>
        </w:trPr>
        <w:tc>
          <w:tcPr>
            <w:cnfStyle w:val="001000000000"/>
            <w:tcW w:w="1522" w:type="dxa"/>
            <w:noWrap/>
            <w:hideMark/>
          </w:tcPr>
          <w:p w:rsidR="00B2431A" w:rsidRPr="00B2431A" w:rsidRDefault="00B2431A" w:rsidP="00B2431A">
            <w:pPr>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Serbia</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0.054</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0.86</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0.25</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0.92</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0.43</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9.778263448</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1.596150595</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0.374605914</w:t>
            </w:r>
          </w:p>
        </w:tc>
        <w:tc>
          <w:tcPr>
            <w:tcW w:w="1194"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w:t>
            </w:r>
          </w:p>
        </w:tc>
      </w:tr>
      <w:tr w:rsidR="00B2431A" w:rsidRPr="00B2431A" w:rsidTr="002F0796">
        <w:trPr>
          <w:trHeight w:val="345"/>
        </w:trPr>
        <w:tc>
          <w:tcPr>
            <w:cnfStyle w:val="001000000000"/>
            <w:tcW w:w="1522" w:type="dxa"/>
            <w:noWrap/>
            <w:hideMark/>
          </w:tcPr>
          <w:p w:rsidR="00B2431A" w:rsidRPr="00B2431A" w:rsidRDefault="00B2431A" w:rsidP="00B2431A">
            <w:pPr>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S Korea</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0.6</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0.18</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0.85</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0.39</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0.3</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10.09170606</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2.547015956</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0.442256228</w:t>
            </w:r>
          </w:p>
        </w:tc>
        <w:tc>
          <w:tcPr>
            <w:tcW w:w="1194"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0.895</w:t>
            </w:r>
          </w:p>
        </w:tc>
      </w:tr>
      <w:tr w:rsidR="00B2431A" w:rsidRPr="00B2431A" w:rsidTr="002F0796">
        <w:trPr>
          <w:trHeight w:val="345"/>
        </w:trPr>
        <w:tc>
          <w:tcPr>
            <w:cnfStyle w:val="001000000000"/>
            <w:tcW w:w="1522" w:type="dxa"/>
            <w:noWrap/>
            <w:hideMark/>
          </w:tcPr>
          <w:p w:rsidR="00B2431A" w:rsidRPr="00B2431A" w:rsidRDefault="00B2431A" w:rsidP="00B2431A">
            <w:pPr>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Suriname</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0.85</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0.47</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0.92</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0.37</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10.95240258</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4.467183169</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0.541953235</w:t>
            </w:r>
          </w:p>
        </w:tc>
        <w:tc>
          <w:tcPr>
            <w:tcW w:w="1194"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w:t>
            </w:r>
          </w:p>
        </w:tc>
      </w:tr>
      <w:tr w:rsidR="00B2431A" w:rsidRPr="00B2431A" w:rsidTr="002F0796">
        <w:trPr>
          <w:trHeight w:val="345"/>
        </w:trPr>
        <w:tc>
          <w:tcPr>
            <w:cnfStyle w:val="001000000000"/>
            <w:tcW w:w="1522" w:type="dxa"/>
            <w:noWrap/>
            <w:hideMark/>
          </w:tcPr>
          <w:p w:rsidR="00B2431A" w:rsidRPr="00B2431A" w:rsidRDefault="00B2431A" w:rsidP="00B2431A">
            <w:pPr>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Thailand</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0.118</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0.64</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0.2</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0.64</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0.34</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1</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9.723122674</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4.181963157</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0.382228263</w:t>
            </w:r>
          </w:p>
        </w:tc>
        <w:tc>
          <w:tcPr>
            <w:tcW w:w="1194"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w:t>
            </w:r>
          </w:p>
        </w:tc>
      </w:tr>
      <w:tr w:rsidR="00B2431A" w:rsidRPr="00B2431A" w:rsidTr="002F0796">
        <w:trPr>
          <w:trHeight w:val="345"/>
        </w:trPr>
        <w:tc>
          <w:tcPr>
            <w:cnfStyle w:val="001000000000"/>
            <w:tcW w:w="1522" w:type="dxa"/>
            <w:noWrap/>
            <w:hideMark/>
          </w:tcPr>
          <w:p w:rsidR="00B2431A" w:rsidRPr="00B2431A" w:rsidRDefault="00B2431A" w:rsidP="00B2431A">
            <w:pPr>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Trinidad</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0.47</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0.16</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0.55</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0.58</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0.6</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9.261414042</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3.25969156</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0.471802065</w:t>
            </w:r>
          </w:p>
        </w:tc>
        <w:tc>
          <w:tcPr>
            <w:tcW w:w="1194"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w:t>
            </w:r>
          </w:p>
        </w:tc>
      </w:tr>
      <w:tr w:rsidR="00B2431A" w:rsidRPr="00B2431A" w:rsidTr="002F0796">
        <w:trPr>
          <w:trHeight w:val="345"/>
        </w:trPr>
        <w:tc>
          <w:tcPr>
            <w:cnfStyle w:val="001000000000"/>
            <w:tcW w:w="1522" w:type="dxa"/>
            <w:noWrap/>
            <w:hideMark/>
          </w:tcPr>
          <w:p w:rsidR="00B2431A" w:rsidRPr="00B2431A" w:rsidRDefault="00B2431A" w:rsidP="00B2431A">
            <w:pPr>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Turkey</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0.121</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0.66</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0.37</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0.85</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0.45</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1</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10.57230255</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4.776764178</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0.51874655</w:t>
            </w:r>
          </w:p>
        </w:tc>
        <w:tc>
          <w:tcPr>
            <w:tcW w:w="1194"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0.584</w:t>
            </w:r>
          </w:p>
        </w:tc>
      </w:tr>
      <w:tr w:rsidR="00B2431A" w:rsidRPr="00B2431A" w:rsidTr="002F0796">
        <w:trPr>
          <w:trHeight w:val="345"/>
        </w:trPr>
        <w:tc>
          <w:tcPr>
            <w:cnfStyle w:val="001000000000"/>
            <w:tcW w:w="1522" w:type="dxa"/>
            <w:noWrap/>
            <w:hideMark/>
          </w:tcPr>
          <w:p w:rsidR="00B2431A" w:rsidRPr="00B2431A" w:rsidRDefault="00B2431A" w:rsidP="00B2431A">
            <w:pPr>
              <w:rPr>
                <w:rFonts w:ascii="Calibri" w:eastAsia="Times New Roman" w:hAnsi="Calibri" w:cs="Times New Roman"/>
                <w:color w:val="000000"/>
                <w:lang w:val="el-GR" w:eastAsia="el-GR"/>
              </w:rPr>
            </w:pPr>
          </w:p>
        </w:tc>
        <w:tc>
          <w:tcPr>
            <w:tcW w:w="961" w:type="dxa"/>
            <w:noWrap/>
            <w:hideMark/>
          </w:tcPr>
          <w:p w:rsidR="00B2431A" w:rsidRPr="00B2431A" w:rsidRDefault="00B2431A" w:rsidP="00B2431A">
            <w:pPr>
              <w:cnfStyle w:val="000000000000"/>
              <w:rPr>
                <w:rFonts w:ascii="Calibri" w:eastAsia="Times New Roman" w:hAnsi="Calibri" w:cs="Times New Roman"/>
                <w:color w:val="000000"/>
                <w:lang w:val="el-GR" w:eastAsia="el-GR"/>
              </w:rPr>
            </w:pPr>
          </w:p>
        </w:tc>
        <w:tc>
          <w:tcPr>
            <w:tcW w:w="961" w:type="dxa"/>
            <w:noWrap/>
            <w:hideMark/>
          </w:tcPr>
          <w:p w:rsidR="00B2431A" w:rsidRPr="00B2431A" w:rsidRDefault="00B2431A" w:rsidP="00B2431A">
            <w:pPr>
              <w:cnfStyle w:val="000000000000"/>
              <w:rPr>
                <w:rFonts w:ascii="Calibri" w:eastAsia="Times New Roman" w:hAnsi="Calibri" w:cs="Times New Roman"/>
                <w:color w:val="000000"/>
                <w:lang w:val="el-GR" w:eastAsia="el-GR"/>
              </w:rPr>
            </w:pPr>
          </w:p>
        </w:tc>
        <w:tc>
          <w:tcPr>
            <w:tcW w:w="961" w:type="dxa"/>
            <w:noWrap/>
            <w:hideMark/>
          </w:tcPr>
          <w:p w:rsidR="00B2431A" w:rsidRPr="00B2431A" w:rsidRDefault="00B2431A" w:rsidP="00B2431A">
            <w:pPr>
              <w:cnfStyle w:val="000000000000"/>
              <w:rPr>
                <w:rFonts w:ascii="Calibri" w:eastAsia="Times New Roman" w:hAnsi="Calibri" w:cs="Times New Roman"/>
                <w:color w:val="000000"/>
                <w:lang w:val="el-GR" w:eastAsia="el-GR"/>
              </w:rPr>
            </w:pPr>
          </w:p>
        </w:tc>
        <w:tc>
          <w:tcPr>
            <w:tcW w:w="961" w:type="dxa"/>
            <w:noWrap/>
            <w:hideMark/>
          </w:tcPr>
          <w:p w:rsidR="00B2431A" w:rsidRPr="00B2431A" w:rsidRDefault="00B2431A" w:rsidP="00B2431A">
            <w:pPr>
              <w:cnfStyle w:val="000000000000"/>
              <w:rPr>
                <w:rFonts w:ascii="Calibri" w:eastAsia="Times New Roman" w:hAnsi="Calibri" w:cs="Times New Roman"/>
                <w:color w:val="000000"/>
                <w:lang w:val="el-GR" w:eastAsia="el-GR"/>
              </w:rPr>
            </w:pPr>
          </w:p>
        </w:tc>
        <w:tc>
          <w:tcPr>
            <w:tcW w:w="961" w:type="dxa"/>
            <w:noWrap/>
            <w:hideMark/>
          </w:tcPr>
          <w:p w:rsidR="00B2431A" w:rsidRPr="00B2431A" w:rsidRDefault="00B2431A" w:rsidP="00B2431A">
            <w:pPr>
              <w:cnfStyle w:val="000000000000"/>
              <w:rPr>
                <w:rFonts w:ascii="Calibri" w:eastAsia="Times New Roman" w:hAnsi="Calibri" w:cs="Times New Roman"/>
                <w:color w:val="000000"/>
                <w:lang w:val="el-GR" w:eastAsia="el-GR"/>
              </w:rPr>
            </w:pPr>
          </w:p>
        </w:tc>
        <w:tc>
          <w:tcPr>
            <w:tcW w:w="961" w:type="dxa"/>
            <w:noWrap/>
            <w:hideMark/>
          </w:tcPr>
          <w:p w:rsidR="00B2431A" w:rsidRPr="00B2431A" w:rsidRDefault="00B2431A" w:rsidP="00B2431A">
            <w:pPr>
              <w:cnfStyle w:val="000000000000"/>
              <w:rPr>
                <w:rFonts w:ascii="Calibri" w:eastAsia="Times New Roman" w:hAnsi="Calibri" w:cs="Times New Roman"/>
                <w:color w:val="000000"/>
                <w:lang w:val="el-GR" w:eastAsia="el-GR"/>
              </w:rPr>
            </w:pPr>
          </w:p>
        </w:tc>
        <w:tc>
          <w:tcPr>
            <w:tcW w:w="1389" w:type="dxa"/>
            <w:noWrap/>
            <w:hideMark/>
          </w:tcPr>
          <w:p w:rsidR="00B2431A" w:rsidRPr="00B2431A" w:rsidRDefault="00B2431A" w:rsidP="00B2431A">
            <w:pPr>
              <w:cnfStyle w:val="000000000000"/>
              <w:rPr>
                <w:rFonts w:ascii="Calibri" w:eastAsia="Times New Roman" w:hAnsi="Calibri" w:cs="Times New Roman"/>
                <w:color w:val="000000"/>
                <w:lang w:val="el-GR" w:eastAsia="el-GR"/>
              </w:rPr>
            </w:pPr>
          </w:p>
        </w:tc>
        <w:tc>
          <w:tcPr>
            <w:tcW w:w="1389" w:type="dxa"/>
            <w:noWrap/>
            <w:hideMark/>
          </w:tcPr>
          <w:p w:rsidR="00B2431A" w:rsidRPr="00B2431A" w:rsidRDefault="00B2431A" w:rsidP="00B2431A">
            <w:pPr>
              <w:cnfStyle w:val="000000000000"/>
              <w:rPr>
                <w:rFonts w:ascii="Calibri" w:eastAsia="Times New Roman" w:hAnsi="Calibri" w:cs="Times New Roman"/>
                <w:color w:val="000000"/>
                <w:lang w:val="el-GR" w:eastAsia="el-GR"/>
              </w:rPr>
            </w:pPr>
          </w:p>
        </w:tc>
        <w:tc>
          <w:tcPr>
            <w:tcW w:w="1389" w:type="dxa"/>
            <w:noWrap/>
            <w:hideMark/>
          </w:tcPr>
          <w:p w:rsidR="00B2431A" w:rsidRPr="00B2431A" w:rsidRDefault="00B2431A" w:rsidP="00B2431A">
            <w:pPr>
              <w:cnfStyle w:val="000000000000"/>
              <w:rPr>
                <w:rFonts w:ascii="Calibri" w:eastAsia="Times New Roman" w:hAnsi="Calibri" w:cs="Times New Roman"/>
                <w:color w:val="000000"/>
                <w:lang w:val="el-GR" w:eastAsia="el-GR"/>
              </w:rPr>
            </w:pPr>
          </w:p>
        </w:tc>
        <w:tc>
          <w:tcPr>
            <w:tcW w:w="1194" w:type="dxa"/>
            <w:noWrap/>
            <w:hideMark/>
          </w:tcPr>
          <w:p w:rsidR="00B2431A" w:rsidRPr="00B2431A" w:rsidRDefault="00B2431A" w:rsidP="00B2431A">
            <w:pPr>
              <w:cnfStyle w:val="000000000000"/>
              <w:rPr>
                <w:rFonts w:ascii="Calibri" w:eastAsia="Times New Roman" w:hAnsi="Calibri" w:cs="Times New Roman"/>
                <w:color w:val="000000"/>
                <w:lang w:val="el-GR" w:eastAsia="el-GR"/>
              </w:rPr>
            </w:pPr>
          </w:p>
        </w:tc>
      </w:tr>
      <w:tr w:rsidR="00B2431A" w:rsidRPr="00B2431A" w:rsidTr="002F0796">
        <w:trPr>
          <w:trHeight w:val="345"/>
        </w:trPr>
        <w:tc>
          <w:tcPr>
            <w:cnfStyle w:val="001000000000"/>
            <w:tcW w:w="1522" w:type="dxa"/>
            <w:noWrap/>
            <w:hideMark/>
          </w:tcPr>
          <w:p w:rsidR="002F0796" w:rsidRDefault="002F0796" w:rsidP="00B2431A">
            <w:pPr>
              <w:rPr>
                <w:rFonts w:ascii="Calibri" w:eastAsia="Times New Roman" w:hAnsi="Calibri" w:cs="Times New Roman"/>
                <w:color w:val="000000"/>
                <w:lang w:val="en-US" w:eastAsia="el-GR"/>
              </w:rPr>
            </w:pPr>
          </w:p>
          <w:p w:rsidR="002F0796" w:rsidRDefault="002F0796" w:rsidP="00B2431A">
            <w:pPr>
              <w:rPr>
                <w:rFonts w:ascii="Calibri" w:eastAsia="Times New Roman" w:hAnsi="Calibri" w:cs="Times New Roman"/>
                <w:color w:val="000000"/>
                <w:lang w:val="en-US" w:eastAsia="el-GR"/>
              </w:rPr>
            </w:pPr>
          </w:p>
          <w:p w:rsidR="002F0796" w:rsidRDefault="002F0796" w:rsidP="00B2431A">
            <w:pPr>
              <w:rPr>
                <w:rFonts w:ascii="Calibri" w:eastAsia="Times New Roman" w:hAnsi="Calibri" w:cs="Times New Roman"/>
                <w:color w:val="000000"/>
                <w:lang w:val="en-US" w:eastAsia="el-GR"/>
              </w:rPr>
            </w:pPr>
          </w:p>
          <w:p w:rsidR="002F0796" w:rsidRDefault="002F0796" w:rsidP="00B2431A">
            <w:pPr>
              <w:rPr>
                <w:rFonts w:ascii="Calibri" w:eastAsia="Times New Roman" w:hAnsi="Calibri" w:cs="Times New Roman"/>
                <w:color w:val="000000"/>
                <w:lang w:val="en-US" w:eastAsia="el-GR"/>
              </w:rPr>
            </w:pPr>
          </w:p>
          <w:p w:rsidR="002F0796" w:rsidRDefault="002F0796" w:rsidP="00B2431A">
            <w:pPr>
              <w:rPr>
                <w:rFonts w:ascii="Calibri" w:eastAsia="Times New Roman" w:hAnsi="Calibri" w:cs="Times New Roman"/>
                <w:color w:val="000000"/>
                <w:lang w:val="en-US" w:eastAsia="el-GR"/>
              </w:rPr>
            </w:pPr>
          </w:p>
          <w:p w:rsidR="002F0796" w:rsidRDefault="002F0796" w:rsidP="00B2431A">
            <w:pPr>
              <w:rPr>
                <w:rFonts w:ascii="Calibri" w:eastAsia="Times New Roman" w:hAnsi="Calibri" w:cs="Times New Roman"/>
                <w:color w:val="000000"/>
                <w:lang w:val="en-US" w:eastAsia="el-GR"/>
              </w:rPr>
            </w:pPr>
          </w:p>
          <w:p w:rsidR="002F0796" w:rsidRDefault="002F0796" w:rsidP="00B2431A">
            <w:pPr>
              <w:rPr>
                <w:rFonts w:ascii="Calibri" w:eastAsia="Times New Roman" w:hAnsi="Calibri" w:cs="Times New Roman"/>
                <w:color w:val="000000"/>
                <w:lang w:val="en-US" w:eastAsia="el-GR"/>
              </w:rPr>
            </w:pPr>
          </w:p>
          <w:p w:rsidR="00B2431A" w:rsidRPr="00B2431A" w:rsidRDefault="00B2431A" w:rsidP="00B2431A">
            <w:pPr>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Developed</w:t>
            </w:r>
          </w:p>
        </w:tc>
        <w:tc>
          <w:tcPr>
            <w:tcW w:w="961" w:type="dxa"/>
            <w:noWrap/>
            <w:hideMark/>
          </w:tcPr>
          <w:p w:rsidR="00B2431A" w:rsidRPr="00B2431A" w:rsidRDefault="00B2431A" w:rsidP="00B2431A">
            <w:pPr>
              <w:cnfStyle w:val="000000000000"/>
              <w:rPr>
                <w:rFonts w:ascii="Calibri" w:eastAsia="Times New Roman" w:hAnsi="Calibri" w:cs="Times New Roman"/>
                <w:color w:val="000000"/>
                <w:lang w:val="el-GR" w:eastAsia="el-GR"/>
              </w:rPr>
            </w:pPr>
          </w:p>
        </w:tc>
        <w:tc>
          <w:tcPr>
            <w:tcW w:w="961" w:type="dxa"/>
            <w:noWrap/>
            <w:hideMark/>
          </w:tcPr>
          <w:p w:rsidR="00B2431A" w:rsidRPr="00B2431A" w:rsidRDefault="00B2431A" w:rsidP="00B2431A">
            <w:pPr>
              <w:cnfStyle w:val="000000000000"/>
              <w:rPr>
                <w:rFonts w:ascii="Calibri" w:eastAsia="Times New Roman" w:hAnsi="Calibri" w:cs="Times New Roman"/>
                <w:color w:val="000000"/>
                <w:lang w:val="el-GR" w:eastAsia="el-GR"/>
              </w:rPr>
            </w:pPr>
          </w:p>
        </w:tc>
        <w:tc>
          <w:tcPr>
            <w:tcW w:w="961" w:type="dxa"/>
            <w:noWrap/>
            <w:hideMark/>
          </w:tcPr>
          <w:p w:rsidR="00B2431A" w:rsidRPr="00B2431A" w:rsidRDefault="00B2431A" w:rsidP="00B2431A">
            <w:pPr>
              <w:cnfStyle w:val="000000000000"/>
              <w:rPr>
                <w:rFonts w:ascii="Calibri" w:eastAsia="Times New Roman" w:hAnsi="Calibri" w:cs="Times New Roman"/>
                <w:color w:val="000000"/>
                <w:lang w:val="el-GR" w:eastAsia="el-GR"/>
              </w:rPr>
            </w:pPr>
          </w:p>
        </w:tc>
        <w:tc>
          <w:tcPr>
            <w:tcW w:w="961" w:type="dxa"/>
            <w:noWrap/>
            <w:hideMark/>
          </w:tcPr>
          <w:p w:rsidR="00B2431A" w:rsidRPr="00B2431A" w:rsidRDefault="00B2431A" w:rsidP="00B2431A">
            <w:pPr>
              <w:cnfStyle w:val="000000000000"/>
              <w:rPr>
                <w:rFonts w:ascii="Calibri" w:eastAsia="Times New Roman" w:hAnsi="Calibri" w:cs="Times New Roman"/>
                <w:color w:val="000000"/>
                <w:lang w:val="el-GR" w:eastAsia="el-GR"/>
              </w:rPr>
            </w:pPr>
          </w:p>
        </w:tc>
        <w:tc>
          <w:tcPr>
            <w:tcW w:w="961" w:type="dxa"/>
            <w:noWrap/>
            <w:hideMark/>
          </w:tcPr>
          <w:p w:rsidR="00B2431A" w:rsidRPr="00B2431A" w:rsidRDefault="00B2431A" w:rsidP="00B2431A">
            <w:pPr>
              <w:cnfStyle w:val="000000000000"/>
              <w:rPr>
                <w:rFonts w:ascii="Calibri" w:eastAsia="Times New Roman" w:hAnsi="Calibri" w:cs="Times New Roman"/>
                <w:color w:val="000000"/>
                <w:lang w:val="el-GR" w:eastAsia="el-GR"/>
              </w:rPr>
            </w:pPr>
          </w:p>
        </w:tc>
        <w:tc>
          <w:tcPr>
            <w:tcW w:w="961" w:type="dxa"/>
            <w:noWrap/>
            <w:hideMark/>
          </w:tcPr>
          <w:p w:rsidR="00B2431A" w:rsidRPr="00B2431A" w:rsidRDefault="00B2431A" w:rsidP="00B2431A">
            <w:pPr>
              <w:cnfStyle w:val="000000000000"/>
              <w:rPr>
                <w:rFonts w:ascii="Calibri" w:eastAsia="Times New Roman" w:hAnsi="Calibri" w:cs="Times New Roman"/>
                <w:color w:val="000000"/>
                <w:lang w:val="el-GR" w:eastAsia="el-GR"/>
              </w:rPr>
            </w:pPr>
          </w:p>
        </w:tc>
        <w:tc>
          <w:tcPr>
            <w:tcW w:w="1389" w:type="dxa"/>
            <w:noWrap/>
            <w:hideMark/>
          </w:tcPr>
          <w:p w:rsidR="00B2431A" w:rsidRPr="00B2431A" w:rsidRDefault="00B2431A" w:rsidP="00B2431A">
            <w:pPr>
              <w:cnfStyle w:val="000000000000"/>
              <w:rPr>
                <w:rFonts w:ascii="Calibri" w:eastAsia="Times New Roman" w:hAnsi="Calibri" w:cs="Times New Roman"/>
                <w:color w:val="000000"/>
                <w:lang w:val="el-GR" w:eastAsia="el-GR"/>
              </w:rPr>
            </w:pPr>
          </w:p>
        </w:tc>
        <w:tc>
          <w:tcPr>
            <w:tcW w:w="1389" w:type="dxa"/>
            <w:noWrap/>
            <w:hideMark/>
          </w:tcPr>
          <w:p w:rsidR="00B2431A" w:rsidRPr="00B2431A" w:rsidRDefault="00B2431A" w:rsidP="00B2431A">
            <w:pPr>
              <w:cnfStyle w:val="000000000000"/>
              <w:rPr>
                <w:rFonts w:ascii="Calibri" w:eastAsia="Times New Roman" w:hAnsi="Calibri" w:cs="Times New Roman"/>
                <w:color w:val="000000"/>
                <w:lang w:val="el-GR" w:eastAsia="el-GR"/>
              </w:rPr>
            </w:pPr>
          </w:p>
        </w:tc>
        <w:tc>
          <w:tcPr>
            <w:tcW w:w="1389" w:type="dxa"/>
            <w:noWrap/>
            <w:hideMark/>
          </w:tcPr>
          <w:p w:rsidR="00B2431A" w:rsidRPr="00B2431A" w:rsidRDefault="00B2431A" w:rsidP="00B2431A">
            <w:pPr>
              <w:cnfStyle w:val="000000000000"/>
              <w:rPr>
                <w:rFonts w:ascii="Calibri" w:eastAsia="Times New Roman" w:hAnsi="Calibri" w:cs="Times New Roman"/>
                <w:color w:val="000000"/>
                <w:lang w:val="el-GR" w:eastAsia="el-GR"/>
              </w:rPr>
            </w:pPr>
          </w:p>
        </w:tc>
        <w:tc>
          <w:tcPr>
            <w:tcW w:w="1194" w:type="dxa"/>
            <w:noWrap/>
            <w:hideMark/>
          </w:tcPr>
          <w:p w:rsidR="00B2431A" w:rsidRPr="00B2431A" w:rsidRDefault="00B2431A" w:rsidP="00B2431A">
            <w:pPr>
              <w:cnfStyle w:val="000000000000"/>
              <w:rPr>
                <w:rFonts w:ascii="Calibri" w:eastAsia="Times New Roman" w:hAnsi="Calibri" w:cs="Times New Roman"/>
                <w:color w:val="000000"/>
                <w:lang w:val="el-GR" w:eastAsia="el-GR"/>
              </w:rPr>
            </w:pPr>
          </w:p>
        </w:tc>
      </w:tr>
      <w:tr w:rsidR="00B2431A" w:rsidRPr="00B2431A" w:rsidTr="002F0796">
        <w:trPr>
          <w:trHeight w:val="345"/>
        </w:trPr>
        <w:tc>
          <w:tcPr>
            <w:cnfStyle w:val="001000000000"/>
            <w:tcW w:w="1522" w:type="dxa"/>
            <w:noWrap/>
            <w:hideMark/>
          </w:tcPr>
          <w:p w:rsidR="00B2431A" w:rsidRPr="00B2431A" w:rsidRDefault="00B2431A" w:rsidP="00B2431A">
            <w:pPr>
              <w:rPr>
                <w:rFonts w:ascii="Calibri" w:eastAsia="Times New Roman" w:hAnsi="Calibri" w:cs="Times New Roman"/>
                <w:color w:val="000000"/>
                <w:lang w:val="el-GR" w:eastAsia="el-GR"/>
              </w:rPr>
            </w:pPr>
          </w:p>
        </w:tc>
        <w:tc>
          <w:tcPr>
            <w:tcW w:w="961" w:type="dxa"/>
            <w:noWrap/>
            <w:hideMark/>
          </w:tcPr>
          <w:p w:rsidR="00B2431A" w:rsidRPr="00B2431A" w:rsidRDefault="00B2431A" w:rsidP="00B2431A">
            <w:pPr>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eq all</w:t>
            </w:r>
          </w:p>
        </w:tc>
        <w:tc>
          <w:tcPr>
            <w:tcW w:w="961" w:type="dxa"/>
            <w:noWrap/>
            <w:hideMark/>
          </w:tcPr>
          <w:p w:rsidR="00B2431A" w:rsidRPr="00B2431A" w:rsidRDefault="00B2431A" w:rsidP="00B2431A">
            <w:pPr>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PDI</w:t>
            </w:r>
          </w:p>
        </w:tc>
        <w:tc>
          <w:tcPr>
            <w:tcW w:w="961" w:type="dxa"/>
            <w:noWrap/>
            <w:hideMark/>
          </w:tcPr>
          <w:p w:rsidR="00B2431A" w:rsidRPr="00B2431A" w:rsidRDefault="00B2431A" w:rsidP="00B2431A">
            <w:pPr>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IDV</w:t>
            </w:r>
          </w:p>
        </w:tc>
        <w:tc>
          <w:tcPr>
            <w:tcW w:w="961" w:type="dxa"/>
            <w:noWrap/>
            <w:hideMark/>
          </w:tcPr>
          <w:p w:rsidR="00B2431A" w:rsidRPr="00B2431A" w:rsidRDefault="00B2431A" w:rsidP="00B2431A">
            <w:pPr>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UAI</w:t>
            </w:r>
          </w:p>
        </w:tc>
        <w:tc>
          <w:tcPr>
            <w:tcW w:w="961" w:type="dxa"/>
            <w:noWrap/>
            <w:hideMark/>
          </w:tcPr>
          <w:p w:rsidR="00B2431A" w:rsidRPr="00B2431A" w:rsidRDefault="00B2431A" w:rsidP="00B2431A">
            <w:pPr>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Masc</w:t>
            </w:r>
          </w:p>
        </w:tc>
        <w:tc>
          <w:tcPr>
            <w:tcW w:w="961" w:type="dxa"/>
            <w:noWrap/>
            <w:hideMark/>
          </w:tcPr>
          <w:p w:rsidR="00B2431A" w:rsidRPr="00B2431A" w:rsidRDefault="00B2431A" w:rsidP="00B2431A">
            <w:pPr>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LEqInv</w:t>
            </w:r>
          </w:p>
        </w:tc>
        <w:tc>
          <w:tcPr>
            <w:tcW w:w="1389" w:type="dxa"/>
            <w:noWrap/>
            <w:hideMark/>
          </w:tcPr>
          <w:p w:rsidR="00B2431A" w:rsidRPr="00B2431A" w:rsidRDefault="00B2431A" w:rsidP="00B2431A">
            <w:pPr>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Ln(GDP)</w:t>
            </w:r>
          </w:p>
        </w:tc>
        <w:tc>
          <w:tcPr>
            <w:tcW w:w="1389" w:type="dxa"/>
            <w:noWrap/>
            <w:hideMark/>
          </w:tcPr>
          <w:p w:rsidR="00B2431A" w:rsidRPr="00B2431A" w:rsidRDefault="00B2431A" w:rsidP="00B2431A">
            <w:pPr>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ln(MarCAP)</w:t>
            </w:r>
          </w:p>
        </w:tc>
        <w:tc>
          <w:tcPr>
            <w:tcW w:w="1389" w:type="dxa"/>
            <w:noWrap/>
            <w:hideMark/>
          </w:tcPr>
          <w:p w:rsidR="00B2431A" w:rsidRPr="00B2431A" w:rsidRDefault="00B2431A" w:rsidP="00B2431A">
            <w:pPr>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AgeDR</w:t>
            </w:r>
          </w:p>
        </w:tc>
        <w:tc>
          <w:tcPr>
            <w:tcW w:w="1194" w:type="dxa"/>
            <w:noWrap/>
            <w:hideMark/>
          </w:tcPr>
          <w:p w:rsidR="00B2431A" w:rsidRPr="00B2431A" w:rsidRDefault="00B2431A" w:rsidP="00B2431A">
            <w:pPr>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DBD</w:t>
            </w:r>
          </w:p>
        </w:tc>
      </w:tr>
      <w:tr w:rsidR="00B2431A" w:rsidRPr="00B2431A" w:rsidTr="002F0796">
        <w:trPr>
          <w:trHeight w:val="345"/>
        </w:trPr>
        <w:tc>
          <w:tcPr>
            <w:cnfStyle w:val="001000000000"/>
            <w:tcW w:w="1522" w:type="dxa"/>
            <w:noWrap/>
            <w:hideMark/>
          </w:tcPr>
          <w:p w:rsidR="00B2431A" w:rsidRPr="00B2431A" w:rsidRDefault="00B2431A" w:rsidP="00B2431A">
            <w:pPr>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Australia</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0.497</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0.36</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0.9</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0.51</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0.61</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1</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10.81192274</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2.981778851</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0.479093335</w:t>
            </w:r>
          </w:p>
        </w:tc>
        <w:tc>
          <w:tcPr>
            <w:tcW w:w="1194"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0.114</w:t>
            </w:r>
          </w:p>
        </w:tc>
      </w:tr>
      <w:tr w:rsidR="00B2431A" w:rsidRPr="00B2431A" w:rsidTr="002F0796">
        <w:trPr>
          <w:trHeight w:val="345"/>
        </w:trPr>
        <w:tc>
          <w:tcPr>
            <w:cnfStyle w:val="001000000000"/>
            <w:tcW w:w="1522" w:type="dxa"/>
            <w:noWrap/>
            <w:hideMark/>
          </w:tcPr>
          <w:p w:rsidR="00B2431A" w:rsidRPr="00B2431A" w:rsidRDefault="00B2431A" w:rsidP="00B2431A">
            <w:pPr>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Austria</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0.26</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0.11</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0.55</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0.7</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0.79</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0.7</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10.75069673</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3.801233236</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0.526606524</w:t>
            </w:r>
          </w:p>
        </w:tc>
        <w:tc>
          <w:tcPr>
            <w:tcW w:w="1194"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w:t>
            </w:r>
          </w:p>
        </w:tc>
      </w:tr>
      <w:tr w:rsidR="00B2431A" w:rsidRPr="00B2431A" w:rsidTr="002F0796">
        <w:trPr>
          <w:trHeight w:val="345"/>
        </w:trPr>
        <w:tc>
          <w:tcPr>
            <w:cnfStyle w:val="001000000000"/>
            <w:tcW w:w="1522" w:type="dxa"/>
            <w:noWrap/>
            <w:hideMark/>
          </w:tcPr>
          <w:p w:rsidR="00B2431A" w:rsidRPr="00B2431A" w:rsidRDefault="00B2431A" w:rsidP="00B2431A">
            <w:pPr>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Belgium</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0.348</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0.65</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0.75</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0.94</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0.54</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1</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9.440967287</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3.904438207</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0.474490816</w:t>
            </w:r>
          </w:p>
        </w:tc>
        <w:tc>
          <w:tcPr>
            <w:tcW w:w="1194"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w:t>
            </w:r>
          </w:p>
        </w:tc>
      </w:tr>
      <w:tr w:rsidR="00B2431A" w:rsidRPr="00B2431A" w:rsidTr="002F0796">
        <w:trPr>
          <w:trHeight w:val="345"/>
        </w:trPr>
        <w:tc>
          <w:tcPr>
            <w:cnfStyle w:val="001000000000"/>
            <w:tcW w:w="1522" w:type="dxa"/>
            <w:noWrap/>
            <w:hideMark/>
          </w:tcPr>
          <w:p w:rsidR="00B2431A" w:rsidRPr="00B2431A" w:rsidRDefault="00B2431A" w:rsidP="00B2431A">
            <w:pPr>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Bulgaria</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0.127</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0.7</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0.3</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0.85</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0.4</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0.2</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10.82666323</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4.698873388</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0.443793232</w:t>
            </w:r>
          </w:p>
        </w:tc>
        <w:tc>
          <w:tcPr>
            <w:tcW w:w="1194"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w:t>
            </w:r>
          </w:p>
        </w:tc>
      </w:tr>
      <w:tr w:rsidR="00B2431A" w:rsidRPr="00B2431A" w:rsidTr="002F0796">
        <w:trPr>
          <w:trHeight w:val="345"/>
        </w:trPr>
        <w:tc>
          <w:tcPr>
            <w:cnfStyle w:val="001000000000"/>
            <w:tcW w:w="1522" w:type="dxa"/>
            <w:noWrap/>
            <w:hideMark/>
          </w:tcPr>
          <w:p w:rsidR="00B2431A" w:rsidRPr="00B2431A" w:rsidRDefault="00B2431A" w:rsidP="00B2431A">
            <w:pPr>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Canada</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0.309</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0.39</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0.8</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0.48</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0.52</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1</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9.574598742</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4.688875462</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0.453788059</w:t>
            </w:r>
          </w:p>
        </w:tc>
        <w:tc>
          <w:tcPr>
            <w:tcW w:w="1194"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0.92</w:t>
            </w:r>
          </w:p>
        </w:tc>
      </w:tr>
      <w:tr w:rsidR="00B2431A" w:rsidRPr="00B2431A" w:rsidTr="002F0796">
        <w:trPr>
          <w:trHeight w:val="345"/>
        </w:trPr>
        <w:tc>
          <w:tcPr>
            <w:cnfStyle w:val="001000000000"/>
            <w:tcW w:w="1522" w:type="dxa"/>
            <w:noWrap/>
            <w:hideMark/>
          </w:tcPr>
          <w:p w:rsidR="00B2431A" w:rsidRPr="00B2431A" w:rsidRDefault="00B2431A" w:rsidP="00B2431A">
            <w:pPr>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Czech Republic</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0.004</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0.57</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0.58</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0.74</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0.57</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0.375</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10.99963303</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3.985514942</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0.531880438</w:t>
            </w:r>
          </w:p>
        </w:tc>
        <w:tc>
          <w:tcPr>
            <w:tcW w:w="1194"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w:t>
            </w:r>
          </w:p>
        </w:tc>
      </w:tr>
      <w:tr w:rsidR="00B2431A" w:rsidRPr="00B2431A" w:rsidTr="002F0796">
        <w:trPr>
          <w:trHeight w:val="345"/>
        </w:trPr>
        <w:tc>
          <w:tcPr>
            <w:cnfStyle w:val="001000000000"/>
            <w:tcW w:w="1522" w:type="dxa"/>
            <w:noWrap/>
            <w:hideMark/>
          </w:tcPr>
          <w:p w:rsidR="00B2431A" w:rsidRPr="00B2431A" w:rsidRDefault="00B2431A" w:rsidP="00B2431A">
            <w:pPr>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Denmark</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0.128</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0.18</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0.74</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0.23</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0.16</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0.7</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9.713136332</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1.984099374</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0.489668737</w:t>
            </w:r>
          </w:p>
        </w:tc>
        <w:tc>
          <w:tcPr>
            <w:tcW w:w="1194"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0.063</w:t>
            </w:r>
          </w:p>
        </w:tc>
      </w:tr>
      <w:tr w:rsidR="00B2431A" w:rsidRPr="00B2431A" w:rsidTr="002F0796">
        <w:trPr>
          <w:trHeight w:val="345"/>
        </w:trPr>
        <w:tc>
          <w:tcPr>
            <w:cnfStyle w:val="001000000000"/>
            <w:tcW w:w="1522" w:type="dxa"/>
            <w:noWrap/>
            <w:hideMark/>
          </w:tcPr>
          <w:p w:rsidR="00B2431A" w:rsidRPr="00B2431A" w:rsidRDefault="00B2431A" w:rsidP="00B2431A">
            <w:pPr>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Estonia</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0.077</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0.4</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0.6</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0.6</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0.3</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0.375</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10.79596291</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3.996382751</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0.520412655</w:t>
            </w:r>
          </w:p>
        </w:tc>
        <w:tc>
          <w:tcPr>
            <w:tcW w:w="1194"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w:t>
            </w:r>
          </w:p>
        </w:tc>
      </w:tr>
      <w:tr w:rsidR="00B2431A" w:rsidRPr="00B2431A" w:rsidTr="002F0796">
        <w:trPr>
          <w:trHeight w:val="345"/>
        </w:trPr>
        <w:tc>
          <w:tcPr>
            <w:cnfStyle w:val="001000000000"/>
            <w:tcW w:w="1522" w:type="dxa"/>
            <w:noWrap/>
            <w:hideMark/>
          </w:tcPr>
          <w:p w:rsidR="00B2431A" w:rsidRPr="00B2431A" w:rsidRDefault="00B2431A" w:rsidP="00B2431A">
            <w:pPr>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Finland</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0.413</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0.33</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0.63</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0.59</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0.26</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1</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10.69330367</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3.493290705</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0.51406361</w:t>
            </w:r>
          </w:p>
        </w:tc>
        <w:tc>
          <w:tcPr>
            <w:tcW w:w="1194"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1</w:t>
            </w:r>
          </w:p>
        </w:tc>
      </w:tr>
      <w:tr w:rsidR="00B2431A" w:rsidRPr="00B2431A" w:rsidTr="002F0796">
        <w:trPr>
          <w:trHeight w:val="345"/>
        </w:trPr>
        <w:tc>
          <w:tcPr>
            <w:cnfStyle w:val="001000000000"/>
            <w:tcW w:w="1522" w:type="dxa"/>
            <w:noWrap/>
            <w:hideMark/>
          </w:tcPr>
          <w:p w:rsidR="00B2431A" w:rsidRPr="00B2431A" w:rsidRDefault="00B2431A" w:rsidP="00B2431A">
            <w:pPr>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Germany</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0.0037</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0.35</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0.67</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0.65</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0.66</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0.35</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10.15119377</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2.452534096</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0.499620159</w:t>
            </w:r>
          </w:p>
        </w:tc>
        <w:tc>
          <w:tcPr>
            <w:tcW w:w="1194"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w:t>
            </w:r>
          </w:p>
        </w:tc>
      </w:tr>
      <w:tr w:rsidR="00B2431A" w:rsidRPr="00B2431A" w:rsidTr="002F0796">
        <w:trPr>
          <w:trHeight w:val="345"/>
        </w:trPr>
        <w:tc>
          <w:tcPr>
            <w:cnfStyle w:val="001000000000"/>
            <w:tcW w:w="1522" w:type="dxa"/>
            <w:noWrap/>
            <w:hideMark/>
          </w:tcPr>
          <w:p w:rsidR="00B2431A" w:rsidRPr="00B2431A" w:rsidRDefault="00B2431A" w:rsidP="00B2431A">
            <w:pPr>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Great Britain</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0.35</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0.89</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0.35</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0.66</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1</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10.46756155</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5.880045278</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0.319389029</w:t>
            </w:r>
          </w:p>
        </w:tc>
        <w:tc>
          <w:tcPr>
            <w:tcW w:w="1194"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w:t>
            </w:r>
          </w:p>
        </w:tc>
      </w:tr>
      <w:tr w:rsidR="00B2431A" w:rsidRPr="00B2431A" w:rsidTr="002F0796">
        <w:trPr>
          <w:trHeight w:val="345"/>
        </w:trPr>
        <w:tc>
          <w:tcPr>
            <w:cnfStyle w:val="001000000000"/>
            <w:tcW w:w="1522" w:type="dxa"/>
            <w:noWrap/>
            <w:hideMark/>
          </w:tcPr>
          <w:p w:rsidR="00B2431A" w:rsidRPr="00B2431A" w:rsidRDefault="00B2431A" w:rsidP="00B2431A">
            <w:pPr>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Greece</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0.005</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0.6</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0.35</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1.12</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0.57</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0.7</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9.549926403</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2.595735801</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0.457098837</w:t>
            </w:r>
          </w:p>
        </w:tc>
        <w:tc>
          <w:tcPr>
            <w:tcW w:w="1194"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w:t>
            </w:r>
          </w:p>
        </w:tc>
      </w:tr>
      <w:tr w:rsidR="00B2431A" w:rsidRPr="00B2431A" w:rsidTr="002F0796">
        <w:trPr>
          <w:trHeight w:val="345"/>
        </w:trPr>
        <w:tc>
          <w:tcPr>
            <w:cnfStyle w:val="001000000000"/>
            <w:tcW w:w="1522" w:type="dxa"/>
            <w:noWrap/>
            <w:hideMark/>
          </w:tcPr>
          <w:p w:rsidR="00B2431A" w:rsidRPr="00B2431A" w:rsidRDefault="00B2431A" w:rsidP="00B2431A">
            <w:pPr>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Hungary</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0.086</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0.46</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0.8</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0.82</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0.88</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1</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8.158975508</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3.830088239</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0.478333297</w:t>
            </w:r>
          </w:p>
        </w:tc>
        <w:tc>
          <w:tcPr>
            <w:tcW w:w="1194"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w:t>
            </w:r>
          </w:p>
        </w:tc>
      </w:tr>
      <w:tr w:rsidR="00B2431A" w:rsidRPr="00B2431A" w:rsidTr="002F0796">
        <w:trPr>
          <w:trHeight w:val="345"/>
        </w:trPr>
        <w:tc>
          <w:tcPr>
            <w:cnfStyle w:val="001000000000"/>
            <w:tcW w:w="1522" w:type="dxa"/>
            <w:noWrap/>
            <w:hideMark/>
          </w:tcPr>
          <w:p w:rsidR="00B2431A" w:rsidRPr="00B2431A" w:rsidRDefault="00B2431A" w:rsidP="00B2431A">
            <w:pPr>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Ireland</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0.28</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0.7</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0.35</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0.68</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1</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10.49412748</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2.978901478</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0.530501019</w:t>
            </w:r>
          </w:p>
        </w:tc>
        <w:tc>
          <w:tcPr>
            <w:tcW w:w="1194"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0.16</w:t>
            </w:r>
          </w:p>
        </w:tc>
      </w:tr>
      <w:tr w:rsidR="00B2431A" w:rsidRPr="00B2431A" w:rsidTr="002F0796">
        <w:trPr>
          <w:trHeight w:val="345"/>
        </w:trPr>
        <w:tc>
          <w:tcPr>
            <w:cnfStyle w:val="001000000000"/>
            <w:tcW w:w="1522" w:type="dxa"/>
            <w:noWrap/>
            <w:hideMark/>
          </w:tcPr>
          <w:p w:rsidR="00B2431A" w:rsidRPr="00B2431A" w:rsidRDefault="00B2431A" w:rsidP="00B2431A">
            <w:pPr>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Italy</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0.153</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0.5</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0.76</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0.75</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0.7</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1</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10.7342786</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4.100120522</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0.578995948</w:t>
            </w:r>
          </w:p>
        </w:tc>
        <w:tc>
          <w:tcPr>
            <w:tcW w:w="1194"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0.1</w:t>
            </w:r>
          </w:p>
        </w:tc>
      </w:tr>
      <w:tr w:rsidR="00B2431A" w:rsidRPr="00B2431A" w:rsidTr="002F0796">
        <w:trPr>
          <w:trHeight w:val="345"/>
        </w:trPr>
        <w:tc>
          <w:tcPr>
            <w:cnfStyle w:val="001000000000"/>
            <w:tcW w:w="1522" w:type="dxa"/>
            <w:noWrap/>
            <w:hideMark/>
          </w:tcPr>
          <w:p w:rsidR="00B2431A" w:rsidRPr="00B2431A" w:rsidRDefault="00B2431A" w:rsidP="00B2431A">
            <w:pPr>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Japan</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0.087</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0.54</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0.46</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0.92</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0.95</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1</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9.451429992</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1.337535582</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0.467758484</w:t>
            </w:r>
          </w:p>
        </w:tc>
        <w:tc>
          <w:tcPr>
            <w:tcW w:w="1194"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w:t>
            </w:r>
          </w:p>
        </w:tc>
      </w:tr>
      <w:tr w:rsidR="00B2431A" w:rsidRPr="00B2431A" w:rsidTr="002F0796">
        <w:trPr>
          <w:trHeight w:val="345"/>
        </w:trPr>
        <w:tc>
          <w:tcPr>
            <w:cnfStyle w:val="001000000000"/>
            <w:tcW w:w="1522" w:type="dxa"/>
            <w:noWrap/>
            <w:hideMark/>
          </w:tcPr>
          <w:p w:rsidR="00B2431A" w:rsidRPr="00B2431A" w:rsidRDefault="00B2431A" w:rsidP="00B2431A">
            <w:pPr>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Latvia</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0.009</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0.44</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0.7</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0.63</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0.09</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0.2</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11.6484033</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4.738213003</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0.458975831</w:t>
            </w:r>
          </w:p>
        </w:tc>
        <w:tc>
          <w:tcPr>
            <w:tcW w:w="1194"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w:t>
            </w:r>
          </w:p>
        </w:tc>
      </w:tr>
      <w:tr w:rsidR="00B2431A" w:rsidRPr="00B2431A" w:rsidTr="002F0796">
        <w:trPr>
          <w:trHeight w:val="345"/>
        </w:trPr>
        <w:tc>
          <w:tcPr>
            <w:cnfStyle w:val="001000000000"/>
            <w:tcW w:w="1522" w:type="dxa"/>
            <w:noWrap/>
            <w:hideMark/>
          </w:tcPr>
          <w:p w:rsidR="00B2431A" w:rsidRPr="00B2431A" w:rsidRDefault="00B2431A" w:rsidP="00B2431A">
            <w:pPr>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Luxembourg</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0.134</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0.4</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0.6</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0.7</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0.5</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1</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9.962181028</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3.651511914</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0.412497845</w:t>
            </w:r>
          </w:p>
        </w:tc>
        <w:tc>
          <w:tcPr>
            <w:tcW w:w="1194"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0.703</w:t>
            </w:r>
          </w:p>
        </w:tc>
      </w:tr>
      <w:tr w:rsidR="00B2431A" w:rsidRPr="00B2431A" w:rsidTr="002F0796">
        <w:trPr>
          <w:trHeight w:val="345"/>
        </w:trPr>
        <w:tc>
          <w:tcPr>
            <w:cnfStyle w:val="001000000000"/>
            <w:tcW w:w="1522" w:type="dxa"/>
            <w:noWrap/>
            <w:hideMark/>
          </w:tcPr>
          <w:p w:rsidR="00B2431A" w:rsidRPr="00B2431A" w:rsidRDefault="00B2431A" w:rsidP="00B2431A">
            <w:pPr>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Malta</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0.348</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0.56</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0.59</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0.96</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0.47</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0.1</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9.215041823</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3.5677103</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0.542685631</w:t>
            </w:r>
          </w:p>
        </w:tc>
        <w:tc>
          <w:tcPr>
            <w:tcW w:w="1194"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w:t>
            </w:r>
          </w:p>
        </w:tc>
      </w:tr>
      <w:tr w:rsidR="00B2431A" w:rsidRPr="00B2431A" w:rsidTr="002F0796">
        <w:trPr>
          <w:trHeight w:val="345"/>
        </w:trPr>
        <w:tc>
          <w:tcPr>
            <w:cnfStyle w:val="001000000000"/>
            <w:tcW w:w="1522" w:type="dxa"/>
            <w:noWrap/>
            <w:hideMark/>
          </w:tcPr>
          <w:p w:rsidR="00B2431A" w:rsidRPr="00B2431A" w:rsidRDefault="00B2431A" w:rsidP="00B2431A">
            <w:pPr>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Netherlands</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0.335</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0.38</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0.8</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0.53</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0.14</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1</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11.49376774</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3.809557931</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0.505569861</w:t>
            </w:r>
          </w:p>
        </w:tc>
        <w:tc>
          <w:tcPr>
            <w:tcW w:w="1194"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w:t>
            </w:r>
          </w:p>
        </w:tc>
      </w:tr>
      <w:tr w:rsidR="00B2431A" w:rsidRPr="00B2431A" w:rsidTr="002F0796">
        <w:trPr>
          <w:trHeight w:val="345"/>
        </w:trPr>
        <w:tc>
          <w:tcPr>
            <w:cnfStyle w:val="001000000000"/>
            <w:tcW w:w="1522" w:type="dxa"/>
            <w:noWrap/>
            <w:hideMark/>
          </w:tcPr>
          <w:p w:rsidR="00B2431A" w:rsidRPr="00B2431A" w:rsidRDefault="00B2431A" w:rsidP="00B2431A">
            <w:pPr>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Norway</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0.29</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0.31</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0.69</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0.5</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0.08</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0.35</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7.081181719</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2.746354948</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0.643901177</w:t>
            </w:r>
          </w:p>
        </w:tc>
        <w:tc>
          <w:tcPr>
            <w:tcW w:w="1194"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1</w:t>
            </w:r>
          </w:p>
        </w:tc>
      </w:tr>
      <w:tr w:rsidR="00B2431A" w:rsidRPr="00B2431A" w:rsidTr="002F0796">
        <w:trPr>
          <w:trHeight w:val="345"/>
        </w:trPr>
        <w:tc>
          <w:tcPr>
            <w:cnfStyle w:val="001000000000"/>
            <w:tcW w:w="1522" w:type="dxa"/>
            <w:noWrap/>
            <w:hideMark/>
          </w:tcPr>
          <w:p w:rsidR="00B2431A" w:rsidRPr="00B2431A" w:rsidRDefault="00B2431A" w:rsidP="00B2431A">
            <w:pPr>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lastRenderedPageBreak/>
              <w:t>Poland</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0.307</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0.68</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0.6</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0.93</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0.64</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0.4</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10.01305211</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3.257619823</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0.496580228</w:t>
            </w:r>
          </w:p>
        </w:tc>
        <w:tc>
          <w:tcPr>
            <w:tcW w:w="1194"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w:t>
            </w:r>
          </w:p>
        </w:tc>
      </w:tr>
      <w:tr w:rsidR="00B2431A" w:rsidRPr="00B2431A" w:rsidTr="002F0796">
        <w:trPr>
          <w:trHeight w:val="345"/>
        </w:trPr>
        <w:tc>
          <w:tcPr>
            <w:cnfStyle w:val="001000000000"/>
            <w:tcW w:w="1522" w:type="dxa"/>
            <w:noWrap/>
            <w:hideMark/>
          </w:tcPr>
          <w:p w:rsidR="00B2431A" w:rsidRPr="00B2431A" w:rsidRDefault="00B2431A" w:rsidP="00B2431A">
            <w:pPr>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Portugal</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0.245</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0.63</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0.27</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1.04</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0.31</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1</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9.036640795</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2.467207506</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0.43210093</w:t>
            </w:r>
          </w:p>
        </w:tc>
        <w:tc>
          <w:tcPr>
            <w:tcW w:w="1194"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0.935</w:t>
            </w:r>
          </w:p>
        </w:tc>
      </w:tr>
      <w:tr w:rsidR="00B2431A" w:rsidRPr="00B2431A" w:rsidTr="002F0796">
        <w:trPr>
          <w:trHeight w:val="345"/>
        </w:trPr>
        <w:tc>
          <w:tcPr>
            <w:cnfStyle w:val="001000000000"/>
            <w:tcW w:w="1522" w:type="dxa"/>
            <w:noWrap/>
            <w:hideMark/>
          </w:tcPr>
          <w:p w:rsidR="00B2431A" w:rsidRPr="00B2431A" w:rsidRDefault="00B2431A" w:rsidP="00B2431A">
            <w:pPr>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Romania</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0.119</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0.9</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0.3</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0.9</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0.42</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0.5</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8.749948815</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2.904494455</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0.467498242</w:t>
            </w:r>
          </w:p>
        </w:tc>
        <w:tc>
          <w:tcPr>
            <w:tcW w:w="1194"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w:t>
            </w:r>
          </w:p>
        </w:tc>
      </w:tr>
      <w:tr w:rsidR="00B2431A" w:rsidRPr="00B2431A" w:rsidTr="002F0796">
        <w:trPr>
          <w:trHeight w:val="345"/>
        </w:trPr>
        <w:tc>
          <w:tcPr>
            <w:cnfStyle w:val="001000000000"/>
            <w:tcW w:w="1522" w:type="dxa"/>
            <w:noWrap/>
            <w:hideMark/>
          </w:tcPr>
          <w:p w:rsidR="00B2431A" w:rsidRPr="00B2431A" w:rsidRDefault="00B2431A" w:rsidP="00B2431A">
            <w:pPr>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Slovakia</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0.013</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1.04</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0.52</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0.51</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1.1</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0.43</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8.995912738</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5.345256014</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0.530122892</w:t>
            </w:r>
          </w:p>
        </w:tc>
        <w:tc>
          <w:tcPr>
            <w:tcW w:w="1194"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w:t>
            </w:r>
          </w:p>
        </w:tc>
      </w:tr>
      <w:tr w:rsidR="00B2431A" w:rsidRPr="00B2431A" w:rsidTr="002F0796">
        <w:trPr>
          <w:trHeight w:val="345"/>
        </w:trPr>
        <w:tc>
          <w:tcPr>
            <w:cnfStyle w:val="001000000000"/>
            <w:tcW w:w="1522" w:type="dxa"/>
            <w:noWrap/>
            <w:hideMark/>
          </w:tcPr>
          <w:p w:rsidR="00B2431A" w:rsidRPr="00B2431A" w:rsidRDefault="00B2431A" w:rsidP="00B2431A">
            <w:pPr>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Slovenia</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0.015</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0.71</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0.27</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0.88</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0.19</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0.3</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10.37170654</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4.245719189</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0.475455768</w:t>
            </w:r>
          </w:p>
        </w:tc>
        <w:tc>
          <w:tcPr>
            <w:tcW w:w="1194"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w:t>
            </w:r>
          </w:p>
        </w:tc>
      </w:tr>
      <w:tr w:rsidR="00B2431A" w:rsidRPr="00B2431A" w:rsidTr="002F0796">
        <w:trPr>
          <w:trHeight w:val="345"/>
        </w:trPr>
        <w:tc>
          <w:tcPr>
            <w:cnfStyle w:val="001000000000"/>
            <w:tcW w:w="1522" w:type="dxa"/>
            <w:noWrap/>
            <w:hideMark/>
          </w:tcPr>
          <w:p w:rsidR="00B2431A" w:rsidRPr="00B2431A" w:rsidRDefault="00B2431A" w:rsidP="00B2431A">
            <w:pPr>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Spain</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0.099</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0.57</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0.51</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0.86</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0.42</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1</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0.531247198</w:t>
            </w:r>
          </w:p>
        </w:tc>
        <w:tc>
          <w:tcPr>
            <w:tcW w:w="1194"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0.005</w:t>
            </w:r>
          </w:p>
        </w:tc>
      </w:tr>
      <w:tr w:rsidR="00B2431A" w:rsidRPr="00B2431A" w:rsidTr="002F0796">
        <w:trPr>
          <w:trHeight w:val="345"/>
        </w:trPr>
        <w:tc>
          <w:tcPr>
            <w:cnfStyle w:val="001000000000"/>
            <w:tcW w:w="1522" w:type="dxa"/>
            <w:noWrap/>
            <w:hideMark/>
          </w:tcPr>
          <w:p w:rsidR="00B2431A" w:rsidRPr="00B2431A" w:rsidRDefault="00B2431A" w:rsidP="00B2431A">
            <w:pPr>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Sweden</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0.114</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0.31</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0.71</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0.29</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0.05</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1</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11.33119752</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4.951534668</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0.472758317</w:t>
            </w:r>
          </w:p>
        </w:tc>
        <w:tc>
          <w:tcPr>
            <w:tcW w:w="1194"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w:t>
            </w:r>
          </w:p>
        </w:tc>
      </w:tr>
      <w:tr w:rsidR="00B2431A" w:rsidRPr="00B2431A" w:rsidTr="002F0796">
        <w:trPr>
          <w:trHeight w:val="345"/>
        </w:trPr>
        <w:tc>
          <w:tcPr>
            <w:cnfStyle w:val="001000000000"/>
            <w:tcW w:w="1522" w:type="dxa"/>
            <w:noWrap/>
            <w:hideMark/>
          </w:tcPr>
          <w:p w:rsidR="00B2431A" w:rsidRPr="00B2431A" w:rsidRDefault="00B2431A" w:rsidP="00B2431A">
            <w:pPr>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Switzerland</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0.26</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0.34</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0.68</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0.58</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0.7</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0.5</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8.511652604</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4.35248844</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0.413857933</w:t>
            </w:r>
          </w:p>
        </w:tc>
        <w:tc>
          <w:tcPr>
            <w:tcW w:w="1194"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w:t>
            </w:r>
          </w:p>
        </w:tc>
      </w:tr>
      <w:tr w:rsidR="00B2431A" w:rsidRPr="00B2431A" w:rsidTr="002F0796">
        <w:trPr>
          <w:trHeight w:val="345"/>
        </w:trPr>
        <w:tc>
          <w:tcPr>
            <w:cnfStyle w:val="001000000000"/>
            <w:tcW w:w="1522" w:type="dxa"/>
            <w:noWrap/>
            <w:hideMark/>
          </w:tcPr>
          <w:p w:rsidR="00B2431A" w:rsidRPr="00B2431A" w:rsidRDefault="00B2431A" w:rsidP="00B2431A">
            <w:pPr>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United States</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0.48</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0.4</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0.91</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0.46</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0.62</w:t>
            </w:r>
          </w:p>
        </w:tc>
        <w:tc>
          <w:tcPr>
            <w:tcW w:w="961"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1</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10.78128622</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4.647577098</w:t>
            </w:r>
          </w:p>
        </w:tc>
        <w:tc>
          <w:tcPr>
            <w:tcW w:w="1389"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0.50065379</w:t>
            </w:r>
          </w:p>
        </w:tc>
        <w:tc>
          <w:tcPr>
            <w:tcW w:w="1194" w:type="dxa"/>
            <w:noWrap/>
            <w:hideMark/>
          </w:tcPr>
          <w:p w:rsidR="00B2431A" w:rsidRPr="00B2431A" w:rsidRDefault="00B2431A" w:rsidP="00B2431A">
            <w:pPr>
              <w:jc w:val="right"/>
              <w:cnfStyle w:val="000000000000"/>
              <w:rPr>
                <w:rFonts w:ascii="Calibri" w:eastAsia="Times New Roman" w:hAnsi="Calibri" w:cs="Times New Roman"/>
                <w:color w:val="000000"/>
                <w:lang w:val="el-GR" w:eastAsia="el-GR"/>
              </w:rPr>
            </w:pPr>
            <w:r w:rsidRPr="00B2431A">
              <w:rPr>
                <w:rFonts w:ascii="Calibri" w:eastAsia="Times New Roman" w:hAnsi="Calibri" w:cs="Times New Roman"/>
                <w:color w:val="000000"/>
                <w:lang w:val="el-GR" w:eastAsia="el-GR"/>
              </w:rPr>
              <w:t>0.624</w:t>
            </w:r>
          </w:p>
        </w:tc>
      </w:tr>
    </w:tbl>
    <w:p w:rsidR="00F464E6" w:rsidRPr="004011A1" w:rsidRDefault="00F464E6" w:rsidP="00B2431A">
      <w:pPr>
        <w:pStyle w:val="ListParagraph"/>
        <w:autoSpaceDE w:val="0"/>
        <w:autoSpaceDN w:val="0"/>
        <w:adjustRightInd w:val="0"/>
        <w:spacing w:after="0" w:line="360" w:lineRule="auto"/>
        <w:jc w:val="both"/>
        <w:rPr>
          <w:rFonts w:ascii="Times New Roman" w:hAnsi="Times New Roman" w:cs="Times New Roman"/>
          <w:i/>
          <w:sz w:val="24"/>
          <w:szCs w:val="24"/>
          <w:lang w:val="en-GB"/>
        </w:rPr>
      </w:pPr>
    </w:p>
    <w:sectPr w:rsidR="00F464E6" w:rsidRPr="004011A1" w:rsidSect="00B2431A">
      <w:pgSz w:w="16838" w:h="11906" w:orient="landscape"/>
      <w:pgMar w:top="1134" w:right="1418" w:bottom="1418" w:left="1418" w:header="708" w:footer="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212" w:rsidRDefault="00A65212" w:rsidP="00C922C0">
      <w:pPr>
        <w:spacing w:after="0" w:line="240" w:lineRule="auto"/>
      </w:pPr>
      <w:r>
        <w:separator/>
      </w:r>
    </w:p>
  </w:endnote>
  <w:endnote w:type="continuationSeparator" w:id="0">
    <w:p w:rsidR="00A65212" w:rsidRDefault="00A65212" w:rsidP="00C922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mr10">
    <w:altName w:val="Times New Roman"/>
    <w:panose1 w:val="020B0500000000000000"/>
    <w:charset w:val="00"/>
    <w:family w:val="swiss"/>
    <w:pitch w:val="variable"/>
    <w:sig w:usb0="00000003" w:usb1="00000000" w:usb2="00000000" w:usb3="00000000" w:csb0="00000001" w:csb1="00000000"/>
  </w:font>
  <w:font w:name="Frutiger-Light">
    <w:altName w:val="Times New Roman"/>
    <w:panose1 w:val="00000000000000000000"/>
    <w:charset w:val="A1"/>
    <w:family w:val="auto"/>
    <w:notTrueType/>
    <w:pitch w:val="default"/>
    <w:sig w:usb0="00000081" w:usb1="00000000" w:usb2="00000000" w:usb3="00000000" w:csb0="00000008"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ECB" w:rsidRDefault="006D19F1" w:rsidP="00965861">
    <w:pPr>
      <w:pStyle w:val="Footer"/>
      <w:framePr w:wrap="around" w:vAnchor="text" w:hAnchor="margin" w:xAlign="right" w:y="1"/>
      <w:rPr>
        <w:rStyle w:val="PageNumber"/>
      </w:rPr>
    </w:pPr>
    <w:r>
      <w:rPr>
        <w:rStyle w:val="PageNumber"/>
      </w:rPr>
      <w:fldChar w:fldCharType="begin"/>
    </w:r>
    <w:r w:rsidR="002F4ECB">
      <w:rPr>
        <w:rStyle w:val="PageNumber"/>
      </w:rPr>
      <w:instrText xml:space="preserve">PAGE  </w:instrText>
    </w:r>
    <w:r>
      <w:rPr>
        <w:rStyle w:val="PageNumber"/>
      </w:rPr>
      <w:fldChar w:fldCharType="end"/>
    </w:r>
  </w:p>
  <w:p w:rsidR="002F4ECB" w:rsidRDefault="002F4ECB" w:rsidP="0096586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6304040"/>
      <w:docPartObj>
        <w:docPartGallery w:val="Page Numbers (Bottom of Page)"/>
        <w:docPartUnique/>
      </w:docPartObj>
    </w:sdtPr>
    <w:sdtContent>
      <w:p w:rsidR="002F4ECB" w:rsidRDefault="006D19F1">
        <w:pPr>
          <w:pStyle w:val="Footer"/>
          <w:jc w:val="center"/>
        </w:pPr>
        <w:fldSimple w:instr="PAGE   \* MERGEFORMAT">
          <w:r w:rsidR="00EA564A">
            <w:rPr>
              <w:noProof/>
            </w:rPr>
            <w:t>2</w:t>
          </w:r>
        </w:fldSimple>
      </w:p>
    </w:sdtContent>
  </w:sdt>
  <w:p w:rsidR="002F4ECB" w:rsidRDefault="002F4ECB" w:rsidP="00965861">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8227647"/>
      <w:docPartObj>
        <w:docPartGallery w:val="Page Numbers (Bottom of Page)"/>
        <w:docPartUnique/>
      </w:docPartObj>
    </w:sdtPr>
    <w:sdtContent>
      <w:p w:rsidR="002F4ECB" w:rsidRDefault="006D19F1">
        <w:pPr>
          <w:pStyle w:val="Footer"/>
          <w:jc w:val="center"/>
        </w:pPr>
        <w:fldSimple w:instr="PAGE   \* MERGEFORMAT">
          <w:r w:rsidR="00EA564A">
            <w:rPr>
              <w:noProof/>
            </w:rPr>
            <w:t>1</w:t>
          </w:r>
        </w:fldSimple>
      </w:p>
    </w:sdtContent>
  </w:sdt>
  <w:p w:rsidR="002F4ECB" w:rsidRDefault="002F4EC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7060705"/>
      <w:docPartObj>
        <w:docPartGallery w:val="Page Numbers (Bottom of Page)"/>
        <w:docPartUnique/>
      </w:docPartObj>
    </w:sdtPr>
    <w:sdtContent>
      <w:p w:rsidR="002F4ECB" w:rsidRDefault="006D19F1">
        <w:pPr>
          <w:pStyle w:val="Footer"/>
          <w:jc w:val="center"/>
        </w:pPr>
        <w:fldSimple w:instr="PAGE   \* MERGEFORMAT">
          <w:r w:rsidR="00EA564A">
            <w:rPr>
              <w:noProof/>
            </w:rPr>
            <w:t>28</w:t>
          </w:r>
        </w:fldSimple>
      </w:p>
    </w:sdtContent>
  </w:sdt>
  <w:p w:rsidR="002F4ECB" w:rsidRDefault="002F4ECB" w:rsidP="00965861">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7147550"/>
      <w:docPartObj>
        <w:docPartGallery w:val="Page Numbers (Bottom of Page)"/>
        <w:docPartUnique/>
      </w:docPartObj>
    </w:sdtPr>
    <w:sdtContent>
      <w:p w:rsidR="002F4ECB" w:rsidRDefault="006D19F1">
        <w:pPr>
          <w:pStyle w:val="Footer"/>
          <w:jc w:val="center"/>
        </w:pPr>
        <w:fldSimple w:instr="PAGE   \* MERGEFORMAT">
          <w:r w:rsidR="00EA564A">
            <w:rPr>
              <w:noProof/>
            </w:rPr>
            <w:t>56</w:t>
          </w:r>
        </w:fldSimple>
      </w:p>
    </w:sdtContent>
  </w:sdt>
  <w:p w:rsidR="002F4ECB" w:rsidRPr="00C922C0" w:rsidRDefault="002F4ECB">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212" w:rsidRDefault="00A65212" w:rsidP="00C922C0">
      <w:pPr>
        <w:spacing w:after="0" w:line="240" w:lineRule="auto"/>
      </w:pPr>
      <w:r>
        <w:separator/>
      </w:r>
    </w:p>
  </w:footnote>
  <w:footnote w:type="continuationSeparator" w:id="0">
    <w:p w:rsidR="00A65212" w:rsidRDefault="00A65212" w:rsidP="00C922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ECB" w:rsidRPr="00C922C0" w:rsidRDefault="002F4ECB">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41D07"/>
    <w:multiLevelType w:val="hybridMultilevel"/>
    <w:tmpl w:val="829C376C"/>
    <w:lvl w:ilvl="0" w:tplc="A34871C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974476E"/>
    <w:multiLevelType w:val="hybridMultilevel"/>
    <w:tmpl w:val="DA860700"/>
    <w:lvl w:ilvl="0" w:tplc="04080017">
      <w:start w:val="1"/>
      <w:numFmt w:val="lowerLetter"/>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nsid w:val="101C2AE2"/>
    <w:multiLevelType w:val="hybridMultilevel"/>
    <w:tmpl w:val="DAA81F3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
    <w:nsid w:val="14635E07"/>
    <w:multiLevelType w:val="hybridMultilevel"/>
    <w:tmpl w:val="0E9A9CC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7820C24"/>
    <w:multiLevelType w:val="hybridMultilevel"/>
    <w:tmpl w:val="04B87E0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nsid w:val="23082CCC"/>
    <w:multiLevelType w:val="hybridMultilevel"/>
    <w:tmpl w:val="DA860700"/>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1C924C0"/>
    <w:multiLevelType w:val="multilevel"/>
    <w:tmpl w:val="02DE5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DA2270"/>
    <w:multiLevelType w:val="hybridMultilevel"/>
    <w:tmpl w:val="A392AFB8"/>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nsid w:val="372968D6"/>
    <w:multiLevelType w:val="hybridMultilevel"/>
    <w:tmpl w:val="8C7E4520"/>
    <w:lvl w:ilvl="0" w:tplc="04080017">
      <w:start w:val="1"/>
      <w:numFmt w:val="lowerLetter"/>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nsid w:val="3CF83BF7"/>
    <w:multiLevelType w:val="hybridMultilevel"/>
    <w:tmpl w:val="53C89A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3DDF535F"/>
    <w:multiLevelType w:val="hybridMultilevel"/>
    <w:tmpl w:val="8520A862"/>
    <w:lvl w:ilvl="0" w:tplc="6F4E9B6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3E21307A"/>
    <w:multiLevelType w:val="hybridMultilevel"/>
    <w:tmpl w:val="DE48EA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F8E66EB"/>
    <w:multiLevelType w:val="hybridMultilevel"/>
    <w:tmpl w:val="A66E4614"/>
    <w:lvl w:ilvl="0" w:tplc="FE3E40E2">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40677894"/>
    <w:multiLevelType w:val="multilevel"/>
    <w:tmpl w:val="08090025"/>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864" w:hanging="864"/>
      </w:pPr>
      <w:rPr>
        <w:rFonts w:hint="default"/>
        <w:b/>
      </w:rPr>
    </w:lvl>
    <w:lvl w:ilvl="4">
      <w:start w:val="1"/>
      <w:numFmt w:val="decimal"/>
      <w:lvlText w:val="%1.%2.%3.%4.%5"/>
      <w:lvlJc w:val="left"/>
      <w:pPr>
        <w:ind w:left="1008" w:hanging="1008"/>
      </w:pPr>
      <w:rPr>
        <w:rFonts w:hint="default"/>
        <w:b/>
      </w:rPr>
    </w:lvl>
    <w:lvl w:ilvl="5">
      <w:start w:val="1"/>
      <w:numFmt w:val="decimal"/>
      <w:lvlText w:val="%1.%2.%3.%4.%5.%6"/>
      <w:lvlJc w:val="left"/>
      <w:pPr>
        <w:ind w:left="1152" w:hanging="1152"/>
      </w:pPr>
      <w:rPr>
        <w:rFonts w:hint="default"/>
        <w:b/>
      </w:rPr>
    </w:lvl>
    <w:lvl w:ilvl="6">
      <w:start w:val="1"/>
      <w:numFmt w:val="decimal"/>
      <w:lvlText w:val="%1.%2.%3.%4.%5.%6.%7"/>
      <w:lvlJc w:val="left"/>
      <w:pPr>
        <w:ind w:left="1296" w:hanging="1296"/>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584" w:hanging="1584"/>
      </w:pPr>
      <w:rPr>
        <w:rFonts w:hint="default"/>
        <w:b/>
      </w:rPr>
    </w:lvl>
  </w:abstractNum>
  <w:abstractNum w:abstractNumId="14">
    <w:nsid w:val="48453E39"/>
    <w:multiLevelType w:val="multilevel"/>
    <w:tmpl w:val="27C05FF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A783294"/>
    <w:multiLevelType w:val="multilevel"/>
    <w:tmpl w:val="19C6103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C0E0029"/>
    <w:multiLevelType w:val="multilevel"/>
    <w:tmpl w:val="C64C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014BFE"/>
    <w:multiLevelType w:val="hybridMultilevel"/>
    <w:tmpl w:val="285CDA9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4EE7347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51F84F1C"/>
    <w:multiLevelType w:val="multilevel"/>
    <w:tmpl w:val="4A26E2CC"/>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52DE63C9"/>
    <w:multiLevelType w:val="hybridMultilevel"/>
    <w:tmpl w:val="A086D400"/>
    <w:lvl w:ilvl="0" w:tplc="04080001">
      <w:start w:val="1"/>
      <w:numFmt w:val="bullet"/>
      <w:lvlText w:val=""/>
      <w:lvlJc w:val="left"/>
      <w:pPr>
        <w:ind w:left="720" w:hanging="360"/>
      </w:pPr>
      <w:rPr>
        <w:rFonts w:ascii="Symbol" w:hAnsi="Symbol" w:hint="default"/>
      </w:rPr>
    </w:lvl>
    <w:lvl w:ilvl="1" w:tplc="0809000B">
      <w:start w:val="1"/>
      <w:numFmt w:val="bullet"/>
      <w:lvlText w:val=""/>
      <w:lvlJc w:val="left"/>
      <w:pPr>
        <w:ind w:left="1211"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54307080"/>
    <w:multiLevelType w:val="multilevel"/>
    <w:tmpl w:val="55621CA6"/>
    <w:lvl w:ilvl="0">
      <w:start w:val="4"/>
      <w:numFmt w:val="decimal"/>
      <w:lvlText w:val="%1"/>
      <w:lvlJc w:val="left"/>
      <w:pPr>
        <w:ind w:left="480" w:hanging="480"/>
      </w:pPr>
      <w:rPr>
        <w:rFonts w:asciiTheme="minorHAnsi" w:hAnsiTheme="minorHAnsi" w:cstheme="minorBidi" w:hint="default"/>
        <w:b/>
      </w:rPr>
    </w:lvl>
    <w:lvl w:ilvl="1">
      <w:start w:val="3"/>
      <w:numFmt w:val="decimal"/>
      <w:lvlText w:val="%1.%2"/>
      <w:lvlJc w:val="left"/>
      <w:pPr>
        <w:ind w:left="480" w:hanging="480"/>
      </w:pPr>
      <w:rPr>
        <w:rFonts w:asciiTheme="minorHAnsi" w:hAnsiTheme="minorHAnsi" w:cstheme="minorBidi" w:hint="default"/>
        <w:b/>
      </w:rPr>
    </w:lvl>
    <w:lvl w:ilvl="2">
      <w:start w:val="1"/>
      <w:numFmt w:val="decimal"/>
      <w:lvlText w:val="%1.%2.%3"/>
      <w:lvlJc w:val="left"/>
      <w:pPr>
        <w:ind w:left="720" w:hanging="720"/>
      </w:pPr>
      <w:rPr>
        <w:rFonts w:asciiTheme="minorHAnsi" w:hAnsiTheme="minorHAnsi" w:cstheme="minorBidi" w:hint="default"/>
        <w:b/>
      </w:rPr>
    </w:lvl>
    <w:lvl w:ilvl="3">
      <w:start w:val="1"/>
      <w:numFmt w:val="decimal"/>
      <w:lvlText w:val="%1.%2.%3.%4"/>
      <w:lvlJc w:val="left"/>
      <w:pPr>
        <w:ind w:left="720" w:hanging="720"/>
      </w:pPr>
      <w:rPr>
        <w:rFonts w:asciiTheme="minorHAnsi" w:hAnsiTheme="minorHAnsi" w:cstheme="minorBidi" w:hint="default"/>
        <w:b/>
      </w:rPr>
    </w:lvl>
    <w:lvl w:ilvl="4">
      <w:start w:val="1"/>
      <w:numFmt w:val="decimal"/>
      <w:lvlText w:val="%1.%2.%3.%4.%5"/>
      <w:lvlJc w:val="left"/>
      <w:pPr>
        <w:ind w:left="1080" w:hanging="1080"/>
      </w:pPr>
      <w:rPr>
        <w:rFonts w:asciiTheme="minorHAnsi" w:hAnsiTheme="minorHAnsi" w:cstheme="minorBidi" w:hint="default"/>
        <w:b/>
      </w:rPr>
    </w:lvl>
    <w:lvl w:ilvl="5">
      <w:start w:val="1"/>
      <w:numFmt w:val="decimal"/>
      <w:lvlText w:val="%1.%2.%3.%4.%5.%6"/>
      <w:lvlJc w:val="left"/>
      <w:pPr>
        <w:ind w:left="1080" w:hanging="1080"/>
      </w:pPr>
      <w:rPr>
        <w:rFonts w:asciiTheme="minorHAnsi" w:hAnsiTheme="minorHAnsi" w:cstheme="minorBidi" w:hint="default"/>
        <w:b/>
      </w:rPr>
    </w:lvl>
    <w:lvl w:ilvl="6">
      <w:start w:val="1"/>
      <w:numFmt w:val="decimal"/>
      <w:lvlText w:val="%1.%2.%3.%4.%5.%6.%7"/>
      <w:lvlJc w:val="left"/>
      <w:pPr>
        <w:ind w:left="1440" w:hanging="1440"/>
      </w:pPr>
      <w:rPr>
        <w:rFonts w:asciiTheme="minorHAnsi" w:hAnsiTheme="minorHAnsi" w:cstheme="minorBidi" w:hint="default"/>
        <w:b/>
      </w:rPr>
    </w:lvl>
    <w:lvl w:ilvl="7">
      <w:start w:val="1"/>
      <w:numFmt w:val="decimal"/>
      <w:lvlText w:val="%1.%2.%3.%4.%5.%6.%7.%8"/>
      <w:lvlJc w:val="left"/>
      <w:pPr>
        <w:ind w:left="1440" w:hanging="1440"/>
      </w:pPr>
      <w:rPr>
        <w:rFonts w:asciiTheme="minorHAnsi" w:hAnsiTheme="minorHAnsi" w:cstheme="minorBidi" w:hint="default"/>
        <w:b/>
      </w:rPr>
    </w:lvl>
    <w:lvl w:ilvl="8">
      <w:start w:val="1"/>
      <w:numFmt w:val="decimal"/>
      <w:lvlText w:val="%1.%2.%3.%4.%5.%6.%7.%8.%9"/>
      <w:lvlJc w:val="left"/>
      <w:pPr>
        <w:ind w:left="1800" w:hanging="1800"/>
      </w:pPr>
      <w:rPr>
        <w:rFonts w:asciiTheme="minorHAnsi" w:hAnsiTheme="minorHAnsi" w:cstheme="minorBidi" w:hint="default"/>
        <w:b/>
      </w:rPr>
    </w:lvl>
  </w:abstractNum>
  <w:abstractNum w:abstractNumId="22">
    <w:nsid w:val="59AE2DBD"/>
    <w:multiLevelType w:val="hybridMultilevel"/>
    <w:tmpl w:val="EB64DD5C"/>
    <w:lvl w:ilvl="0" w:tplc="F6060DC6">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nsid w:val="6139152D"/>
    <w:multiLevelType w:val="multilevel"/>
    <w:tmpl w:val="26DE9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8F54CEC"/>
    <w:multiLevelType w:val="hybridMultilevel"/>
    <w:tmpl w:val="DC542C28"/>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6C6D5738"/>
    <w:multiLevelType w:val="hybridMultilevel"/>
    <w:tmpl w:val="8F0AE6EA"/>
    <w:lvl w:ilvl="0" w:tplc="0809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71E366AF"/>
    <w:multiLevelType w:val="hybridMultilevel"/>
    <w:tmpl w:val="05F630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73D75373"/>
    <w:multiLevelType w:val="hybridMultilevel"/>
    <w:tmpl w:val="45C4EB30"/>
    <w:lvl w:ilvl="0" w:tplc="0408000F">
      <w:start w:val="1"/>
      <w:numFmt w:val="decimal"/>
      <w:lvlText w:val="%1."/>
      <w:lvlJc w:val="left"/>
      <w:pPr>
        <w:ind w:left="2880" w:hanging="360"/>
      </w:pPr>
    </w:lvl>
    <w:lvl w:ilvl="1" w:tplc="04080019" w:tentative="1">
      <w:start w:val="1"/>
      <w:numFmt w:val="lowerLetter"/>
      <w:lvlText w:val="%2."/>
      <w:lvlJc w:val="left"/>
      <w:pPr>
        <w:ind w:left="2880" w:hanging="360"/>
      </w:pPr>
    </w:lvl>
    <w:lvl w:ilvl="2" w:tplc="0408001B">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28">
    <w:nsid w:val="76125014"/>
    <w:multiLevelType w:val="hybridMultilevel"/>
    <w:tmpl w:val="BC92B862"/>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7B4721F9"/>
    <w:multiLevelType w:val="multilevel"/>
    <w:tmpl w:val="0BEA8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9"/>
  </w:num>
  <w:num w:numId="4">
    <w:abstractNumId w:val="3"/>
  </w:num>
  <w:num w:numId="5">
    <w:abstractNumId w:val="14"/>
  </w:num>
  <w:num w:numId="6">
    <w:abstractNumId w:val="8"/>
  </w:num>
  <w:num w:numId="7">
    <w:abstractNumId w:val="1"/>
  </w:num>
  <w:num w:numId="8">
    <w:abstractNumId w:val="20"/>
  </w:num>
  <w:num w:numId="9">
    <w:abstractNumId w:val="26"/>
  </w:num>
  <w:num w:numId="10">
    <w:abstractNumId w:val="17"/>
  </w:num>
  <w:num w:numId="11">
    <w:abstractNumId w:val="2"/>
  </w:num>
  <w:num w:numId="12">
    <w:abstractNumId w:val="7"/>
  </w:num>
  <w:num w:numId="13">
    <w:abstractNumId w:val="27"/>
  </w:num>
  <w:num w:numId="14">
    <w:abstractNumId w:val="5"/>
  </w:num>
  <w:num w:numId="15">
    <w:abstractNumId w:val="25"/>
  </w:num>
  <w:num w:numId="16">
    <w:abstractNumId w:val="28"/>
  </w:num>
  <w:num w:numId="17">
    <w:abstractNumId w:val="24"/>
  </w:num>
  <w:num w:numId="18">
    <w:abstractNumId w:val="18"/>
  </w:num>
  <w:num w:numId="19">
    <w:abstractNumId w:val="13"/>
  </w:num>
  <w:num w:numId="20">
    <w:abstractNumId w:val="21"/>
  </w:num>
  <w:num w:numId="21">
    <w:abstractNumId w:val="19"/>
  </w:num>
  <w:num w:numId="22">
    <w:abstractNumId w:val="15"/>
  </w:num>
  <w:num w:numId="23">
    <w:abstractNumId w:val="23"/>
  </w:num>
  <w:num w:numId="24">
    <w:abstractNumId w:val="6"/>
  </w:num>
  <w:num w:numId="25">
    <w:abstractNumId w:val="16"/>
  </w:num>
  <w:num w:numId="26">
    <w:abstractNumId w:val="29"/>
  </w:num>
  <w:num w:numId="27">
    <w:abstractNumId w:val="0"/>
  </w:num>
  <w:num w:numId="28">
    <w:abstractNumId w:val="22"/>
  </w:num>
  <w:num w:numId="29">
    <w:abstractNumId w:val="12"/>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useFELayout/>
  </w:compat>
  <w:rsids>
    <w:rsidRoot w:val="00C922C0"/>
    <w:rsid w:val="0000457D"/>
    <w:rsid w:val="00010AE6"/>
    <w:rsid w:val="00012720"/>
    <w:rsid w:val="00014CF2"/>
    <w:rsid w:val="0001655D"/>
    <w:rsid w:val="000169EA"/>
    <w:rsid w:val="00017F3B"/>
    <w:rsid w:val="000236D5"/>
    <w:rsid w:val="000371D6"/>
    <w:rsid w:val="00040751"/>
    <w:rsid w:val="00050E64"/>
    <w:rsid w:val="0005178E"/>
    <w:rsid w:val="0006153E"/>
    <w:rsid w:val="000732E0"/>
    <w:rsid w:val="00077C46"/>
    <w:rsid w:val="000803B2"/>
    <w:rsid w:val="000814EF"/>
    <w:rsid w:val="00082A56"/>
    <w:rsid w:val="00086175"/>
    <w:rsid w:val="0008640D"/>
    <w:rsid w:val="00095AAA"/>
    <w:rsid w:val="00096F8D"/>
    <w:rsid w:val="000B4B8E"/>
    <w:rsid w:val="000C52F1"/>
    <w:rsid w:val="000C576E"/>
    <w:rsid w:val="000C7C69"/>
    <w:rsid w:val="000D0E96"/>
    <w:rsid w:val="000D5A98"/>
    <w:rsid w:val="000E0E58"/>
    <w:rsid w:val="000E77E2"/>
    <w:rsid w:val="000F3C62"/>
    <w:rsid w:val="000F634B"/>
    <w:rsid w:val="000F6422"/>
    <w:rsid w:val="001141E0"/>
    <w:rsid w:val="001152B6"/>
    <w:rsid w:val="00117E84"/>
    <w:rsid w:val="001209E7"/>
    <w:rsid w:val="00124280"/>
    <w:rsid w:val="0012552A"/>
    <w:rsid w:val="00136C13"/>
    <w:rsid w:val="001457DA"/>
    <w:rsid w:val="00145CEC"/>
    <w:rsid w:val="00151CB9"/>
    <w:rsid w:val="00153106"/>
    <w:rsid w:val="001540AB"/>
    <w:rsid w:val="0015698D"/>
    <w:rsid w:val="00162CD0"/>
    <w:rsid w:val="00165631"/>
    <w:rsid w:val="0017001F"/>
    <w:rsid w:val="00172B98"/>
    <w:rsid w:val="001747F4"/>
    <w:rsid w:val="001810DD"/>
    <w:rsid w:val="00196FD9"/>
    <w:rsid w:val="001A4953"/>
    <w:rsid w:val="001B0E4C"/>
    <w:rsid w:val="001B1286"/>
    <w:rsid w:val="001B5132"/>
    <w:rsid w:val="001B6BB2"/>
    <w:rsid w:val="001B7838"/>
    <w:rsid w:val="001B7988"/>
    <w:rsid w:val="001C3098"/>
    <w:rsid w:val="001D1714"/>
    <w:rsid w:val="001D2711"/>
    <w:rsid w:val="001D364C"/>
    <w:rsid w:val="001D7A5C"/>
    <w:rsid w:val="001E3DAE"/>
    <w:rsid w:val="00201AC1"/>
    <w:rsid w:val="00207952"/>
    <w:rsid w:val="00211547"/>
    <w:rsid w:val="0024016C"/>
    <w:rsid w:val="00265414"/>
    <w:rsid w:val="00266F6F"/>
    <w:rsid w:val="00267AAB"/>
    <w:rsid w:val="00282A0B"/>
    <w:rsid w:val="002911E8"/>
    <w:rsid w:val="0029481D"/>
    <w:rsid w:val="002971CB"/>
    <w:rsid w:val="002B4A02"/>
    <w:rsid w:val="002C01A2"/>
    <w:rsid w:val="002C096D"/>
    <w:rsid w:val="002C595D"/>
    <w:rsid w:val="002D0120"/>
    <w:rsid w:val="002D207A"/>
    <w:rsid w:val="002D7332"/>
    <w:rsid w:val="002E491B"/>
    <w:rsid w:val="002E6978"/>
    <w:rsid w:val="002F0796"/>
    <w:rsid w:val="002F3ABC"/>
    <w:rsid w:val="002F4ECB"/>
    <w:rsid w:val="002F56A8"/>
    <w:rsid w:val="002F5D13"/>
    <w:rsid w:val="003019D5"/>
    <w:rsid w:val="00305DD0"/>
    <w:rsid w:val="00315BAA"/>
    <w:rsid w:val="0031683D"/>
    <w:rsid w:val="00317759"/>
    <w:rsid w:val="00320CFB"/>
    <w:rsid w:val="0032348D"/>
    <w:rsid w:val="00325A6C"/>
    <w:rsid w:val="00334075"/>
    <w:rsid w:val="003415A0"/>
    <w:rsid w:val="00342069"/>
    <w:rsid w:val="00363543"/>
    <w:rsid w:val="00366DDF"/>
    <w:rsid w:val="00367A04"/>
    <w:rsid w:val="0037215D"/>
    <w:rsid w:val="00373CC1"/>
    <w:rsid w:val="003766D2"/>
    <w:rsid w:val="00376D0C"/>
    <w:rsid w:val="00377963"/>
    <w:rsid w:val="00385193"/>
    <w:rsid w:val="003A1396"/>
    <w:rsid w:val="003A7A3C"/>
    <w:rsid w:val="003B1D8F"/>
    <w:rsid w:val="003B78F6"/>
    <w:rsid w:val="003C52C9"/>
    <w:rsid w:val="003D1F7C"/>
    <w:rsid w:val="003D3ADC"/>
    <w:rsid w:val="003E0CBC"/>
    <w:rsid w:val="003E1320"/>
    <w:rsid w:val="003E383A"/>
    <w:rsid w:val="003E6553"/>
    <w:rsid w:val="003F036F"/>
    <w:rsid w:val="003F10F0"/>
    <w:rsid w:val="003F3C71"/>
    <w:rsid w:val="004011A1"/>
    <w:rsid w:val="004022ED"/>
    <w:rsid w:val="00402EBC"/>
    <w:rsid w:val="00412614"/>
    <w:rsid w:val="00420923"/>
    <w:rsid w:val="0042423B"/>
    <w:rsid w:val="00426430"/>
    <w:rsid w:val="00427807"/>
    <w:rsid w:val="00430E40"/>
    <w:rsid w:val="00433CCD"/>
    <w:rsid w:val="004340B8"/>
    <w:rsid w:val="00440A24"/>
    <w:rsid w:val="00450C9E"/>
    <w:rsid w:val="00452744"/>
    <w:rsid w:val="00472012"/>
    <w:rsid w:val="00472824"/>
    <w:rsid w:val="00475623"/>
    <w:rsid w:val="004803F7"/>
    <w:rsid w:val="00480465"/>
    <w:rsid w:val="004814BD"/>
    <w:rsid w:val="0048269D"/>
    <w:rsid w:val="00493F6E"/>
    <w:rsid w:val="004A4FC9"/>
    <w:rsid w:val="004C08AD"/>
    <w:rsid w:val="004D0669"/>
    <w:rsid w:val="004D1567"/>
    <w:rsid w:val="004D3FD5"/>
    <w:rsid w:val="004E2867"/>
    <w:rsid w:val="004E50D3"/>
    <w:rsid w:val="004F420D"/>
    <w:rsid w:val="004F43F5"/>
    <w:rsid w:val="005018CA"/>
    <w:rsid w:val="00507320"/>
    <w:rsid w:val="00507616"/>
    <w:rsid w:val="00507CE7"/>
    <w:rsid w:val="005132FE"/>
    <w:rsid w:val="00514307"/>
    <w:rsid w:val="00522DD7"/>
    <w:rsid w:val="00525C5D"/>
    <w:rsid w:val="00537940"/>
    <w:rsid w:val="0054505D"/>
    <w:rsid w:val="00545A4A"/>
    <w:rsid w:val="005465E4"/>
    <w:rsid w:val="00546A14"/>
    <w:rsid w:val="00550826"/>
    <w:rsid w:val="00557E75"/>
    <w:rsid w:val="00563413"/>
    <w:rsid w:val="005649FA"/>
    <w:rsid w:val="00565B48"/>
    <w:rsid w:val="005671E5"/>
    <w:rsid w:val="005717B5"/>
    <w:rsid w:val="00572255"/>
    <w:rsid w:val="005750A4"/>
    <w:rsid w:val="00576BCB"/>
    <w:rsid w:val="00595693"/>
    <w:rsid w:val="005A090B"/>
    <w:rsid w:val="005A7664"/>
    <w:rsid w:val="005B6A37"/>
    <w:rsid w:val="005C00C5"/>
    <w:rsid w:val="005D0BB3"/>
    <w:rsid w:val="005D3F62"/>
    <w:rsid w:val="005D4597"/>
    <w:rsid w:val="005E4C9E"/>
    <w:rsid w:val="005F0BCE"/>
    <w:rsid w:val="00600DA6"/>
    <w:rsid w:val="00601A35"/>
    <w:rsid w:val="00611A99"/>
    <w:rsid w:val="00617731"/>
    <w:rsid w:val="00620BBC"/>
    <w:rsid w:val="00621CCB"/>
    <w:rsid w:val="006263BC"/>
    <w:rsid w:val="00626FD7"/>
    <w:rsid w:val="00636955"/>
    <w:rsid w:val="00650E0E"/>
    <w:rsid w:val="0065105C"/>
    <w:rsid w:val="0065304C"/>
    <w:rsid w:val="006738D2"/>
    <w:rsid w:val="00682284"/>
    <w:rsid w:val="00692307"/>
    <w:rsid w:val="00696DB1"/>
    <w:rsid w:val="006B2261"/>
    <w:rsid w:val="006B3645"/>
    <w:rsid w:val="006C0E35"/>
    <w:rsid w:val="006C74AD"/>
    <w:rsid w:val="006D19F1"/>
    <w:rsid w:val="006D66A5"/>
    <w:rsid w:val="006E4687"/>
    <w:rsid w:val="006F0748"/>
    <w:rsid w:val="006F1B64"/>
    <w:rsid w:val="006F70AE"/>
    <w:rsid w:val="00701E67"/>
    <w:rsid w:val="007025C9"/>
    <w:rsid w:val="00732895"/>
    <w:rsid w:val="007353E1"/>
    <w:rsid w:val="007419D5"/>
    <w:rsid w:val="00742DFD"/>
    <w:rsid w:val="00744233"/>
    <w:rsid w:val="00745B21"/>
    <w:rsid w:val="007547ED"/>
    <w:rsid w:val="00757DFD"/>
    <w:rsid w:val="007602EB"/>
    <w:rsid w:val="00761B8E"/>
    <w:rsid w:val="0077105E"/>
    <w:rsid w:val="00772F2A"/>
    <w:rsid w:val="00782C4F"/>
    <w:rsid w:val="00782D4B"/>
    <w:rsid w:val="007871E0"/>
    <w:rsid w:val="00791397"/>
    <w:rsid w:val="007A187C"/>
    <w:rsid w:val="007A1B5F"/>
    <w:rsid w:val="007A6D2C"/>
    <w:rsid w:val="007B2130"/>
    <w:rsid w:val="007B3359"/>
    <w:rsid w:val="007B3AEF"/>
    <w:rsid w:val="007B4682"/>
    <w:rsid w:val="007B6280"/>
    <w:rsid w:val="007D3407"/>
    <w:rsid w:val="007E13A8"/>
    <w:rsid w:val="007F34BB"/>
    <w:rsid w:val="007F400C"/>
    <w:rsid w:val="007F5720"/>
    <w:rsid w:val="007F7FFC"/>
    <w:rsid w:val="008007D7"/>
    <w:rsid w:val="00811582"/>
    <w:rsid w:val="00823986"/>
    <w:rsid w:val="008322E8"/>
    <w:rsid w:val="008352ED"/>
    <w:rsid w:val="0084215F"/>
    <w:rsid w:val="0084265D"/>
    <w:rsid w:val="00847B8C"/>
    <w:rsid w:val="00860356"/>
    <w:rsid w:val="00861B0D"/>
    <w:rsid w:val="00870523"/>
    <w:rsid w:val="00873049"/>
    <w:rsid w:val="00874B37"/>
    <w:rsid w:val="00883023"/>
    <w:rsid w:val="00884CBA"/>
    <w:rsid w:val="00885EE9"/>
    <w:rsid w:val="00894A99"/>
    <w:rsid w:val="008A3B68"/>
    <w:rsid w:val="008A47D2"/>
    <w:rsid w:val="008B6C03"/>
    <w:rsid w:val="008C66B3"/>
    <w:rsid w:val="008C6A39"/>
    <w:rsid w:val="008D687D"/>
    <w:rsid w:val="008E39C2"/>
    <w:rsid w:val="008E6E95"/>
    <w:rsid w:val="008F18C4"/>
    <w:rsid w:val="008F7947"/>
    <w:rsid w:val="008F7BED"/>
    <w:rsid w:val="00903A2F"/>
    <w:rsid w:val="00907769"/>
    <w:rsid w:val="009124AA"/>
    <w:rsid w:val="009163E6"/>
    <w:rsid w:val="0091702F"/>
    <w:rsid w:val="009203C4"/>
    <w:rsid w:val="00923AB2"/>
    <w:rsid w:val="00931325"/>
    <w:rsid w:val="00934A50"/>
    <w:rsid w:val="009408F1"/>
    <w:rsid w:val="009470FC"/>
    <w:rsid w:val="00950C78"/>
    <w:rsid w:val="009520F3"/>
    <w:rsid w:val="00955251"/>
    <w:rsid w:val="0095704E"/>
    <w:rsid w:val="0096022B"/>
    <w:rsid w:val="00965861"/>
    <w:rsid w:val="00975644"/>
    <w:rsid w:val="00985FB0"/>
    <w:rsid w:val="009B152B"/>
    <w:rsid w:val="009B185B"/>
    <w:rsid w:val="009B698B"/>
    <w:rsid w:val="009B7488"/>
    <w:rsid w:val="009C2178"/>
    <w:rsid w:val="009D03B9"/>
    <w:rsid w:val="009E78E6"/>
    <w:rsid w:val="009E7EED"/>
    <w:rsid w:val="00A00E69"/>
    <w:rsid w:val="00A02686"/>
    <w:rsid w:val="00A06054"/>
    <w:rsid w:val="00A11686"/>
    <w:rsid w:val="00A15565"/>
    <w:rsid w:val="00A1756F"/>
    <w:rsid w:val="00A20F89"/>
    <w:rsid w:val="00A22590"/>
    <w:rsid w:val="00A26075"/>
    <w:rsid w:val="00A401BB"/>
    <w:rsid w:val="00A4441C"/>
    <w:rsid w:val="00A50C8A"/>
    <w:rsid w:val="00A511C9"/>
    <w:rsid w:val="00A536C4"/>
    <w:rsid w:val="00A536D0"/>
    <w:rsid w:val="00A542E9"/>
    <w:rsid w:val="00A561FA"/>
    <w:rsid w:val="00A618A0"/>
    <w:rsid w:val="00A62183"/>
    <w:rsid w:val="00A6477D"/>
    <w:rsid w:val="00A65212"/>
    <w:rsid w:val="00A6655D"/>
    <w:rsid w:val="00A67A1B"/>
    <w:rsid w:val="00A735A2"/>
    <w:rsid w:val="00A747DA"/>
    <w:rsid w:val="00A77817"/>
    <w:rsid w:val="00A81239"/>
    <w:rsid w:val="00AA0B72"/>
    <w:rsid w:val="00AA2132"/>
    <w:rsid w:val="00AA379B"/>
    <w:rsid w:val="00AA54AC"/>
    <w:rsid w:val="00AB2316"/>
    <w:rsid w:val="00AC05E4"/>
    <w:rsid w:val="00AD5ACF"/>
    <w:rsid w:val="00AD7EAF"/>
    <w:rsid w:val="00AE297F"/>
    <w:rsid w:val="00AF68EE"/>
    <w:rsid w:val="00AF6B15"/>
    <w:rsid w:val="00B046EE"/>
    <w:rsid w:val="00B2431A"/>
    <w:rsid w:val="00B252E0"/>
    <w:rsid w:val="00B3257D"/>
    <w:rsid w:val="00B3708B"/>
    <w:rsid w:val="00B374F3"/>
    <w:rsid w:val="00B37D7A"/>
    <w:rsid w:val="00B442F1"/>
    <w:rsid w:val="00B45BCA"/>
    <w:rsid w:val="00B5357D"/>
    <w:rsid w:val="00B71F9B"/>
    <w:rsid w:val="00B722C5"/>
    <w:rsid w:val="00B869CA"/>
    <w:rsid w:val="00B93F0B"/>
    <w:rsid w:val="00BA0942"/>
    <w:rsid w:val="00BA46D1"/>
    <w:rsid w:val="00BB1EF7"/>
    <w:rsid w:val="00BD104E"/>
    <w:rsid w:val="00BD32BF"/>
    <w:rsid w:val="00BD4088"/>
    <w:rsid w:val="00BD602E"/>
    <w:rsid w:val="00BE1DF2"/>
    <w:rsid w:val="00BE5AD7"/>
    <w:rsid w:val="00BE79FA"/>
    <w:rsid w:val="00BF3EE6"/>
    <w:rsid w:val="00C06B96"/>
    <w:rsid w:val="00C10EE7"/>
    <w:rsid w:val="00C20494"/>
    <w:rsid w:val="00C21A9C"/>
    <w:rsid w:val="00C24C9D"/>
    <w:rsid w:val="00C36201"/>
    <w:rsid w:val="00C37DEC"/>
    <w:rsid w:val="00C46BC9"/>
    <w:rsid w:val="00C62EC2"/>
    <w:rsid w:val="00C70DEA"/>
    <w:rsid w:val="00C7527D"/>
    <w:rsid w:val="00C77456"/>
    <w:rsid w:val="00C854DA"/>
    <w:rsid w:val="00C9112B"/>
    <w:rsid w:val="00C91CC3"/>
    <w:rsid w:val="00C922C0"/>
    <w:rsid w:val="00C94D66"/>
    <w:rsid w:val="00CA3B13"/>
    <w:rsid w:val="00CB41CE"/>
    <w:rsid w:val="00CB42D6"/>
    <w:rsid w:val="00CB68F4"/>
    <w:rsid w:val="00CB727E"/>
    <w:rsid w:val="00CC06BF"/>
    <w:rsid w:val="00CD11B1"/>
    <w:rsid w:val="00CE01CA"/>
    <w:rsid w:val="00CE2F20"/>
    <w:rsid w:val="00CF0630"/>
    <w:rsid w:val="00CF08C0"/>
    <w:rsid w:val="00CF676A"/>
    <w:rsid w:val="00D044BD"/>
    <w:rsid w:val="00D06560"/>
    <w:rsid w:val="00D205AF"/>
    <w:rsid w:val="00D22234"/>
    <w:rsid w:val="00D259FA"/>
    <w:rsid w:val="00D304FA"/>
    <w:rsid w:val="00D3519E"/>
    <w:rsid w:val="00D40421"/>
    <w:rsid w:val="00D4743F"/>
    <w:rsid w:val="00D47B51"/>
    <w:rsid w:val="00D52B25"/>
    <w:rsid w:val="00D53C43"/>
    <w:rsid w:val="00D6072D"/>
    <w:rsid w:val="00D61D85"/>
    <w:rsid w:val="00D63C15"/>
    <w:rsid w:val="00D65381"/>
    <w:rsid w:val="00D66FF2"/>
    <w:rsid w:val="00D6762F"/>
    <w:rsid w:val="00D75691"/>
    <w:rsid w:val="00D76DE9"/>
    <w:rsid w:val="00D85F40"/>
    <w:rsid w:val="00D8683E"/>
    <w:rsid w:val="00D86ADE"/>
    <w:rsid w:val="00DA05CF"/>
    <w:rsid w:val="00DA6CE7"/>
    <w:rsid w:val="00DB2108"/>
    <w:rsid w:val="00DB2115"/>
    <w:rsid w:val="00DB3DD1"/>
    <w:rsid w:val="00DB6749"/>
    <w:rsid w:val="00DD0A3B"/>
    <w:rsid w:val="00DD5C2B"/>
    <w:rsid w:val="00DD5DFE"/>
    <w:rsid w:val="00DE3D5D"/>
    <w:rsid w:val="00DF775C"/>
    <w:rsid w:val="00DF7A09"/>
    <w:rsid w:val="00E02E48"/>
    <w:rsid w:val="00E045DC"/>
    <w:rsid w:val="00E04F1F"/>
    <w:rsid w:val="00E0732A"/>
    <w:rsid w:val="00E12025"/>
    <w:rsid w:val="00E13F68"/>
    <w:rsid w:val="00E14539"/>
    <w:rsid w:val="00E21353"/>
    <w:rsid w:val="00E241C0"/>
    <w:rsid w:val="00E32AAC"/>
    <w:rsid w:val="00E34C90"/>
    <w:rsid w:val="00E35A87"/>
    <w:rsid w:val="00E37EE3"/>
    <w:rsid w:val="00E509C7"/>
    <w:rsid w:val="00E5147C"/>
    <w:rsid w:val="00E57369"/>
    <w:rsid w:val="00E65832"/>
    <w:rsid w:val="00E674D1"/>
    <w:rsid w:val="00E72D49"/>
    <w:rsid w:val="00E75E4F"/>
    <w:rsid w:val="00E80914"/>
    <w:rsid w:val="00E815C9"/>
    <w:rsid w:val="00E823E1"/>
    <w:rsid w:val="00E839E2"/>
    <w:rsid w:val="00E87189"/>
    <w:rsid w:val="00E8777B"/>
    <w:rsid w:val="00EA0590"/>
    <w:rsid w:val="00EA564A"/>
    <w:rsid w:val="00EB61B2"/>
    <w:rsid w:val="00EB717B"/>
    <w:rsid w:val="00EC385A"/>
    <w:rsid w:val="00ED3485"/>
    <w:rsid w:val="00ED47E8"/>
    <w:rsid w:val="00ED5802"/>
    <w:rsid w:val="00EF086A"/>
    <w:rsid w:val="00EF1F61"/>
    <w:rsid w:val="00F01BF4"/>
    <w:rsid w:val="00F024A6"/>
    <w:rsid w:val="00F07085"/>
    <w:rsid w:val="00F078DA"/>
    <w:rsid w:val="00F1716B"/>
    <w:rsid w:val="00F227CF"/>
    <w:rsid w:val="00F442E7"/>
    <w:rsid w:val="00F44D64"/>
    <w:rsid w:val="00F464E6"/>
    <w:rsid w:val="00F51FB9"/>
    <w:rsid w:val="00F53FD6"/>
    <w:rsid w:val="00F558B0"/>
    <w:rsid w:val="00F55A0B"/>
    <w:rsid w:val="00F5630F"/>
    <w:rsid w:val="00F72D04"/>
    <w:rsid w:val="00F762ED"/>
    <w:rsid w:val="00F80863"/>
    <w:rsid w:val="00F80A7F"/>
    <w:rsid w:val="00F879A1"/>
    <w:rsid w:val="00FA4636"/>
    <w:rsid w:val="00FA60A8"/>
    <w:rsid w:val="00FB4253"/>
    <w:rsid w:val="00FB5F7F"/>
    <w:rsid w:val="00FC555D"/>
    <w:rsid w:val="00FC5CCB"/>
    <w:rsid w:val="00FD6E94"/>
    <w:rsid w:val="00FD7F86"/>
    <w:rsid w:val="00FE367C"/>
    <w:rsid w:val="00FF1E81"/>
    <w:rsid w:val="00FF690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B21"/>
  </w:style>
  <w:style w:type="paragraph" w:styleId="Heading1">
    <w:name w:val="heading 1"/>
    <w:basedOn w:val="Normal"/>
    <w:next w:val="Normal"/>
    <w:link w:val="Heading1Char"/>
    <w:qFormat/>
    <w:rsid w:val="007B33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D5802"/>
    <w:pPr>
      <w:keepNext/>
      <w:keepLines/>
      <w:numPr>
        <w:ilvl w:val="1"/>
        <w:numId w:val="18"/>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1CB9"/>
    <w:pPr>
      <w:keepNext/>
      <w:keepLines/>
      <w:numPr>
        <w:ilvl w:val="2"/>
        <w:numId w:val="18"/>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1CB9"/>
    <w:pPr>
      <w:keepNext/>
      <w:keepLines/>
      <w:numPr>
        <w:ilvl w:val="3"/>
        <w:numId w:val="18"/>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1CB9"/>
    <w:pPr>
      <w:keepNext/>
      <w:keepLines/>
      <w:numPr>
        <w:ilvl w:val="4"/>
        <w:numId w:val="18"/>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51CB9"/>
    <w:pPr>
      <w:keepNext/>
      <w:keepLines/>
      <w:numPr>
        <w:ilvl w:val="5"/>
        <w:numId w:val="18"/>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51CB9"/>
    <w:pPr>
      <w:keepNext/>
      <w:keepLines/>
      <w:numPr>
        <w:ilvl w:val="6"/>
        <w:numId w:val="1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1CB9"/>
    <w:pPr>
      <w:keepNext/>
      <w:keepLines/>
      <w:numPr>
        <w:ilvl w:val="7"/>
        <w:numId w:val="1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51CB9"/>
    <w:pPr>
      <w:keepNext/>
      <w:keepLines/>
      <w:numPr>
        <w:ilvl w:val="8"/>
        <w:numId w:val="1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335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D5802"/>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C922C0"/>
    <w:pPr>
      <w:tabs>
        <w:tab w:val="center" w:pos="4153"/>
        <w:tab w:val="right" w:pos="8306"/>
      </w:tabs>
      <w:spacing w:after="0" w:line="240" w:lineRule="auto"/>
    </w:pPr>
  </w:style>
  <w:style w:type="character" w:customStyle="1" w:styleId="HeaderChar">
    <w:name w:val="Header Char"/>
    <w:basedOn w:val="DefaultParagraphFont"/>
    <w:link w:val="Header"/>
    <w:uiPriority w:val="99"/>
    <w:rsid w:val="00C922C0"/>
  </w:style>
  <w:style w:type="character" w:styleId="Hyperlink">
    <w:name w:val="Hyperlink"/>
    <w:basedOn w:val="DefaultParagraphFont"/>
    <w:uiPriority w:val="99"/>
    <w:unhideWhenUsed/>
    <w:rsid w:val="00C922C0"/>
    <w:rPr>
      <w:color w:val="0000FF"/>
      <w:u w:val="single"/>
    </w:rPr>
  </w:style>
  <w:style w:type="paragraph" w:styleId="ListParagraph">
    <w:name w:val="List Paragraph"/>
    <w:basedOn w:val="Normal"/>
    <w:uiPriority w:val="34"/>
    <w:qFormat/>
    <w:rsid w:val="00C922C0"/>
    <w:pPr>
      <w:ind w:left="720"/>
      <w:contextualSpacing/>
    </w:pPr>
  </w:style>
  <w:style w:type="paragraph" w:styleId="BalloonText">
    <w:name w:val="Balloon Text"/>
    <w:basedOn w:val="Normal"/>
    <w:link w:val="BalloonTextChar"/>
    <w:uiPriority w:val="99"/>
    <w:semiHidden/>
    <w:unhideWhenUsed/>
    <w:rsid w:val="00C922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2C0"/>
    <w:rPr>
      <w:rFonts w:ascii="Tahoma" w:hAnsi="Tahoma" w:cs="Tahoma"/>
      <w:sz w:val="16"/>
      <w:szCs w:val="16"/>
    </w:rPr>
  </w:style>
  <w:style w:type="paragraph" w:styleId="Footer">
    <w:name w:val="footer"/>
    <w:basedOn w:val="Normal"/>
    <w:link w:val="FooterChar"/>
    <w:uiPriority w:val="99"/>
    <w:unhideWhenUsed/>
    <w:rsid w:val="00C922C0"/>
    <w:pPr>
      <w:tabs>
        <w:tab w:val="center" w:pos="4153"/>
        <w:tab w:val="right" w:pos="8306"/>
      </w:tabs>
      <w:spacing w:after="0" w:line="240" w:lineRule="auto"/>
    </w:pPr>
  </w:style>
  <w:style w:type="character" w:customStyle="1" w:styleId="FooterChar">
    <w:name w:val="Footer Char"/>
    <w:basedOn w:val="DefaultParagraphFont"/>
    <w:link w:val="Footer"/>
    <w:uiPriority w:val="99"/>
    <w:rsid w:val="00C922C0"/>
  </w:style>
  <w:style w:type="character" w:styleId="Strong">
    <w:name w:val="Strong"/>
    <w:basedOn w:val="DefaultParagraphFont"/>
    <w:uiPriority w:val="22"/>
    <w:qFormat/>
    <w:rsid w:val="00C922C0"/>
    <w:rPr>
      <w:b/>
      <w:bCs/>
    </w:rPr>
  </w:style>
  <w:style w:type="paragraph" w:customStyle="1" w:styleId="Textblock">
    <w:name w:val="Text block"/>
    <w:basedOn w:val="Normal"/>
    <w:qFormat/>
    <w:rsid w:val="007A6D2C"/>
    <w:pPr>
      <w:spacing w:line="360" w:lineRule="auto"/>
    </w:pPr>
    <w:rPr>
      <w:rFonts w:ascii="Times New Roman" w:hAnsi="Times New Roman" w:cs="Times New Roman"/>
      <w:sz w:val="24"/>
      <w:szCs w:val="24"/>
      <w:lang w:val="en-US"/>
    </w:rPr>
  </w:style>
  <w:style w:type="paragraph" w:styleId="HTMLPreformatted">
    <w:name w:val="HTML Preformatted"/>
    <w:basedOn w:val="Normal"/>
    <w:link w:val="HTMLPreformattedChar"/>
    <w:uiPriority w:val="99"/>
    <w:semiHidden/>
    <w:unhideWhenUsed/>
    <w:rsid w:val="00D67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PreformattedChar">
    <w:name w:val="HTML Preformatted Char"/>
    <w:basedOn w:val="DefaultParagraphFont"/>
    <w:link w:val="HTMLPreformatted"/>
    <w:uiPriority w:val="99"/>
    <w:semiHidden/>
    <w:rsid w:val="00D6762F"/>
    <w:rPr>
      <w:rFonts w:ascii="Courier New" w:eastAsia="Times New Roman" w:hAnsi="Courier New" w:cs="Courier New"/>
      <w:sz w:val="20"/>
      <w:szCs w:val="20"/>
      <w:lang w:eastAsia="el-GR"/>
    </w:rPr>
  </w:style>
  <w:style w:type="character" w:customStyle="1" w:styleId="apple-converted-space">
    <w:name w:val="apple-converted-space"/>
    <w:basedOn w:val="DefaultParagraphFont"/>
    <w:rsid w:val="00A735A2"/>
  </w:style>
  <w:style w:type="character" w:styleId="Emphasis">
    <w:name w:val="Emphasis"/>
    <w:basedOn w:val="DefaultParagraphFont"/>
    <w:uiPriority w:val="20"/>
    <w:qFormat/>
    <w:rsid w:val="00A735A2"/>
    <w:rPr>
      <w:i/>
      <w:iCs/>
    </w:rPr>
  </w:style>
  <w:style w:type="character" w:styleId="HTMLCite">
    <w:name w:val="HTML Cite"/>
    <w:basedOn w:val="DefaultParagraphFont"/>
    <w:uiPriority w:val="99"/>
    <w:semiHidden/>
    <w:unhideWhenUsed/>
    <w:rsid w:val="00ED5802"/>
    <w:rPr>
      <w:i/>
      <w:iCs/>
    </w:rPr>
  </w:style>
  <w:style w:type="paragraph" w:styleId="NormalWeb">
    <w:name w:val="Normal (Web)"/>
    <w:basedOn w:val="Normal"/>
    <w:uiPriority w:val="99"/>
    <w:unhideWhenUsed/>
    <w:rsid w:val="00E13F68"/>
    <w:pPr>
      <w:spacing w:before="100" w:beforeAutospacing="1" w:after="100" w:afterAutospacing="1" w:line="240" w:lineRule="auto"/>
    </w:pPr>
    <w:rPr>
      <w:rFonts w:ascii="Times New Roman" w:eastAsia="Times New Roman" w:hAnsi="Times New Roman" w:cs="Times New Roman"/>
      <w:sz w:val="24"/>
      <w:szCs w:val="24"/>
      <w:lang w:eastAsia="el-GR"/>
    </w:rPr>
  </w:style>
  <w:style w:type="table" w:styleId="TableGrid">
    <w:name w:val="Table Grid"/>
    <w:basedOn w:val="TableNormal"/>
    <w:uiPriority w:val="59"/>
    <w:rsid w:val="00E13F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
    <w:name w:val="Grid Table 5 Dark"/>
    <w:basedOn w:val="TableNormal"/>
    <w:uiPriority w:val="50"/>
    <w:rsid w:val="00E13F6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Bibliography">
    <w:name w:val="Bibliography"/>
    <w:basedOn w:val="Normal"/>
    <w:next w:val="Normal"/>
    <w:uiPriority w:val="37"/>
    <w:semiHidden/>
    <w:unhideWhenUsed/>
    <w:rsid w:val="00E13F68"/>
  </w:style>
  <w:style w:type="table" w:customStyle="1" w:styleId="PlainTable1">
    <w:name w:val="Plain Table 1"/>
    <w:basedOn w:val="TableNormal"/>
    <w:uiPriority w:val="41"/>
    <w:rsid w:val="00E13F68"/>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5717B5"/>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ightShading1">
    <w:name w:val="Light Shading1"/>
    <w:basedOn w:val="TableNormal"/>
    <w:uiPriority w:val="60"/>
    <w:rsid w:val="0069230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7F34B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dTable3Accent6">
    <w:name w:val="Grid Table 3 Accent 6"/>
    <w:basedOn w:val="TableNormal"/>
    <w:uiPriority w:val="48"/>
    <w:rsid w:val="00012720"/>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LightShading3">
    <w:name w:val="Light Shading3"/>
    <w:basedOn w:val="TableNormal"/>
    <w:uiPriority w:val="60"/>
    <w:rsid w:val="00C24C9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3Char">
    <w:name w:val="Heading 3 Char"/>
    <w:basedOn w:val="DefaultParagraphFont"/>
    <w:link w:val="Heading3"/>
    <w:uiPriority w:val="9"/>
    <w:semiHidden/>
    <w:rsid w:val="00151CB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51CB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51CB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51CB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51CB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51CB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51CB9"/>
    <w:rPr>
      <w:rFonts w:asciiTheme="majorHAnsi" w:eastAsiaTheme="majorEastAsia" w:hAnsiTheme="majorHAnsi" w:cstheme="majorBidi"/>
      <w:i/>
      <w:iCs/>
      <w:color w:val="404040" w:themeColor="text1" w:themeTint="BF"/>
      <w:sz w:val="20"/>
      <w:szCs w:val="20"/>
    </w:rPr>
  </w:style>
  <w:style w:type="paragraph" w:styleId="NoSpacing">
    <w:name w:val="No Spacing"/>
    <w:link w:val="NoSpacingChar"/>
    <w:uiPriority w:val="1"/>
    <w:qFormat/>
    <w:rsid w:val="00151CB9"/>
    <w:pPr>
      <w:spacing w:after="0" w:line="240" w:lineRule="auto"/>
    </w:pPr>
  </w:style>
  <w:style w:type="paragraph" w:styleId="Title">
    <w:name w:val="Title"/>
    <w:basedOn w:val="Normal"/>
    <w:next w:val="Normal"/>
    <w:link w:val="TitleChar"/>
    <w:uiPriority w:val="10"/>
    <w:qFormat/>
    <w:rsid w:val="00151CB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51CB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51CB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51CB9"/>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151CB9"/>
    <w:rPr>
      <w:i/>
      <w:iCs/>
      <w:color w:val="808080" w:themeColor="text1" w:themeTint="7F"/>
    </w:rPr>
  </w:style>
  <w:style w:type="character" w:styleId="IntenseEmphasis">
    <w:name w:val="Intense Emphasis"/>
    <w:basedOn w:val="DefaultParagraphFont"/>
    <w:uiPriority w:val="21"/>
    <w:qFormat/>
    <w:rsid w:val="00151CB9"/>
    <w:rPr>
      <w:b/>
      <w:bCs/>
      <w:i/>
      <w:iCs/>
      <w:color w:val="4F81BD" w:themeColor="accent1"/>
    </w:rPr>
  </w:style>
  <w:style w:type="paragraph" w:styleId="Quote">
    <w:name w:val="Quote"/>
    <w:basedOn w:val="Normal"/>
    <w:next w:val="Normal"/>
    <w:link w:val="QuoteChar"/>
    <w:uiPriority w:val="29"/>
    <w:qFormat/>
    <w:rsid w:val="00151CB9"/>
    <w:rPr>
      <w:i/>
      <w:iCs/>
      <w:color w:val="000000" w:themeColor="text1"/>
    </w:rPr>
  </w:style>
  <w:style w:type="character" w:customStyle="1" w:styleId="QuoteChar">
    <w:name w:val="Quote Char"/>
    <w:basedOn w:val="DefaultParagraphFont"/>
    <w:link w:val="Quote"/>
    <w:uiPriority w:val="29"/>
    <w:rsid w:val="00151CB9"/>
    <w:rPr>
      <w:i/>
      <w:iCs/>
      <w:color w:val="000000" w:themeColor="text1"/>
    </w:rPr>
  </w:style>
  <w:style w:type="paragraph" w:styleId="IntenseQuote">
    <w:name w:val="Intense Quote"/>
    <w:basedOn w:val="Normal"/>
    <w:next w:val="Normal"/>
    <w:link w:val="IntenseQuoteChar"/>
    <w:uiPriority w:val="30"/>
    <w:qFormat/>
    <w:rsid w:val="00151CB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51CB9"/>
    <w:rPr>
      <w:b/>
      <w:bCs/>
      <w:i/>
      <w:iCs/>
      <w:color w:val="4F81BD" w:themeColor="accent1"/>
    </w:rPr>
  </w:style>
  <w:style w:type="character" w:styleId="SubtleReference">
    <w:name w:val="Subtle Reference"/>
    <w:basedOn w:val="DefaultParagraphFont"/>
    <w:uiPriority w:val="31"/>
    <w:qFormat/>
    <w:rsid w:val="00151CB9"/>
    <w:rPr>
      <w:smallCaps/>
      <w:color w:val="C0504D" w:themeColor="accent2"/>
      <w:u w:val="single"/>
    </w:rPr>
  </w:style>
  <w:style w:type="character" w:styleId="BookTitle">
    <w:name w:val="Book Title"/>
    <w:basedOn w:val="DefaultParagraphFont"/>
    <w:uiPriority w:val="33"/>
    <w:qFormat/>
    <w:rsid w:val="00151CB9"/>
    <w:rPr>
      <w:b/>
      <w:bCs/>
      <w:smallCaps/>
      <w:spacing w:val="5"/>
    </w:rPr>
  </w:style>
  <w:style w:type="character" w:customStyle="1" w:styleId="NoSpacingChar">
    <w:name w:val="No Spacing Char"/>
    <w:basedOn w:val="DefaultParagraphFont"/>
    <w:link w:val="NoSpacing"/>
    <w:uiPriority w:val="1"/>
    <w:rsid w:val="00965861"/>
  </w:style>
  <w:style w:type="paragraph" w:styleId="TOC1">
    <w:name w:val="toc 1"/>
    <w:basedOn w:val="Normal"/>
    <w:next w:val="Normal"/>
    <w:autoRedefine/>
    <w:uiPriority w:val="39"/>
    <w:rsid w:val="00965861"/>
    <w:pPr>
      <w:tabs>
        <w:tab w:val="right" w:leader="dot" w:pos="9000"/>
      </w:tabs>
      <w:spacing w:after="0" w:line="360" w:lineRule="auto"/>
    </w:pPr>
    <w:rPr>
      <w:rFonts w:ascii="Times New Roman" w:eastAsia="Times New Roman" w:hAnsi="Times New Roman" w:cs="Times New Roman"/>
      <w:szCs w:val="24"/>
      <w:lang w:val="en-GB" w:eastAsia="en-US"/>
    </w:rPr>
  </w:style>
  <w:style w:type="paragraph" w:styleId="TOC2">
    <w:name w:val="toc 2"/>
    <w:basedOn w:val="Normal"/>
    <w:next w:val="Normal"/>
    <w:autoRedefine/>
    <w:semiHidden/>
    <w:rsid w:val="00965861"/>
    <w:pPr>
      <w:tabs>
        <w:tab w:val="left" w:pos="960"/>
        <w:tab w:val="right" w:leader="dot" w:pos="9000"/>
      </w:tabs>
      <w:spacing w:after="0" w:line="360" w:lineRule="auto"/>
      <w:ind w:left="238"/>
    </w:pPr>
    <w:rPr>
      <w:rFonts w:ascii="Times New Roman" w:eastAsia="Times New Roman" w:hAnsi="Times New Roman" w:cs="Times New Roman"/>
      <w:szCs w:val="24"/>
      <w:lang w:val="en-GB" w:eastAsia="en-US"/>
    </w:rPr>
  </w:style>
  <w:style w:type="paragraph" w:styleId="TOC3">
    <w:name w:val="toc 3"/>
    <w:basedOn w:val="Normal"/>
    <w:next w:val="Normal"/>
    <w:autoRedefine/>
    <w:semiHidden/>
    <w:rsid w:val="00965861"/>
    <w:pPr>
      <w:widowControl w:val="0"/>
      <w:tabs>
        <w:tab w:val="right" w:leader="dot" w:pos="9000"/>
      </w:tabs>
      <w:spacing w:after="0" w:line="360" w:lineRule="auto"/>
      <w:ind w:left="425"/>
    </w:pPr>
    <w:rPr>
      <w:rFonts w:ascii="Times New Roman" w:eastAsia="Times New Roman" w:hAnsi="Times New Roman" w:cs="Times New Roman"/>
      <w:szCs w:val="24"/>
      <w:lang w:val="en-GB" w:eastAsia="en-US"/>
    </w:rPr>
  </w:style>
  <w:style w:type="character" w:styleId="PageNumber">
    <w:name w:val="page number"/>
    <w:basedOn w:val="DefaultParagraphFont"/>
    <w:rsid w:val="00965861"/>
  </w:style>
  <w:style w:type="paragraph" w:styleId="Revision">
    <w:name w:val="Revision"/>
    <w:hidden/>
    <w:uiPriority w:val="99"/>
    <w:semiHidden/>
    <w:rsid w:val="001D2711"/>
    <w:pPr>
      <w:spacing w:after="0" w:line="240" w:lineRule="auto"/>
    </w:pPr>
  </w:style>
  <w:style w:type="table" w:customStyle="1" w:styleId="LightShading4">
    <w:name w:val="Light Shading4"/>
    <w:basedOn w:val="TableNormal"/>
    <w:uiPriority w:val="60"/>
    <w:rsid w:val="001D271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plainlinksneverexpand">
    <w:name w:val="plainlinksneverexpand"/>
    <w:basedOn w:val="DefaultParagraphFont"/>
    <w:rsid w:val="003D1F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B21"/>
  </w:style>
  <w:style w:type="paragraph" w:styleId="Heading1">
    <w:name w:val="heading 1"/>
    <w:basedOn w:val="Normal"/>
    <w:next w:val="Normal"/>
    <w:link w:val="Heading1Char"/>
    <w:qFormat/>
    <w:rsid w:val="007B33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D5802"/>
    <w:pPr>
      <w:keepNext/>
      <w:keepLines/>
      <w:numPr>
        <w:ilvl w:val="1"/>
        <w:numId w:val="18"/>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1CB9"/>
    <w:pPr>
      <w:keepNext/>
      <w:keepLines/>
      <w:numPr>
        <w:ilvl w:val="2"/>
        <w:numId w:val="18"/>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1CB9"/>
    <w:pPr>
      <w:keepNext/>
      <w:keepLines/>
      <w:numPr>
        <w:ilvl w:val="3"/>
        <w:numId w:val="18"/>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1CB9"/>
    <w:pPr>
      <w:keepNext/>
      <w:keepLines/>
      <w:numPr>
        <w:ilvl w:val="4"/>
        <w:numId w:val="18"/>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51CB9"/>
    <w:pPr>
      <w:keepNext/>
      <w:keepLines/>
      <w:numPr>
        <w:ilvl w:val="5"/>
        <w:numId w:val="18"/>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51CB9"/>
    <w:pPr>
      <w:keepNext/>
      <w:keepLines/>
      <w:numPr>
        <w:ilvl w:val="6"/>
        <w:numId w:val="1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1CB9"/>
    <w:pPr>
      <w:keepNext/>
      <w:keepLines/>
      <w:numPr>
        <w:ilvl w:val="7"/>
        <w:numId w:val="1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51CB9"/>
    <w:pPr>
      <w:keepNext/>
      <w:keepLines/>
      <w:numPr>
        <w:ilvl w:val="8"/>
        <w:numId w:val="1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335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D5802"/>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C922C0"/>
    <w:pPr>
      <w:tabs>
        <w:tab w:val="center" w:pos="4153"/>
        <w:tab w:val="right" w:pos="8306"/>
      </w:tabs>
      <w:spacing w:after="0" w:line="240" w:lineRule="auto"/>
    </w:pPr>
  </w:style>
  <w:style w:type="character" w:customStyle="1" w:styleId="HeaderChar">
    <w:name w:val="Header Char"/>
    <w:basedOn w:val="DefaultParagraphFont"/>
    <w:link w:val="Header"/>
    <w:uiPriority w:val="99"/>
    <w:rsid w:val="00C922C0"/>
  </w:style>
  <w:style w:type="character" w:styleId="Hyperlink">
    <w:name w:val="Hyperlink"/>
    <w:basedOn w:val="DefaultParagraphFont"/>
    <w:uiPriority w:val="99"/>
    <w:unhideWhenUsed/>
    <w:rsid w:val="00C922C0"/>
    <w:rPr>
      <w:color w:val="0000FF"/>
      <w:u w:val="single"/>
    </w:rPr>
  </w:style>
  <w:style w:type="paragraph" w:styleId="ListParagraph">
    <w:name w:val="List Paragraph"/>
    <w:basedOn w:val="Normal"/>
    <w:uiPriority w:val="34"/>
    <w:qFormat/>
    <w:rsid w:val="00C922C0"/>
    <w:pPr>
      <w:ind w:left="720"/>
      <w:contextualSpacing/>
    </w:pPr>
  </w:style>
  <w:style w:type="paragraph" w:styleId="BalloonText">
    <w:name w:val="Balloon Text"/>
    <w:basedOn w:val="Normal"/>
    <w:link w:val="BalloonTextChar"/>
    <w:uiPriority w:val="99"/>
    <w:semiHidden/>
    <w:unhideWhenUsed/>
    <w:rsid w:val="00C922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2C0"/>
    <w:rPr>
      <w:rFonts w:ascii="Tahoma" w:hAnsi="Tahoma" w:cs="Tahoma"/>
      <w:sz w:val="16"/>
      <w:szCs w:val="16"/>
    </w:rPr>
  </w:style>
  <w:style w:type="paragraph" w:styleId="Footer">
    <w:name w:val="footer"/>
    <w:basedOn w:val="Normal"/>
    <w:link w:val="FooterChar"/>
    <w:uiPriority w:val="99"/>
    <w:unhideWhenUsed/>
    <w:rsid w:val="00C922C0"/>
    <w:pPr>
      <w:tabs>
        <w:tab w:val="center" w:pos="4153"/>
        <w:tab w:val="right" w:pos="8306"/>
      </w:tabs>
      <w:spacing w:after="0" w:line="240" w:lineRule="auto"/>
    </w:pPr>
  </w:style>
  <w:style w:type="character" w:customStyle="1" w:styleId="FooterChar">
    <w:name w:val="Footer Char"/>
    <w:basedOn w:val="DefaultParagraphFont"/>
    <w:link w:val="Footer"/>
    <w:uiPriority w:val="99"/>
    <w:rsid w:val="00C922C0"/>
  </w:style>
  <w:style w:type="character" w:styleId="Strong">
    <w:name w:val="Strong"/>
    <w:basedOn w:val="DefaultParagraphFont"/>
    <w:uiPriority w:val="22"/>
    <w:qFormat/>
    <w:rsid w:val="00C922C0"/>
    <w:rPr>
      <w:b/>
      <w:bCs/>
    </w:rPr>
  </w:style>
  <w:style w:type="paragraph" w:customStyle="1" w:styleId="Textblock">
    <w:name w:val="Text block"/>
    <w:basedOn w:val="Normal"/>
    <w:qFormat/>
    <w:rsid w:val="007A6D2C"/>
    <w:pPr>
      <w:spacing w:line="360" w:lineRule="auto"/>
    </w:pPr>
    <w:rPr>
      <w:rFonts w:ascii="Times New Roman" w:hAnsi="Times New Roman" w:cs="Times New Roman"/>
      <w:sz w:val="24"/>
      <w:szCs w:val="24"/>
      <w:lang w:val="en-US"/>
    </w:rPr>
  </w:style>
  <w:style w:type="paragraph" w:styleId="HTMLPreformatted">
    <w:name w:val="HTML Preformatted"/>
    <w:basedOn w:val="Normal"/>
    <w:link w:val="HTMLPreformattedChar"/>
    <w:uiPriority w:val="99"/>
    <w:semiHidden/>
    <w:unhideWhenUsed/>
    <w:rsid w:val="00D67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PreformattedChar">
    <w:name w:val="HTML Preformatted Char"/>
    <w:basedOn w:val="DefaultParagraphFont"/>
    <w:link w:val="HTMLPreformatted"/>
    <w:uiPriority w:val="99"/>
    <w:semiHidden/>
    <w:rsid w:val="00D6762F"/>
    <w:rPr>
      <w:rFonts w:ascii="Courier New" w:eastAsia="Times New Roman" w:hAnsi="Courier New" w:cs="Courier New"/>
      <w:sz w:val="20"/>
      <w:szCs w:val="20"/>
      <w:lang w:eastAsia="el-GR"/>
    </w:rPr>
  </w:style>
  <w:style w:type="character" w:customStyle="1" w:styleId="apple-converted-space">
    <w:name w:val="apple-converted-space"/>
    <w:basedOn w:val="DefaultParagraphFont"/>
    <w:rsid w:val="00A735A2"/>
  </w:style>
  <w:style w:type="character" w:styleId="Emphasis">
    <w:name w:val="Emphasis"/>
    <w:basedOn w:val="DefaultParagraphFont"/>
    <w:uiPriority w:val="20"/>
    <w:qFormat/>
    <w:rsid w:val="00A735A2"/>
    <w:rPr>
      <w:i/>
      <w:iCs/>
    </w:rPr>
  </w:style>
  <w:style w:type="character" w:styleId="HTMLCite">
    <w:name w:val="HTML Cite"/>
    <w:basedOn w:val="DefaultParagraphFont"/>
    <w:uiPriority w:val="99"/>
    <w:semiHidden/>
    <w:unhideWhenUsed/>
    <w:rsid w:val="00ED5802"/>
    <w:rPr>
      <w:i/>
      <w:iCs/>
    </w:rPr>
  </w:style>
  <w:style w:type="paragraph" w:styleId="NormalWeb">
    <w:name w:val="Normal (Web)"/>
    <w:basedOn w:val="Normal"/>
    <w:uiPriority w:val="99"/>
    <w:unhideWhenUsed/>
    <w:rsid w:val="00E13F68"/>
    <w:pPr>
      <w:spacing w:before="100" w:beforeAutospacing="1" w:after="100" w:afterAutospacing="1" w:line="240" w:lineRule="auto"/>
    </w:pPr>
    <w:rPr>
      <w:rFonts w:ascii="Times New Roman" w:eastAsia="Times New Roman" w:hAnsi="Times New Roman" w:cs="Times New Roman"/>
      <w:sz w:val="24"/>
      <w:szCs w:val="24"/>
      <w:lang w:eastAsia="el-GR"/>
    </w:rPr>
  </w:style>
  <w:style w:type="table" w:styleId="TableGrid">
    <w:name w:val="Table Grid"/>
    <w:basedOn w:val="TableNormal"/>
    <w:uiPriority w:val="59"/>
    <w:rsid w:val="00E13F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
    <w:name w:val="Grid Table 5 Dark"/>
    <w:basedOn w:val="TableNormal"/>
    <w:uiPriority w:val="50"/>
    <w:rsid w:val="00E13F6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Bibliography">
    <w:name w:val="Bibliography"/>
    <w:basedOn w:val="Normal"/>
    <w:next w:val="Normal"/>
    <w:uiPriority w:val="37"/>
    <w:semiHidden/>
    <w:unhideWhenUsed/>
    <w:rsid w:val="00E13F68"/>
  </w:style>
  <w:style w:type="table" w:customStyle="1" w:styleId="PlainTable1">
    <w:name w:val="Plain Table 1"/>
    <w:basedOn w:val="TableNormal"/>
    <w:uiPriority w:val="41"/>
    <w:rsid w:val="00E13F68"/>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5717B5"/>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ightShading1">
    <w:name w:val="Light Shading1"/>
    <w:basedOn w:val="TableNormal"/>
    <w:uiPriority w:val="60"/>
    <w:rsid w:val="0069230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7F34B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dTable3Accent6">
    <w:name w:val="Grid Table 3 Accent 6"/>
    <w:basedOn w:val="TableNormal"/>
    <w:uiPriority w:val="48"/>
    <w:rsid w:val="00012720"/>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LightShading3">
    <w:name w:val="Light Shading3"/>
    <w:basedOn w:val="TableNormal"/>
    <w:uiPriority w:val="60"/>
    <w:rsid w:val="00C24C9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3Char">
    <w:name w:val="Heading 3 Char"/>
    <w:basedOn w:val="DefaultParagraphFont"/>
    <w:link w:val="Heading3"/>
    <w:uiPriority w:val="9"/>
    <w:semiHidden/>
    <w:rsid w:val="00151CB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51CB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51CB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51CB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51CB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51CB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51CB9"/>
    <w:rPr>
      <w:rFonts w:asciiTheme="majorHAnsi" w:eastAsiaTheme="majorEastAsia" w:hAnsiTheme="majorHAnsi" w:cstheme="majorBidi"/>
      <w:i/>
      <w:iCs/>
      <w:color w:val="404040" w:themeColor="text1" w:themeTint="BF"/>
      <w:sz w:val="20"/>
      <w:szCs w:val="20"/>
    </w:rPr>
  </w:style>
  <w:style w:type="paragraph" w:styleId="NoSpacing">
    <w:name w:val="No Spacing"/>
    <w:link w:val="NoSpacingChar"/>
    <w:uiPriority w:val="1"/>
    <w:qFormat/>
    <w:rsid w:val="00151CB9"/>
    <w:pPr>
      <w:spacing w:after="0" w:line="240" w:lineRule="auto"/>
    </w:pPr>
  </w:style>
  <w:style w:type="paragraph" w:styleId="Title">
    <w:name w:val="Title"/>
    <w:basedOn w:val="Normal"/>
    <w:next w:val="Normal"/>
    <w:link w:val="TitleChar"/>
    <w:uiPriority w:val="10"/>
    <w:qFormat/>
    <w:rsid w:val="00151CB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51CB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51CB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51CB9"/>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151CB9"/>
    <w:rPr>
      <w:i/>
      <w:iCs/>
      <w:color w:val="808080" w:themeColor="text1" w:themeTint="7F"/>
    </w:rPr>
  </w:style>
  <w:style w:type="character" w:styleId="IntenseEmphasis">
    <w:name w:val="Intense Emphasis"/>
    <w:basedOn w:val="DefaultParagraphFont"/>
    <w:uiPriority w:val="21"/>
    <w:qFormat/>
    <w:rsid w:val="00151CB9"/>
    <w:rPr>
      <w:b/>
      <w:bCs/>
      <w:i/>
      <w:iCs/>
      <w:color w:val="4F81BD" w:themeColor="accent1"/>
    </w:rPr>
  </w:style>
  <w:style w:type="paragraph" w:styleId="Quote">
    <w:name w:val="Quote"/>
    <w:basedOn w:val="Normal"/>
    <w:next w:val="Normal"/>
    <w:link w:val="QuoteChar"/>
    <w:uiPriority w:val="29"/>
    <w:qFormat/>
    <w:rsid w:val="00151CB9"/>
    <w:rPr>
      <w:i/>
      <w:iCs/>
      <w:color w:val="000000" w:themeColor="text1"/>
    </w:rPr>
  </w:style>
  <w:style w:type="character" w:customStyle="1" w:styleId="QuoteChar">
    <w:name w:val="Quote Char"/>
    <w:basedOn w:val="DefaultParagraphFont"/>
    <w:link w:val="Quote"/>
    <w:uiPriority w:val="29"/>
    <w:rsid w:val="00151CB9"/>
    <w:rPr>
      <w:i/>
      <w:iCs/>
      <w:color w:val="000000" w:themeColor="text1"/>
    </w:rPr>
  </w:style>
  <w:style w:type="paragraph" w:styleId="IntenseQuote">
    <w:name w:val="Intense Quote"/>
    <w:basedOn w:val="Normal"/>
    <w:next w:val="Normal"/>
    <w:link w:val="IntenseQuoteChar"/>
    <w:uiPriority w:val="30"/>
    <w:qFormat/>
    <w:rsid w:val="00151CB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51CB9"/>
    <w:rPr>
      <w:b/>
      <w:bCs/>
      <w:i/>
      <w:iCs/>
      <w:color w:val="4F81BD" w:themeColor="accent1"/>
    </w:rPr>
  </w:style>
  <w:style w:type="character" w:styleId="SubtleReference">
    <w:name w:val="Subtle Reference"/>
    <w:basedOn w:val="DefaultParagraphFont"/>
    <w:uiPriority w:val="31"/>
    <w:qFormat/>
    <w:rsid w:val="00151CB9"/>
    <w:rPr>
      <w:smallCaps/>
      <w:color w:val="C0504D" w:themeColor="accent2"/>
      <w:u w:val="single"/>
    </w:rPr>
  </w:style>
  <w:style w:type="character" w:styleId="BookTitle">
    <w:name w:val="Book Title"/>
    <w:basedOn w:val="DefaultParagraphFont"/>
    <w:uiPriority w:val="33"/>
    <w:qFormat/>
    <w:rsid w:val="00151CB9"/>
    <w:rPr>
      <w:b/>
      <w:bCs/>
      <w:smallCaps/>
      <w:spacing w:val="5"/>
    </w:rPr>
  </w:style>
  <w:style w:type="character" w:customStyle="1" w:styleId="NoSpacingChar">
    <w:name w:val="No Spacing Char"/>
    <w:basedOn w:val="DefaultParagraphFont"/>
    <w:link w:val="NoSpacing"/>
    <w:uiPriority w:val="1"/>
    <w:rsid w:val="00965861"/>
  </w:style>
  <w:style w:type="paragraph" w:styleId="TOC1">
    <w:name w:val="toc 1"/>
    <w:basedOn w:val="Normal"/>
    <w:next w:val="Normal"/>
    <w:autoRedefine/>
    <w:uiPriority w:val="39"/>
    <w:rsid w:val="00965861"/>
    <w:pPr>
      <w:tabs>
        <w:tab w:val="right" w:leader="dot" w:pos="9000"/>
      </w:tabs>
      <w:spacing w:after="0" w:line="360" w:lineRule="auto"/>
    </w:pPr>
    <w:rPr>
      <w:rFonts w:ascii="Times New Roman" w:eastAsia="Times New Roman" w:hAnsi="Times New Roman" w:cs="Times New Roman"/>
      <w:szCs w:val="24"/>
      <w:lang w:val="en-GB" w:eastAsia="en-US"/>
    </w:rPr>
  </w:style>
  <w:style w:type="paragraph" w:styleId="TOC2">
    <w:name w:val="toc 2"/>
    <w:basedOn w:val="Normal"/>
    <w:next w:val="Normal"/>
    <w:autoRedefine/>
    <w:semiHidden/>
    <w:rsid w:val="00965861"/>
    <w:pPr>
      <w:tabs>
        <w:tab w:val="left" w:pos="960"/>
        <w:tab w:val="right" w:leader="dot" w:pos="9000"/>
      </w:tabs>
      <w:spacing w:after="0" w:line="360" w:lineRule="auto"/>
      <w:ind w:left="238"/>
    </w:pPr>
    <w:rPr>
      <w:rFonts w:ascii="Times New Roman" w:eastAsia="Times New Roman" w:hAnsi="Times New Roman" w:cs="Times New Roman"/>
      <w:szCs w:val="24"/>
      <w:lang w:val="en-GB" w:eastAsia="en-US"/>
    </w:rPr>
  </w:style>
  <w:style w:type="paragraph" w:styleId="TOC3">
    <w:name w:val="toc 3"/>
    <w:basedOn w:val="Normal"/>
    <w:next w:val="Normal"/>
    <w:autoRedefine/>
    <w:semiHidden/>
    <w:rsid w:val="00965861"/>
    <w:pPr>
      <w:widowControl w:val="0"/>
      <w:tabs>
        <w:tab w:val="right" w:leader="dot" w:pos="9000"/>
      </w:tabs>
      <w:spacing w:after="0" w:line="360" w:lineRule="auto"/>
      <w:ind w:left="425"/>
    </w:pPr>
    <w:rPr>
      <w:rFonts w:ascii="Times New Roman" w:eastAsia="Times New Roman" w:hAnsi="Times New Roman" w:cs="Times New Roman"/>
      <w:szCs w:val="24"/>
      <w:lang w:val="en-GB" w:eastAsia="en-US"/>
    </w:rPr>
  </w:style>
  <w:style w:type="character" w:styleId="PageNumber">
    <w:name w:val="page number"/>
    <w:basedOn w:val="DefaultParagraphFont"/>
    <w:rsid w:val="00965861"/>
  </w:style>
  <w:style w:type="paragraph" w:styleId="Revision">
    <w:name w:val="Revision"/>
    <w:hidden/>
    <w:uiPriority w:val="99"/>
    <w:semiHidden/>
    <w:rsid w:val="001D2711"/>
    <w:pPr>
      <w:spacing w:after="0" w:line="240" w:lineRule="auto"/>
    </w:pPr>
  </w:style>
  <w:style w:type="table" w:customStyle="1" w:styleId="LightShading4">
    <w:name w:val="Light Shading4"/>
    <w:basedOn w:val="TableNormal"/>
    <w:uiPriority w:val="60"/>
    <w:rsid w:val="001D271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plainlinksneverexpand">
    <w:name w:val="plainlinksneverexpand"/>
    <w:basedOn w:val="DefaultParagraphFont"/>
    <w:rsid w:val="003D1F7C"/>
  </w:style>
</w:styles>
</file>

<file path=word/webSettings.xml><?xml version="1.0" encoding="utf-8"?>
<w:webSettings xmlns:r="http://schemas.openxmlformats.org/officeDocument/2006/relationships" xmlns:w="http://schemas.openxmlformats.org/wordprocessingml/2006/main">
  <w:divs>
    <w:div w:id="14962807">
      <w:bodyDiv w:val="1"/>
      <w:marLeft w:val="0"/>
      <w:marRight w:val="0"/>
      <w:marTop w:val="0"/>
      <w:marBottom w:val="0"/>
      <w:divBdr>
        <w:top w:val="none" w:sz="0" w:space="0" w:color="auto"/>
        <w:left w:val="none" w:sz="0" w:space="0" w:color="auto"/>
        <w:bottom w:val="none" w:sz="0" w:space="0" w:color="auto"/>
        <w:right w:val="none" w:sz="0" w:space="0" w:color="auto"/>
      </w:divBdr>
    </w:div>
    <w:div w:id="33313356">
      <w:bodyDiv w:val="1"/>
      <w:marLeft w:val="0"/>
      <w:marRight w:val="0"/>
      <w:marTop w:val="0"/>
      <w:marBottom w:val="0"/>
      <w:divBdr>
        <w:top w:val="none" w:sz="0" w:space="0" w:color="auto"/>
        <w:left w:val="none" w:sz="0" w:space="0" w:color="auto"/>
        <w:bottom w:val="none" w:sz="0" w:space="0" w:color="auto"/>
        <w:right w:val="none" w:sz="0" w:space="0" w:color="auto"/>
      </w:divBdr>
    </w:div>
    <w:div w:id="47850661">
      <w:bodyDiv w:val="1"/>
      <w:marLeft w:val="0"/>
      <w:marRight w:val="0"/>
      <w:marTop w:val="0"/>
      <w:marBottom w:val="0"/>
      <w:divBdr>
        <w:top w:val="none" w:sz="0" w:space="0" w:color="auto"/>
        <w:left w:val="none" w:sz="0" w:space="0" w:color="auto"/>
        <w:bottom w:val="none" w:sz="0" w:space="0" w:color="auto"/>
        <w:right w:val="none" w:sz="0" w:space="0" w:color="auto"/>
      </w:divBdr>
    </w:div>
    <w:div w:id="71631791">
      <w:bodyDiv w:val="1"/>
      <w:marLeft w:val="0"/>
      <w:marRight w:val="0"/>
      <w:marTop w:val="0"/>
      <w:marBottom w:val="0"/>
      <w:divBdr>
        <w:top w:val="none" w:sz="0" w:space="0" w:color="auto"/>
        <w:left w:val="none" w:sz="0" w:space="0" w:color="auto"/>
        <w:bottom w:val="none" w:sz="0" w:space="0" w:color="auto"/>
        <w:right w:val="none" w:sz="0" w:space="0" w:color="auto"/>
      </w:divBdr>
    </w:div>
    <w:div w:id="98375609">
      <w:bodyDiv w:val="1"/>
      <w:marLeft w:val="0"/>
      <w:marRight w:val="0"/>
      <w:marTop w:val="0"/>
      <w:marBottom w:val="0"/>
      <w:divBdr>
        <w:top w:val="none" w:sz="0" w:space="0" w:color="auto"/>
        <w:left w:val="none" w:sz="0" w:space="0" w:color="auto"/>
        <w:bottom w:val="none" w:sz="0" w:space="0" w:color="auto"/>
        <w:right w:val="none" w:sz="0" w:space="0" w:color="auto"/>
      </w:divBdr>
    </w:div>
    <w:div w:id="161093682">
      <w:bodyDiv w:val="1"/>
      <w:marLeft w:val="0"/>
      <w:marRight w:val="0"/>
      <w:marTop w:val="0"/>
      <w:marBottom w:val="0"/>
      <w:divBdr>
        <w:top w:val="none" w:sz="0" w:space="0" w:color="auto"/>
        <w:left w:val="none" w:sz="0" w:space="0" w:color="auto"/>
        <w:bottom w:val="none" w:sz="0" w:space="0" w:color="auto"/>
        <w:right w:val="none" w:sz="0" w:space="0" w:color="auto"/>
      </w:divBdr>
      <w:divsChild>
        <w:div w:id="1364744850">
          <w:marLeft w:val="0"/>
          <w:marRight w:val="0"/>
          <w:marTop w:val="0"/>
          <w:marBottom w:val="0"/>
          <w:divBdr>
            <w:top w:val="none" w:sz="0" w:space="0" w:color="auto"/>
            <w:left w:val="none" w:sz="0" w:space="0" w:color="auto"/>
            <w:bottom w:val="none" w:sz="0" w:space="0" w:color="auto"/>
            <w:right w:val="none" w:sz="0" w:space="0" w:color="auto"/>
          </w:divBdr>
        </w:div>
        <w:div w:id="898370214">
          <w:marLeft w:val="0"/>
          <w:marRight w:val="0"/>
          <w:marTop w:val="0"/>
          <w:marBottom w:val="0"/>
          <w:divBdr>
            <w:top w:val="none" w:sz="0" w:space="0" w:color="auto"/>
            <w:left w:val="none" w:sz="0" w:space="0" w:color="auto"/>
            <w:bottom w:val="none" w:sz="0" w:space="0" w:color="auto"/>
            <w:right w:val="none" w:sz="0" w:space="0" w:color="auto"/>
          </w:divBdr>
        </w:div>
      </w:divsChild>
    </w:div>
    <w:div w:id="213003398">
      <w:bodyDiv w:val="1"/>
      <w:marLeft w:val="0"/>
      <w:marRight w:val="0"/>
      <w:marTop w:val="0"/>
      <w:marBottom w:val="0"/>
      <w:divBdr>
        <w:top w:val="none" w:sz="0" w:space="0" w:color="auto"/>
        <w:left w:val="none" w:sz="0" w:space="0" w:color="auto"/>
        <w:bottom w:val="none" w:sz="0" w:space="0" w:color="auto"/>
        <w:right w:val="none" w:sz="0" w:space="0" w:color="auto"/>
      </w:divBdr>
    </w:div>
    <w:div w:id="244995472">
      <w:bodyDiv w:val="1"/>
      <w:marLeft w:val="0"/>
      <w:marRight w:val="0"/>
      <w:marTop w:val="0"/>
      <w:marBottom w:val="0"/>
      <w:divBdr>
        <w:top w:val="none" w:sz="0" w:space="0" w:color="auto"/>
        <w:left w:val="none" w:sz="0" w:space="0" w:color="auto"/>
        <w:bottom w:val="none" w:sz="0" w:space="0" w:color="auto"/>
        <w:right w:val="none" w:sz="0" w:space="0" w:color="auto"/>
      </w:divBdr>
    </w:div>
    <w:div w:id="264534986">
      <w:bodyDiv w:val="1"/>
      <w:marLeft w:val="0"/>
      <w:marRight w:val="0"/>
      <w:marTop w:val="0"/>
      <w:marBottom w:val="0"/>
      <w:divBdr>
        <w:top w:val="none" w:sz="0" w:space="0" w:color="auto"/>
        <w:left w:val="none" w:sz="0" w:space="0" w:color="auto"/>
        <w:bottom w:val="none" w:sz="0" w:space="0" w:color="auto"/>
        <w:right w:val="none" w:sz="0" w:space="0" w:color="auto"/>
      </w:divBdr>
    </w:div>
    <w:div w:id="279150454">
      <w:bodyDiv w:val="1"/>
      <w:marLeft w:val="0"/>
      <w:marRight w:val="0"/>
      <w:marTop w:val="0"/>
      <w:marBottom w:val="0"/>
      <w:divBdr>
        <w:top w:val="none" w:sz="0" w:space="0" w:color="auto"/>
        <w:left w:val="none" w:sz="0" w:space="0" w:color="auto"/>
        <w:bottom w:val="none" w:sz="0" w:space="0" w:color="auto"/>
        <w:right w:val="none" w:sz="0" w:space="0" w:color="auto"/>
      </w:divBdr>
    </w:div>
    <w:div w:id="302084119">
      <w:bodyDiv w:val="1"/>
      <w:marLeft w:val="0"/>
      <w:marRight w:val="0"/>
      <w:marTop w:val="0"/>
      <w:marBottom w:val="0"/>
      <w:divBdr>
        <w:top w:val="none" w:sz="0" w:space="0" w:color="auto"/>
        <w:left w:val="none" w:sz="0" w:space="0" w:color="auto"/>
        <w:bottom w:val="none" w:sz="0" w:space="0" w:color="auto"/>
        <w:right w:val="none" w:sz="0" w:space="0" w:color="auto"/>
      </w:divBdr>
    </w:div>
    <w:div w:id="327951094">
      <w:bodyDiv w:val="1"/>
      <w:marLeft w:val="0"/>
      <w:marRight w:val="0"/>
      <w:marTop w:val="0"/>
      <w:marBottom w:val="0"/>
      <w:divBdr>
        <w:top w:val="none" w:sz="0" w:space="0" w:color="auto"/>
        <w:left w:val="none" w:sz="0" w:space="0" w:color="auto"/>
        <w:bottom w:val="none" w:sz="0" w:space="0" w:color="auto"/>
        <w:right w:val="none" w:sz="0" w:space="0" w:color="auto"/>
      </w:divBdr>
    </w:div>
    <w:div w:id="339897487">
      <w:bodyDiv w:val="1"/>
      <w:marLeft w:val="0"/>
      <w:marRight w:val="0"/>
      <w:marTop w:val="0"/>
      <w:marBottom w:val="0"/>
      <w:divBdr>
        <w:top w:val="none" w:sz="0" w:space="0" w:color="auto"/>
        <w:left w:val="none" w:sz="0" w:space="0" w:color="auto"/>
        <w:bottom w:val="none" w:sz="0" w:space="0" w:color="auto"/>
        <w:right w:val="none" w:sz="0" w:space="0" w:color="auto"/>
      </w:divBdr>
    </w:div>
    <w:div w:id="394665395">
      <w:bodyDiv w:val="1"/>
      <w:marLeft w:val="0"/>
      <w:marRight w:val="0"/>
      <w:marTop w:val="0"/>
      <w:marBottom w:val="0"/>
      <w:divBdr>
        <w:top w:val="none" w:sz="0" w:space="0" w:color="auto"/>
        <w:left w:val="none" w:sz="0" w:space="0" w:color="auto"/>
        <w:bottom w:val="none" w:sz="0" w:space="0" w:color="auto"/>
        <w:right w:val="none" w:sz="0" w:space="0" w:color="auto"/>
      </w:divBdr>
    </w:div>
    <w:div w:id="440226145">
      <w:bodyDiv w:val="1"/>
      <w:marLeft w:val="0"/>
      <w:marRight w:val="0"/>
      <w:marTop w:val="0"/>
      <w:marBottom w:val="0"/>
      <w:divBdr>
        <w:top w:val="none" w:sz="0" w:space="0" w:color="auto"/>
        <w:left w:val="none" w:sz="0" w:space="0" w:color="auto"/>
        <w:bottom w:val="none" w:sz="0" w:space="0" w:color="auto"/>
        <w:right w:val="none" w:sz="0" w:space="0" w:color="auto"/>
      </w:divBdr>
    </w:div>
    <w:div w:id="441000883">
      <w:bodyDiv w:val="1"/>
      <w:marLeft w:val="0"/>
      <w:marRight w:val="0"/>
      <w:marTop w:val="0"/>
      <w:marBottom w:val="0"/>
      <w:divBdr>
        <w:top w:val="none" w:sz="0" w:space="0" w:color="auto"/>
        <w:left w:val="none" w:sz="0" w:space="0" w:color="auto"/>
        <w:bottom w:val="none" w:sz="0" w:space="0" w:color="auto"/>
        <w:right w:val="none" w:sz="0" w:space="0" w:color="auto"/>
      </w:divBdr>
    </w:div>
    <w:div w:id="576944519">
      <w:bodyDiv w:val="1"/>
      <w:marLeft w:val="0"/>
      <w:marRight w:val="0"/>
      <w:marTop w:val="0"/>
      <w:marBottom w:val="0"/>
      <w:divBdr>
        <w:top w:val="none" w:sz="0" w:space="0" w:color="auto"/>
        <w:left w:val="none" w:sz="0" w:space="0" w:color="auto"/>
        <w:bottom w:val="none" w:sz="0" w:space="0" w:color="auto"/>
        <w:right w:val="none" w:sz="0" w:space="0" w:color="auto"/>
      </w:divBdr>
    </w:div>
    <w:div w:id="586613932">
      <w:bodyDiv w:val="1"/>
      <w:marLeft w:val="0"/>
      <w:marRight w:val="0"/>
      <w:marTop w:val="0"/>
      <w:marBottom w:val="0"/>
      <w:divBdr>
        <w:top w:val="none" w:sz="0" w:space="0" w:color="auto"/>
        <w:left w:val="none" w:sz="0" w:space="0" w:color="auto"/>
        <w:bottom w:val="none" w:sz="0" w:space="0" w:color="auto"/>
        <w:right w:val="none" w:sz="0" w:space="0" w:color="auto"/>
      </w:divBdr>
    </w:div>
    <w:div w:id="597566208">
      <w:bodyDiv w:val="1"/>
      <w:marLeft w:val="0"/>
      <w:marRight w:val="0"/>
      <w:marTop w:val="0"/>
      <w:marBottom w:val="0"/>
      <w:divBdr>
        <w:top w:val="none" w:sz="0" w:space="0" w:color="auto"/>
        <w:left w:val="none" w:sz="0" w:space="0" w:color="auto"/>
        <w:bottom w:val="none" w:sz="0" w:space="0" w:color="auto"/>
        <w:right w:val="none" w:sz="0" w:space="0" w:color="auto"/>
      </w:divBdr>
    </w:div>
    <w:div w:id="602496613">
      <w:bodyDiv w:val="1"/>
      <w:marLeft w:val="0"/>
      <w:marRight w:val="0"/>
      <w:marTop w:val="0"/>
      <w:marBottom w:val="0"/>
      <w:divBdr>
        <w:top w:val="none" w:sz="0" w:space="0" w:color="auto"/>
        <w:left w:val="none" w:sz="0" w:space="0" w:color="auto"/>
        <w:bottom w:val="none" w:sz="0" w:space="0" w:color="auto"/>
        <w:right w:val="none" w:sz="0" w:space="0" w:color="auto"/>
      </w:divBdr>
    </w:div>
    <w:div w:id="650333712">
      <w:bodyDiv w:val="1"/>
      <w:marLeft w:val="0"/>
      <w:marRight w:val="0"/>
      <w:marTop w:val="0"/>
      <w:marBottom w:val="0"/>
      <w:divBdr>
        <w:top w:val="none" w:sz="0" w:space="0" w:color="auto"/>
        <w:left w:val="none" w:sz="0" w:space="0" w:color="auto"/>
        <w:bottom w:val="none" w:sz="0" w:space="0" w:color="auto"/>
        <w:right w:val="none" w:sz="0" w:space="0" w:color="auto"/>
      </w:divBdr>
    </w:div>
    <w:div w:id="664894325">
      <w:bodyDiv w:val="1"/>
      <w:marLeft w:val="0"/>
      <w:marRight w:val="0"/>
      <w:marTop w:val="0"/>
      <w:marBottom w:val="0"/>
      <w:divBdr>
        <w:top w:val="none" w:sz="0" w:space="0" w:color="auto"/>
        <w:left w:val="none" w:sz="0" w:space="0" w:color="auto"/>
        <w:bottom w:val="none" w:sz="0" w:space="0" w:color="auto"/>
        <w:right w:val="none" w:sz="0" w:space="0" w:color="auto"/>
      </w:divBdr>
    </w:div>
    <w:div w:id="681785637">
      <w:bodyDiv w:val="1"/>
      <w:marLeft w:val="0"/>
      <w:marRight w:val="0"/>
      <w:marTop w:val="0"/>
      <w:marBottom w:val="0"/>
      <w:divBdr>
        <w:top w:val="none" w:sz="0" w:space="0" w:color="auto"/>
        <w:left w:val="none" w:sz="0" w:space="0" w:color="auto"/>
        <w:bottom w:val="none" w:sz="0" w:space="0" w:color="auto"/>
        <w:right w:val="none" w:sz="0" w:space="0" w:color="auto"/>
      </w:divBdr>
    </w:div>
    <w:div w:id="736175298">
      <w:bodyDiv w:val="1"/>
      <w:marLeft w:val="0"/>
      <w:marRight w:val="0"/>
      <w:marTop w:val="0"/>
      <w:marBottom w:val="0"/>
      <w:divBdr>
        <w:top w:val="none" w:sz="0" w:space="0" w:color="auto"/>
        <w:left w:val="none" w:sz="0" w:space="0" w:color="auto"/>
        <w:bottom w:val="none" w:sz="0" w:space="0" w:color="auto"/>
        <w:right w:val="none" w:sz="0" w:space="0" w:color="auto"/>
      </w:divBdr>
    </w:div>
    <w:div w:id="786847629">
      <w:bodyDiv w:val="1"/>
      <w:marLeft w:val="0"/>
      <w:marRight w:val="0"/>
      <w:marTop w:val="0"/>
      <w:marBottom w:val="0"/>
      <w:divBdr>
        <w:top w:val="none" w:sz="0" w:space="0" w:color="auto"/>
        <w:left w:val="none" w:sz="0" w:space="0" w:color="auto"/>
        <w:bottom w:val="none" w:sz="0" w:space="0" w:color="auto"/>
        <w:right w:val="none" w:sz="0" w:space="0" w:color="auto"/>
      </w:divBdr>
    </w:div>
    <w:div w:id="817770600">
      <w:bodyDiv w:val="1"/>
      <w:marLeft w:val="0"/>
      <w:marRight w:val="0"/>
      <w:marTop w:val="0"/>
      <w:marBottom w:val="0"/>
      <w:divBdr>
        <w:top w:val="none" w:sz="0" w:space="0" w:color="auto"/>
        <w:left w:val="none" w:sz="0" w:space="0" w:color="auto"/>
        <w:bottom w:val="none" w:sz="0" w:space="0" w:color="auto"/>
        <w:right w:val="none" w:sz="0" w:space="0" w:color="auto"/>
      </w:divBdr>
    </w:div>
    <w:div w:id="821822070">
      <w:bodyDiv w:val="1"/>
      <w:marLeft w:val="0"/>
      <w:marRight w:val="0"/>
      <w:marTop w:val="0"/>
      <w:marBottom w:val="0"/>
      <w:divBdr>
        <w:top w:val="none" w:sz="0" w:space="0" w:color="auto"/>
        <w:left w:val="none" w:sz="0" w:space="0" w:color="auto"/>
        <w:bottom w:val="none" w:sz="0" w:space="0" w:color="auto"/>
        <w:right w:val="none" w:sz="0" w:space="0" w:color="auto"/>
      </w:divBdr>
      <w:divsChild>
        <w:div w:id="1158032462">
          <w:marLeft w:val="0"/>
          <w:marRight w:val="0"/>
          <w:marTop w:val="0"/>
          <w:marBottom w:val="0"/>
          <w:divBdr>
            <w:top w:val="none" w:sz="0" w:space="0" w:color="auto"/>
            <w:left w:val="none" w:sz="0" w:space="0" w:color="auto"/>
            <w:bottom w:val="none" w:sz="0" w:space="0" w:color="auto"/>
            <w:right w:val="none" w:sz="0" w:space="0" w:color="auto"/>
          </w:divBdr>
          <w:divsChild>
            <w:div w:id="48470853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07807132">
      <w:bodyDiv w:val="1"/>
      <w:marLeft w:val="0"/>
      <w:marRight w:val="0"/>
      <w:marTop w:val="0"/>
      <w:marBottom w:val="0"/>
      <w:divBdr>
        <w:top w:val="none" w:sz="0" w:space="0" w:color="auto"/>
        <w:left w:val="none" w:sz="0" w:space="0" w:color="auto"/>
        <w:bottom w:val="none" w:sz="0" w:space="0" w:color="auto"/>
        <w:right w:val="none" w:sz="0" w:space="0" w:color="auto"/>
      </w:divBdr>
    </w:div>
    <w:div w:id="919674376">
      <w:bodyDiv w:val="1"/>
      <w:marLeft w:val="0"/>
      <w:marRight w:val="0"/>
      <w:marTop w:val="0"/>
      <w:marBottom w:val="0"/>
      <w:divBdr>
        <w:top w:val="none" w:sz="0" w:space="0" w:color="auto"/>
        <w:left w:val="none" w:sz="0" w:space="0" w:color="auto"/>
        <w:bottom w:val="none" w:sz="0" w:space="0" w:color="auto"/>
        <w:right w:val="none" w:sz="0" w:space="0" w:color="auto"/>
      </w:divBdr>
      <w:divsChild>
        <w:div w:id="30036130">
          <w:marLeft w:val="0"/>
          <w:marRight w:val="0"/>
          <w:marTop w:val="0"/>
          <w:marBottom w:val="0"/>
          <w:divBdr>
            <w:top w:val="none" w:sz="0" w:space="0" w:color="auto"/>
            <w:left w:val="none" w:sz="0" w:space="0" w:color="auto"/>
            <w:bottom w:val="none" w:sz="0" w:space="0" w:color="auto"/>
            <w:right w:val="none" w:sz="0" w:space="0" w:color="auto"/>
          </w:divBdr>
        </w:div>
        <w:div w:id="1700276365">
          <w:marLeft w:val="0"/>
          <w:marRight w:val="0"/>
          <w:marTop w:val="0"/>
          <w:marBottom w:val="0"/>
          <w:divBdr>
            <w:top w:val="none" w:sz="0" w:space="0" w:color="auto"/>
            <w:left w:val="none" w:sz="0" w:space="0" w:color="auto"/>
            <w:bottom w:val="none" w:sz="0" w:space="0" w:color="auto"/>
            <w:right w:val="none" w:sz="0" w:space="0" w:color="auto"/>
          </w:divBdr>
        </w:div>
      </w:divsChild>
    </w:div>
    <w:div w:id="953630898">
      <w:bodyDiv w:val="1"/>
      <w:marLeft w:val="0"/>
      <w:marRight w:val="0"/>
      <w:marTop w:val="0"/>
      <w:marBottom w:val="0"/>
      <w:divBdr>
        <w:top w:val="none" w:sz="0" w:space="0" w:color="auto"/>
        <w:left w:val="none" w:sz="0" w:space="0" w:color="auto"/>
        <w:bottom w:val="none" w:sz="0" w:space="0" w:color="auto"/>
        <w:right w:val="none" w:sz="0" w:space="0" w:color="auto"/>
      </w:divBdr>
    </w:div>
    <w:div w:id="956447976">
      <w:bodyDiv w:val="1"/>
      <w:marLeft w:val="0"/>
      <w:marRight w:val="0"/>
      <w:marTop w:val="0"/>
      <w:marBottom w:val="0"/>
      <w:divBdr>
        <w:top w:val="none" w:sz="0" w:space="0" w:color="auto"/>
        <w:left w:val="none" w:sz="0" w:space="0" w:color="auto"/>
        <w:bottom w:val="none" w:sz="0" w:space="0" w:color="auto"/>
        <w:right w:val="none" w:sz="0" w:space="0" w:color="auto"/>
      </w:divBdr>
    </w:div>
    <w:div w:id="1049454413">
      <w:bodyDiv w:val="1"/>
      <w:marLeft w:val="0"/>
      <w:marRight w:val="0"/>
      <w:marTop w:val="0"/>
      <w:marBottom w:val="0"/>
      <w:divBdr>
        <w:top w:val="none" w:sz="0" w:space="0" w:color="auto"/>
        <w:left w:val="none" w:sz="0" w:space="0" w:color="auto"/>
        <w:bottom w:val="none" w:sz="0" w:space="0" w:color="auto"/>
        <w:right w:val="none" w:sz="0" w:space="0" w:color="auto"/>
      </w:divBdr>
    </w:div>
    <w:div w:id="1062098598">
      <w:bodyDiv w:val="1"/>
      <w:marLeft w:val="0"/>
      <w:marRight w:val="0"/>
      <w:marTop w:val="0"/>
      <w:marBottom w:val="0"/>
      <w:divBdr>
        <w:top w:val="none" w:sz="0" w:space="0" w:color="auto"/>
        <w:left w:val="none" w:sz="0" w:space="0" w:color="auto"/>
        <w:bottom w:val="none" w:sz="0" w:space="0" w:color="auto"/>
        <w:right w:val="none" w:sz="0" w:space="0" w:color="auto"/>
      </w:divBdr>
    </w:div>
    <w:div w:id="1109400009">
      <w:bodyDiv w:val="1"/>
      <w:marLeft w:val="0"/>
      <w:marRight w:val="0"/>
      <w:marTop w:val="0"/>
      <w:marBottom w:val="0"/>
      <w:divBdr>
        <w:top w:val="none" w:sz="0" w:space="0" w:color="auto"/>
        <w:left w:val="none" w:sz="0" w:space="0" w:color="auto"/>
        <w:bottom w:val="none" w:sz="0" w:space="0" w:color="auto"/>
        <w:right w:val="none" w:sz="0" w:space="0" w:color="auto"/>
      </w:divBdr>
    </w:div>
    <w:div w:id="1114716622">
      <w:bodyDiv w:val="1"/>
      <w:marLeft w:val="0"/>
      <w:marRight w:val="0"/>
      <w:marTop w:val="0"/>
      <w:marBottom w:val="0"/>
      <w:divBdr>
        <w:top w:val="none" w:sz="0" w:space="0" w:color="auto"/>
        <w:left w:val="none" w:sz="0" w:space="0" w:color="auto"/>
        <w:bottom w:val="none" w:sz="0" w:space="0" w:color="auto"/>
        <w:right w:val="none" w:sz="0" w:space="0" w:color="auto"/>
      </w:divBdr>
    </w:div>
    <w:div w:id="1115755659">
      <w:bodyDiv w:val="1"/>
      <w:marLeft w:val="0"/>
      <w:marRight w:val="0"/>
      <w:marTop w:val="0"/>
      <w:marBottom w:val="0"/>
      <w:divBdr>
        <w:top w:val="none" w:sz="0" w:space="0" w:color="auto"/>
        <w:left w:val="none" w:sz="0" w:space="0" w:color="auto"/>
        <w:bottom w:val="none" w:sz="0" w:space="0" w:color="auto"/>
        <w:right w:val="none" w:sz="0" w:space="0" w:color="auto"/>
      </w:divBdr>
    </w:div>
    <w:div w:id="1126239365">
      <w:bodyDiv w:val="1"/>
      <w:marLeft w:val="0"/>
      <w:marRight w:val="0"/>
      <w:marTop w:val="0"/>
      <w:marBottom w:val="0"/>
      <w:divBdr>
        <w:top w:val="none" w:sz="0" w:space="0" w:color="auto"/>
        <w:left w:val="none" w:sz="0" w:space="0" w:color="auto"/>
        <w:bottom w:val="none" w:sz="0" w:space="0" w:color="auto"/>
        <w:right w:val="none" w:sz="0" w:space="0" w:color="auto"/>
      </w:divBdr>
    </w:div>
    <w:div w:id="1177425352">
      <w:bodyDiv w:val="1"/>
      <w:marLeft w:val="0"/>
      <w:marRight w:val="0"/>
      <w:marTop w:val="0"/>
      <w:marBottom w:val="0"/>
      <w:divBdr>
        <w:top w:val="none" w:sz="0" w:space="0" w:color="auto"/>
        <w:left w:val="none" w:sz="0" w:space="0" w:color="auto"/>
        <w:bottom w:val="none" w:sz="0" w:space="0" w:color="auto"/>
        <w:right w:val="none" w:sz="0" w:space="0" w:color="auto"/>
      </w:divBdr>
    </w:div>
    <w:div w:id="1180662645">
      <w:bodyDiv w:val="1"/>
      <w:marLeft w:val="0"/>
      <w:marRight w:val="0"/>
      <w:marTop w:val="0"/>
      <w:marBottom w:val="0"/>
      <w:divBdr>
        <w:top w:val="none" w:sz="0" w:space="0" w:color="auto"/>
        <w:left w:val="none" w:sz="0" w:space="0" w:color="auto"/>
        <w:bottom w:val="none" w:sz="0" w:space="0" w:color="auto"/>
        <w:right w:val="none" w:sz="0" w:space="0" w:color="auto"/>
      </w:divBdr>
    </w:div>
    <w:div w:id="1250385269">
      <w:bodyDiv w:val="1"/>
      <w:marLeft w:val="0"/>
      <w:marRight w:val="0"/>
      <w:marTop w:val="0"/>
      <w:marBottom w:val="0"/>
      <w:divBdr>
        <w:top w:val="none" w:sz="0" w:space="0" w:color="auto"/>
        <w:left w:val="none" w:sz="0" w:space="0" w:color="auto"/>
        <w:bottom w:val="none" w:sz="0" w:space="0" w:color="auto"/>
        <w:right w:val="none" w:sz="0" w:space="0" w:color="auto"/>
      </w:divBdr>
    </w:div>
    <w:div w:id="1269893433">
      <w:bodyDiv w:val="1"/>
      <w:marLeft w:val="0"/>
      <w:marRight w:val="0"/>
      <w:marTop w:val="0"/>
      <w:marBottom w:val="0"/>
      <w:divBdr>
        <w:top w:val="none" w:sz="0" w:space="0" w:color="auto"/>
        <w:left w:val="none" w:sz="0" w:space="0" w:color="auto"/>
        <w:bottom w:val="none" w:sz="0" w:space="0" w:color="auto"/>
        <w:right w:val="none" w:sz="0" w:space="0" w:color="auto"/>
      </w:divBdr>
    </w:div>
    <w:div w:id="1289815639">
      <w:bodyDiv w:val="1"/>
      <w:marLeft w:val="0"/>
      <w:marRight w:val="0"/>
      <w:marTop w:val="0"/>
      <w:marBottom w:val="0"/>
      <w:divBdr>
        <w:top w:val="none" w:sz="0" w:space="0" w:color="auto"/>
        <w:left w:val="none" w:sz="0" w:space="0" w:color="auto"/>
        <w:bottom w:val="none" w:sz="0" w:space="0" w:color="auto"/>
        <w:right w:val="none" w:sz="0" w:space="0" w:color="auto"/>
      </w:divBdr>
    </w:div>
    <w:div w:id="1365448469">
      <w:bodyDiv w:val="1"/>
      <w:marLeft w:val="0"/>
      <w:marRight w:val="0"/>
      <w:marTop w:val="0"/>
      <w:marBottom w:val="0"/>
      <w:divBdr>
        <w:top w:val="none" w:sz="0" w:space="0" w:color="auto"/>
        <w:left w:val="none" w:sz="0" w:space="0" w:color="auto"/>
        <w:bottom w:val="none" w:sz="0" w:space="0" w:color="auto"/>
        <w:right w:val="none" w:sz="0" w:space="0" w:color="auto"/>
      </w:divBdr>
    </w:div>
    <w:div w:id="1368332143">
      <w:bodyDiv w:val="1"/>
      <w:marLeft w:val="0"/>
      <w:marRight w:val="0"/>
      <w:marTop w:val="0"/>
      <w:marBottom w:val="0"/>
      <w:divBdr>
        <w:top w:val="none" w:sz="0" w:space="0" w:color="auto"/>
        <w:left w:val="none" w:sz="0" w:space="0" w:color="auto"/>
        <w:bottom w:val="none" w:sz="0" w:space="0" w:color="auto"/>
        <w:right w:val="none" w:sz="0" w:space="0" w:color="auto"/>
      </w:divBdr>
    </w:div>
    <w:div w:id="1382709605">
      <w:bodyDiv w:val="1"/>
      <w:marLeft w:val="0"/>
      <w:marRight w:val="0"/>
      <w:marTop w:val="0"/>
      <w:marBottom w:val="0"/>
      <w:divBdr>
        <w:top w:val="none" w:sz="0" w:space="0" w:color="auto"/>
        <w:left w:val="none" w:sz="0" w:space="0" w:color="auto"/>
        <w:bottom w:val="none" w:sz="0" w:space="0" w:color="auto"/>
        <w:right w:val="none" w:sz="0" w:space="0" w:color="auto"/>
      </w:divBdr>
    </w:div>
    <w:div w:id="1403747402">
      <w:bodyDiv w:val="1"/>
      <w:marLeft w:val="0"/>
      <w:marRight w:val="0"/>
      <w:marTop w:val="0"/>
      <w:marBottom w:val="0"/>
      <w:divBdr>
        <w:top w:val="none" w:sz="0" w:space="0" w:color="auto"/>
        <w:left w:val="none" w:sz="0" w:space="0" w:color="auto"/>
        <w:bottom w:val="none" w:sz="0" w:space="0" w:color="auto"/>
        <w:right w:val="none" w:sz="0" w:space="0" w:color="auto"/>
      </w:divBdr>
    </w:div>
    <w:div w:id="1410613272">
      <w:bodyDiv w:val="1"/>
      <w:marLeft w:val="0"/>
      <w:marRight w:val="0"/>
      <w:marTop w:val="0"/>
      <w:marBottom w:val="0"/>
      <w:divBdr>
        <w:top w:val="none" w:sz="0" w:space="0" w:color="auto"/>
        <w:left w:val="none" w:sz="0" w:space="0" w:color="auto"/>
        <w:bottom w:val="none" w:sz="0" w:space="0" w:color="auto"/>
        <w:right w:val="none" w:sz="0" w:space="0" w:color="auto"/>
      </w:divBdr>
    </w:div>
    <w:div w:id="1476293939">
      <w:bodyDiv w:val="1"/>
      <w:marLeft w:val="0"/>
      <w:marRight w:val="0"/>
      <w:marTop w:val="0"/>
      <w:marBottom w:val="0"/>
      <w:divBdr>
        <w:top w:val="none" w:sz="0" w:space="0" w:color="auto"/>
        <w:left w:val="none" w:sz="0" w:space="0" w:color="auto"/>
        <w:bottom w:val="none" w:sz="0" w:space="0" w:color="auto"/>
        <w:right w:val="none" w:sz="0" w:space="0" w:color="auto"/>
      </w:divBdr>
    </w:div>
    <w:div w:id="1566139508">
      <w:bodyDiv w:val="1"/>
      <w:marLeft w:val="0"/>
      <w:marRight w:val="0"/>
      <w:marTop w:val="0"/>
      <w:marBottom w:val="0"/>
      <w:divBdr>
        <w:top w:val="none" w:sz="0" w:space="0" w:color="auto"/>
        <w:left w:val="none" w:sz="0" w:space="0" w:color="auto"/>
        <w:bottom w:val="none" w:sz="0" w:space="0" w:color="auto"/>
        <w:right w:val="none" w:sz="0" w:space="0" w:color="auto"/>
      </w:divBdr>
    </w:div>
    <w:div w:id="1613434016">
      <w:bodyDiv w:val="1"/>
      <w:marLeft w:val="0"/>
      <w:marRight w:val="0"/>
      <w:marTop w:val="0"/>
      <w:marBottom w:val="0"/>
      <w:divBdr>
        <w:top w:val="none" w:sz="0" w:space="0" w:color="auto"/>
        <w:left w:val="none" w:sz="0" w:space="0" w:color="auto"/>
        <w:bottom w:val="none" w:sz="0" w:space="0" w:color="auto"/>
        <w:right w:val="none" w:sz="0" w:space="0" w:color="auto"/>
      </w:divBdr>
    </w:div>
    <w:div w:id="1696300375">
      <w:bodyDiv w:val="1"/>
      <w:marLeft w:val="0"/>
      <w:marRight w:val="0"/>
      <w:marTop w:val="0"/>
      <w:marBottom w:val="0"/>
      <w:divBdr>
        <w:top w:val="none" w:sz="0" w:space="0" w:color="auto"/>
        <w:left w:val="none" w:sz="0" w:space="0" w:color="auto"/>
        <w:bottom w:val="none" w:sz="0" w:space="0" w:color="auto"/>
        <w:right w:val="none" w:sz="0" w:space="0" w:color="auto"/>
      </w:divBdr>
    </w:div>
    <w:div w:id="1727992419">
      <w:bodyDiv w:val="1"/>
      <w:marLeft w:val="0"/>
      <w:marRight w:val="0"/>
      <w:marTop w:val="0"/>
      <w:marBottom w:val="0"/>
      <w:divBdr>
        <w:top w:val="none" w:sz="0" w:space="0" w:color="auto"/>
        <w:left w:val="none" w:sz="0" w:space="0" w:color="auto"/>
        <w:bottom w:val="none" w:sz="0" w:space="0" w:color="auto"/>
        <w:right w:val="none" w:sz="0" w:space="0" w:color="auto"/>
      </w:divBdr>
    </w:div>
    <w:div w:id="1804543466">
      <w:bodyDiv w:val="1"/>
      <w:marLeft w:val="0"/>
      <w:marRight w:val="0"/>
      <w:marTop w:val="0"/>
      <w:marBottom w:val="0"/>
      <w:divBdr>
        <w:top w:val="none" w:sz="0" w:space="0" w:color="auto"/>
        <w:left w:val="none" w:sz="0" w:space="0" w:color="auto"/>
        <w:bottom w:val="none" w:sz="0" w:space="0" w:color="auto"/>
        <w:right w:val="none" w:sz="0" w:space="0" w:color="auto"/>
      </w:divBdr>
    </w:div>
    <w:div w:id="1812600783">
      <w:bodyDiv w:val="1"/>
      <w:marLeft w:val="0"/>
      <w:marRight w:val="0"/>
      <w:marTop w:val="0"/>
      <w:marBottom w:val="0"/>
      <w:divBdr>
        <w:top w:val="none" w:sz="0" w:space="0" w:color="auto"/>
        <w:left w:val="none" w:sz="0" w:space="0" w:color="auto"/>
        <w:bottom w:val="none" w:sz="0" w:space="0" w:color="auto"/>
        <w:right w:val="none" w:sz="0" w:space="0" w:color="auto"/>
      </w:divBdr>
      <w:divsChild>
        <w:div w:id="980768167">
          <w:marLeft w:val="0"/>
          <w:marRight w:val="0"/>
          <w:marTop w:val="0"/>
          <w:marBottom w:val="0"/>
          <w:divBdr>
            <w:top w:val="none" w:sz="0" w:space="0" w:color="auto"/>
            <w:left w:val="none" w:sz="0" w:space="0" w:color="auto"/>
            <w:bottom w:val="none" w:sz="0" w:space="0" w:color="auto"/>
            <w:right w:val="none" w:sz="0" w:space="0" w:color="auto"/>
          </w:divBdr>
        </w:div>
        <w:div w:id="220747761">
          <w:marLeft w:val="0"/>
          <w:marRight w:val="0"/>
          <w:marTop w:val="0"/>
          <w:marBottom w:val="0"/>
          <w:divBdr>
            <w:top w:val="none" w:sz="0" w:space="0" w:color="auto"/>
            <w:left w:val="none" w:sz="0" w:space="0" w:color="auto"/>
            <w:bottom w:val="none" w:sz="0" w:space="0" w:color="auto"/>
            <w:right w:val="none" w:sz="0" w:space="0" w:color="auto"/>
          </w:divBdr>
        </w:div>
      </w:divsChild>
    </w:div>
    <w:div w:id="1816146504">
      <w:bodyDiv w:val="1"/>
      <w:marLeft w:val="0"/>
      <w:marRight w:val="0"/>
      <w:marTop w:val="0"/>
      <w:marBottom w:val="0"/>
      <w:divBdr>
        <w:top w:val="none" w:sz="0" w:space="0" w:color="auto"/>
        <w:left w:val="none" w:sz="0" w:space="0" w:color="auto"/>
        <w:bottom w:val="none" w:sz="0" w:space="0" w:color="auto"/>
        <w:right w:val="none" w:sz="0" w:space="0" w:color="auto"/>
      </w:divBdr>
    </w:div>
    <w:div w:id="1826126364">
      <w:bodyDiv w:val="1"/>
      <w:marLeft w:val="0"/>
      <w:marRight w:val="0"/>
      <w:marTop w:val="0"/>
      <w:marBottom w:val="0"/>
      <w:divBdr>
        <w:top w:val="none" w:sz="0" w:space="0" w:color="auto"/>
        <w:left w:val="none" w:sz="0" w:space="0" w:color="auto"/>
        <w:bottom w:val="none" w:sz="0" w:space="0" w:color="auto"/>
        <w:right w:val="none" w:sz="0" w:space="0" w:color="auto"/>
      </w:divBdr>
    </w:div>
    <w:div w:id="1872915669">
      <w:bodyDiv w:val="1"/>
      <w:marLeft w:val="0"/>
      <w:marRight w:val="0"/>
      <w:marTop w:val="0"/>
      <w:marBottom w:val="0"/>
      <w:divBdr>
        <w:top w:val="none" w:sz="0" w:space="0" w:color="auto"/>
        <w:left w:val="none" w:sz="0" w:space="0" w:color="auto"/>
        <w:bottom w:val="none" w:sz="0" w:space="0" w:color="auto"/>
        <w:right w:val="none" w:sz="0" w:space="0" w:color="auto"/>
      </w:divBdr>
    </w:div>
    <w:div w:id="1893611421">
      <w:bodyDiv w:val="1"/>
      <w:marLeft w:val="0"/>
      <w:marRight w:val="0"/>
      <w:marTop w:val="0"/>
      <w:marBottom w:val="0"/>
      <w:divBdr>
        <w:top w:val="none" w:sz="0" w:space="0" w:color="auto"/>
        <w:left w:val="none" w:sz="0" w:space="0" w:color="auto"/>
        <w:bottom w:val="none" w:sz="0" w:space="0" w:color="auto"/>
        <w:right w:val="none" w:sz="0" w:space="0" w:color="auto"/>
      </w:divBdr>
    </w:div>
    <w:div w:id="1900822018">
      <w:bodyDiv w:val="1"/>
      <w:marLeft w:val="0"/>
      <w:marRight w:val="0"/>
      <w:marTop w:val="0"/>
      <w:marBottom w:val="0"/>
      <w:divBdr>
        <w:top w:val="none" w:sz="0" w:space="0" w:color="auto"/>
        <w:left w:val="none" w:sz="0" w:space="0" w:color="auto"/>
        <w:bottom w:val="none" w:sz="0" w:space="0" w:color="auto"/>
        <w:right w:val="none" w:sz="0" w:space="0" w:color="auto"/>
      </w:divBdr>
    </w:div>
    <w:div w:id="1914780677">
      <w:bodyDiv w:val="1"/>
      <w:marLeft w:val="0"/>
      <w:marRight w:val="0"/>
      <w:marTop w:val="0"/>
      <w:marBottom w:val="0"/>
      <w:divBdr>
        <w:top w:val="none" w:sz="0" w:space="0" w:color="auto"/>
        <w:left w:val="none" w:sz="0" w:space="0" w:color="auto"/>
        <w:bottom w:val="none" w:sz="0" w:space="0" w:color="auto"/>
        <w:right w:val="none" w:sz="0" w:space="0" w:color="auto"/>
      </w:divBdr>
    </w:div>
    <w:div w:id="2012247726">
      <w:bodyDiv w:val="1"/>
      <w:marLeft w:val="0"/>
      <w:marRight w:val="0"/>
      <w:marTop w:val="0"/>
      <w:marBottom w:val="0"/>
      <w:divBdr>
        <w:top w:val="none" w:sz="0" w:space="0" w:color="auto"/>
        <w:left w:val="none" w:sz="0" w:space="0" w:color="auto"/>
        <w:bottom w:val="none" w:sz="0" w:space="0" w:color="auto"/>
        <w:right w:val="none" w:sz="0" w:space="0" w:color="auto"/>
      </w:divBdr>
    </w:div>
    <w:div w:id="2055302564">
      <w:bodyDiv w:val="1"/>
      <w:marLeft w:val="0"/>
      <w:marRight w:val="0"/>
      <w:marTop w:val="0"/>
      <w:marBottom w:val="0"/>
      <w:divBdr>
        <w:top w:val="none" w:sz="0" w:space="0" w:color="auto"/>
        <w:left w:val="none" w:sz="0" w:space="0" w:color="auto"/>
        <w:bottom w:val="none" w:sz="0" w:space="0" w:color="auto"/>
        <w:right w:val="none" w:sz="0" w:space="0" w:color="auto"/>
      </w:divBdr>
    </w:div>
    <w:div w:id="210010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geert-hofstede.com/" TargetMode="External"/><Relationship Id="rId18" Type="http://schemas.openxmlformats.org/officeDocument/2006/relationships/chart" Target="charts/chart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en.wikipedia.org/wiki/Investment" TargetMode="External"/><Relationship Id="rId17" Type="http://schemas.openxmlformats.org/officeDocument/2006/relationships/hyperlink" Target="http://epp.eurostat.ec.europa.eu/statistics_explained/index.php/Glossary:Total-age-dependency_ratio" TargetMode="External"/><Relationship Id="rId25" Type="http://schemas.openxmlformats.org/officeDocument/2006/relationships/hyperlink" Target="http://www.milliondollarjourney.com/defined-benefit-pension-vs-defined-contribution-pension.htm"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www.oecd.org/"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www.trademap.org/stdevelopingcountries.aspx" TargetMode="External"/><Relationship Id="rId28" Type="http://schemas.microsoft.com/office/2007/relationships/stylesWithEffects" Target="stylesWithEffects.xml"/><Relationship Id="rId10" Type="http://schemas.openxmlformats.org/officeDocument/2006/relationships/footer" Target="footer3.xml"/><Relationship Id="rId19" Type="http://schemas.openxmlformats.org/officeDocument/2006/relationships/hyperlink" Target="http://en.wikipedia.org/wiki/Pensio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oter" Target="footer5.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
  <c:chart>
    <c:plotArea>
      <c:layout/>
      <c:barChart>
        <c:barDir val="col"/>
        <c:grouping val="percentStacked"/>
        <c:ser>
          <c:idx val="0"/>
          <c:order val="0"/>
          <c:tx>
            <c:strRef>
              <c:f>Sheet1!$B$1</c:f>
              <c:strCache>
                <c:ptCount val="1"/>
                <c:pt idx="0">
                  <c:v>Equities</c:v>
                </c:pt>
              </c:strCache>
            </c:strRef>
          </c:tx>
          <c:cat>
            <c:strRef>
              <c:f>Sheet1!$A$2:$A$6</c:f>
              <c:strCache>
                <c:ptCount val="5"/>
                <c:pt idx="0">
                  <c:v>Sweden</c:v>
                </c:pt>
                <c:pt idx="1">
                  <c:v>Belgium</c:v>
                </c:pt>
                <c:pt idx="2">
                  <c:v>Germany</c:v>
                </c:pt>
                <c:pt idx="3">
                  <c:v>Netherlands</c:v>
                </c:pt>
                <c:pt idx="4">
                  <c:v>Denmark</c:v>
                </c:pt>
              </c:strCache>
            </c:strRef>
          </c:cat>
          <c:val>
            <c:numRef>
              <c:f>Sheet1!$B$2:$B$6</c:f>
              <c:numCache>
                <c:formatCode>Standaard</c:formatCode>
                <c:ptCount val="5"/>
                <c:pt idx="0">
                  <c:v>40</c:v>
                </c:pt>
                <c:pt idx="1">
                  <c:v>38</c:v>
                </c:pt>
                <c:pt idx="2">
                  <c:v>5</c:v>
                </c:pt>
                <c:pt idx="3">
                  <c:v>26</c:v>
                </c:pt>
                <c:pt idx="4">
                  <c:v>23</c:v>
                </c:pt>
              </c:numCache>
            </c:numRef>
          </c:val>
        </c:ser>
        <c:ser>
          <c:idx val="1"/>
          <c:order val="1"/>
          <c:tx>
            <c:strRef>
              <c:f>Sheet1!$C$1</c:f>
              <c:strCache>
                <c:ptCount val="1"/>
                <c:pt idx="0">
                  <c:v>Bonds</c:v>
                </c:pt>
              </c:strCache>
            </c:strRef>
          </c:tx>
          <c:dLbls>
            <c:showVal val="1"/>
          </c:dLbls>
          <c:cat>
            <c:strRef>
              <c:f>Sheet1!$A$2:$A$6</c:f>
              <c:strCache>
                <c:ptCount val="5"/>
                <c:pt idx="0">
                  <c:v>Sweden</c:v>
                </c:pt>
                <c:pt idx="1">
                  <c:v>Belgium</c:v>
                </c:pt>
                <c:pt idx="2">
                  <c:v>Germany</c:v>
                </c:pt>
                <c:pt idx="3">
                  <c:v>Netherlands</c:v>
                </c:pt>
                <c:pt idx="4">
                  <c:v>Denmark</c:v>
                </c:pt>
              </c:strCache>
            </c:strRef>
          </c:cat>
          <c:val>
            <c:numRef>
              <c:f>Sheet1!$C$2:$C$6</c:f>
              <c:numCache>
                <c:formatCode>Standaard</c:formatCode>
                <c:ptCount val="5"/>
                <c:pt idx="0">
                  <c:v>49</c:v>
                </c:pt>
                <c:pt idx="1">
                  <c:v>58</c:v>
                </c:pt>
                <c:pt idx="2">
                  <c:v>76</c:v>
                </c:pt>
                <c:pt idx="3">
                  <c:v>66</c:v>
                </c:pt>
                <c:pt idx="4">
                  <c:v>65</c:v>
                </c:pt>
              </c:numCache>
            </c:numRef>
          </c:val>
        </c:ser>
        <c:ser>
          <c:idx val="2"/>
          <c:order val="2"/>
          <c:tx>
            <c:strRef>
              <c:f>Sheet1!$D$1</c:f>
              <c:strCache>
                <c:ptCount val="1"/>
                <c:pt idx="0">
                  <c:v>Property</c:v>
                </c:pt>
              </c:strCache>
            </c:strRef>
          </c:tx>
          <c:cat>
            <c:strRef>
              <c:f>Sheet1!$A$2:$A$6</c:f>
              <c:strCache>
                <c:ptCount val="5"/>
                <c:pt idx="0">
                  <c:v>Sweden</c:v>
                </c:pt>
                <c:pt idx="1">
                  <c:v>Belgium</c:v>
                </c:pt>
                <c:pt idx="2">
                  <c:v>Germany</c:v>
                </c:pt>
                <c:pt idx="3">
                  <c:v>Netherlands</c:v>
                </c:pt>
                <c:pt idx="4">
                  <c:v>Denmark</c:v>
                </c:pt>
              </c:strCache>
            </c:strRef>
          </c:cat>
          <c:val>
            <c:numRef>
              <c:f>Sheet1!$D$2:$D$6</c:f>
              <c:numCache>
                <c:formatCode>Standaard</c:formatCode>
                <c:ptCount val="5"/>
                <c:pt idx="0">
                  <c:v>4</c:v>
                </c:pt>
                <c:pt idx="1">
                  <c:v>0</c:v>
                </c:pt>
                <c:pt idx="2">
                  <c:v>6</c:v>
                </c:pt>
                <c:pt idx="3">
                  <c:v>3</c:v>
                </c:pt>
                <c:pt idx="4">
                  <c:v>7</c:v>
                </c:pt>
              </c:numCache>
            </c:numRef>
          </c:val>
        </c:ser>
        <c:ser>
          <c:idx val="3"/>
          <c:order val="3"/>
          <c:tx>
            <c:strRef>
              <c:f>Sheet1!$E$1</c:f>
              <c:strCache>
                <c:ptCount val="1"/>
                <c:pt idx="0">
                  <c:v>Other</c:v>
                </c:pt>
              </c:strCache>
            </c:strRef>
          </c:tx>
          <c:cat>
            <c:strRef>
              <c:f>Sheet1!$A$2:$A$6</c:f>
              <c:strCache>
                <c:ptCount val="5"/>
                <c:pt idx="0">
                  <c:v>Sweden</c:v>
                </c:pt>
                <c:pt idx="1">
                  <c:v>Belgium</c:v>
                </c:pt>
                <c:pt idx="2">
                  <c:v>Germany</c:v>
                </c:pt>
                <c:pt idx="3">
                  <c:v>Netherlands</c:v>
                </c:pt>
                <c:pt idx="4">
                  <c:v>Denmark</c:v>
                </c:pt>
              </c:strCache>
            </c:strRef>
          </c:cat>
          <c:val>
            <c:numRef>
              <c:f>Sheet1!$E$2:$E$6</c:f>
              <c:numCache>
                <c:formatCode>Standaard</c:formatCode>
                <c:ptCount val="5"/>
                <c:pt idx="0">
                  <c:v>7</c:v>
                </c:pt>
                <c:pt idx="1">
                  <c:v>4</c:v>
                </c:pt>
                <c:pt idx="2">
                  <c:v>13</c:v>
                </c:pt>
                <c:pt idx="3">
                  <c:v>5</c:v>
                </c:pt>
                <c:pt idx="4">
                  <c:v>5</c:v>
                </c:pt>
              </c:numCache>
            </c:numRef>
          </c:val>
        </c:ser>
        <c:overlap val="100"/>
        <c:axId val="104726528"/>
        <c:axId val="104728064"/>
      </c:barChart>
      <c:catAx>
        <c:axId val="104726528"/>
        <c:scaling>
          <c:orientation val="minMax"/>
        </c:scaling>
        <c:axPos val="b"/>
        <c:tickLblPos val="nextTo"/>
        <c:crossAx val="104728064"/>
        <c:crosses val="autoZero"/>
        <c:auto val="1"/>
        <c:lblAlgn val="ctr"/>
        <c:lblOffset val="100"/>
      </c:catAx>
      <c:valAx>
        <c:axId val="104728064"/>
        <c:scaling>
          <c:orientation val="minMax"/>
        </c:scaling>
        <c:axPos val="l"/>
        <c:majorGridlines/>
        <c:numFmt formatCode="0%" sourceLinked="1"/>
        <c:tickLblPos val="nextTo"/>
        <c:crossAx val="104726528"/>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plotArea>
      <c:layout/>
      <c:lineChart>
        <c:grouping val="stacked"/>
        <c:ser>
          <c:idx val="0"/>
          <c:order val="0"/>
          <c:tx>
            <c:strRef>
              <c:f>Sheet1!$B$1</c:f>
              <c:strCache>
                <c:ptCount val="1"/>
                <c:pt idx="0">
                  <c:v>Series 1</c:v>
                </c:pt>
              </c:strCache>
            </c:strRef>
          </c:tx>
          <c:marker>
            <c:symbol val="none"/>
          </c:marker>
          <c:cat>
            <c:strRef>
              <c:f>Sheet1!$A$2:$A$50</c:f>
              <c:strCache>
                <c:ptCount val="4"/>
                <c:pt idx="0">
                  <c:v>Category 1</c:v>
                </c:pt>
                <c:pt idx="1">
                  <c:v>Category 2</c:v>
                </c:pt>
                <c:pt idx="2">
                  <c:v>Category 3</c:v>
                </c:pt>
                <c:pt idx="3">
                  <c:v>Category 4</c:v>
                </c:pt>
              </c:strCache>
            </c:strRef>
          </c:cat>
          <c:val>
            <c:numRef>
              <c:f>Sheet1!$B$2:$B$50</c:f>
              <c:numCache>
                <c:formatCode>Standaard</c:formatCode>
                <c:ptCount val="49"/>
                <c:pt idx="0">
                  <c:v>0.49685100000000032</c:v>
                </c:pt>
                <c:pt idx="1">
                  <c:v>0.25952700000000001</c:v>
                </c:pt>
                <c:pt idx="2">
                  <c:v>0.34757100000000002</c:v>
                </c:pt>
                <c:pt idx="3">
                  <c:v>0.29800000000000032</c:v>
                </c:pt>
                <c:pt idx="4">
                  <c:v>0.127</c:v>
                </c:pt>
                <c:pt idx="5">
                  <c:v>0.3092410000000001</c:v>
                </c:pt>
                <c:pt idx="6">
                  <c:v>0.40612200000000032</c:v>
                </c:pt>
                <c:pt idx="7">
                  <c:v>0.33100000000000246</c:v>
                </c:pt>
                <c:pt idx="8">
                  <c:v>0</c:v>
                </c:pt>
                <c:pt idx="9">
                  <c:v>4.2470000000000034E-3</c:v>
                </c:pt>
                <c:pt idx="10">
                  <c:v>0.12814400000000001</c:v>
                </c:pt>
                <c:pt idx="11">
                  <c:v>7.7213000000000032E-2</c:v>
                </c:pt>
                <c:pt idx="12">
                  <c:v>0.41345400000000032</c:v>
                </c:pt>
                <c:pt idx="13">
                  <c:v>3.6998000000000003E-2</c:v>
                </c:pt>
                <c:pt idx="14">
                  <c:v>5.4830000000000512E-3</c:v>
                </c:pt>
                <c:pt idx="15">
                  <c:v>0.54100000000000004</c:v>
                </c:pt>
                <c:pt idx="16">
                  <c:v>8.6163000000000003E-2</c:v>
                </c:pt>
                <c:pt idx="17">
                  <c:v>0.188223000000001</c:v>
                </c:pt>
                <c:pt idx="18">
                  <c:v>4.9874000000000022E-2</c:v>
                </c:pt>
                <c:pt idx="19">
                  <c:v>0</c:v>
                </c:pt>
                <c:pt idx="20">
                  <c:v>0.05</c:v>
                </c:pt>
                <c:pt idx="21">
                  <c:v>0.15337899999999999</c:v>
                </c:pt>
                <c:pt idx="22">
                  <c:v>0.16</c:v>
                </c:pt>
                <c:pt idx="23">
                  <c:v>8.7209000000000009E-2</c:v>
                </c:pt>
                <c:pt idx="24">
                  <c:v>1.9900000000000256E-4</c:v>
                </c:pt>
                <c:pt idx="25">
                  <c:v>9.1790000000000066E-3</c:v>
                </c:pt>
                <c:pt idx="26">
                  <c:v>0.13370099999999999</c:v>
                </c:pt>
                <c:pt idx="27">
                  <c:v>0.34817600000000032</c:v>
                </c:pt>
                <c:pt idx="28">
                  <c:v>0.175542000000001</c:v>
                </c:pt>
                <c:pt idx="29">
                  <c:v>0.33513000000000032</c:v>
                </c:pt>
                <c:pt idx="30">
                  <c:v>0.28991500000000031</c:v>
                </c:pt>
                <c:pt idx="31">
                  <c:v>0.28670600000000002</c:v>
                </c:pt>
                <c:pt idx="32">
                  <c:v>0.43936800000000287</c:v>
                </c:pt>
                <c:pt idx="33">
                  <c:v>0.30683600000000189</c:v>
                </c:pt>
                <c:pt idx="34">
                  <c:v>0.24491800000000175</c:v>
                </c:pt>
                <c:pt idx="35">
                  <c:v>0.11889300000000012</c:v>
                </c:pt>
                <c:pt idx="36">
                  <c:v>5.4429000000000012E-2</c:v>
                </c:pt>
                <c:pt idx="37">
                  <c:v>1.2770999999999998E-2</c:v>
                </c:pt>
                <c:pt idx="38">
                  <c:v>1.5407000000000001E-2</c:v>
                </c:pt>
                <c:pt idx="39">
                  <c:v>0</c:v>
                </c:pt>
                <c:pt idx="40">
                  <c:v>9.9414000000000002E-2</c:v>
                </c:pt>
                <c:pt idx="41">
                  <c:v>0</c:v>
                </c:pt>
                <c:pt idx="42">
                  <c:v>0.113885</c:v>
                </c:pt>
                <c:pt idx="43">
                  <c:v>0.2601730000000001</c:v>
                </c:pt>
                <c:pt idx="44">
                  <c:v>0.11752300000000022</c:v>
                </c:pt>
                <c:pt idx="45">
                  <c:v>0</c:v>
                </c:pt>
                <c:pt idx="46">
                  <c:v>0.12089999999999998</c:v>
                </c:pt>
                <c:pt idx="47">
                  <c:v>0</c:v>
                </c:pt>
                <c:pt idx="48">
                  <c:v>0.48038700000000212</c:v>
                </c:pt>
              </c:numCache>
            </c:numRef>
          </c:val>
        </c:ser>
        <c:hiLowLines/>
        <c:marker val="1"/>
        <c:axId val="104744448"/>
        <c:axId val="104746368"/>
      </c:lineChart>
      <c:catAx>
        <c:axId val="104744448"/>
        <c:scaling>
          <c:orientation val="minMax"/>
        </c:scaling>
        <c:delete val="1"/>
        <c:axPos val="b"/>
        <c:title>
          <c:tx>
            <c:rich>
              <a:bodyPr/>
              <a:lstStyle/>
              <a:p>
                <a:pPr>
                  <a:defRPr/>
                </a:pPr>
                <a:r>
                  <a:rPr lang="en-US"/>
                  <a:t>percentage</a:t>
                </a:r>
                <a:r>
                  <a:rPr lang="en-US" baseline="0"/>
                  <a:t> of equity investments for the 49 countries,</a:t>
                </a:r>
                <a:endParaRPr lang="en-US"/>
              </a:p>
            </c:rich>
          </c:tx>
        </c:title>
        <c:tickLblPos val="none"/>
        <c:crossAx val="104746368"/>
        <c:crosses val="autoZero"/>
        <c:auto val="1"/>
        <c:lblAlgn val="ctr"/>
        <c:lblOffset val="100"/>
      </c:catAx>
      <c:valAx>
        <c:axId val="104746368"/>
        <c:scaling>
          <c:orientation val="minMax"/>
          <c:max val="1"/>
          <c:min val="0"/>
        </c:scaling>
        <c:axPos val="l"/>
        <c:majorGridlines/>
        <c:numFmt formatCode="Standaard" sourceLinked="0"/>
        <c:tickLblPos val="nextTo"/>
        <c:crossAx val="104744448"/>
        <c:crosses val="autoZero"/>
        <c:crossBetween val="between"/>
      </c:valAx>
    </c:plotArea>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plotArea>
      <c:layout/>
      <c:barChart>
        <c:barDir val="bar"/>
        <c:grouping val="clustered"/>
        <c:ser>
          <c:idx val="0"/>
          <c:order val="0"/>
          <c:tx>
            <c:strRef>
              <c:f>Sheet1!$B$1</c:f>
              <c:strCache>
                <c:ptCount val="1"/>
                <c:pt idx="0">
                  <c:v>Equity limits in investments as a percentage of total investments</c:v>
                </c:pt>
              </c:strCache>
            </c:strRef>
          </c:tx>
          <c:dLbls>
            <c:showVal val="1"/>
          </c:dLbls>
          <c:cat>
            <c:strRef>
              <c:f>Sheet1!$A$2:$A$50</c:f>
              <c:strCache>
                <c:ptCount val="49"/>
                <c:pt idx="0">
                  <c:v>United States</c:v>
                </c:pt>
                <c:pt idx="1">
                  <c:v>Turkey</c:v>
                </c:pt>
                <c:pt idx="2">
                  <c:v>Trinidad and Tobago</c:v>
                </c:pt>
                <c:pt idx="3">
                  <c:v>Thailand</c:v>
                </c:pt>
                <c:pt idx="4">
                  <c:v>Switzerland Fr</c:v>
                </c:pt>
                <c:pt idx="5">
                  <c:v>Sweden</c:v>
                </c:pt>
                <c:pt idx="6">
                  <c:v>Suriname</c:v>
                </c:pt>
                <c:pt idx="7">
                  <c:v>Spain</c:v>
                </c:pt>
                <c:pt idx="8">
                  <c:v>Slovenia</c:v>
                </c:pt>
                <c:pt idx="9">
                  <c:v>Slovak Republic</c:v>
                </c:pt>
                <c:pt idx="10">
                  <c:v>Serbia</c:v>
                </c:pt>
                <c:pt idx="11">
                  <c:v>S Korea</c:v>
                </c:pt>
                <c:pt idx="12">
                  <c:v>Romania</c:v>
                </c:pt>
                <c:pt idx="13">
                  <c:v>Portugal</c:v>
                </c:pt>
                <c:pt idx="14">
                  <c:v>Poland</c:v>
                </c:pt>
                <c:pt idx="15">
                  <c:v>Peru</c:v>
                </c:pt>
                <c:pt idx="16">
                  <c:v>Pakistan</c:v>
                </c:pt>
                <c:pt idx="17">
                  <c:v>Norway</c:v>
                </c:pt>
                <c:pt idx="18">
                  <c:v>Netherlands</c:v>
                </c:pt>
                <c:pt idx="19">
                  <c:v>Mexico</c:v>
                </c:pt>
                <c:pt idx="20">
                  <c:v>Malta</c:v>
                </c:pt>
                <c:pt idx="21">
                  <c:v>Luxembourg</c:v>
                </c:pt>
                <c:pt idx="22">
                  <c:v>Latvia</c:v>
                </c:pt>
                <c:pt idx="23">
                  <c:v>Japan</c:v>
                </c:pt>
                <c:pt idx="24">
                  <c:v>Jamaica</c:v>
                </c:pt>
                <c:pt idx="25">
                  <c:v>Italy</c:v>
                </c:pt>
                <c:pt idx="26">
                  <c:v>Israel</c:v>
                </c:pt>
                <c:pt idx="27">
                  <c:v>Ireland</c:v>
                </c:pt>
                <c:pt idx="28">
                  <c:v>Indonesia</c:v>
                </c:pt>
                <c:pt idx="29">
                  <c:v>India</c:v>
                </c:pt>
                <c:pt idx="30">
                  <c:v>Hungary</c:v>
                </c:pt>
                <c:pt idx="31">
                  <c:v>Hong Kong SAR, China</c:v>
                </c:pt>
                <c:pt idx="32">
                  <c:v>Greece</c:v>
                </c:pt>
                <c:pt idx="33">
                  <c:v>Great Britain</c:v>
                </c:pt>
                <c:pt idx="34">
                  <c:v>Germany</c:v>
                </c:pt>
                <c:pt idx="35">
                  <c:v>Finland</c:v>
                </c:pt>
                <c:pt idx="36">
                  <c:v>Estonia</c:v>
                </c:pt>
                <c:pt idx="37">
                  <c:v>Denmark</c:v>
                </c:pt>
                <c:pt idx="38">
                  <c:v>Czech Republic</c:v>
                </c:pt>
                <c:pt idx="39">
                  <c:v>Costa Rica</c:v>
                </c:pt>
                <c:pt idx="40">
                  <c:v>Colombia</c:v>
                </c:pt>
                <c:pt idx="41">
                  <c:v>Chile</c:v>
                </c:pt>
                <c:pt idx="42">
                  <c:v>Canada</c:v>
                </c:pt>
                <c:pt idx="43">
                  <c:v>Bulgaria</c:v>
                </c:pt>
                <c:pt idx="44">
                  <c:v>Brazil</c:v>
                </c:pt>
                <c:pt idx="45">
                  <c:v>Belgium</c:v>
                </c:pt>
                <c:pt idx="46">
                  <c:v>Austria</c:v>
                </c:pt>
                <c:pt idx="47">
                  <c:v>Australia</c:v>
                </c:pt>
                <c:pt idx="48">
                  <c:v>Africa S</c:v>
                </c:pt>
              </c:strCache>
            </c:strRef>
          </c:cat>
          <c:val>
            <c:numRef>
              <c:f>Sheet1!$B$2:$B$50</c:f>
              <c:numCache>
                <c:formatCode>Standaard</c:formatCode>
                <c:ptCount val="49"/>
                <c:pt idx="0">
                  <c:v>100</c:v>
                </c:pt>
                <c:pt idx="1">
                  <c:v>100</c:v>
                </c:pt>
                <c:pt idx="2">
                  <c:v>60</c:v>
                </c:pt>
                <c:pt idx="3">
                  <c:v>100</c:v>
                </c:pt>
                <c:pt idx="4">
                  <c:v>50</c:v>
                </c:pt>
                <c:pt idx="5">
                  <c:v>100</c:v>
                </c:pt>
                <c:pt idx="6">
                  <c:v>0</c:v>
                </c:pt>
                <c:pt idx="7">
                  <c:v>100</c:v>
                </c:pt>
                <c:pt idx="8">
                  <c:v>30</c:v>
                </c:pt>
                <c:pt idx="9">
                  <c:v>43</c:v>
                </c:pt>
                <c:pt idx="10">
                  <c:v>0</c:v>
                </c:pt>
                <c:pt idx="11">
                  <c:v>30</c:v>
                </c:pt>
                <c:pt idx="12">
                  <c:v>50</c:v>
                </c:pt>
                <c:pt idx="13">
                  <c:v>100</c:v>
                </c:pt>
                <c:pt idx="14">
                  <c:v>40</c:v>
                </c:pt>
                <c:pt idx="15">
                  <c:v>20</c:v>
                </c:pt>
                <c:pt idx="16">
                  <c:v>100</c:v>
                </c:pt>
                <c:pt idx="17">
                  <c:v>35</c:v>
                </c:pt>
                <c:pt idx="18">
                  <c:v>100</c:v>
                </c:pt>
                <c:pt idx="19">
                  <c:v>23</c:v>
                </c:pt>
                <c:pt idx="20">
                  <c:v>10</c:v>
                </c:pt>
                <c:pt idx="21">
                  <c:v>100</c:v>
                </c:pt>
                <c:pt idx="22">
                  <c:v>20</c:v>
                </c:pt>
                <c:pt idx="23">
                  <c:v>100</c:v>
                </c:pt>
                <c:pt idx="24">
                  <c:v>100</c:v>
                </c:pt>
                <c:pt idx="25">
                  <c:v>100</c:v>
                </c:pt>
                <c:pt idx="26">
                  <c:v>100</c:v>
                </c:pt>
                <c:pt idx="27">
                  <c:v>100</c:v>
                </c:pt>
                <c:pt idx="28">
                  <c:v>0</c:v>
                </c:pt>
                <c:pt idx="29">
                  <c:v>32.5</c:v>
                </c:pt>
                <c:pt idx="30">
                  <c:v>100</c:v>
                </c:pt>
                <c:pt idx="31">
                  <c:v>10</c:v>
                </c:pt>
                <c:pt idx="32">
                  <c:v>70</c:v>
                </c:pt>
                <c:pt idx="33">
                  <c:v>100</c:v>
                </c:pt>
                <c:pt idx="34">
                  <c:v>35</c:v>
                </c:pt>
                <c:pt idx="35">
                  <c:v>100</c:v>
                </c:pt>
                <c:pt idx="36">
                  <c:v>37.5</c:v>
                </c:pt>
                <c:pt idx="37">
                  <c:v>70</c:v>
                </c:pt>
                <c:pt idx="38">
                  <c:v>37.5</c:v>
                </c:pt>
                <c:pt idx="39">
                  <c:v>10</c:v>
                </c:pt>
                <c:pt idx="40">
                  <c:v>40</c:v>
                </c:pt>
                <c:pt idx="41">
                  <c:v>41</c:v>
                </c:pt>
                <c:pt idx="42">
                  <c:v>100</c:v>
                </c:pt>
                <c:pt idx="43">
                  <c:v>20</c:v>
                </c:pt>
                <c:pt idx="44">
                  <c:v>60</c:v>
                </c:pt>
                <c:pt idx="45">
                  <c:v>100</c:v>
                </c:pt>
                <c:pt idx="46">
                  <c:v>70</c:v>
                </c:pt>
                <c:pt idx="47">
                  <c:v>100</c:v>
                </c:pt>
                <c:pt idx="48">
                  <c:v>75</c:v>
                </c:pt>
              </c:numCache>
            </c:numRef>
          </c:val>
        </c:ser>
        <c:gapWidth val="75"/>
        <c:overlap val="-25"/>
        <c:axId val="105863808"/>
        <c:axId val="105869696"/>
      </c:barChart>
      <c:catAx>
        <c:axId val="105863808"/>
        <c:scaling>
          <c:orientation val="minMax"/>
        </c:scaling>
        <c:axPos val="l"/>
        <c:majorTickMark val="none"/>
        <c:tickLblPos val="nextTo"/>
        <c:crossAx val="105869696"/>
        <c:crosses val="autoZero"/>
        <c:auto val="1"/>
        <c:lblAlgn val="ctr"/>
        <c:lblOffset val="100"/>
      </c:catAx>
      <c:valAx>
        <c:axId val="105869696"/>
        <c:scaling>
          <c:orientation val="minMax"/>
          <c:max val="100"/>
        </c:scaling>
        <c:axPos val="b"/>
        <c:majorGridlines/>
        <c:numFmt formatCode="Standaard" sourceLinked="1"/>
        <c:majorTickMark val="none"/>
        <c:tickLblPos val="nextTo"/>
        <c:crossAx val="105863808"/>
        <c:crosses val="autoZero"/>
        <c:crossBetween val="between"/>
      </c:valAx>
    </c:plotArea>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1"/>
  <c:chart>
    <c:title>
      <c:tx>
        <c:rich>
          <a:bodyPr/>
          <a:lstStyle/>
          <a:p>
            <a:pPr>
              <a:defRPr/>
            </a:pPr>
            <a:r>
              <a:rPr lang="en-US"/>
              <a:t>Age</a:t>
            </a:r>
            <a:r>
              <a:rPr lang="en-US" baseline="0"/>
              <a:t> Dependency Ratio</a:t>
            </a:r>
            <a:endParaRPr lang="en-US"/>
          </a:p>
        </c:rich>
      </c:tx>
    </c:title>
    <c:plotArea>
      <c:layout>
        <c:manualLayout>
          <c:layoutTarget val="inner"/>
          <c:xMode val="edge"/>
          <c:yMode val="edge"/>
          <c:x val="3.0847872689926569E-2"/>
          <c:y val="0.14335031531072148"/>
          <c:w val="0.95429512594818322"/>
          <c:h val="0.45873805693097564"/>
        </c:manualLayout>
      </c:layout>
      <c:lineChart>
        <c:grouping val="standard"/>
        <c:ser>
          <c:idx val="0"/>
          <c:order val="0"/>
          <c:tx>
            <c:strRef>
              <c:f>Sheet1!$B$1</c:f>
              <c:strCache>
                <c:ptCount val="1"/>
                <c:pt idx="0">
                  <c:v>AGEDR</c:v>
                </c:pt>
              </c:strCache>
            </c:strRef>
          </c:tx>
          <c:marker>
            <c:symbol val="none"/>
          </c:marker>
          <c:cat>
            <c:strRef>
              <c:f>Sheet1!$A$2:$A$50</c:f>
              <c:strCache>
                <c:ptCount val="49"/>
                <c:pt idx="0">
                  <c:v>Africa S(wte)</c:v>
                </c:pt>
                <c:pt idx="1">
                  <c:v>Australia</c:v>
                </c:pt>
                <c:pt idx="2">
                  <c:v>Austria</c:v>
                </c:pt>
                <c:pt idx="3">
                  <c:v>Belgium</c:v>
                </c:pt>
                <c:pt idx="4">
                  <c:v>Brazil</c:v>
                </c:pt>
                <c:pt idx="5">
                  <c:v>Bulgaria</c:v>
                </c:pt>
                <c:pt idx="6">
                  <c:v>Canada</c:v>
                </c:pt>
                <c:pt idx="7">
                  <c:v>Chile</c:v>
                </c:pt>
                <c:pt idx="8">
                  <c:v>Colombia</c:v>
                </c:pt>
                <c:pt idx="9">
                  <c:v>Costa Rica</c:v>
                </c:pt>
                <c:pt idx="10">
                  <c:v>Czech Republic</c:v>
                </c:pt>
                <c:pt idx="11">
                  <c:v>Denmark</c:v>
                </c:pt>
                <c:pt idx="12">
                  <c:v>Estonia</c:v>
                </c:pt>
                <c:pt idx="13">
                  <c:v>Finland</c:v>
                </c:pt>
                <c:pt idx="14">
                  <c:v>Germany</c:v>
                </c:pt>
                <c:pt idx="15">
                  <c:v>Great Britain</c:v>
                </c:pt>
                <c:pt idx="16">
                  <c:v>Greece</c:v>
                </c:pt>
                <c:pt idx="17">
                  <c:v>Hong kong</c:v>
                </c:pt>
                <c:pt idx="18">
                  <c:v>Hungary</c:v>
                </c:pt>
                <c:pt idx="19">
                  <c:v>India</c:v>
                </c:pt>
                <c:pt idx="20">
                  <c:v>Indonesia</c:v>
                </c:pt>
                <c:pt idx="21">
                  <c:v>Ireland</c:v>
                </c:pt>
                <c:pt idx="22">
                  <c:v>Israel</c:v>
                </c:pt>
                <c:pt idx="23">
                  <c:v>Italy</c:v>
                </c:pt>
                <c:pt idx="24">
                  <c:v>Jamaica</c:v>
                </c:pt>
                <c:pt idx="25">
                  <c:v>Japan</c:v>
                </c:pt>
                <c:pt idx="26">
                  <c:v>Latvia</c:v>
                </c:pt>
                <c:pt idx="27">
                  <c:v>Luxembourg</c:v>
                </c:pt>
                <c:pt idx="28">
                  <c:v>Malta</c:v>
                </c:pt>
                <c:pt idx="29">
                  <c:v>Mexico</c:v>
                </c:pt>
                <c:pt idx="30">
                  <c:v>Netherlands</c:v>
                </c:pt>
                <c:pt idx="31">
                  <c:v>Norway</c:v>
                </c:pt>
                <c:pt idx="32">
                  <c:v>Pakistan</c:v>
                </c:pt>
                <c:pt idx="33">
                  <c:v>Peru</c:v>
                </c:pt>
                <c:pt idx="34">
                  <c:v>Poland</c:v>
                </c:pt>
                <c:pt idx="35">
                  <c:v>Portugal</c:v>
                </c:pt>
                <c:pt idx="36">
                  <c:v>Romania</c:v>
                </c:pt>
                <c:pt idx="37">
                  <c:v>Serbia</c:v>
                </c:pt>
                <c:pt idx="38">
                  <c:v>S Korea</c:v>
                </c:pt>
                <c:pt idx="39">
                  <c:v>Slovakia</c:v>
                </c:pt>
                <c:pt idx="40">
                  <c:v>Slovenia</c:v>
                </c:pt>
                <c:pt idx="41">
                  <c:v>Spain</c:v>
                </c:pt>
                <c:pt idx="42">
                  <c:v>Suriname</c:v>
                </c:pt>
                <c:pt idx="43">
                  <c:v>Sweden</c:v>
                </c:pt>
                <c:pt idx="44">
                  <c:v>Switzerland</c:v>
                </c:pt>
                <c:pt idx="45">
                  <c:v>Thailand</c:v>
                </c:pt>
                <c:pt idx="46">
                  <c:v>Trinidad</c:v>
                </c:pt>
                <c:pt idx="47">
                  <c:v>Turkey</c:v>
                </c:pt>
                <c:pt idx="48">
                  <c:v>United States</c:v>
                </c:pt>
              </c:strCache>
            </c:strRef>
          </c:cat>
          <c:val>
            <c:numRef>
              <c:f>Sheet1!$B$2:$B$50</c:f>
              <c:numCache>
                <c:formatCode>Standaard</c:formatCode>
                <c:ptCount val="49"/>
                <c:pt idx="0">
                  <c:v>53.012289173234734</c:v>
                </c:pt>
                <c:pt idx="1">
                  <c:v>48.456187867388927</c:v>
                </c:pt>
                <c:pt idx="2">
                  <c:v>47.909333547107963</c:v>
                </c:pt>
                <c:pt idx="3">
                  <c:v>52.660652354722238</c:v>
                </c:pt>
                <c:pt idx="4">
                  <c:v>47.449081597095187</c:v>
                </c:pt>
                <c:pt idx="5">
                  <c:v>46.181676618069901</c:v>
                </c:pt>
                <c:pt idx="6">
                  <c:v>44.379323238617054</c:v>
                </c:pt>
                <c:pt idx="7">
                  <c:v>45.378805901446235</c:v>
                </c:pt>
                <c:pt idx="8">
                  <c:v>51.843254890628145</c:v>
                </c:pt>
                <c:pt idx="9">
                  <c:v>45.103265349352306</c:v>
                </c:pt>
                <c:pt idx="10">
                  <c:v>41.470649221167747</c:v>
                </c:pt>
                <c:pt idx="11">
                  <c:v>53.188043811720881</c:v>
                </c:pt>
                <c:pt idx="12">
                  <c:v>48.966873729011304</c:v>
                </c:pt>
                <c:pt idx="13">
                  <c:v>52.041265500185993</c:v>
                </c:pt>
                <c:pt idx="14">
                  <c:v>51.40636103246694</c:v>
                </c:pt>
                <c:pt idx="15">
                  <c:v>51.874654986160003</c:v>
                </c:pt>
                <c:pt idx="16">
                  <c:v>49.962015873546697</c:v>
                </c:pt>
                <c:pt idx="17">
                  <c:v>31.938902879423559</c:v>
                </c:pt>
                <c:pt idx="18">
                  <c:v>45.709883681998804</c:v>
                </c:pt>
                <c:pt idx="19">
                  <c:v>54.337713767679624</c:v>
                </c:pt>
                <c:pt idx="20">
                  <c:v>47.833329728891812</c:v>
                </c:pt>
                <c:pt idx="21">
                  <c:v>49.777359468402928</c:v>
                </c:pt>
                <c:pt idx="22">
                  <c:v>60.822042727541302</c:v>
                </c:pt>
                <c:pt idx="23">
                  <c:v>53.050101886630394</c:v>
                </c:pt>
                <c:pt idx="24">
                  <c:v>57.071331028403606</c:v>
                </c:pt>
                <c:pt idx="25">
                  <c:v>57.899594815822454</c:v>
                </c:pt>
                <c:pt idx="26">
                  <c:v>46.775848373136306</c:v>
                </c:pt>
                <c:pt idx="27">
                  <c:v>45.897583087551205</c:v>
                </c:pt>
                <c:pt idx="28">
                  <c:v>41.249784502428788</c:v>
                </c:pt>
                <c:pt idx="29">
                  <c:v>54.268563065179393</c:v>
                </c:pt>
                <c:pt idx="30">
                  <c:v>49.919245687337963</c:v>
                </c:pt>
                <c:pt idx="31">
                  <c:v>50.556986102784798</c:v>
                </c:pt>
                <c:pt idx="32">
                  <c:v>64.39011773608037</c:v>
                </c:pt>
                <c:pt idx="33">
                  <c:v>55.664455458802344</c:v>
                </c:pt>
                <c:pt idx="34">
                  <c:v>39.862083436924202</c:v>
                </c:pt>
                <c:pt idx="35">
                  <c:v>49.658022769174863</c:v>
                </c:pt>
                <c:pt idx="36">
                  <c:v>43.210093046340006</c:v>
                </c:pt>
                <c:pt idx="37">
                  <c:v>46.74982419447413</c:v>
                </c:pt>
                <c:pt idx="38">
                  <c:v>37.880547871201827</c:v>
                </c:pt>
                <c:pt idx="39">
                  <c:v>37.460591420743796</c:v>
                </c:pt>
                <c:pt idx="40">
                  <c:v>44.22562282422615</c:v>
                </c:pt>
                <c:pt idx="41">
                  <c:v>47.545576773482424</c:v>
                </c:pt>
                <c:pt idx="42">
                  <c:v>53.124719806330162</c:v>
                </c:pt>
                <c:pt idx="43">
                  <c:v>54.195323515812177</c:v>
                </c:pt>
                <c:pt idx="44">
                  <c:v>47.275831730067999</c:v>
                </c:pt>
                <c:pt idx="45">
                  <c:v>41.385793349682096</c:v>
                </c:pt>
                <c:pt idx="46">
                  <c:v>38.222826349199188</c:v>
                </c:pt>
                <c:pt idx="47">
                  <c:v>47.180206480329595</c:v>
                </c:pt>
                <c:pt idx="48">
                  <c:v>50.065379028642006</c:v>
                </c:pt>
              </c:numCache>
            </c:numRef>
          </c:val>
        </c:ser>
        <c:marker val="1"/>
        <c:axId val="105877888"/>
        <c:axId val="105887232"/>
      </c:lineChart>
      <c:catAx>
        <c:axId val="105877888"/>
        <c:scaling>
          <c:orientation val="minMax"/>
        </c:scaling>
        <c:axPos val="b"/>
        <c:majorTickMark val="none"/>
        <c:tickLblPos val="nextTo"/>
        <c:crossAx val="105887232"/>
        <c:crosses val="autoZero"/>
        <c:auto val="1"/>
        <c:lblAlgn val="ctr"/>
        <c:lblOffset val="100"/>
      </c:catAx>
      <c:valAx>
        <c:axId val="105887232"/>
        <c:scaling>
          <c:orientation val="minMax"/>
          <c:max val="70"/>
          <c:min val="30"/>
        </c:scaling>
        <c:axPos val="l"/>
        <c:majorGridlines/>
        <c:numFmt formatCode="Standaard" sourceLinked="1"/>
        <c:majorTickMark val="none"/>
        <c:tickLblPos val="nextTo"/>
        <c:spPr>
          <a:ln w="9525">
            <a:noFill/>
          </a:ln>
        </c:spPr>
        <c:crossAx val="105877888"/>
        <c:crosses val="autoZero"/>
        <c:crossBetween val="between"/>
        <c:majorUnit val="10"/>
        <c:minorUnit val="1"/>
      </c:valAx>
    </c:plotArea>
    <c:legend>
      <c:legendPos val="b"/>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F0692F-1AD2-493F-B7E1-49149B8D4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13865</Words>
  <Characters>79035</Characters>
  <Application>Microsoft Office Word</Application>
  <DocSecurity>4</DocSecurity>
  <Lines>658</Lines>
  <Paragraphs>185</Paragraphs>
  <ScaleCrop>false</ScaleCrop>
  <HeadingPairs>
    <vt:vector size="2" baseType="variant">
      <vt:variant>
        <vt:lpstr>Title</vt:lpstr>
      </vt:variant>
      <vt:variant>
        <vt:i4>1</vt:i4>
      </vt:variant>
    </vt:vector>
  </HeadingPairs>
  <TitlesOfParts>
    <vt:vector size="1" baseType="lpstr">
      <vt:lpstr>The risk appetite of pension funds explained by cultural differences</vt:lpstr>
    </vt:vector>
  </TitlesOfParts>
  <Company>Grizli777</Company>
  <LinksUpToDate>false</LinksUpToDate>
  <CharactersWithSpaces>92715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risk appetite of pension funds explained by cultural differences</dc:title>
  <dc:subject>Erasmus School of Economics</dc:subject>
  <dc:creator>Theodora Nellopoulou</dc:creator>
  <cp:lastModifiedBy>Helene L. Molenaar</cp:lastModifiedBy>
  <cp:revision>2</cp:revision>
  <cp:lastPrinted>2013-10-31T15:05:00Z</cp:lastPrinted>
  <dcterms:created xsi:type="dcterms:W3CDTF">2013-11-07T09:07:00Z</dcterms:created>
  <dcterms:modified xsi:type="dcterms:W3CDTF">2013-11-07T09:07:00Z</dcterms:modified>
</cp:coreProperties>
</file>