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DC3" w:rsidRPr="00D23DC3" w:rsidRDefault="00D23DC3" w:rsidP="00833B8A">
      <w:pPr>
        <w:pStyle w:val="Geenafstand"/>
        <w:ind w:left="708" w:hanging="708"/>
      </w:pPr>
      <w:bookmarkStart w:id="0" w:name="_GoBack"/>
      <w:bookmarkEnd w:id="0"/>
      <w:r>
        <w:rPr>
          <w:noProof/>
          <w:lang w:eastAsia="nl-NL"/>
        </w:rPr>
        <w:drawing>
          <wp:anchor distT="0" distB="0" distL="114300" distR="114300" simplePos="0" relativeHeight="251660288" behindDoc="1" locked="0" layoutInCell="1" allowOverlap="1">
            <wp:simplePos x="0" y="0"/>
            <wp:positionH relativeFrom="column">
              <wp:posOffset>-804545</wp:posOffset>
            </wp:positionH>
            <wp:positionV relativeFrom="paragraph">
              <wp:posOffset>-785495</wp:posOffset>
            </wp:positionV>
            <wp:extent cx="7387378" cy="10496550"/>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87378" cy="10496550"/>
                    </a:xfrm>
                    <a:prstGeom prst="rect">
                      <a:avLst/>
                    </a:prstGeom>
                    <a:noFill/>
                    <a:ln>
                      <a:noFill/>
                    </a:ln>
                  </pic:spPr>
                </pic:pic>
              </a:graphicData>
            </a:graphic>
          </wp:anchor>
        </w:drawing>
      </w:r>
    </w:p>
    <w:p w:rsidR="00D23DC3" w:rsidRPr="00D23DC3" w:rsidRDefault="00D23DC3" w:rsidP="00010BDA">
      <w:pPr>
        <w:pStyle w:val="Geenafstand"/>
      </w:pPr>
    </w:p>
    <w:p w:rsidR="00D23DC3" w:rsidRDefault="00D23DC3" w:rsidP="00010BDA">
      <w:pPr>
        <w:pStyle w:val="Geenafstand"/>
        <w:jc w:val="center"/>
        <w:rPr>
          <w:b/>
          <w:sz w:val="32"/>
        </w:rPr>
      </w:pPr>
    </w:p>
    <w:p w:rsidR="00D23DC3" w:rsidRDefault="00C831EF" w:rsidP="00010BDA">
      <w:pPr>
        <w:pStyle w:val="Geenafstand"/>
        <w:jc w:val="center"/>
      </w:pPr>
      <w:r w:rsidRPr="00C831EF">
        <w:rPr>
          <w:b/>
          <w:color w:val="000000" w:themeColor="text1"/>
          <w:sz w:val="32"/>
        </w:rPr>
        <w:t>Wordt de onafhankelijkheid van de accountant geschaad door het verrichten van niet-auditdiensten?</w:t>
      </w:r>
      <w:r>
        <w:rPr>
          <w:b/>
          <w:color w:val="000000" w:themeColor="text1"/>
          <w:sz w:val="32"/>
        </w:rPr>
        <w:br/>
      </w:r>
      <w:r>
        <w:rPr>
          <w:color w:val="000000" w:themeColor="text1"/>
        </w:rPr>
        <w:br/>
      </w:r>
      <w:r w:rsidRPr="00C831EF">
        <w:rPr>
          <w:color w:val="000000" w:themeColor="text1"/>
          <w:sz w:val="28"/>
        </w:rPr>
        <w:t>Een literatuurstudie over de voor- en tegenstanders</w:t>
      </w:r>
      <w:r>
        <w:rPr>
          <w:color w:val="000000" w:themeColor="text1"/>
        </w:rPr>
        <w:br/>
      </w:r>
      <w:r>
        <w:rPr>
          <w:color w:val="000000" w:themeColor="text1"/>
        </w:rPr>
        <w:br/>
      </w: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r>
        <w:rPr>
          <w:rFonts w:ascii="Times New Roman" w:hAnsi="Times New Roman"/>
          <w:noProof/>
          <w:sz w:val="36"/>
          <w:szCs w:val="36"/>
          <w:lang w:eastAsia="nl-NL"/>
        </w:rPr>
        <w:drawing>
          <wp:anchor distT="0" distB="0" distL="114300" distR="114300" simplePos="0" relativeHeight="251659264" behindDoc="0" locked="0" layoutInCell="1" allowOverlap="1">
            <wp:simplePos x="0" y="0"/>
            <wp:positionH relativeFrom="column">
              <wp:posOffset>862330</wp:posOffset>
            </wp:positionH>
            <wp:positionV relativeFrom="paragraph">
              <wp:posOffset>175260</wp:posOffset>
            </wp:positionV>
            <wp:extent cx="4248150" cy="988060"/>
            <wp:effectExtent l="0" t="0" r="0" b="2540"/>
            <wp:wrapNone/>
            <wp:docPr id="3" name="Afbeelding 1" descr="C:\Users\Charmie\Documents\Erasmus\Honours Class\Corporate Social Responsibility (3rd block)\Erasmus University Paper\small erasmu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rmie\Documents\Erasmus\Honours Class\Corporate Social Responsibility (3rd block)\Erasmus University Paper\small erasmus logo.jpg"/>
                    <pic:cNvPicPr>
                      <a:picLocks noChangeAspect="1" noChangeArrowheads="1"/>
                    </pic:cNvPicPr>
                  </pic:nvPicPr>
                  <pic:blipFill>
                    <a:blip r:embed="rId9" cstate="print"/>
                    <a:srcRect/>
                    <a:stretch>
                      <a:fillRect/>
                    </a:stretch>
                  </pic:blipFill>
                  <pic:spPr bwMode="auto">
                    <a:xfrm>
                      <a:off x="0" y="0"/>
                      <a:ext cx="4248150" cy="988060"/>
                    </a:xfrm>
                    <a:prstGeom prst="rect">
                      <a:avLst/>
                    </a:prstGeom>
                    <a:noFill/>
                    <a:ln w="9525">
                      <a:noFill/>
                      <a:miter lim="800000"/>
                      <a:headEnd/>
                      <a:tailEnd/>
                    </a:ln>
                  </pic:spPr>
                </pic:pic>
              </a:graphicData>
            </a:graphic>
          </wp:anchor>
        </w:drawing>
      </w: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D23DC3" w:rsidRDefault="00D23DC3" w:rsidP="00010BDA">
      <w:pPr>
        <w:pStyle w:val="Geenafstand"/>
      </w:pPr>
    </w:p>
    <w:p w:rsidR="00AC7F56" w:rsidRDefault="00AC7F56" w:rsidP="00010BDA">
      <w:pPr>
        <w:pStyle w:val="Geenafstand"/>
        <w:rPr>
          <w:b/>
          <w:sz w:val="28"/>
        </w:rPr>
      </w:pPr>
    </w:p>
    <w:p w:rsidR="00AC7F56" w:rsidRDefault="00AC7F56"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5B3D3E" w:rsidRDefault="005B3D3E" w:rsidP="00010BDA">
      <w:pPr>
        <w:pStyle w:val="Geenafstand"/>
        <w:rPr>
          <w:b/>
          <w:sz w:val="28"/>
        </w:rPr>
      </w:pPr>
    </w:p>
    <w:p w:rsidR="00D23DC3" w:rsidRPr="00D23DC3" w:rsidRDefault="00D23DC3" w:rsidP="00010BDA">
      <w:pPr>
        <w:pStyle w:val="Geenafstand"/>
        <w:rPr>
          <w:b/>
          <w:sz w:val="28"/>
        </w:rPr>
      </w:pPr>
      <w:r w:rsidRPr="00D23DC3">
        <w:rPr>
          <w:b/>
          <w:sz w:val="28"/>
        </w:rPr>
        <w:t>Bachelor Scriptie</w:t>
      </w:r>
      <w:r w:rsidR="00C57674">
        <w:rPr>
          <w:b/>
          <w:sz w:val="28"/>
        </w:rPr>
        <w:t xml:space="preserve"> [</w:t>
      </w:r>
      <w:r w:rsidR="00105974">
        <w:rPr>
          <w:b/>
          <w:sz w:val="28"/>
        </w:rPr>
        <w:t>8</w:t>
      </w:r>
      <w:r w:rsidR="00C57674">
        <w:rPr>
          <w:b/>
          <w:sz w:val="28"/>
        </w:rPr>
        <w:t xml:space="preserve"> juli 2013</w:t>
      </w:r>
      <w:r w:rsidR="00B23E9E">
        <w:rPr>
          <w:b/>
          <w:sz w:val="28"/>
        </w:rPr>
        <w:t>]</w:t>
      </w:r>
    </w:p>
    <w:p w:rsidR="00D23DC3" w:rsidRPr="00D23DC3" w:rsidRDefault="00D23DC3" w:rsidP="00010BDA">
      <w:pPr>
        <w:pStyle w:val="Geenafstand"/>
        <w:rPr>
          <w:sz w:val="28"/>
        </w:rPr>
      </w:pPr>
      <w:r w:rsidRPr="00D23DC3">
        <w:rPr>
          <w:b/>
          <w:sz w:val="28"/>
        </w:rPr>
        <w:t>Sectie</w:t>
      </w:r>
      <w:r w:rsidRPr="00D23DC3">
        <w:rPr>
          <w:sz w:val="28"/>
        </w:rPr>
        <w:t>: Accounting, Auditing en Control (AAC)</w:t>
      </w:r>
    </w:p>
    <w:p w:rsidR="00D23DC3" w:rsidRPr="00D23DC3" w:rsidRDefault="00D23DC3" w:rsidP="00010BDA">
      <w:pPr>
        <w:pStyle w:val="Geenafstand"/>
        <w:rPr>
          <w:sz w:val="28"/>
        </w:rPr>
      </w:pPr>
      <w:r w:rsidRPr="00D23DC3">
        <w:rPr>
          <w:b/>
          <w:sz w:val="28"/>
        </w:rPr>
        <w:t>Begeleider</w:t>
      </w:r>
      <w:r w:rsidRPr="00D23DC3">
        <w:rPr>
          <w:sz w:val="28"/>
        </w:rPr>
        <w:t>: Cor van der Spek</w:t>
      </w:r>
      <w:r w:rsidR="00AD6A6D">
        <w:rPr>
          <w:sz w:val="28"/>
        </w:rPr>
        <w:t xml:space="preserve"> RA</w:t>
      </w:r>
    </w:p>
    <w:p w:rsidR="00D23DC3" w:rsidRPr="00D23DC3" w:rsidRDefault="00D23DC3" w:rsidP="00010BDA">
      <w:pPr>
        <w:pStyle w:val="Geenafstand"/>
        <w:rPr>
          <w:sz w:val="28"/>
        </w:rPr>
      </w:pPr>
      <w:r w:rsidRPr="00D23DC3">
        <w:rPr>
          <w:b/>
          <w:sz w:val="28"/>
        </w:rPr>
        <w:t>Naam</w:t>
      </w:r>
      <w:r w:rsidRPr="00D23DC3">
        <w:rPr>
          <w:sz w:val="28"/>
        </w:rPr>
        <w:t>: Ka Yie Lee</w:t>
      </w:r>
    </w:p>
    <w:p w:rsidR="00B963A1" w:rsidRDefault="00D23DC3" w:rsidP="00010BDA">
      <w:pPr>
        <w:pStyle w:val="Geenafstand"/>
        <w:rPr>
          <w:sz w:val="28"/>
        </w:rPr>
      </w:pPr>
      <w:r w:rsidRPr="00D23DC3">
        <w:rPr>
          <w:b/>
          <w:sz w:val="28"/>
        </w:rPr>
        <w:t>Studentnummer</w:t>
      </w:r>
      <w:r w:rsidRPr="00D23DC3">
        <w:rPr>
          <w:sz w:val="28"/>
        </w:rPr>
        <w:t>: 344549</w:t>
      </w:r>
    </w:p>
    <w:sdt>
      <w:sdtPr>
        <w:rPr>
          <w:rFonts w:asciiTheme="minorHAnsi" w:eastAsiaTheme="minorHAnsi" w:hAnsiTheme="minorHAnsi" w:cstheme="minorBidi"/>
          <w:b w:val="0"/>
          <w:bCs w:val="0"/>
          <w:color w:val="auto"/>
          <w:sz w:val="22"/>
          <w:szCs w:val="22"/>
          <w:lang w:eastAsia="en-US"/>
        </w:rPr>
        <w:id w:val="-1612813654"/>
        <w:docPartObj>
          <w:docPartGallery w:val="Table of Contents"/>
          <w:docPartUnique/>
        </w:docPartObj>
      </w:sdtPr>
      <w:sdtContent>
        <w:p w:rsidR="004F31F2" w:rsidRDefault="004F31F2" w:rsidP="001816F9">
          <w:pPr>
            <w:pStyle w:val="Kopvaninhoudsopgave"/>
            <w:spacing w:line="360" w:lineRule="auto"/>
            <w:rPr>
              <w:rFonts w:asciiTheme="minorHAnsi" w:hAnsiTheme="minorHAnsi"/>
              <w:color w:val="000000" w:themeColor="text1"/>
              <w:sz w:val="32"/>
            </w:rPr>
          </w:pPr>
          <w:r w:rsidRPr="004F31F2">
            <w:rPr>
              <w:rFonts w:asciiTheme="minorHAnsi" w:hAnsiTheme="minorHAnsi"/>
              <w:color w:val="000000" w:themeColor="text1"/>
              <w:sz w:val="32"/>
            </w:rPr>
            <w:t>Inhoud</w:t>
          </w:r>
          <w:r>
            <w:rPr>
              <w:rFonts w:asciiTheme="minorHAnsi" w:hAnsiTheme="minorHAnsi"/>
              <w:color w:val="000000" w:themeColor="text1"/>
              <w:sz w:val="32"/>
            </w:rPr>
            <w:t>sopgave</w:t>
          </w:r>
        </w:p>
        <w:p w:rsidR="00B23E9E" w:rsidRDefault="009F5168">
          <w:pPr>
            <w:pStyle w:val="Inhopg1"/>
            <w:tabs>
              <w:tab w:val="right" w:leader="dot" w:pos="9062"/>
            </w:tabs>
            <w:rPr>
              <w:rFonts w:eastAsiaTheme="minorEastAsia"/>
              <w:noProof/>
              <w:lang w:eastAsia="nl-NL"/>
            </w:rPr>
          </w:pPr>
          <w:r w:rsidRPr="009F5168">
            <w:fldChar w:fldCharType="begin"/>
          </w:r>
          <w:r w:rsidR="004F31F2">
            <w:instrText xml:space="preserve"> TOC \o "1-3" \h \z \u </w:instrText>
          </w:r>
          <w:r w:rsidRPr="009F5168">
            <w:fldChar w:fldCharType="separate"/>
          </w:r>
          <w:hyperlink w:anchor="_Toc360661873" w:history="1">
            <w:r w:rsidR="00B23E9E" w:rsidRPr="00394EEB">
              <w:rPr>
                <w:rStyle w:val="Hyperlink"/>
                <w:noProof/>
              </w:rPr>
              <w:t>1. Inleiding</w:t>
            </w:r>
            <w:r w:rsidR="00B23E9E">
              <w:rPr>
                <w:noProof/>
                <w:webHidden/>
              </w:rPr>
              <w:tab/>
            </w:r>
            <w:r>
              <w:rPr>
                <w:noProof/>
                <w:webHidden/>
              </w:rPr>
              <w:fldChar w:fldCharType="begin"/>
            </w:r>
            <w:r w:rsidR="00B23E9E">
              <w:rPr>
                <w:noProof/>
                <w:webHidden/>
              </w:rPr>
              <w:instrText xml:space="preserve"> PAGEREF _Toc360661873 \h </w:instrText>
            </w:r>
            <w:r>
              <w:rPr>
                <w:noProof/>
                <w:webHidden/>
              </w:rPr>
            </w:r>
            <w:r>
              <w:rPr>
                <w:noProof/>
                <w:webHidden/>
              </w:rPr>
              <w:fldChar w:fldCharType="separate"/>
            </w:r>
            <w:r w:rsidR="000A7E14">
              <w:rPr>
                <w:noProof/>
                <w:webHidden/>
              </w:rPr>
              <w:t>3</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874" w:history="1">
            <w:r w:rsidR="00B23E9E" w:rsidRPr="00394EEB">
              <w:rPr>
                <w:rStyle w:val="Hyperlink"/>
                <w:noProof/>
              </w:rPr>
              <w:t>2. Onderzoeksopzet</w:t>
            </w:r>
            <w:r w:rsidR="00B23E9E">
              <w:rPr>
                <w:noProof/>
                <w:webHidden/>
              </w:rPr>
              <w:tab/>
            </w:r>
            <w:r>
              <w:rPr>
                <w:noProof/>
                <w:webHidden/>
              </w:rPr>
              <w:fldChar w:fldCharType="begin"/>
            </w:r>
            <w:r w:rsidR="00B23E9E">
              <w:rPr>
                <w:noProof/>
                <w:webHidden/>
              </w:rPr>
              <w:instrText xml:space="preserve"> PAGEREF _Toc360661874 \h </w:instrText>
            </w:r>
            <w:r>
              <w:rPr>
                <w:noProof/>
                <w:webHidden/>
              </w:rPr>
            </w:r>
            <w:r>
              <w:rPr>
                <w:noProof/>
                <w:webHidden/>
              </w:rPr>
              <w:fldChar w:fldCharType="separate"/>
            </w:r>
            <w:r w:rsidR="000A7E14">
              <w:rPr>
                <w:noProof/>
                <w:webHidden/>
              </w:rPr>
              <w:t>4</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875" w:history="1">
            <w:r w:rsidR="00B23E9E" w:rsidRPr="00394EEB">
              <w:rPr>
                <w:rStyle w:val="Hyperlink"/>
                <w:noProof/>
              </w:rPr>
              <w:t>3. Accountantsdiensten</w:t>
            </w:r>
            <w:r w:rsidR="00B23E9E">
              <w:rPr>
                <w:noProof/>
                <w:webHidden/>
              </w:rPr>
              <w:tab/>
            </w:r>
            <w:r>
              <w:rPr>
                <w:noProof/>
                <w:webHidden/>
              </w:rPr>
              <w:fldChar w:fldCharType="begin"/>
            </w:r>
            <w:r w:rsidR="00B23E9E">
              <w:rPr>
                <w:noProof/>
                <w:webHidden/>
              </w:rPr>
              <w:instrText xml:space="preserve"> PAGEREF _Toc360661875 \h </w:instrText>
            </w:r>
            <w:r>
              <w:rPr>
                <w:noProof/>
                <w:webHidden/>
              </w:rPr>
            </w:r>
            <w:r>
              <w:rPr>
                <w:noProof/>
                <w:webHidden/>
              </w:rPr>
              <w:fldChar w:fldCharType="separate"/>
            </w:r>
            <w:r w:rsidR="000A7E14">
              <w:rPr>
                <w:noProof/>
                <w:webHidden/>
              </w:rPr>
              <w:t>5</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76" w:history="1">
            <w:r w:rsidR="00B23E9E" w:rsidRPr="00394EEB">
              <w:rPr>
                <w:rStyle w:val="Hyperlink"/>
                <w:noProof/>
              </w:rPr>
              <w:t>3.1 Accountant</w:t>
            </w:r>
            <w:r w:rsidR="00B23E9E">
              <w:rPr>
                <w:noProof/>
                <w:webHidden/>
              </w:rPr>
              <w:tab/>
            </w:r>
            <w:r>
              <w:rPr>
                <w:noProof/>
                <w:webHidden/>
              </w:rPr>
              <w:fldChar w:fldCharType="begin"/>
            </w:r>
            <w:r w:rsidR="00B23E9E">
              <w:rPr>
                <w:noProof/>
                <w:webHidden/>
              </w:rPr>
              <w:instrText xml:space="preserve"> PAGEREF _Toc360661876 \h </w:instrText>
            </w:r>
            <w:r>
              <w:rPr>
                <w:noProof/>
                <w:webHidden/>
              </w:rPr>
            </w:r>
            <w:r>
              <w:rPr>
                <w:noProof/>
                <w:webHidden/>
              </w:rPr>
              <w:fldChar w:fldCharType="separate"/>
            </w:r>
            <w:r w:rsidR="000A7E14">
              <w:rPr>
                <w:noProof/>
                <w:webHidden/>
              </w:rPr>
              <w:t>5</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77" w:history="1">
            <w:r w:rsidR="00B23E9E" w:rsidRPr="00394EEB">
              <w:rPr>
                <w:rStyle w:val="Hyperlink"/>
                <w:noProof/>
              </w:rPr>
              <w:t>3.2 Accountantsdiensten</w:t>
            </w:r>
            <w:r w:rsidR="00B23E9E">
              <w:rPr>
                <w:noProof/>
                <w:webHidden/>
              </w:rPr>
              <w:tab/>
            </w:r>
            <w:r>
              <w:rPr>
                <w:noProof/>
                <w:webHidden/>
              </w:rPr>
              <w:fldChar w:fldCharType="begin"/>
            </w:r>
            <w:r w:rsidR="00B23E9E">
              <w:rPr>
                <w:noProof/>
                <w:webHidden/>
              </w:rPr>
              <w:instrText xml:space="preserve"> PAGEREF _Toc360661877 \h </w:instrText>
            </w:r>
            <w:r>
              <w:rPr>
                <w:noProof/>
                <w:webHidden/>
              </w:rPr>
            </w:r>
            <w:r>
              <w:rPr>
                <w:noProof/>
                <w:webHidden/>
              </w:rPr>
              <w:fldChar w:fldCharType="separate"/>
            </w:r>
            <w:r w:rsidR="000A7E14">
              <w:rPr>
                <w:noProof/>
                <w:webHidden/>
              </w:rPr>
              <w:t>6</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78" w:history="1">
            <w:r w:rsidR="00B23E9E" w:rsidRPr="00394EEB">
              <w:rPr>
                <w:rStyle w:val="Hyperlink"/>
                <w:noProof/>
              </w:rPr>
              <w:t>3.3 Samenvatting</w:t>
            </w:r>
            <w:r w:rsidR="00B23E9E">
              <w:rPr>
                <w:noProof/>
                <w:webHidden/>
              </w:rPr>
              <w:tab/>
            </w:r>
            <w:r>
              <w:rPr>
                <w:noProof/>
                <w:webHidden/>
              </w:rPr>
              <w:fldChar w:fldCharType="begin"/>
            </w:r>
            <w:r w:rsidR="00B23E9E">
              <w:rPr>
                <w:noProof/>
                <w:webHidden/>
              </w:rPr>
              <w:instrText xml:space="preserve"> PAGEREF _Toc360661878 \h </w:instrText>
            </w:r>
            <w:r>
              <w:rPr>
                <w:noProof/>
                <w:webHidden/>
              </w:rPr>
            </w:r>
            <w:r>
              <w:rPr>
                <w:noProof/>
                <w:webHidden/>
              </w:rPr>
              <w:fldChar w:fldCharType="separate"/>
            </w:r>
            <w:r w:rsidR="000A7E14">
              <w:rPr>
                <w:noProof/>
                <w:webHidden/>
              </w:rPr>
              <w:t>7</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879" w:history="1">
            <w:r w:rsidR="00B23E9E" w:rsidRPr="00394EEB">
              <w:rPr>
                <w:rStyle w:val="Hyperlink"/>
                <w:noProof/>
              </w:rPr>
              <w:t>4. Onafhankelijkheid</w:t>
            </w:r>
            <w:r w:rsidR="00B23E9E">
              <w:rPr>
                <w:noProof/>
                <w:webHidden/>
              </w:rPr>
              <w:tab/>
            </w:r>
            <w:r>
              <w:rPr>
                <w:noProof/>
                <w:webHidden/>
              </w:rPr>
              <w:fldChar w:fldCharType="begin"/>
            </w:r>
            <w:r w:rsidR="00B23E9E">
              <w:rPr>
                <w:noProof/>
                <w:webHidden/>
              </w:rPr>
              <w:instrText xml:space="preserve"> PAGEREF _Toc360661879 \h </w:instrText>
            </w:r>
            <w:r>
              <w:rPr>
                <w:noProof/>
                <w:webHidden/>
              </w:rPr>
            </w:r>
            <w:r>
              <w:rPr>
                <w:noProof/>
                <w:webHidden/>
              </w:rPr>
              <w:fldChar w:fldCharType="separate"/>
            </w:r>
            <w:r w:rsidR="000A7E14">
              <w:rPr>
                <w:noProof/>
                <w:webHidden/>
              </w:rPr>
              <w:t>7</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0" w:history="1">
            <w:r w:rsidR="00B23E9E" w:rsidRPr="00394EEB">
              <w:rPr>
                <w:rStyle w:val="Hyperlink"/>
                <w:noProof/>
              </w:rPr>
              <w:t>4.1 Onafhankelijkheid algemeen</w:t>
            </w:r>
            <w:r w:rsidR="00B23E9E">
              <w:rPr>
                <w:noProof/>
                <w:webHidden/>
              </w:rPr>
              <w:tab/>
            </w:r>
            <w:r>
              <w:rPr>
                <w:noProof/>
                <w:webHidden/>
              </w:rPr>
              <w:fldChar w:fldCharType="begin"/>
            </w:r>
            <w:r w:rsidR="00B23E9E">
              <w:rPr>
                <w:noProof/>
                <w:webHidden/>
              </w:rPr>
              <w:instrText xml:space="preserve"> PAGEREF _Toc360661880 \h </w:instrText>
            </w:r>
            <w:r>
              <w:rPr>
                <w:noProof/>
                <w:webHidden/>
              </w:rPr>
            </w:r>
            <w:r>
              <w:rPr>
                <w:noProof/>
                <w:webHidden/>
              </w:rPr>
              <w:fldChar w:fldCharType="separate"/>
            </w:r>
            <w:r w:rsidR="000A7E14">
              <w:rPr>
                <w:noProof/>
                <w:webHidden/>
              </w:rPr>
              <w:t>7</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1" w:history="1">
            <w:r w:rsidR="00B23E9E" w:rsidRPr="00394EEB">
              <w:rPr>
                <w:rStyle w:val="Hyperlink"/>
                <w:noProof/>
              </w:rPr>
              <w:t>4.2 Onafhankelijkheid in wezen</w:t>
            </w:r>
            <w:r w:rsidR="00B23E9E">
              <w:rPr>
                <w:noProof/>
                <w:webHidden/>
              </w:rPr>
              <w:tab/>
            </w:r>
            <w:r>
              <w:rPr>
                <w:noProof/>
                <w:webHidden/>
              </w:rPr>
              <w:fldChar w:fldCharType="begin"/>
            </w:r>
            <w:r w:rsidR="00B23E9E">
              <w:rPr>
                <w:noProof/>
                <w:webHidden/>
              </w:rPr>
              <w:instrText xml:space="preserve"> PAGEREF _Toc360661881 \h </w:instrText>
            </w:r>
            <w:r>
              <w:rPr>
                <w:noProof/>
                <w:webHidden/>
              </w:rPr>
            </w:r>
            <w:r>
              <w:rPr>
                <w:noProof/>
                <w:webHidden/>
              </w:rPr>
              <w:fldChar w:fldCharType="separate"/>
            </w:r>
            <w:r w:rsidR="000A7E14">
              <w:rPr>
                <w:noProof/>
                <w:webHidden/>
              </w:rPr>
              <w:t>8</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2" w:history="1">
            <w:r w:rsidR="00B23E9E" w:rsidRPr="00394EEB">
              <w:rPr>
                <w:rStyle w:val="Hyperlink"/>
                <w:noProof/>
              </w:rPr>
              <w:t>4.3 Onafhankelijkheid in optreden</w:t>
            </w:r>
            <w:r w:rsidR="00B23E9E">
              <w:rPr>
                <w:noProof/>
                <w:webHidden/>
              </w:rPr>
              <w:tab/>
            </w:r>
            <w:r>
              <w:rPr>
                <w:noProof/>
                <w:webHidden/>
              </w:rPr>
              <w:fldChar w:fldCharType="begin"/>
            </w:r>
            <w:r w:rsidR="00B23E9E">
              <w:rPr>
                <w:noProof/>
                <w:webHidden/>
              </w:rPr>
              <w:instrText xml:space="preserve"> PAGEREF _Toc360661882 \h </w:instrText>
            </w:r>
            <w:r>
              <w:rPr>
                <w:noProof/>
                <w:webHidden/>
              </w:rPr>
            </w:r>
            <w:r>
              <w:rPr>
                <w:noProof/>
                <w:webHidden/>
              </w:rPr>
              <w:fldChar w:fldCharType="separate"/>
            </w:r>
            <w:r w:rsidR="000A7E14">
              <w:rPr>
                <w:noProof/>
                <w:webHidden/>
              </w:rPr>
              <w:t>9</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3" w:history="1">
            <w:r w:rsidR="00B23E9E" w:rsidRPr="00394EEB">
              <w:rPr>
                <w:rStyle w:val="Hyperlink"/>
                <w:noProof/>
              </w:rPr>
              <w:t>4.4 Samenvatting</w:t>
            </w:r>
            <w:r w:rsidR="00B23E9E">
              <w:rPr>
                <w:noProof/>
                <w:webHidden/>
              </w:rPr>
              <w:tab/>
            </w:r>
            <w:r>
              <w:rPr>
                <w:noProof/>
                <w:webHidden/>
              </w:rPr>
              <w:fldChar w:fldCharType="begin"/>
            </w:r>
            <w:r w:rsidR="00B23E9E">
              <w:rPr>
                <w:noProof/>
                <w:webHidden/>
              </w:rPr>
              <w:instrText xml:space="preserve"> PAGEREF _Toc360661883 \h </w:instrText>
            </w:r>
            <w:r>
              <w:rPr>
                <w:noProof/>
                <w:webHidden/>
              </w:rPr>
            </w:r>
            <w:r>
              <w:rPr>
                <w:noProof/>
                <w:webHidden/>
              </w:rPr>
              <w:fldChar w:fldCharType="separate"/>
            </w:r>
            <w:r w:rsidR="000A7E14">
              <w:rPr>
                <w:noProof/>
                <w:webHidden/>
              </w:rPr>
              <w:t>9</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884" w:history="1">
            <w:r w:rsidR="00B23E9E" w:rsidRPr="00394EEB">
              <w:rPr>
                <w:rStyle w:val="Hyperlink"/>
                <w:noProof/>
              </w:rPr>
              <w:t>5. Recente ontwikkelingen</w:t>
            </w:r>
            <w:r w:rsidR="00B23E9E">
              <w:rPr>
                <w:noProof/>
                <w:webHidden/>
              </w:rPr>
              <w:tab/>
            </w:r>
            <w:r>
              <w:rPr>
                <w:noProof/>
                <w:webHidden/>
              </w:rPr>
              <w:fldChar w:fldCharType="begin"/>
            </w:r>
            <w:r w:rsidR="00B23E9E">
              <w:rPr>
                <w:noProof/>
                <w:webHidden/>
              </w:rPr>
              <w:instrText xml:space="preserve"> PAGEREF _Toc360661884 \h </w:instrText>
            </w:r>
            <w:r>
              <w:rPr>
                <w:noProof/>
                <w:webHidden/>
              </w:rPr>
            </w:r>
            <w:r>
              <w:rPr>
                <w:noProof/>
                <w:webHidden/>
              </w:rPr>
              <w:fldChar w:fldCharType="separate"/>
            </w:r>
            <w:r w:rsidR="000A7E14">
              <w:rPr>
                <w:noProof/>
                <w:webHidden/>
              </w:rPr>
              <w:t>9</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5" w:history="1">
            <w:r w:rsidR="00B23E9E" w:rsidRPr="00394EEB">
              <w:rPr>
                <w:rStyle w:val="Hyperlink"/>
                <w:noProof/>
              </w:rPr>
              <w:t>5.1 AFM rapport</w:t>
            </w:r>
            <w:r w:rsidR="00B23E9E">
              <w:rPr>
                <w:noProof/>
                <w:webHidden/>
              </w:rPr>
              <w:tab/>
            </w:r>
            <w:r>
              <w:rPr>
                <w:noProof/>
                <w:webHidden/>
              </w:rPr>
              <w:fldChar w:fldCharType="begin"/>
            </w:r>
            <w:r w:rsidR="00B23E9E">
              <w:rPr>
                <w:noProof/>
                <w:webHidden/>
              </w:rPr>
              <w:instrText xml:space="preserve"> PAGEREF _Toc360661885 \h </w:instrText>
            </w:r>
            <w:r>
              <w:rPr>
                <w:noProof/>
                <w:webHidden/>
              </w:rPr>
            </w:r>
            <w:r>
              <w:rPr>
                <w:noProof/>
                <w:webHidden/>
              </w:rPr>
              <w:fldChar w:fldCharType="separate"/>
            </w:r>
            <w:r w:rsidR="000A7E14">
              <w:rPr>
                <w:noProof/>
                <w:webHidden/>
              </w:rPr>
              <w:t>10</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6" w:history="1">
            <w:r w:rsidR="00B23E9E" w:rsidRPr="00394EEB">
              <w:rPr>
                <w:rStyle w:val="Hyperlink"/>
                <w:noProof/>
              </w:rPr>
              <w:t>5.2 Nieuwe (EU) wetgeving</w:t>
            </w:r>
            <w:r w:rsidR="00B23E9E">
              <w:rPr>
                <w:noProof/>
                <w:webHidden/>
              </w:rPr>
              <w:tab/>
            </w:r>
            <w:r>
              <w:rPr>
                <w:noProof/>
                <w:webHidden/>
              </w:rPr>
              <w:fldChar w:fldCharType="begin"/>
            </w:r>
            <w:r w:rsidR="00B23E9E">
              <w:rPr>
                <w:noProof/>
                <w:webHidden/>
              </w:rPr>
              <w:instrText xml:space="preserve"> PAGEREF _Toc360661886 \h </w:instrText>
            </w:r>
            <w:r>
              <w:rPr>
                <w:noProof/>
                <w:webHidden/>
              </w:rPr>
            </w:r>
            <w:r>
              <w:rPr>
                <w:noProof/>
                <w:webHidden/>
              </w:rPr>
              <w:fldChar w:fldCharType="separate"/>
            </w:r>
            <w:r w:rsidR="000A7E14">
              <w:rPr>
                <w:noProof/>
                <w:webHidden/>
              </w:rPr>
              <w:t>10</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7" w:history="1">
            <w:r w:rsidR="00B23E9E" w:rsidRPr="00394EEB">
              <w:rPr>
                <w:rStyle w:val="Hyperlink"/>
                <w:noProof/>
              </w:rPr>
              <w:t>5.3 Samenvatting</w:t>
            </w:r>
            <w:r w:rsidR="00B23E9E">
              <w:rPr>
                <w:noProof/>
                <w:webHidden/>
              </w:rPr>
              <w:tab/>
            </w:r>
            <w:r>
              <w:rPr>
                <w:noProof/>
                <w:webHidden/>
              </w:rPr>
              <w:fldChar w:fldCharType="begin"/>
            </w:r>
            <w:r w:rsidR="00B23E9E">
              <w:rPr>
                <w:noProof/>
                <w:webHidden/>
              </w:rPr>
              <w:instrText xml:space="preserve"> PAGEREF _Toc360661887 \h </w:instrText>
            </w:r>
            <w:r>
              <w:rPr>
                <w:noProof/>
                <w:webHidden/>
              </w:rPr>
            </w:r>
            <w:r>
              <w:rPr>
                <w:noProof/>
                <w:webHidden/>
              </w:rPr>
              <w:fldChar w:fldCharType="separate"/>
            </w:r>
            <w:r w:rsidR="000A7E14">
              <w:rPr>
                <w:noProof/>
                <w:webHidden/>
              </w:rPr>
              <w:t>11</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888" w:history="1">
            <w:r w:rsidR="00B23E9E" w:rsidRPr="00394EEB">
              <w:rPr>
                <w:rStyle w:val="Hyperlink"/>
                <w:noProof/>
              </w:rPr>
              <w:t>6. Literatuuronderzoek</w:t>
            </w:r>
            <w:r w:rsidR="00B23E9E">
              <w:rPr>
                <w:noProof/>
                <w:webHidden/>
              </w:rPr>
              <w:tab/>
            </w:r>
            <w:r>
              <w:rPr>
                <w:noProof/>
                <w:webHidden/>
              </w:rPr>
              <w:fldChar w:fldCharType="begin"/>
            </w:r>
            <w:r w:rsidR="00B23E9E">
              <w:rPr>
                <w:noProof/>
                <w:webHidden/>
              </w:rPr>
              <w:instrText xml:space="preserve"> PAGEREF _Toc360661888 \h </w:instrText>
            </w:r>
            <w:r>
              <w:rPr>
                <w:noProof/>
                <w:webHidden/>
              </w:rPr>
            </w:r>
            <w:r>
              <w:rPr>
                <w:noProof/>
                <w:webHidden/>
              </w:rPr>
              <w:fldChar w:fldCharType="separate"/>
            </w:r>
            <w:r w:rsidR="000A7E14">
              <w:rPr>
                <w:noProof/>
                <w:webHidden/>
              </w:rPr>
              <w:t>12</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89" w:history="1">
            <w:r w:rsidR="00B23E9E" w:rsidRPr="00394EEB">
              <w:rPr>
                <w:rStyle w:val="Hyperlink"/>
                <w:noProof/>
              </w:rPr>
              <w:t>6.1 Verantwoording van keuze</w:t>
            </w:r>
            <w:r w:rsidR="00B23E9E">
              <w:rPr>
                <w:noProof/>
                <w:webHidden/>
              </w:rPr>
              <w:tab/>
            </w:r>
            <w:r>
              <w:rPr>
                <w:noProof/>
                <w:webHidden/>
              </w:rPr>
              <w:fldChar w:fldCharType="begin"/>
            </w:r>
            <w:r w:rsidR="00B23E9E">
              <w:rPr>
                <w:noProof/>
                <w:webHidden/>
              </w:rPr>
              <w:instrText xml:space="preserve"> PAGEREF _Toc360661889 \h </w:instrText>
            </w:r>
            <w:r>
              <w:rPr>
                <w:noProof/>
                <w:webHidden/>
              </w:rPr>
            </w:r>
            <w:r>
              <w:rPr>
                <w:noProof/>
                <w:webHidden/>
              </w:rPr>
              <w:fldChar w:fldCharType="separate"/>
            </w:r>
            <w:r w:rsidR="000A7E14">
              <w:rPr>
                <w:noProof/>
                <w:webHidden/>
              </w:rPr>
              <w:t>12</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90" w:history="1">
            <w:r w:rsidR="00B23E9E" w:rsidRPr="00394EEB">
              <w:rPr>
                <w:rStyle w:val="Hyperlink"/>
                <w:noProof/>
              </w:rPr>
              <w:t>6.2 Argumenten vóór scheiding</w:t>
            </w:r>
            <w:r w:rsidR="00B23E9E">
              <w:rPr>
                <w:noProof/>
                <w:webHidden/>
              </w:rPr>
              <w:tab/>
            </w:r>
            <w:r>
              <w:rPr>
                <w:noProof/>
                <w:webHidden/>
              </w:rPr>
              <w:fldChar w:fldCharType="begin"/>
            </w:r>
            <w:r w:rsidR="00B23E9E">
              <w:rPr>
                <w:noProof/>
                <w:webHidden/>
              </w:rPr>
              <w:instrText xml:space="preserve"> PAGEREF _Toc360661890 \h </w:instrText>
            </w:r>
            <w:r>
              <w:rPr>
                <w:noProof/>
                <w:webHidden/>
              </w:rPr>
            </w:r>
            <w:r>
              <w:rPr>
                <w:noProof/>
                <w:webHidden/>
              </w:rPr>
              <w:fldChar w:fldCharType="separate"/>
            </w:r>
            <w:r w:rsidR="000A7E14">
              <w:rPr>
                <w:noProof/>
                <w:webHidden/>
              </w:rPr>
              <w:t>14</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1" w:history="1">
            <w:r w:rsidR="00B23E9E" w:rsidRPr="00394EEB">
              <w:rPr>
                <w:rStyle w:val="Hyperlink"/>
                <w:noProof/>
              </w:rPr>
              <w:t>6.2.1 Becker et al. (1998)</w:t>
            </w:r>
            <w:r w:rsidR="00B23E9E">
              <w:rPr>
                <w:noProof/>
                <w:webHidden/>
              </w:rPr>
              <w:tab/>
            </w:r>
            <w:r>
              <w:rPr>
                <w:noProof/>
                <w:webHidden/>
              </w:rPr>
              <w:fldChar w:fldCharType="begin"/>
            </w:r>
            <w:r w:rsidR="00B23E9E">
              <w:rPr>
                <w:noProof/>
                <w:webHidden/>
              </w:rPr>
              <w:instrText xml:space="preserve"> PAGEREF _Toc360661891 \h </w:instrText>
            </w:r>
            <w:r>
              <w:rPr>
                <w:noProof/>
                <w:webHidden/>
              </w:rPr>
            </w:r>
            <w:r>
              <w:rPr>
                <w:noProof/>
                <w:webHidden/>
              </w:rPr>
              <w:fldChar w:fldCharType="separate"/>
            </w:r>
            <w:r w:rsidR="000A7E14">
              <w:rPr>
                <w:noProof/>
                <w:webHidden/>
              </w:rPr>
              <w:t>14</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2" w:history="1">
            <w:r w:rsidR="00B23E9E" w:rsidRPr="00394EEB">
              <w:rPr>
                <w:rStyle w:val="Hyperlink"/>
                <w:noProof/>
              </w:rPr>
              <w:t>6.2.2 Frankel et al. (2002)</w:t>
            </w:r>
            <w:r w:rsidR="00B23E9E">
              <w:rPr>
                <w:noProof/>
                <w:webHidden/>
              </w:rPr>
              <w:tab/>
            </w:r>
            <w:r>
              <w:rPr>
                <w:noProof/>
                <w:webHidden/>
              </w:rPr>
              <w:fldChar w:fldCharType="begin"/>
            </w:r>
            <w:r w:rsidR="00B23E9E">
              <w:rPr>
                <w:noProof/>
                <w:webHidden/>
              </w:rPr>
              <w:instrText xml:space="preserve"> PAGEREF _Toc360661892 \h </w:instrText>
            </w:r>
            <w:r>
              <w:rPr>
                <w:noProof/>
                <w:webHidden/>
              </w:rPr>
            </w:r>
            <w:r>
              <w:rPr>
                <w:noProof/>
                <w:webHidden/>
              </w:rPr>
              <w:fldChar w:fldCharType="separate"/>
            </w:r>
            <w:r w:rsidR="000A7E14">
              <w:rPr>
                <w:noProof/>
                <w:webHidden/>
              </w:rPr>
              <w:t>16</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3" w:history="1">
            <w:r w:rsidR="00B23E9E" w:rsidRPr="00394EEB">
              <w:rPr>
                <w:rStyle w:val="Hyperlink"/>
                <w:noProof/>
              </w:rPr>
              <w:t>6.2.5 Krishnan et al. (2011)</w:t>
            </w:r>
            <w:r w:rsidR="00B23E9E">
              <w:rPr>
                <w:noProof/>
                <w:webHidden/>
              </w:rPr>
              <w:tab/>
            </w:r>
            <w:r>
              <w:rPr>
                <w:noProof/>
                <w:webHidden/>
              </w:rPr>
              <w:fldChar w:fldCharType="begin"/>
            </w:r>
            <w:r w:rsidR="00B23E9E">
              <w:rPr>
                <w:noProof/>
                <w:webHidden/>
              </w:rPr>
              <w:instrText xml:space="preserve"> PAGEREF _Toc360661893 \h </w:instrText>
            </w:r>
            <w:r>
              <w:rPr>
                <w:noProof/>
                <w:webHidden/>
              </w:rPr>
            </w:r>
            <w:r>
              <w:rPr>
                <w:noProof/>
                <w:webHidden/>
              </w:rPr>
              <w:fldChar w:fldCharType="separate"/>
            </w:r>
            <w:r w:rsidR="000A7E14">
              <w:rPr>
                <w:noProof/>
                <w:webHidden/>
              </w:rPr>
              <w:t>21</w:t>
            </w:r>
            <w:r>
              <w:rPr>
                <w:noProof/>
                <w:webHidden/>
              </w:rPr>
              <w:fldChar w:fldCharType="end"/>
            </w:r>
          </w:hyperlink>
        </w:p>
        <w:p w:rsidR="00B23E9E" w:rsidRDefault="009F5168">
          <w:pPr>
            <w:pStyle w:val="Inhopg2"/>
            <w:tabs>
              <w:tab w:val="right" w:leader="dot" w:pos="9062"/>
            </w:tabs>
            <w:rPr>
              <w:rFonts w:eastAsiaTheme="minorEastAsia"/>
              <w:noProof/>
              <w:lang w:eastAsia="nl-NL"/>
            </w:rPr>
          </w:pPr>
          <w:hyperlink w:anchor="_Toc360661894" w:history="1">
            <w:r w:rsidR="00B23E9E" w:rsidRPr="00394EEB">
              <w:rPr>
                <w:rStyle w:val="Hyperlink"/>
                <w:noProof/>
              </w:rPr>
              <w:t>6.3 Argumenten tegen scheiding</w:t>
            </w:r>
            <w:r w:rsidR="00B23E9E">
              <w:rPr>
                <w:noProof/>
                <w:webHidden/>
              </w:rPr>
              <w:tab/>
            </w:r>
            <w:r>
              <w:rPr>
                <w:noProof/>
                <w:webHidden/>
              </w:rPr>
              <w:fldChar w:fldCharType="begin"/>
            </w:r>
            <w:r w:rsidR="00B23E9E">
              <w:rPr>
                <w:noProof/>
                <w:webHidden/>
              </w:rPr>
              <w:instrText xml:space="preserve"> PAGEREF _Toc360661894 \h </w:instrText>
            </w:r>
            <w:r>
              <w:rPr>
                <w:noProof/>
                <w:webHidden/>
              </w:rPr>
            </w:r>
            <w:r>
              <w:rPr>
                <w:noProof/>
                <w:webHidden/>
              </w:rPr>
              <w:fldChar w:fldCharType="separate"/>
            </w:r>
            <w:r w:rsidR="000A7E14">
              <w:rPr>
                <w:noProof/>
                <w:webHidden/>
              </w:rPr>
              <w:t>23</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5" w:history="1">
            <w:r w:rsidR="00B23E9E" w:rsidRPr="00394EEB">
              <w:rPr>
                <w:rStyle w:val="Hyperlink"/>
                <w:noProof/>
                <w:lang w:val="en-US"/>
              </w:rPr>
              <w:t>6.3.1 Antle et al. (2002)</w:t>
            </w:r>
            <w:r w:rsidR="00B23E9E">
              <w:rPr>
                <w:noProof/>
                <w:webHidden/>
              </w:rPr>
              <w:tab/>
            </w:r>
            <w:r>
              <w:rPr>
                <w:noProof/>
                <w:webHidden/>
              </w:rPr>
              <w:fldChar w:fldCharType="begin"/>
            </w:r>
            <w:r w:rsidR="00B23E9E">
              <w:rPr>
                <w:noProof/>
                <w:webHidden/>
              </w:rPr>
              <w:instrText xml:space="preserve"> PAGEREF _Toc360661895 \h </w:instrText>
            </w:r>
            <w:r>
              <w:rPr>
                <w:noProof/>
                <w:webHidden/>
              </w:rPr>
            </w:r>
            <w:r>
              <w:rPr>
                <w:noProof/>
                <w:webHidden/>
              </w:rPr>
              <w:fldChar w:fldCharType="separate"/>
            </w:r>
            <w:r w:rsidR="000A7E14">
              <w:rPr>
                <w:noProof/>
                <w:webHidden/>
              </w:rPr>
              <w:t>23</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6" w:history="1">
            <w:r w:rsidR="00B23E9E" w:rsidRPr="00394EEB">
              <w:rPr>
                <w:rStyle w:val="Hyperlink"/>
                <w:noProof/>
              </w:rPr>
              <w:t>6.3.2 Ashbaugh et al. (2003)</w:t>
            </w:r>
            <w:r w:rsidR="00B23E9E">
              <w:rPr>
                <w:noProof/>
                <w:webHidden/>
              </w:rPr>
              <w:tab/>
            </w:r>
            <w:r>
              <w:rPr>
                <w:noProof/>
                <w:webHidden/>
              </w:rPr>
              <w:fldChar w:fldCharType="begin"/>
            </w:r>
            <w:r w:rsidR="00B23E9E">
              <w:rPr>
                <w:noProof/>
                <w:webHidden/>
              </w:rPr>
              <w:instrText xml:space="preserve"> PAGEREF _Toc360661896 \h </w:instrText>
            </w:r>
            <w:r>
              <w:rPr>
                <w:noProof/>
                <w:webHidden/>
              </w:rPr>
            </w:r>
            <w:r>
              <w:rPr>
                <w:noProof/>
                <w:webHidden/>
              </w:rPr>
              <w:fldChar w:fldCharType="separate"/>
            </w:r>
            <w:r w:rsidR="000A7E14">
              <w:rPr>
                <w:noProof/>
                <w:webHidden/>
              </w:rPr>
              <w:t>25</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7" w:history="1">
            <w:r w:rsidR="00B23E9E" w:rsidRPr="00394EEB">
              <w:rPr>
                <w:rStyle w:val="Hyperlink"/>
                <w:noProof/>
              </w:rPr>
              <w:t>6.3.3 Larcker en Richardson (2004)</w:t>
            </w:r>
            <w:r w:rsidR="00B23E9E">
              <w:rPr>
                <w:noProof/>
                <w:webHidden/>
              </w:rPr>
              <w:tab/>
            </w:r>
            <w:r>
              <w:rPr>
                <w:noProof/>
                <w:webHidden/>
              </w:rPr>
              <w:fldChar w:fldCharType="begin"/>
            </w:r>
            <w:r w:rsidR="00B23E9E">
              <w:rPr>
                <w:noProof/>
                <w:webHidden/>
              </w:rPr>
              <w:instrText xml:space="preserve"> PAGEREF _Toc360661897 \h </w:instrText>
            </w:r>
            <w:r>
              <w:rPr>
                <w:noProof/>
                <w:webHidden/>
              </w:rPr>
            </w:r>
            <w:r>
              <w:rPr>
                <w:noProof/>
                <w:webHidden/>
              </w:rPr>
              <w:fldChar w:fldCharType="separate"/>
            </w:r>
            <w:r w:rsidR="000A7E14">
              <w:rPr>
                <w:noProof/>
                <w:webHidden/>
              </w:rPr>
              <w:t>26</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8" w:history="1">
            <w:r w:rsidR="00B23E9E" w:rsidRPr="00394EEB">
              <w:rPr>
                <w:rStyle w:val="Hyperlink"/>
                <w:noProof/>
              </w:rPr>
              <w:t>6.3.4 Mitra, S. (2007)</w:t>
            </w:r>
            <w:r w:rsidR="00B23E9E">
              <w:rPr>
                <w:noProof/>
                <w:webHidden/>
              </w:rPr>
              <w:tab/>
            </w:r>
            <w:r>
              <w:rPr>
                <w:noProof/>
                <w:webHidden/>
              </w:rPr>
              <w:fldChar w:fldCharType="begin"/>
            </w:r>
            <w:r w:rsidR="00B23E9E">
              <w:rPr>
                <w:noProof/>
                <w:webHidden/>
              </w:rPr>
              <w:instrText xml:space="preserve"> PAGEREF _Toc360661898 \h </w:instrText>
            </w:r>
            <w:r>
              <w:rPr>
                <w:noProof/>
                <w:webHidden/>
              </w:rPr>
            </w:r>
            <w:r>
              <w:rPr>
                <w:noProof/>
                <w:webHidden/>
              </w:rPr>
              <w:fldChar w:fldCharType="separate"/>
            </w:r>
            <w:r w:rsidR="000A7E14">
              <w:rPr>
                <w:noProof/>
                <w:webHidden/>
              </w:rPr>
              <w:t>28</w:t>
            </w:r>
            <w:r>
              <w:rPr>
                <w:noProof/>
                <w:webHidden/>
              </w:rPr>
              <w:fldChar w:fldCharType="end"/>
            </w:r>
          </w:hyperlink>
        </w:p>
        <w:p w:rsidR="00B23E9E" w:rsidRDefault="009F5168">
          <w:pPr>
            <w:pStyle w:val="Inhopg3"/>
            <w:tabs>
              <w:tab w:val="right" w:leader="dot" w:pos="9062"/>
            </w:tabs>
            <w:rPr>
              <w:rFonts w:eastAsiaTheme="minorEastAsia"/>
              <w:noProof/>
              <w:lang w:eastAsia="nl-NL"/>
            </w:rPr>
          </w:pPr>
          <w:hyperlink w:anchor="_Toc360661899" w:history="1">
            <w:r w:rsidR="00B23E9E" w:rsidRPr="00394EEB">
              <w:rPr>
                <w:rStyle w:val="Hyperlink"/>
                <w:noProof/>
              </w:rPr>
              <w:t>6.3.5 Svanström, T. (2012)</w:t>
            </w:r>
            <w:r w:rsidR="00B23E9E">
              <w:rPr>
                <w:noProof/>
                <w:webHidden/>
              </w:rPr>
              <w:tab/>
            </w:r>
            <w:r>
              <w:rPr>
                <w:noProof/>
                <w:webHidden/>
              </w:rPr>
              <w:fldChar w:fldCharType="begin"/>
            </w:r>
            <w:r w:rsidR="00B23E9E">
              <w:rPr>
                <w:noProof/>
                <w:webHidden/>
              </w:rPr>
              <w:instrText xml:space="preserve"> PAGEREF _Toc360661899 \h </w:instrText>
            </w:r>
            <w:r>
              <w:rPr>
                <w:noProof/>
                <w:webHidden/>
              </w:rPr>
            </w:r>
            <w:r>
              <w:rPr>
                <w:noProof/>
                <w:webHidden/>
              </w:rPr>
              <w:fldChar w:fldCharType="separate"/>
            </w:r>
            <w:r w:rsidR="000A7E14">
              <w:rPr>
                <w:noProof/>
                <w:webHidden/>
              </w:rPr>
              <w:t>30</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900" w:history="1">
            <w:r w:rsidR="00B23E9E" w:rsidRPr="00394EEB">
              <w:rPr>
                <w:rStyle w:val="Hyperlink"/>
                <w:noProof/>
              </w:rPr>
              <w:t>7. Conclusie</w:t>
            </w:r>
            <w:r w:rsidR="00B23E9E">
              <w:rPr>
                <w:noProof/>
                <w:webHidden/>
              </w:rPr>
              <w:tab/>
            </w:r>
            <w:r>
              <w:rPr>
                <w:noProof/>
                <w:webHidden/>
              </w:rPr>
              <w:fldChar w:fldCharType="begin"/>
            </w:r>
            <w:r w:rsidR="00B23E9E">
              <w:rPr>
                <w:noProof/>
                <w:webHidden/>
              </w:rPr>
              <w:instrText xml:space="preserve"> PAGEREF _Toc360661900 \h </w:instrText>
            </w:r>
            <w:r>
              <w:rPr>
                <w:noProof/>
                <w:webHidden/>
              </w:rPr>
            </w:r>
            <w:r>
              <w:rPr>
                <w:noProof/>
                <w:webHidden/>
              </w:rPr>
              <w:fldChar w:fldCharType="separate"/>
            </w:r>
            <w:r w:rsidR="000A7E14">
              <w:rPr>
                <w:noProof/>
                <w:webHidden/>
              </w:rPr>
              <w:t>32</w:t>
            </w:r>
            <w:r>
              <w:rPr>
                <w:noProof/>
                <w:webHidden/>
              </w:rPr>
              <w:fldChar w:fldCharType="end"/>
            </w:r>
          </w:hyperlink>
        </w:p>
        <w:p w:rsidR="00B23E9E" w:rsidRDefault="009F5168">
          <w:pPr>
            <w:pStyle w:val="Inhopg1"/>
            <w:tabs>
              <w:tab w:val="right" w:leader="dot" w:pos="9062"/>
            </w:tabs>
            <w:rPr>
              <w:rFonts w:eastAsiaTheme="minorEastAsia"/>
              <w:noProof/>
              <w:lang w:eastAsia="nl-NL"/>
            </w:rPr>
          </w:pPr>
          <w:hyperlink w:anchor="_Toc360661901" w:history="1">
            <w:r w:rsidR="00B23E9E" w:rsidRPr="00394EEB">
              <w:rPr>
                <w:rStyle w:val="Hyperlink"/>
                <w:noProof/>
              </w:rPr>
              <w:t>8. Discussie</w:t>
            </w:r>
            <w:r w:rsidR="00B23E9E">
              <w:rPr>
                <w:noProof/>
                <w:webHidden/>
              </w:rPr>
              <w:tab/>
            </w:r>
            <w:r>
              <w:rPr>
                <w:noProof/>
                <w:webHidden/>
              </w:rPr>
              <w:fldChar w:fldCharType="begin"/>
            </w:r>
            <w:r w:rsidR="00B23E9E">
              <w:rPr>
                <w:noProof/>
                <w:webHidden/>
              </w:rPr>
              <w:instrText xml:space="preserve"> PAGEREF _Toc360661901 \h </w:instrText>
            </w:r>
            <w:r>
              <w:rPr>
                <w:noProof/>
                <w:webHidden/>
              </w:rPr>
            </w:r>
            <w:r>
              <w:rPr>
                <w:noProof/>
                <w:webHidden/>
              </w:rPr>
              <w:fldChar w:fldCharType="separate"/>
            </w:r>
            <w:r w:rsidR="000A7E14">
              <w:rPr>
                <w:noProof/>
                <w:webHidden/>
              </w:rPr>
              <w:t>33</w:t>
            </w:r>
            <w:r>
              <w:rPr>
                <w:noProof/>
                <w:webHidden/>
              </w:rPr>
              <w:fldChar w:fldCharType="end"/>
            </w:r>
          </w:hyperlink>
        </w:p>
        <w:p w:rsidR="004F31F2" w:rsidRPr="00620BAF" w:rsidRDefault="009F5168" w:rsidP="001816F9">
          <w:pPr>
            <w:spacing w:line="360" w:lineRule="auto"/>
            <w:rPr>
              <w:b/>
              <w:bCs/>
            </w:rPr>
          </w:pPr>
          <w:r>
            <w:rPr>
              <w:b/>
              <w:bCs/>
            </w:rPr>
            <w:fldChar w:fldCharType="end"/>
          </w:r>
        </w:p>
      </w:sdtContent>
    </w:sdt>
    <w:p w:rsidR="004F31F2" w:rsidRPr="004F31F2" w:rsidRDefault="004F31F2" w:rsidP="001816F9">
      <w:pPr>
        <w:pStyle w:val="Kop1"/>
        <w:spacing w:line="360" w:lineRule="auto"/>
      </w:pPr>
      <w:bookmarkStart w:id="1" w:name="_Toc360661873"/>
      <w:r>
        <w:lastRenderedPageBreak/>
        <w:t xml:space="preserve">1. </w:t>
      </w:r>
      <w:r w:rsidRPr="004F31F2">
        <w:t>Inleiding</w:t>
      </w:r>
      <w:bookmarkEnd w:id="1"/>
    </w:p>
    <w:p w:rsidR="00BD3DEE" w:rsidRDefault="00BD3DEE" w:rsidP="001816F9">
      <w:pPr>
        <w:pStyle w:val="Geenafstand"/>
        <w:spacing w:line="360" w:lineRule="auto"/>
        <w:rPr>
          <w:color w:val="000000" w:themeColor="text1"/>
        </w:rPr>
      </w:pPr>
      <w:r>
        <w:rPr>
          <w:color w:val="000000" w:themeColor="text1"/>
        </w:rPr>
        <w:t xml:space="preserve">De onafhankelijkheid van externe accountants is al jaren een veel besproken onderwerp in de accountancy. Sommige accountants </w:t>
      </w:r>
      <w:r w:rsidR="0014045D">
        <w:rPr>
          <w:color w:val="000000" w:themeColor="text1"/>
        </w:rPr>
        <w:t>menen</w:t>
      </w:r>
      <w:r>
        <w:rPr>
          <w:color w:val="000000" w:themeColor="text1"/>
        </w:rPr>
        <w:t xml:space="preserve"> zelfs </w:t>
      </w:r>
      <w:r w:rsidR="0014045D">
        <w:rPr>
          <w:color w:val="000000" w:themeColor="text1"/>
        </w:rPr>
        <w:t xml:space="preserve">dat </w:t>
      </w:r>
      <w:r w:rsidR="003D79D6">
        <w:rPr>
          <w:color w:val="000000" w:themeColor="text1"/>
        </w:rPr>
        <w:t>beroeps</w:t>
      </w:r>
      <w:r w:rsidR="0014045D">
        <w:rPr>
          <w:color w:val="000000" w:themeColor="text1"/>
        </w:rPr>
        <w:t>onafhankelijkheid slechts een</w:t>
      </w:r>
      <w:r>
        <w:rPr>
          <w:color w:val="000000" w:themeColor="text1"/>
        </w:rPr>
        <w:t xml:space="preserve"> ‘mythe’ </w:t>
      </w:r>
      <w:r w:rsidR="0014045D">
        <w:rPr>
          <w:color w:val="000000" w:themeColor="text1"/>
        </w:rPr>
        <w:t>is</w:t>
      </w:r>
      <w:r>
        <w:rPr>
          <w:color w:val="000000" w:themeColor="text1"/>
        </w:rPr>
        <w:t xml:space="preserve"> (Westra, 2000). </w:t>
      </w:r>
    </w:p>
    <w:p w:rsidR="00BD3DEE" w:rsidRDefault="00BD3DEE" w:rsidP="001816F9">
      <w:pPr>
        <w:pStyle w:val="Geenafstand"/>
        <w:spacing w:line="360" w:lineRule="auto"/>
        <w:rPr>
          <w:color w:val="000000" w:themeColor="text1"/>
        </w:rPr>
      </w:pPr>
    </w:p>
    <w:p w:rsidR="00BD3DEE" w:rsidRDefault="00BD3DEE" w:rsidP="001816F9">
      <w:pPr>
        <w:pStyle w:val="Geenafstand"/>
        <w:spacing w:line="360" w:lineRule="auto"/>
        <w:rPr>
          <w:color w:val="000000" w:themeColor="text1"/>
        </w:rPr>
      </w:pPr>
      <w:r>
        <w:rPr>
          <w:color w:val="000000" w:themeColor="text1"/>
        </w:rPr>
        <w:t xml:space="preserve">Mede door de recente ontwikkelingen op dit gebied ben ik geïnteresseerd geraakt in de onafhankelijkheid van de accountant en de rol van niet-audit diensten hierin. De doelstelling van deze scriptie is om </w:t>
      </w:r>
      <w:r w:rsidR="00693ED7">
        <w:rPr>
          <w:color w:val="000000" w:themeColor="text1"/>
        </w:rPr>
        <w:t>de</w:t>
      </w:r>
      <w:r w:rsidR="00E07CC8">
        <w:rPr>
          <w:color w:val="000000" w:themeColor="text1"/>
        </w:rPr>
        <w:t xml:space="preserve"> recente</w:t>
      </w:r>
      <w:r w:rsidR="00693ED7">
        <w:rPr>
          <w:color w:val="000000" w:themeColor="text1"/>
        </w:rPr>
        <w:t xml:space="preserve"> literatuur over </w:t>
      </w:r>
      <w:r>
        <w:rPr>
          <w:color w:val="000000" w:themeColor="text1"/>
        </w:rPr>
        <w:t xml:space="preserve">het vraagstuk van de onafhankelijkheid van de accountant te </w:t>
      </w:r>
      <w:r w:rsidR="00942583">
        <w:rPr>
          <w:color w:val="000000" w:themeColor="text1"/>
        </w:rPr>
        <w:t>ordenen. Dit ordenen dient om</w:t>
      </w:r>
      <w:r w:rsidR="003D79D6">
        <w:rPr>
          <w:color w:val="000000" w:themeColor="text1"/>
        </w:rPr>
        <w:t xml:space="preserve"> een helder</w:t>
      </w:r>
      <w:r w:rsidR="00326C59">
        <w:rPr>
          <w:color w:val="000000" w:themeColor="text1"/>
        </w:rPr>
        <w:t xml:space="preserve"> zicht te kunnen krijgen </w:t>
      </w:r>
      <w:r w:rsidR="003D79D6">
        <w:rPr>
          <w:color w:val="000000" w:themeColor="text1"/>
        </w:rPr>
        <w:t>in</w:t>
      </w:r>
      <w:r w:rsidR="00326C59">
        <w:rPr>
          <w:color w:val="000000" w:themeColor="text1"/>
        </w:rPr>
        <w:t xml:space="preserve"> de vóór- en nadelen van </w:t>
      </w:r>
      <w:r w:rsidR="00E07CC8">
        <w:rPr>
          <w:color w:val="000000" w:themeColor="text1"/>
        </w:rPr>
        <w:t xml:space="preserve">het verlenen </w:t>
      </w:r>
      <w:r w:rsidR="003D79D6">
        <w:rPr>
          <w:color w:val="000000" w:themeColor="text1"/>
        </w:rPr>
        <w:t xml:space="preserve">van </w:t>
      </w:r>
      <w:r w:rsidR="00326C59">
        <w:rPr>
          <w:color w:val="000000" w:themeColor="text1"/>
        </w:rPr>
        <w:t>niet-audit diensten</w:t>
      </w:r>
      <w:r w:rsidR="00E07CC8">
        <w:rPr>
          <w:color w:val="000000" w:themeColor="text1"/>
        </w:rPr>
        <w:t xml:space="preserve"> op de onafhankelijkheid.</w:t>
      </w:r>
    </w:p>
    <w:p w:rsidR="00BD3DEE" w:rsidRDefault="00BD3DEE" w:rsidP="001816F9">
      <w:pPr>
        <w:pStyle w:val="Geenafstand"/>
        <w:spacing w:line="360" w:lineRule="auto"/>
        <w:rPr>
          <w:color w:val="000000" w:themeColor="text1"/>
        </w:rPr>
      </w:pPr>
    </w:p>
    <w:p w:rsidR="00BD3DEE" w:rsidRDefault="00BD3DEE" w:rsidP="001816F9">
      <w:pPr>
        <w:pStyle w:val="Geenafstand"/>
        <w:spacing w:line="360" w:lineRule="auto"/>
        <w:rPr>
          <w:color w:val="000000" w:themeColor="text1"/>
        </w:rPr>
      </w:pPr>
      <w:r>
        <w:rPr>
          <w:color w:val="000000" w:themeColor="text1"/>
        </w:rPr>
        <w:t>De onderliggende theorie in deze scriptie is het vraagstuk over de onafhankelijkheid van externe accountants. Elke accountant is gehouden aan een gedragscode (NBA, 2009).</w:t>
      </w:r>
      <w:r>
        <w:rPr>
          <w:color w:val="000000" w:themeColor="text1"/>
        </w:rPr>
        <w:br/>
        <w:t xml:space="preserve">Het is van essentieel belang dat accountants </w:t>
      </w:r>
      <w:r w:rsidR="00D51390">
        <w:rPr>
          <w:color w:val="000000" w:themeColor="text1"/>
        </w:rPr>
        <w:t xml:space="preserve">zich </w:t>
      </w:r>
      <w:r>
        <w:rPr>
          <w:color w:val="000000" w:themeColor="text1"/>
        </w:rPr>
        <w:t>aan deze gedragscode houden, omdat de externe accountant het deskundige rapport moet ondertekenen. Gebruikers van de jaarrekening moeten erop kunnen vertrouwen dat het deskundige rapport onafhankelijk en professioneel is opgemaakt.</w:t>
      </w:r>
      <w:r>
        <w:rPr>
          <w:color w:val="000000" w:themeColor="text1"/>
        </w:rPr>
        <w:br/>
      </w:r>
      <w:r>
        <w:rPr>
          <w:color w:val="000000" w:themeColor="text1"/>
        </w:rPr>
        <w:br/>
        <w:t xml:space="preserve">Sommige wetenschappers zijn van mening dat het verrichten van niet-audit diensten de onafhankelijkheid van de accountant negatief kan beïnvloeden (Krishnan, </w:t>
      </w:r>
      <w:r w:rsidRPr="009759A0">
        <w:rPr>
          <w:color w:val="000000" w:themeColor="text1"/>
        </w:rPr>
        <w:t>2011)</w:t>
      </w:r>
      <w:r>
        <w:rPr>
          <w:color w:val="000000" w:themeColor="text1"/>
        </w:rPr>
        <w:t>. Anderen menen dat de onafhankelijkheid van de externe accountant niet (altijd) negatief wordt beïnvloed (Ghosh, 2009).</w:t>
      </w:r>
      <w:r w:rsidR="00D27259">
        <w:rPr>
          <w:color w:val="000000" w:themeColor="text1"/>
        </w:rPr>
        <w:t xml:space="preserve"> </w:t>
      </w:r>
    </w:p>
    <w:p w:rsidR="00D27259" w:rsidRDefault="00D27259" w:rsidP="001816F9">
      <w:pPr>
        <w:pStyle w:val="Geenafstand"/>
        <w:spacing w:line="360" w:lineRule="auto"/>
        <w:rPr>
          <w:color w:val="000000" w:themeColor="text1"/>
        </w:rPr>
      </w:pPr>
      <w:r>
        <w:rPr>
          <w:color w:val="000000" w:themeColor="text1"/>
        </w:rPr>
        <w:br/>
      </w:r>
      <w:r w:rsidR="00620BAF">
        <w:rPr>
          <w:color w:val="000000" w:themeColor="text1"/>
        </w:rPr>
        <w:t>Onder begeleiding van dhr. Van der Spek</w:t>
      </w:r>
      <w:r>
        <w:rPr>
          <w:color w:val="000000" w:themeColor="text1"/>
        </w:rPr>
        <w:t xml:space="preserve"> schrijf ik deze scriptie voor de sectie Accounting, Auditing en Control van Erasmus Universiteit Rotterdam.</w:t>
      </w:r>
    </w:p>
    <w:p w:rsidR="006F4D44" w:rsidRPr="003E3E18" w:rsidRDefault="006F4D44" w:rsidP="001816F9">
      <w:pPr>
        <w:pStyle w:val="Geenafstand"/>
        <w:spacing w:line="360" w:lineRule="auto"/>
        <w:rPr>
          <w:color w:val="000000" w:themeColor="text1"/>
        </w:rPr>
      </w:pPr>
    </w:p>
    <w:p w:rsidR="004F31F2" w:rsidRDefault="004F31F2" w:rsidP="001816F9">
      <w:pPr>
        <w:pStyle w:val="Geenafstand"/>
        <w:spacing w:line="360" w:lineRule="auto"/>
        <w:rPr>
          <w:sz w:val="28"/>
        </w:rPr>
      </w:pPr>
    </w:p>
    <w:p w:rsidR="00C72BDD" w:rsidRDefault="00C72BDD" w:rsidP="001816F9">
      <w:pPr>
        <w:pStyle w:val="Geenafstand"/>
        <w:spacing w:line="360" w:lineRule="auto"/>
        <w:rPr>
          <w:sz w:val="28"/>
        </w:rPr>
      </w:pPr>
    </w:p>
    <w:p w:rsidR="00C72BDD" w:rsidRDefault="00C72BDD" w:rsidP="001816F9">
      <w:pPr>
        <w:pStyle w:val="Geenafstand"/>
        <w:spacing w:line="360" w:lineRule="auto"/>
        <w:rPr>
          <w:sz w:val="28"/>
        </w:rPr>
      </w:pPr>
    </w:p>
    <w:p w:rsidR="00383DA6" w:rsidRDefault="00383DA6" w:rsidP="001816F9">
      <w:pPr>
        <w:pStyle w:val="Geenafstand"/>
        <w:spacing w:line="360" w:lineRule="auto"/>
        <w:rPr>
          <w:sz w:val="28"/>
        </w:rPr>
      </w:pPr>
    </w:p>
    <w:p w:rsidR="00C72BDD" w:rsidRDefault="001816F9" w:rsidP="001816F9">
      <w:pPr>
        <w:pStyle w:val="Kop1"/>
        <w:spacing w:line="360" w:lineRule="auto"/>
      </w:pPr>
      <w:bookmarkStart w:id="2" w:name="_Toc360661874"/>
      <w:r>
        <w:lastRenderedPageBreak/>
        <w:t xml:space="preserve">2. </w:t>
      </w:r>
      <w:r w:rsidR="00FE26E5">
        <w:t>Onderzoeksopzet</w:t>
      </w:r>
      <w:bookmarkEnd w:id="2"/>
    </w:p>
    <w:p w:rsidR="00B73378" w:rsidRDefault="00B73378" w:rsidP="00B73378">
      <w:pPr>
        <w:pStyle w:val="Geenafstand"/>
        <w:spacing w:line="360" w:lineRule="auto"/>
        <w:rPr>
          <w:color w:val="000000" w:themeColor="text1"/>
        </w:rPr>
      </w:pPr>
      <w:r>
        <w:rPr>
          <w:color w:val="000000" w:themeColor="text1"/>
        </w:rPr>
        <w:t xml:space="preserve">De centrale vraag die in mijn scriptie aan de orde wordt gesteld </w:t>
      </w:r>
      <w:r w:rsidR="008B1371">
        <w:rPr>
          <w:color w:val="000000" w:themeColor="text1"/>
        </w:rPr>
        <w:t>is:</w:t>
      </w:r>
      <w:r>
        <w:rPr>
          <w:color w:val="000000" w:themeColor="text1"/>
        </w:rPr>
        <w:t xml:space="preserve"> ‘</w:t>
      </w:r>
      <w:r w:rsidRPr="00C346D9">
        <w:rPr>
          <w:color w:val="000000" w:themeColor="text1"/>
        </w:rPr>
        <w:t>In hoeverre wordt de onafhankelijkheid van de externe accountant negatief beïnvloed door het verlenen van niet-audit diensten aan eenzelfde opdrachtgever?’</w:t>
      </w:r>
    </w:p>
    <w:p w:rsidR="00B73378" w:rsidRDefault="00B73378" w:rsidP="00B73378">
      <w:pPr>
        <w:pStyle w:val="Geenafstand"/>
        <w:spacing w:line="360" w:lineRule="auto"/>
        <w:rPr>
          <w:color w:val="000000" w:themeColor="text1"/>
        </w:rPr>
      </w:pPr>
    </w:p>
    <w:p w:rsidR="00B73378" w:rsidRDefault="00B73378" w:rsidP="00B73378">
      <w:pPr>
        <w:pStyle w:val="Geenafstand"/>
        <w:spacing w:line="360" w:lineRule="auto"/>
        <w:rPr>
          <w:color w:val="000000" w:themeColor="text1"/>
        </w:rPr>
      </w:pPr>
      <w:r>
        <w:rPr>
          <w:color w:val="000000" w:themeColor="text1"/>
        </w:rPr>
        <w:t>Teneinde de hoofdvraag te beantwoorden zijn enkele deelvragen geformuleerd.</w:t>
      </w:r>
      <w:r>
        <w:rPr>
          <w:color w:val="000000" w:themeColor="text1"/>
        </w:rPr>
        <w:br/>
        <w:t xml:space="preserve">Als eerst wordt de relevante theorie behandeld. In hoofdstuk </w:t>
      </w:r>
      <w:r w:rsidR="00130199">
        <w:rPr>
          <w:color w:val="000000" w:themeColor="text1"/>
        </w:rPr>
        <w:t>3</w:t>
      </w:r>
      <w:r>
        <w:rPr>
          <w:color w:val="000000" w:themeColor="text1"/>
        </w:rPr>
        <w:t xml:space="preserve"> worden de verschillende werkzaamheden en diensten van een accountant toegelicht om de eerste deelvraag te beantwoorden, namelijk ‘</w:t>
      </w:r>
      <w:r>
        <w:t xml:space="preserve">wat zijn de verschillende </w:t>
      </w:r>
      <w:r w:rsidRPr="00E27033">
        <w:t>werkzaamheden en diensten van een accountant</w:t>
      </w:r>
      <w:r>
        <w:t>?’</w:t>
      </w:r>
      <w:r w:rsidR="00130199">
        <w:t xml:space="preserve">. </w:t>
      </w:r>
      <w:r w:rsidR="00130199">
        <w:rPr>
          <w:color w:val="000000" w:themeColor="text1"/>
        </w:rPr>
        <w:t>In hoofdstuk 4</w:t>
      </w:r>
      <w:r>
        <w:rPr>
          <w:color w:val="000000" w:themeColor="text1"/>
        </w:rPr>
        <w:t xml:space="preserve"> wordt de onafhankelijkheid van een accountant uiteengezet om de tweede deelvraag te beantwoorden, te weten </w:t>
      </w:r>
      <w:r>
        <w:t>‘wat is onafhankelijkheid?’.</w:t>
      </w:r>
      <w:r w:rsidR="00130199">
        <w:t xml:space="preserve"> </w:t>
      </w:r>
      <w:r w:rsidR="00130199">
        <w:rPr>
          <w:color w:val="000000" w:themeColor="text1"/>
        </w:rPr>
        <w:t>Hoofdstuk 5 geeft de recente ontwikkelingen aan op h</w:t>
      </w:r>
      <w:r w:rsidR="004A27A0">
        <w:rPr>
          <w:color w:val="000000" w:themeColor="text1"/>
        </w:rPr>
        <w:t>et gebied van onafhankelijkheid van de accountant.</w:t>
      </w:r>
    </w:p>
    <w:p w:rsidR="00130199" w:rsidRPr="00130199" w:rsidRDefault="00130199" w:rsidP="00B73378">
      <w:pPr>
        <w:pStyle w:val="Geenafstand"/>
        <w:spacing w:line="360" w:lineRule="auto"/>
        <w:rPr>
          <w:color w:val="000000" w:themeColor="text1"/>
        </w:rPr>
      </w:pPr>
    </w:p>
    <w:p w:rsidR="007D18B2" w:rsidRDefault="00B00632" w:rsidP="00B73378">
      <w:pPr>
        <w:pStyle w:val="Geenafstand"/>
        <w:spacing w:line="360" w:lineRule="auto"/>
        <w:rPr>
          <w:color w:val="000000" w:themeColor="text1"/>
        </w:rPr>
      </w:pPr>
      <w:r>
        <w:rPr>
          <w:color w:val="000000" w:themeColor="text1"/>
        </w:rPr>
        <w:t>Het literatuuronderzoek wordt i</w:t>
      </w:r>
      <w:r w:rsidR="00B73378">
        <w:rPr>
          <w:color w:val="000000" w:themeColor="text1"/>
        </w:rPr>
        <w:t xml:space="preserve">n </w:t>
      </w:r>
      <w:r w:rsidR="0070792B">
        <w:rPr>
          <w:color w:val="000000" w:themeColor="text1"/>
        </w:rPr>
        <w:t>hoofdstuk 6</w:t>
      </w:r>
      <w:r w:rsidR="007D18B2">
        <w:rPr>
          <w:color w:val="000000" w:themeColor="text1"/>
        </w:rPr>
        <w:t xml:space="preserve"> </w:t>
      </w:r>
      <w:r w:rsidR="00B73378">
        <w:rPr>
          <w:color w:val="000000" w:themeColor="text1"/>
        </w:rPr>
        <w:t xml:space="preserve">gepresenteerd. </w:t>
      </w:r>
      <w:r w:rsidR="007D18B2">
        <w:rPr>
          <w:color w:val="000000" w:themeColor="text1"/>
        </w:rPr>
        <w:t xml:space="preserve">Het behandelt de derde en vierde deelvraag. De derde deelvraag luidt ‘wat zijn de argumenten van de voorstanders van scheiding van auditdiensten en niet-auditdiensten?’ De vierde deelvraag is ‘wat zijn de argumenten van de tegenstanders van scheiding van auditdiensten en niet-auditdiensten?’ </w:t>
      </w:r>
    </w:p>
    <w:p w:rsidR="007D18B2" w:rsidRDefault="007D18B2" w:rsidP="00B73378">
      <w:pPr>
        <w:pStyle w:val="Geenafstand"/>
        <w:spacing w:line="360" w:lineRule="auto"/>
        <w:rPr>
          <w:color w:val="000000" w:themeColor="text1"/>
        </w:rPr>
      </w:pPr>
    </w:p>
    <w:p w:rsidR="00B73378" w:rsidRPr="007D18B2" w:rsidRDefault="00B73378" w:rsidP="00B73378">
      <w:pPr>
        <w:pStyle w:val="Geenafstand"/>
        <w:spacing w:line="360" w:lineRule="auto"/>
        <w:rPr>
          <w:color w:val="000000" w:themeColor="text1"/>
        </w:rPr>
      </w:pPr>
      <w:r>
        <w:rPr>
          <w:color w:val="000000" w:themeColor="text1"/>
        </w:rPr>
        <w:t>Het onderzoek bestaat uit een verzameling van verschillende wetenschappelijke artikelen.</w:t>
      </w:r>
      <w:r w:rsidR="007D18B2">
        <w:rPr>
          <w:color w:val="000000" w:themeColor="text1"/>
        </w:rPr>
        <w:t xml:space="preserve"> </w:t>
      </w:r>
      <w:r w:rsidR="007D18B2" w:rsidRPr="00F25F8A">
        <w:rPr>
          <w:color w:val="000000" w:themeColor="text1"/>
        </w:rPr>
        <w:t xml:space="preserve">Aan de hand van een aantal </w:t>
      </w:r>
      <w:r w:rsidR="00F25F8A">
        <w:rPr>
          <w:color w:val="000000" w:themeColor="text1"/>
        </w:rPr>
        <w:t>filters</w:t>
      </w:r>
      <w:r w:rsidR="007D18B2">
        <w:rPr>
          <w:color w:val="000000" w:themeColor="text1"/>
        </w:rPr>
        <w:t xml:space="preserve"> wordt per standpunt </w:t>
      </w:r>
      <w:r w:rsidR="00B82022">
        <w:rPr>
          <w:color w:val="000000" w:themeColor="text1"/>
        </w:rPr>
        <w:t>vijf</w:t>
      </w:r>
      <w:r w:rsidR="007D18B2">
        <w:rPr>
          <w:color w:val="000000" w:themeColor="text1"/>
        </w:rPr>
        <w:t xml:space="preserve"> artikelen gekozen. Vervolgens w</w:t>
      </w:r>
      <w:r>
        <w:rPr>
          <w:color w:val="000000" w:themeColor="text1"/>
        </w:rPr>
        <w:t xml:space="preserve">orden </w:t>
      </w:r>
      <w:r w:rsidR="007D18B2">
        <w:rPr>
          <w:color w:val="000000" w:themeColor="text1"/>
        </w:rPr>
        <w:t xml:space="preserve">deze </w:t>
      </w:r>
      <w:r>
        <w:rPr>
          <w:color w:val="000000" w:themeColor="text1"/>
        </w:rPr>
        <w:t xml:space="preserve">verdeeld in enerzijds de voorstanders van scheiding en anderzijds de tegenstanders van scheiding. </w:t>
      </w:r>
      <w:r>
        <w:rPr>
          <w:color w:val="000000" w:themeColor="text1"/>
        </w:rPr>
        <w:br/>
      </w:r>
      <w:r>
        <w:rPr>
          <w:color w:val="000000" w:themeColor="text1"/>
        </w:rPr>
        <w:br/>
      </w:r>
      <w:r>
        <w:t>Nadat alle deelvragen zijn behandeld</w:t>
      </w:r>
      <w:r w:rsidR="00B82022">
        <w:t>,</w:t>
      </w:r>
      <w:r>
        <w:t xml:space="preserve"> wordt in de conclusie de hoofdvraag beantwoord.</w:t>
      </w:r>
    </w:p>
    <w:p w:rsidR="00383DA6" w:rsidRDefault="00383DA6" w:rsidP="00B73378">
      <w:pPr>
        <w:pStyle w:val="Geenafstand"/>
        <w:spacing w:line="360" w:lineRule="auto"/>
      </w:pPr>
    </w:p>
    <w:p w:rsidR="00383DA6" w:rsidRDefault="00383DA6" w:rsidP="00B73378">
      <w:pPr>
        <w:pStyle w:val="Geenafstand"/>
        <w:spacing w:line="360" w:lineRule="auto"/>
      </w:pPr>
    </w:p>
    <w:p w:rsidR="00383DA6" w:rsidRDefault="00383DA6" w:rsidP="00B73378">
      <w:pPr>
        <w:pStyle w:val="Geenafstand"/>
        <w:spacing w:line="360" w:lineRule="auto"/>
      </w:pPr>
    </w:p>
    <w:p w:rsidR="00383DA6" w:rsidRPr="00CB2FD3" w:rsidRDefault="00383DA6" w:rsidP="00B73378">
      <w:pPr>
        <w:pStyle w:val="Geenafstand"/>
        <w:spacing w:line="360" w:lineRule="auto"/>
        <w:rPr>
          <w:color w:val="000000" w:themeColor="text1"/>
        </w:rPr>
      </w:pPr>
    </w:p>
    <w:p w:rsidR="004F31F2" w:rsidRDefault="001816F9" w:rsidP="001816F9">
      <w:pPr>
        <w:pStyle w:val="Kop1"/>
        <w:spacing w:line="360" w:lineRule="auto"/>
      </w:pPr>
      <w:bookmarkStart w:id="3" w:name="_Toc360661875"/>
      <w:r>
        <w:lastRenderedPageBreak/>
        <w:t>3</w:t>
      </w:r>
      <w:r w:rsidR="004F31F2">
        <w:t>. Accountantsdiensten</w:t>
      </w:r>
      <w:bookmarkEnd w:id="3"/>
    </w:p>
    <w:p w:rsidR="0062691F" w:rsidRPr="00E27033" w:rsidRDefault="00F22BB6" w:rsidP="001816F9">
      <w:pPr>
        <w:pStyle w:val="Geenafstand"/>
        <w:spacing w:line="360" w:lineRule="auto"/>
      </w:pPr>
      <w:r>
        <w:t xml:space="preserve">Dit hoofdstuk beantwoordt de eerste deelvraag: wat zijn de verschillende </w:t>
      </w:r>
      <w:r w:rsidR="00087A94" w:rsidRPr="00E27033">
        <w:t>werkzaamheden en diensten van een accountant</w:t>
      </w:r>
      <w:r>
        <w:t>?</w:t>
      </w:r>
      <w:r w:rsidR="00A715D1">
        <w:t xml:space="preserve"> </w:t>
      </w:r>
      <w:r w:rsidR="00351385">
        <w:br/>
      </w:r>
      <w:r w:rsidR="00A715D1">
        <w:t>Pa</w:t>
      </w:r>
      <w:r w:rsidR="00087A94" w:rsidRPr="00E27033">
        <w:t xml:space="preserve">ragraaf </w:t>
      </w:r>
      <w:r w:rsidR="001816F9">
        <w:t>3</w:t>
      </w:r>
      <w:r w:rsidR="00401983" w:rsidRPr="00E27033">
        <w:t>.</w:t>
      </w:r>
      <w:r w:rsidR="00087A94" w:rsidRPr="00E27033">
        <w:t>1</w:t>
      </w:r>
      <w:r w:rsidR="00401983" w:rsidRPr="00E27033">
        <w:t xml:space="preserve"> </w:t>
      </w:r>
      <w:r w:rsidR="00A715D1">
        <w:t>definieert</w:t>
      </w:r>
      <w:r w:rsidR="00401983" w:rsidRPr="00E27033">
        <w:t xml:space="preserve"> het begrip accountant. Vervolgens </w:t>
      </w:r>
      <w:r w:rsidR="00A715D1">
        <w:t xml:space="preserve">beschrijft paragraaf </w:t>
      </w:r>
      <w:r w:rsidR="001816F9">
        <w:t>3</w:t>
      </w:r>
      <w:r w:rsidR="00A715D1">
        <w:t>.2</w:t>
      </w:r>
      <w:r w:rsidR="00401983" w:rsidRPr="00E27033">
        <w:t xml:space="preserve"> de diensten</w:t>
      </w:r>
      <w:r w:rsidR="00A715D1">
        <w:t xml:space="preserve"> en werkzaamheden van accountants.</w:t>
      </w:r>
      <w:r w:rsidR="00AC59DC">
        <w:t xml:space="preserve"> </w:t>
      </w:r>
      <w:r w:rsidR="00401983" w:rsidRPr="00E27033">
        <w:t xml:space="preserve">Dit hoofdstuk </w:t>
      </w:r>
      <w:r w:rsidR="0058702F">
        <w:t>sluit af met</w:t>
      </w:r>
      <w:r w:rsidR="001816F9">
        <w:t xml:space="preserve"> een samenvatting in paragraaf 3</w:t>
      </w:r>
      <w:r w:rsidR="0058702F">
        <w:t>.3.</w:t>
      </w:r>
    </w:p>
    <w:p w:rsidR="0058702F" w:rsidRDefault="00A62EC4" w:rsidP="001816F9">
      <w:pPr>
        <w:pStyle w:val="Geenafstand"/>
        <w:spacing w:line="360" w:lineRule="auto"/>
      </w:pPr>
      <w:r>
        <w:br/>
      </w:r>
      <w:bookmarkStart w:id="4" w:name="_Toc360661876"/>
      <w:r w:rsidR="001816F9">
        <w:rPr>
          <w:rStyle w:val="Kop2Char"/>
        </w:rPr>
        <w:t>3</w:t>
      </w:r>
      <w:r w:rsidR="007A4F90" w:rsidRPr="007A4F90">
        <w:rPr>
          <w:rStyle w:val="Kop2Char"/>
        </w:rPr>
        <w:t>.1 Accountant</w:t>
      </w:r>
      <w:bookmarkEnd w:id="4"/>
      <w:r w:rsidRPr="007A4F90">
        <w:rPr>
          <w:rStyle w:val="Kop2Char"/>
        </w:rPr>
        <w:br/>
      </w:r>
      <w:r w:rsidR="004C3666">
        <w:t>In a</w:t>
      </w:r>
      <w:r w:rsidR="0058702F">
        <w:t xml:space="preserve">rtikel 1 van de Wab staat de definitie van een accountant zoals bedoeld in </w:t>
      </w:r>
      <w:r w:rsidR="006F1C08">
        <w:t>d</w:t>
      </w:r>
      <w:r w:rsidR="004C3666">
        <w:t xml:space="preserve">e </w:t>
      </w:r>
      <w:r w:rsidR="006F1C08">
        <w:t>Wab</w:t>
      </w:r>
      <w:r w:rsidR="0058702F">
        <w:t>: de accountant is een Registeraccountant of Accountant-Administratieconsulent</w:t>
      </w:r>
      <w:r w:rsidR="00D71FF5">
        <w:rPr>
          <w:rStyle w:val="Voetnootmarkering"/>
        </w:rPr>
        <w:footnoteReference w:id="1"/>
      </w:r>
      <w:r w:rsidR="0058702F">
        <w:t>.</w:t>
      </w:r>
    </w:p>
    <w:p w:rsidR="00A01115" w:rsidRDefault="00A01115" w:rsidP="001816F9">
      <w:pPr>
        <w:pStyle w:val="Geenafstand"/>
        <w:spacing w:line="360" w:lineRule="auto"/>
      </w:pPr>
    </w:p>
    <w:p w:rsidR="00D71FF5" w:rsidRDefault="00D71FF5" w:rsidP="001816F9">
      <w:pPr>
        <w:pStyle w:val="Geenafstand"/>
        <w:spacing w:line="360" w:lineRule="auto"/>
      </w:pPr>
      <w:r>
        <w:t>In sub u van d</w:t>
      </w:r>
      <w:r w:rsidR="00624222">
        <w:t>e definities in de Verordening G</w:t>
      </w:r>
      <w:r>
        <w:t xml:space="preserve">edragscode (RA’s) </w:t>
      </w:r>
      <w:r w:rsidR="00624222">
        <w:t xml:space="preserve">(Hierna: VGC) </w:t>
      </w:r>
      <w:r>
        <w:t xml:space="preserve">staat dat een Registeraccountant een natuurlijk persoon is die </w:t>
      </w:r>
      <w:r w:rsidR="00F5185F">
        <w:t xml:space="preserve">ingeschreven moet staan in een bepaalde register. Deze register staat </w:t>
      </w:r>
      <w:r>
        <w:t>in artikel 55 van de Wet op de registeraccountants</w:t>
      </w:r>
      <w:r w:rsidR="00F5185F">
        <w:t>; de</w:t>
      </w:r>
      <w:r>
        <w:t xml:space="preserve"> accountantsregister</w:t>
      </w:r>
      <w:r>
        <w:rPr>
          <w:rStyle w:val="Voetnootmarkering"/>
        </w:rPr>
        <w:footnoteReference w:id="2"/>
      </w:r>
      <w:r>
        <w:t>.</w:t>
      </w:r>
    </w:p>
    <w:p w:rsidR="00396579" w:rsidRDefault="00396579" w:rsidP="001816F9">
      <w:pPr>
        <w:pStyle w:val="Geenafstand"/>
        <w:spacing w:line="360" w:lineRule="auto"/>
      </w:pPr>
      <w:r>
        <w:t>Aangezien de Wet op de registeraccountants is vervallen per 1 januari 2013 en vervangen is door de Wab, is er niet meer gekeken naar artikel 55 van de Wet op de registeraccountants maar naar artikel 36 van de Wab</w:t>
      </w:r>
      <w:r>
        <w:rPr>
          <w:rStyle w:val="Voetnootmarkering"/>
        </w:rPr>
        <w:footnoteReference w:id="3"/>
      </w:r>
      <w:r>
        <w:t>.</w:t>
      </w:r>
      <w:r w:rsidR="009F7662">
        <w:t xml:space="preserve"> </w:t>
      </w:r>
      <w:r>
        <w:t>Volgens artikel 36 lid 1 van de Wab worden accountants in een accountantsregister ingeschreven met vermelding van de gegevens, voor zover van toepassing, zoals opgesomd in lid 2 van dat artikel</w:t>
      </w:r>
      <w:r>
        <w:rPr>
          <w:rStyle w:val="Voetnootmarkering"/>
        </w:rPr>
        <w:footnoteReference w:id="4"/>
      </w:r>
      <w:r>
        <w:t xml:space="preserve">. </w:t>
      </w:r>
    </w:p>
    <w:p w:rsidR="00396579" w:rsidRDefault="00396579" w:rsidP="001816F9">
      <w:pPr>
        <w:pStyle w:val="Geenafstand"/>
        <w:spacing w:line="360" w:lineRule="auto"/>
      </w:pPr>
    </w:p>
    <w:p w:rsidR="006772BD" w:rsidRDefault="00F22BB6" w:rsidP="001816F9">
      <w:pPr>
        <w:pStyle w:val="Geenafstand"/>
        <w:spacing w:line="360" w:lineRule="auto"/>
      </w:pPr>
      <w:r>
        <w:t>Hieruit</w:t>
      </w:r>
      <w:r w:rsidR="0052714C">
        <w:t xml:space="preserve"> </w:t>
      </w:r>
      <w:r w:rsidR="00A01115">
        <w:t xml:space="preserve">blijkt dat </w:t>
      </w:r>
      <w:r w:rsidR="006772BD">
        <w:t>de term accountant een zeer breed begrip is. Verschillende bronnen houden verschillende definities aan. Om verwarring te voorkomen is in deze scriptie de accountant gelijk gesteld aan een Registeraccountant (hierna: RA).</w:t>
      </w:r>
      <w:r w:rsidR="00634520">
        <w:t xml:space="preserve"> </w:t>
      </w:r>
      <w:r w:rsidR="006772BD">
        <w:t>Hiervoor zi</w:t>
      </w:r>
      <w:r w:rsidR="00B82022">
        <w:t>jn enkele redenen.</w:t>
      </w:r>
    </w:p>
    <w:p w:rsidR="006772BD" w:rsidRDefault="006772BD" w:rsidP="001816F9">
      <w:pPr>
        <w:pStyle w:val="Geenafstand"/>
        <w:spacing w:line="360" w:lineRule="auto"/>
      </w:pPr>
    </w:p>
    <w:p w:rsidR="007A4F90" w:rsidRDefault="002D31DA" w:rsidP="001816F9">
      <w:pPr>
        <w:pStyle w:val="Geenafstand"/>
        <w:spacing w:line="360" w:lineRule="auto"/>
      </w:pPr>
      <w:r>
        <w:t xml:space="preserve">De titel Registeraccountant is wettelijk beschermd en kan slechts worden gebruikt door mensen die een speciale RA-opleiding succesvol hebben </w:t>
      </w:r>
      <w:r w:rsidR="00741532">
        <w:t>afgerond</w:t>
      </w:r>
      <w:r>
        <w:t xml:space="preserve">. </w:t>
      </w:r>
      <w:r w:rsidR="00741532">
        <w:t>In vergelijking</w:t>
      </w:r>
      <w:r w:rsidR="002469E8">
        <w:t xml:space="preserve"> met de </w:t>
      </w:r>
      <w:r w:rsidR="006772BD">
        <w:t xml:space="preserve">Accountant-Administratieconsulent (hierna: </w:t>
      </w:r>
      <w:r w:rsidR="002469E8">
        <w:t>AA</w:t>
      </w:r>
      <w:r w:rsidR="006772BD">
        <w:t>)</w:t>
      </w:r>
      <w:r w:rsidR="002469E8">
        <w:t xml:space="preserve"> houdt de RA zich meer bezig met </w:t>
      </w:r>
      <w:r w:rsidR="002469E8">
        <w:lastRenderedPageBreak/>
        <w:t xml:space="preserve">controlewerkzaamheden. </w:t>
      </w:r>
      <w:r w:rsidR="00755B11">
        <w:t>De AA richt zich vooral op advies</w:t>
      </w:r>
      <w:r w:rsidR="006772BD">
        <w:t xml:space="preserve"> </w:t>
      </w:r>
      <w:r w:rsidR="00755B11">
        <w:t>gevende werkzaamheden in het Midden- en Kleinbedrijf</w:t>
      </w:r>
      <w:r w:rsidR="0023124B">
        <w:t xml:space="preserve"> (Hierna: MKB)</w:t>
      </w:r>
      <w:r w:rsidR="00386D2A">
        <w:t xml:space="preserve">. </w:t>
      </w:r>
      <w:r w:rsidR="00462125">
        <w:t>D</w:t>
      </w:r>
      <w:r w:rsidR="00386D2A">
        <w:t>e RA</w:t>
      </w:r>
      <w:r w:rsidR="00AA4689">
        <w:t xml:space="preserve"> geeft</w:t>
      </w:r>
      <w:r w:rsidR="00386D2A">
        <w:t xml:space="preserve"> aanvullende zekerheid over de financiële informatie, processen en systemen</w:t>
      </w:r>
      <w:r w:rsidR="00FA23DD">
        <w:t>.</w:t>
      </w:r>
      <w:r w:rsidR="0012596F">
        <w:t xml:space="preserve"> Dit komt tot uiting in de accountantsverklaring, die alleen</w:t>
      </w:r>
      <w:r w:rsidR="00E3333E" w:rsidRPr="00E3333E">
        <w:t xml:space="preserve"> </w:t>
      </w:r>
      <w:r w:rsidR="00E3333E">
        <w:t>door een RA of een AA met certificerende bevoegdheid mag worden ondertekend (NBA, 2013</w:t>
      </w:r>
      <w:r w:rsidR="005632DB">
        <w:t>)</w:t>
      </w:r>
      <w:r w:rsidR="00E3333E">
        <w:t>.</w:t>
      </w:r>
      <w:r w:rsidR="005632DB">
        <w:br/>
      </w:r>
    </w:p>
    <w:p w:rsidR="003526E5" w:rsidRDefault="001816F9" w:rsidP="001816F9">
      <w:pPr>
        <w:pStyle w:val="Geenafstand"/>
        <w:spacing w:line="360" w:lineRule="auto"/>
      </w:pPr>
      <w:bookmarkStart w:id="5" w:name="_Toc360661877"/>
      <w:r>
        <w:rPr>
          <w:rStyle w:val="Kop2Char"/>
        </w:rPr>
        <w:t>3</w:t>
      </w:r>
      <w:r w:rsidR="007A4F90" w:rsidRPr="007A4F90">
        <w:rPr>
          <w:rStyle w:val="Kop2Char"/>
        </w:rPr>
        <w:t>.2 Accountantsdiensten</w:t>
      </w:r>
      <w:bookmarkEnd w:id="5"/>
      <w:r w:rsidR="007A4F90" w:rsidRPr="007A4F90">
        <w:rPr>
          <w:rStyle w:val="Kop2Char"/>
        </w:rPr>
        <w:br/>
      </w:r>
      <w:r w:rsidR="00361A2E">
        <w:t>Accountants kunnen verschillende specialismen hebben, namelijk de openbare accountant, interne accountant, overheidsaccountant en de accountant in busines</w:t>
      </w:r>
      <w:r w:rsidR="003526E5">
        <w:t>s</w:t>
      </w:r>
      <w:r w:rsidR="003526E5">
        <w:rPr>
          <w:rStyle w:val="Voetnootmarkering"/>
        </w:rPr>
        <w:footnoteReference w:id="5"/>
      </w:r>
      <w:r w:rsidR="003526E5">
        <w:t>.</w:t>
      </w:r>
      <w:r w:rsidR="00361A2E">
        <w:t xml:space="preserve"> In deze scriptie behoren de betrokken accountants tot het specialisme van openbare accountant.</w:t>
      </w:r>
    </w:p>
    <w:p w:rsidR="003526E5" w:rsidRDefault="003526E5" w:rsidP="001816F9">
      <w:pPr>
        <w:pStyle w:val="Geenafstand"/>
        <w:spacing w:line="360" w:lineRule="auto"/>
      </w:pPr>
    </w:p>
    <w:p w:rsidR="00F06467" w:rsidRDefault="003526E5" w:rsidP="001816F9">
      <w:pPr>
        <w:pStyle w:val="Geenafstand"/>
        <w:spacing w:line="360" w:lineRule="auto"/>
      </w:pPr>
      <w:r>
        <w:t>D</w:t>
      </w:r>
      <w:r w:rsidR="00A22CF6">
        <w:t xml:space="preserve">e werkzaamheden van een openbaar </w:t>
      </w:r>
      <w:r>
        <w:t xml:space="preserve">accountant kan worden verdeeld </w:t>
      </w:r>
      <w:r w:rsidR="00FE407C">
        <w:t>in</w:t>
      </w:r>
      <w:r>
        <w:t xml:space="preserve"> twee groepen, auditdiensten en n</w:t>
      </w:r>
      <w:r w:rsidR="005A20D7">
        <w:t>iet</w:t>
      </w:r>
      <w:r>
        <w:t>-auditdiensten.</w:t>
      </w:r>
      <w:r w:rsidR="007764A0">
        <w:t xml:space="preserve"> Onder auditdiensten valt </w:t>
      </w:r>
      <w:r w:rsidR="00C338D7">
        <w:t xml:space="preserve">onder meer </w:t>
      </w:r>
      <w:r w:rsidR="00113138">
        <w:t>de jaarrekeningcontrole</w:t>
      </w:r>
      <w:r w:rsidR="00F06467">
        <w:t>, maar er zijn ook andere audit-opdrachten</w:t>
      </w:r>
      <w:r w:rsidR="00F23E31">
        <w:t>.</w:t>
      </w:r>
      <w:r w:rsidR="00F06467">
        <w:t xml:space="preserve"> Audit-opdrachten word</w:t>
      </w:r>
      <w:r w:rsidR="00FE407C">
        <w:t>en</w:t>
      </w:r>
      <w:r w:rsidR="00F06467">
        <w:t xml:space="preserve"> door de NBA gedefinieerd als </w:t>
      </w:r>
      <w:r w:rsidR="00F06467" w:rsidRPr="00F06467">
        <w:t>een opdracht waarbij een accountant een conclusie formuleert die is bedoeld om het vertrouwen van de beoogde gebruikers, niet zijnde de verantwoordelijke partij, in de uitkomst van de evaluatie van of de toetsing van het object van onderzoek ten opzichte van de criteria, te versterken.</w:t>
      </w:r>
    </w:p>
    <w:p w:rsidR="00F06467" w:rsidRDefault="00F06467" w:rsidP="001816F9">
      <w:pPr>
        <w:pStyle w:val="Geenafstand"/>
        <w:spacing w:line="360" w:lineRule="auto"/>
      </w:pPr>
    </w:p>
    <w:p w:rsidR="00F06467" w:rsidRDefault="00F06467" w:rsidP="001816F9">
      <w:pPr>
        <w:pStyle w:val="Geenafstand"/>
        <w:spacing w:line="360" w:lineRule="auto"/>
      </w:pPr>
      <w:r>
        <w:t xml:space="preserve">Audit-opdrachten kunnen worden </w:t>
      </w:r>
      <w:r w:rsidR="00C25689">
        <w:t xml:space="preserve">onderverdeeld in </w:t>
      </w:r>
      <w:r>
        <w:t>audit-</w:t>
      </w:r>
      <w:r w:rsidRPr="00F06467">
        <w:t xml:space="preserve">opdrachten </w:t>
      </w:r>
      <w:r w:rsidR="00C25689">
        <w:t>voor</w:t>
      </w:r>
      <w:r w:rsidRPr="00F06467">
        <w:t xml:space="preserve"> het verkrijgen van een redelijke mate van zekerheid en </w:t>
      </w:r>
      <w:r>
        <w:t>audit</w:t>
      </w:r>
      <w:r w:rsidRPr="00F06467">
        <w:t xml:space="preserve">-opdrachten </w:t>
      </w:r>
      <w:r w:rsidR="00C25689">
        <w:t>voor</w:t>
      </w:r>
      <w:r w:rsidRPr="00F06467">
        <w:t xml:space="preserve"> het verkrijgen van een beperkte mate van zekerheid</w:t>
      </w:r>
      <w:r>
        <w:t>.</w:t>
      </w:r>
    </w:p>
    <w:p w:rsidR="00F06467" w:rsidRDefault="00F06467" w:rsidP="001816F9">
      <w:pPr>
        <w:pStyle w:val="Geenafstand"/>
        <w:spacing w:line="360" w:lineRule="auto"/>
      </w:pPr>
    </w:p>
    <w:p w:rsidR="00A22CF6" w:rsidRDefault="00F23E31" w:rsidP="001816F9">
      <w:pPr>
        <w:pStyle w:val="Geenafstand"/>
        <w:spacing w:line="360" w:lineRule="auto"/>
      </w:pPr>
      <w:r>
        <w:t xml:space="preserve">Vrijwel alle overige diensten worden geschaard onder de niet-auditdiensten. Enkele voorbeelden van niet-auditdiensten zijn advieswerkzaamheden rondom juridische en fiscale zaken, ondersteuning bij transacties en </w:t>
      </w:r>
      <w:r w:rsidR="00523C33">
        <w:t>consult</w:t>
      </w:r>
      <w:r w:rsidR="0019271A">
        <w:t xml:space="preserve">antsactiviteiten. </w:t>
      </w:r>
    </w:p>
    <w:p w:rsidR="0019271A" w:rsidRDefault="0019271A" w:rsidP="001816F9">
      <w:pPr>
        <w:pStyle w:val="Geenafstand"/>
        <w:spacing w:line="360" w:lineRule="auto"/>
      </w:pPr>
    </w:p>
    <w:p w:rsidR="0019271A" w:rsidRDefault="0019271A" w:rsidP="001816F9">
      <w:pPr>
        <w:pStyle w:val="Geenafstand"/>
        <w:spacing w:line="360" w:lineRule="auto"/>
      </w:pPr>
      <w:r>
        <w:t xml:space="preserve">Verlening van auditdiensten behoort tot de attestfunctie van de accountant. Hij geeft in deze functie een bepaalde zekerheid </w:t>
      </w:r>
      <w:r w:rsidR="00B67FE0">
        <w:t>aan</w:t>
      </w:r>
      <w:r>
        <w:t xml:space="preserve"> de gebruikers van de jaarrekening.</w:t>
      </w:r>
      <w:r w:rsidR="00AE25D2">
        <w:t xml:space="preserve"> De accountant moet een objectief oordeel geven over de jaarrekening.</w:t>
      </w:r>
      <w:r>
        <w:t xml:space="preserve"> Dit is van groot belang voor de </w:t>
      </w:r>
      <w:r>
        <w:lastRenderedPageBreak/>
        <w:t>gebruikers, omdat zij moeten kunnen vertrouwen dat de cijfers in de jaarrekening kloppen. Voor de overheid is dit belangrijk in verband met eventuele su</w:t>
      </w:r>
      <w:r w:rsidR="00261F26">
        <w:t>bsidies die ze verstrekt.</w:t>
      </w:r>
      <w:r w:rsidR="00FA7FFD">
        <w:t xml:space="preserve"> I</w:t>
      </w:r>
      <w:r>
        <w:t>nvesteerders willen inzien wat de ondernemi</w:t>
      </w:r>
      <w:r w:rsidR="00AF5FEB">
        <w:t>ng met hun geld heeft gedaan.</w:t>
      </w:r>
      <w:r w:rsidR="00A60E91">
        <w:t xml:space="preserve"> </w:t>
      </w:r>
      <w:r>
        <w:t xml:space="preserve">In deze scriptie is de jaarrekeningcontrole gelijk gesteld aan </w:t>
      </w:r>
      <w:r w:rsidR="00A60E91">
        <w:t xml:space="preserve">de </w:t>
      </w:r>
      <w:r>
        <w:t>auditdiensten. Alle overige diensten behoren tot de niet-auditdiensten.</w:t>
      </w:r>
    </w:p>
    <w:p w:rsidR="00F23E31" w:rsidRDefault="00F23E31" w:rsidP="001816F9">
      <w:pPr>
        <w:pStyle w:val="Geenafstand"/>
        <w:spacing w:line="360" w:lineRule="auto"/>
      </w:pPr>
    </w:p>
    <w:p w:rsidR="007A4F90" w:rsidRDefault="00113138" w:rsidP="001816F9">
      <w:pPr>
        <w:pStyle w:val="Geenafstand"/>
        <w:spacing w:line="360" w:lineRule="auto"/>
      </w:pPr>
      <w:r>
        <w:t xml:space="preserve">Een </w:t>
      </w:r>
      <w:r w:rsidR="00C338D7">
        <w:t xml:space="preserve">belangrijke </w:t>
      </w:r>
      <w:r>
        <w:t xml:space="preserve">kanttekening </w:t>
      </w:r>
      <w:r w:rsidR="00EA0C6F">
        <w:t>in deze</w:t>
      </w:r>
      <w:r>
        <w:t xml:space="preserve"> is dat sommige diensten overlappen waardoor het niet duidelijk te bepalen is bij welke soort ze horen.</w:t>
      </w:r>
      <w:r w:rsidR="00C338D7">
        <w:t xml:space="preserve"> Dit probleem zorgt ervoor dat het in de praktijk moeilijk vast te stellen is in hoeverre de accountant niet-auditdiensten </w:t>
      </w:r>
      <w:r w:rsidR="0019271A">
        <w:t>verricht</w:t>
      </w:r>
      <w:r w:rsidR="00C338D7">
        <w:t>.</w:t>
      </w:r>
    </w:p>
    <w:p w:rsidR="00010BDA" w:rsidRDefault="00010BDA" w:rsidP="001816F9">
      <w:pPr>
        <w:pStyle w:val="Geenafstand"/>
        <w:spacing w:line="360" w:lineRule="auto"/>
      </w:pPr>
    </w:p>
    <w:p w:rsidR="007A4F90" w:rsidRDefault="001816F9" w:rsidP="001816F9">
      <w:pPr>
        <w:pStyle w:val="Kop2"/>
        <w:spacing w:line="360" w:lineRule="auto"/>
      </w:pPr>
      <w:bookmarkStart w:id="6" w:name="_Toc360661878"/>
      <w:r>
        <w:t>3</w:t>
      </w:r>
      <w:r w:rsidR="007A4F90">
        <w:t>.3 Samenvatting</w:t>
      </w:r>
      <w:bookmarkEnd w:id="6"/>
    </w:p>
    <w:p w:rsidR="00383DA6" w:rsidRPr="007A4F90" w:rsidRDefault="007A4F90" w:rsidP="001816F9">
      <w:pPr>
        <w:pStyle w:val="Geenafstand"/>
        <w:spacing w:line="360" w:lineRule="auto"/>
      </w:pPr>
      <w:r>
        <w:t>In dit hoofdstuk zijn de begrippen accountant en accountantsdiensten behandeld. Verschillende bronnen hanteren een andere definitie van een accountant. In deze scriptie is de accountant gelijk gesteld aan de RA. Accountantsdiensten kunnen worden verdeeld in auditdiensten en niet-auditdiensten. In deze scriptie is met auditdiensten de jaarrekeningcontrole door de accountant bedoeld. Alle overige diensten behoren tot de niet-auditdiensten.</w:t>
      </w:r>
      <w:r w:rsidR="008B7A42">
        <w:br/>
        <w:t xml:space="preserve">Nu de begrippen accountant en accountantsdiensten zijn toegelicht moet er ook aandacht </w:t>
      </w:r>
      <w:r w:rsidR="00E446C4">
        <w:t xml:space="preserve">worden </w:t>
      </w:r>
      <w:r w:rsidR="008B7A42">
        <w:t>besteed aan het begrip onafhankelijkheid.</w:t>
      </w:r>
      <w:r w:rsidR="008B7A42">
        <w:br/>
      </w:r>
    </w:p>
    <w:p w:rsidR="004F31F2" w:rsidRDefault="001816F9" w:rsidP="001816F9">
      <w:pPr>
        <w:pStyle w:val="Kop1"/>
        <w:spacing w:line="360" w:lineRule="auto"/>
      </w:pPr>
      <w:bookmarkStart w:id="7" w:name="_Toc360661879"/>
      <w:r>
        <w:t>4</w:t>
      </w:r>
      <w:r w:rsidR="004F31F2">
        <w:t>. Onafhankelijkheid</w:t>
      </w:r>
      <w:bookmarkEnd w:id="7"/>
    </w:p>
    <w:p w:rsidR="003D2D28" w:rsidRDefault="00F22BB6" w:rsidP="001816F9">
      <w:pPr>
        <w:pStyle w:val="Geenafstand"/>
        <w:spacing w:line="360" w:lineRule="auto"/>
      </w:pPr>
      <w:r>
        <w:t>Dit hoofdstuk beantwoordt de tweede deelvraag: wat is onafhankelijkheid?</w:t>
      </w:r>
      <w:r>
        <w:br/>
      </w:r>
      <w:r w:rsidR="00211D09">
        <w:t xml:space="preserve">In paragraaf </w:t>
      </w:r>
      <w:r w:rsidR="001816F9">
        <w:t>4</w:t>
      </w:r>
      <w:r w:rsidR="00211D09">
        <w:t xml:space="preserve">.1 </w:t>
      </w:r>
      <w:r w:rsidR="005C7857">
        <w:t xml:space="preserve">is de onafhankelijkheid globaal behandeld. Paragraaf </w:t>
      </w:r>
      <w:r w:rsidR="001816F9">
        <w:t>4</w:t>
      </w:r>
      <w:r w:rsidR="005C7857">
        <w:t xml:space="preserve">.2 gaat in op de onafhankelijkheid in wezen, terwijl paragraaf </w:t>
      </w:r>
      <w:r w:rsidR="001816F9">
        <w:t>4</w:t>
      </w:r>
      <w:r w:rsidR="005C7857">
        <w:t xml:space="preserve">.3 onafhankelijkheid in optreden </w:t>
      </w:r>
      <w:r w:rsidR="0079791F">
        <w:t xml:space="preserve">behandeld. Dit hoofdstuk sluit af met de samenvatting in paragraaf </w:t>
      </w:r>
      <w:r w:rsidR="001816F9">
        <w:t>4</w:t>
      </w:r>
      <w:r w:rsidR="0079791F">
        <w:t>.4</w:t>
      </w:r>
      <w:r w:rsidR="004D29DB">
        <w:t>.</w:t>
      </w:r>
    </w:p>
    <w:p w:rsidR="000E4631" w:rsidRDefault="00211D09" w:rsidP="001816F9">
      <w:pPr>
        <w:pStyle w:val="Kop2"/>
        <w:spacing w:line="360" w:lineRule="auto"/>
      </w:pPr>
      <w:r>
        <w:br/>
      </w:r>
      <w:bookmarkStart w:id="8" w:name="_Toc360661880"/>
      <w:r w:rsidR="001816F9">
        <w:t>4</w:t>
      </w:r>
      <w:r w:rsidR="00A60E91">
        <w:t xml:space="preserve">.1 </w:t>
      </w:r>
      <w:r w:rsidR="004D29DB">
        <w:t>Onafhankelijkheid</w:t>
      </w:r>
      <w:r w:rsidR="00FB2517">
        <w:t xml:space="preserve"> algemeen</w:t>
      </w:r>
      <w:bookmarkEnd w:id="8"/>
    </w:p>
    <w:p w:rsidR="009731A8" w:rsidRPr="00097AB7" w:rsidRDefault="00B1647B" w:rsidP="001816F9">
      <w:pPr>
        <w:spacing w:line="360" w:lineRule="auto"/>
        <w:rPr>
          <w:sz w:val="24"/>
          <w:szCs w:val="24"/>
        </w:rPr>
      </w:pPr>
      <w:r>
        <w:rPr>
          <w:sz w:val="24"/>
          <w:szCs w:val="24"/>
        </w:rPr>
        <w:t xml:space="preserve">Sinds oudsher </w:t>
      </w:r>
      <w:r w:rsidR="003652F2">
        <w:rPr>
          <w:sz w:val="24"/>
          <w:szCs w:val="24"/>
        </w:rPr>
        <w:t xml:space="preserve">wordt onafhankelijkheid van de accountant al vaak besproken in de accountancy wereld. </w:t>
      </w:r>
      <w:r w:rsidR="003652F2" w:rsidRPr="00097AB7">
        <w:rPr>
          <w:sz w:val="24"/>
          <w:szCs w:val="24"/>
        </w:rPr>
        <w:t>Limperg is op dit gebied een van de grondleggers</w:t>
      </w:r>
      <w:r w:rsidR="001C5197" w:rsidRPr="00097AB7">
        <w:rPr>
          <w:sz w:val="24"/>
          <w:szCs w:val="24"/>
        </w:rPr>
        <w:t>.</w:t>
      </w:r>
    </w:p>
    <w:p w:rsidR="003652F2" w:rsidRPr="00097AB7" w:rsidRDefault="009731A8" w:rsidP="001816F9">
      <w:pPr>
        <w:spacing w:line="360" w:lineRule="auto"/>
        <w:rPr>
          <w:sz w:val="24"/>
          <w:szCs w:val="24"/>
        </w:rPr>
      </w:pPr>
      <w:r w:rsidRPr="00097AB7">
        <w:rPr>
          <w:sz w:val="24"/>
          <w:szCs w:val="24"/>
        </w:rPr>
        <w:t>Een belangrijk citaat in</w:t>
      </w:r>
      <w:r w:rsidR="00B314E9" w:rsidRPr="00097AB7">
        <w:rPr>
          <w:sz w:val="24"/>
          <w:szCs w:val="24"/>
        </w:rPr>
        <w:t xml:space="preserve"> de</w:t>
      </w:r>
      <w:r w:rsidRPr="00097AB7">
        <w:rPr>
          <w:sz w:val="24"/>
          <w:szCs w:val="24"/>
        </w:rPr>
        <w:t xml:space="preserve"> </w:t>
      </w:r>
      <w:r w:rsidR="00AD6A6D">
        <w:rPr>
          <w:i/>
          <w:sz w:val="24"/>
          <w:szCs w:val="24"/>
        </w:rPr>
        <w:t>Leer van Gewekte Vertrouwen</w:t>
      </w:r>
      <w:r w:rsidRPr="00097AB7">
        <w:rPr>
          <w:sz w:val="24"/>
          <w:szCs w:val="24"/>
        </w:rPr>
        <w:t xml:space="preserve"> van Limperg is het volgende: “</w:t>
      </w:r>
      <w:r w:rsidR="00643E5B" w:rsidRPr="00097AB7">
        <w:rPr>
          <w:i/>
          <w:sz w:val="24"/>
          <w:szCs w:val="24"/>
        </w:rPr>
        <w:t xml:space="preserve">De normatieve kern van de </w:t>
      </w:r>
      <w:r w:rsidR="00AD6A6D">
        <w:rPr>
          <w:i/>
          <w:sz w:val="24"/>
          <w:szCs w:val="24"/>
        </w:rPr>
        <w:t>Leer van Gewekte Vertrouwen</w:t>
      </w:r>
      <w:r w:rsidR="00AD6A6D" w:rsidRPr="00097AB7">
        <w:rPr>
          <w:sz w:val="24"/>
          <w:szCs w:val="24"/>
        </w:rPr>
        <w:t xml:space="preserve"> </w:t>
      </w:r>
      <w:r w:rsidR="00643E5B" w:rsidRPr="00097AB7">
        <w:rPr>
          <w:i/>
          <w:sz w:val="24"/>
          <w:szCs w:val="24"/>
        </w:rPr>
        <w:t xml:space="preserve">is het </w:t>
      </w:r>
      <w:r w:rsidR="00643E5B" w:rsidRPr="00C47DA3">
        <w:rPr>
          <w:i/>
          <w:sz w:val="24"/>
          <w:szCs w:val="24"/>
        </w:rPr>
        <w:t>volgende</w:t>
      </w:r>
      <w:r w:rsidR="00643E5B" w:rsidRPr="00097AB7">
        <w:rPr>
          <w:i/>
          <w:sz w:val="24"/>
          <w:szCs w:val="24"/>
        </w:rPr>
        <w:t xml:space="preserve">: de accountant is </w:t>
      </w:r>
      <w:r w:rsidR="00643E5B" w:rsidRPr="00097AB7">
        <w:rPr>
          <w:i/>
          <w:sz w:val="24"/>
          <w:szCs w:val="24"/>
        </w:rPr>
        <w:lastRenderedPageBreak/>
        <w:t xml:space="preserve">verplicht om zijn arbeid op zodanige wijze te verrichten dat hij niet de verwachtingen, die hij opgeroepen heeft bij verstandige leken, zal </w:t>
      </w:r>
      <w:r w:rsidR="00210EC7" w:rsidRPr="00097AB7">
        <w:rPr>
          <w:i/>
          <w:sz w:val="24"/>
          <w:szCs w:val="24"/>
        </w:rPr>
        <w:t>verraden; en, omgekeerd de accountant mag geen grotere verwachtingen wekken dan het kan worden gerechtvaardigd door het verrichte werk</w:t>
      </w:r>
      <w:r w:rsidR="00210EC7" w:rsidRPr="00097AB7">
        <w:rPr>
          <w:sz w:val="24"/>
          <w:szCs w:val="24"/>
        </w:rPr>
        <w:t>.</w:t>
      </w:r>
      <w:r w:rsidR="004A6FC3">
        <w:rPr>
          <w:rStyle w:val="Voetnootmarkering"/>
          <w:sz w:val="24"/>
          <w:szCs w:val="24"/>
          <w:lang w:val="en-US"/>
        </w:rPr>
        <w:footnoteReference w:id="6"/>
      </w:r>
      <w:r w:rsidRPr="00097AB7">
        <w:rPr>
          <w:sz w:val="24"/>
          <w:szCs w:val="24"/>
        </w:rPr>
        <w:t>”</w:t>
      </w:r>
      <w:r w:rsidR="00B314E9" w:rsidRPr="00097AB7">
        <w:rPr>
          <w:sz w:val="24"/>
          <w:szCs w:val="24"/>
        </w:rPr>
        <w:br/>
      </w:r>
      <w:r w:rsidR="00B314E9" w:rsidRPr="00097AB7">
        <w:rPr>
          <w:sz w:val="24"/>
          <w:szCs w:val="24"/>
        </w:rPr>
        <w:br/>
      </w:r>
      <w:r w:rsidR="00EC4C36">
        <w:rPr>
          <w:sz w:val="24"/>
          <w:szCs w:val="24"/>
        </w:rPr>
        <w:t>Limperg</w:t>
      </w:r>
      <w:r w:rsidR="00B314E9">
        <w:rPr>
          <w:sz w:val="24"/>
          <w:szCs w:val="24"/>
        </w:rPr>
        <w:t xml:space="preserve"> meende</w:t>
      </w:r>
      <w:r w:rsidR="000A1C6A">
        <w:rPr>
          <w:sz w:val="24"/>
          <w:szCs w:val="24"/>
        </w:rPr>
        <w:t xml:space="preserve"> ook</w:t>
      </w:r>
      <w:r w:rsidR="00B314E9">
        <w:rPr>
          <w:sz w:val="24"/>
          <w:szCs w:val="24"/>
        </w:rPr>
        <w:t xml:space="preserve"> dat accountants hun ondernemerschap moesten opgeven om de onafhankelijkheid te waarborgen. Dit betekende dat ze niet naar hun </w:t>
      </w:r>
      <w:r w:rsidR="00857FF9">
        <w:rPr>
          <w:sz w:val="24"/>
          <w:szCs w:val="24"/>
        </w:rPr>
        <w:t>cliënt</w:t>
      </w:r>
      <w:r w:rsidR="00B314E9">
        <w:rPr>
          <w:sz w:val="24"/>
          <w:szCs w:val="24"/>
        </w:rPr>
        <w:t xml:space="preserve"> moesten luisteren, maar de maatschappij op de eerste plaats moesten zetten. </w:t>
      </w:r>
      <w:r w:rsidR="00EF72CE">
        <w:rPr>
          <w:sz w:val="24"/>
          <w:szCs w:val="24"/>
        </w:rPr>
        <w:t>Hij</w:t>
      </w:r>
      <w:r w:rsidR="00B314E9">
        <w:rPr>
          <w:sz w:val="24"/>
          <w:szCs w:val="24"/>
        </w:rPr>
        <w:t xml:space="preserve"> heeft geen concrete </w:t>
      </w:r>
      <w:r w:rsidR="00885DD0">
        <w:rPr>
          <w:sz w:val="24"/>
          <w:szCs w:val="24"/>
        </w:rPr>
        <w:t>regels</w:t>
      </w:r>
      <w:r w:rsidR="00B314E9">
        <w:rPr>
          <w:sz w:val="24"/>
          <w:szCs w:val="24"/>
        </w:rPr>
        <w:t xml:space="preserve"> gegeven </w:t>
      </w:r>
      <w:r w:rsidR="00885DD0">
        <w:rPr>
          <w:sz w:val="24"/>
          <w:szCs w:val="24"/>
        </w:rPr>
        <w:t>hoe</w:t>
      </w:r>
      <w:r w:rsidR="00B314E9">
        <w:rPr>
          <w:sz w:val="24"/>
          <w:szCs w:val="24"/>
        </w:rPr>
        <w:t xml:space="preserve"> accountants moeten </w:t>
      </w:r>
      <w:r w:rsidR="00885DD0">
        <w:rPr>
          <w:sz w:val="24"/>
          <w:szCs w:val="24"/>
        </w:rPr>
        <w:t>handelen</w:t>
      </w:r>
      <w:r w:rsidR="00B314E9">
        <w:rPr>
          <w:sz w:val="24"/>
          <w:szCs w:val="24"/>
        </w:rPr>
        <w:t xml:space="preserve"> om deze onafhankelijkheid te bereiken. Accountants moeten dit per geval zelf gaan beoordelen (Limperg, 1985).</w:t>
      </w:r>
      <w:r w:rsidR="00AE25D2">
        <w:rPr>
          <w:sz w:val="24"/>
          <w:szCs w:val="24"/>
        </w:rPr>
        <w:t xml:space="preserve"> Dit is begrijpelijk, want door de dynamiek van de wereld kunnen er geen vaste regels worden opgesteld. Het hangt vaak af van de omstandigheden van het geval hoe een accountant moet </w:t>
      </w:r>
      <w:r w:rsidR="00B67FE0">
        <w:rPr>
          <w:sz w:val="24"/>
          <w:szCs w:val="24"/>
        </w:rPr>
        <w:t>handelen</w:t>
      </w:r>
      <w:r w:rsidR="00AE25D2">
        <w:rPr>
          <w:sz w:val="24"/>
          <w:szCs w:val="24"/>
        </w:rPr>
        <w:t xml:space="preserve">. </w:t>
      </w:r>
    </w:p>
    <w:p w:rsidR="007E1627" w:rsidRPr="00076302" w:rsidRDefault="00B67FE0" w:rsidP="001816F9">
      <w:pPr>
        <w:spacing w:line="360" w:lineRule="auto"/>
        <w:rPr>
          <w:sz w:val="24"/>
          <w:szCs w:val="24"/>
        </w:rPr>
      </w:pPr>
      <w:r>
        <w:rPr>
          <w:sz w:val="24"/>
          <w:szCs w:val="24"/>
        </w:rPr>
        <w:t>De o</w:t>
      </w:r>
      <w:r w:rsidR="00E33E85">
        <w:rPr>
          <w:sz w:val="24"/>
          <w:szCs w:val="24"/>
        </w:rPr>
        <w:t>nafhankelijkheid van de accountant moet gewaarborgd blijven, omdat</w:t>
      </w:r>
      <w:r w:rsidR="00B1647B">
        <w:rPr>
          <w:sz w:val="24"/>
          <w:szCs w:val="24"/>
        </w:rPr>
        <w:t xml:space="preserve"> </w:t>
      </w:r>
      <w:r w:rsidR="00660C4E">
        <w:rPr>
          <w:sz w:val="24"/>
          <w:szCs w:val="24"/>
        </w:rPr>
        <w:t xml:space="preserve">het van cruciaal belang is </w:t>
      </w:r>
      <w:r w:rsidR="00E33E85">
        <w:rPr>
          <w:sz w:val="24"/>
          <w:szCs w:val="24"/>
        </w:rPr>
        <w:t>voor de gebruikers van de jaarrekening</w:t>
      </w:r>
      <w:r w:rsidR="00885DD0">
        <w:rPr>
          <w:sz w:val="24"/>
          <w:szCs w:val="24"/>
        </w:rPr>
        <w:t xml:space="preserve">. Dit is hierboven </w:t>
      </w:r>
      <w:r w:rsidR="00E33E85">
        <w:rPr>
          <w:sz w:val="24"/>
          <w:szCs w:val="24"/>
        </w:rPr>
        <w:t>uitgelegd</w:t>
      </w:r>
      <w:r w:rsidR="00660C4E">
        <w:rPr>
          <w:sz w:val="24"/>
          <w:szCs w:val="24"/>
        </w:rPr>
        <w:t xml:space="preserve"> in paragraaf 2.2.</w:t>
      </w:r>
      <w:r w:rsidR="00076302">
        <w:rPr>
          <w:sz w:val="24"/>
          <w:szCs w:val="24"/>
        </w:rPr>
        <w:br/>
        <w:t>Accountants zijn belangenbehartigers van het maatschappelijk verkeer.</w:t>
      </w:r>
      <w:r w:rsidR="00176DDD">
        <w:rPr>
          <w:sz w:val="24"/>
          <w:szCs w:val="24"/>
        </w:rPr>
        <w:br/>
      </w:r>
      <w:r w:rsidR="00C61945">
        <w:rPr>
          <w:sz w:val="24"/>
          <w:szCs w:val="24"/>
        </w:rPr>
        <w:br/>
      </w:r>
      <w:r w:rsidR="00754073">
        <w:rPr>
          <w:sz w:val="24"/>
          <w:szCs w:val="24"/>
        </w:rPr>
        <w:t>De huidige accountants moeten zich houden aan de voorschriften die zijn opgenomen door d</w:t>
      </w:r>
      <w:r w:rsidR="00C61945">
        <w:rPr>
          <w:rFonts w:cstheme="minorHAnsi"/>
          <w:sz w:val="24"/>
          <w:szCs w:val="24"/>
        </w:rPr>
        <w:t xml:space="preserve">e NBA </w:t>
      </w:r>
      <w:r w:rsidR="00754073">
        <w:rPr>
          <w:rFonts w:cstheme="minorHAnsi"/>
          <w:sz w:val="24"/>
          <w:szCs w:val="24"/>
        </w:rPr>
        <w:t>in de</w:t>
      </w:r>
      <w:r w:rsidR="00C61945">
        <w:rPr>
          <w:rFonts w:cstheme="minorHAnsi"/>
          <w:sz w:val="24"/>
          <w:szCs w:val="24"/>
        </w:rPr>
        <w:t xml:space="preserve"> </w:t>
      </w:r>
      <w:r w:rsidR="00754073">
        <w:rPr>
          <w:rFonts w:cstheme="minorHAnsi"/>
          <w:sz w:val="24"/>
          <w:szCs w:val="24"/>
        </w:rPr>
        <w:t>‘</w:t>
      </w:r>
      <w:r w:rsidR="00E35A24">
        <w:rPr>
          <w:rFonts w:cstheme="minorHAnsi"/>
          <w:sz w:val="24"/>
          <w:szCs w:val="24"/>
        </w:rPr>
        <w:t>N</w:t>
      </w:r>
      <w:r w:rsidR="000E4631" w:rsidRPr="000E4631">
        <w:rPr>
          <w:rFonts w:cstheme="minorHAnsi"/>
          <w:sz w:val="24"/>
          <w:szCs w:val="24"/>
        </w:rPr>
        <w:t xml:space="preserve">adere voorschriften onafhankelijkheid van de </w:t>
      </w:r>
      <w:r w:rsidR="00AD6A6D" w:rsidRPr="000E4631">
        <w:rPr>
          <w:rFonts w:cstheme="minorHAnsi"/>
          <w:sz w:val="24"/>
          <w:szCs w:val="24"/>
        </w:rPr>
        <w:t>openbare</w:t>
      </w:r>
      <w:r w:rsidR="00660C4E">
        <w:rPr>
          <w:rFonts w:cstheme="minorHAnsi"/>
          <w:sz w:val="24"/>
          <w:szCs w:val="24"/>
        </w:rPr>
        <w:t xml:space="preserve"> accountant (RA’</w:t>
      </w:r>
      <w:r w:rsidR="00C61945">
        <w:rPr>
          <w:rFonts w:cstheme="minorHAnsi"/>
          <w:sz w:val="24"/>
          <w:szCs w:val="24"/>
        </w:rPr>
        <w:t>s)</w:t>
      </w:r>
      <w:r w:rsidR="00754073">
        <w:rPr>
          <w:rFonts w:cstheme="minorHAnsi"/>
          <w:sz w:val="24"/>
          <w:szCs w:val="24"/>
        </w:rPr>
        <w:t xml:space="preserve">’. </w:t>
      </w:r>
      <w:r w:rsidR="00AE25D2">
        <w:rPr>
          <w:rFonts w:cstheme="minorHAnsi"/>
          <w:sz w:val="24"/>
          <w:szCs w:val="24"/>
        </w:rPr>
        <w:t xml:space="preserve">Deze voorschriften en richtlijnen </w:t>
      </w:r>
      <w:r w:rsidR="00877155">
        <w:rPr>
          <w:rFonts w:cstheme="minorHAnsi"/>
          <w:sz w:val="24"/>
          <w:szCs w:val="24"/>
        </w:rPr>
        <w:t xml:space="preserve">van de NBA komen voort uit </w:t>
      </w:r>
      <w:r w:rsidR="00AE25D2">
        <w:rPr>
          <w:rFonts w:cstheme="minorHAnsi"/>
          <w:sz w:val="24"/>
          <w:szCs w:val="24"/>
        </w:rPr>
        <w:t>de op principes gebaseerde (principle-based) gedachte van regulering</w:t>
      </w:r>
      <w:r w:rsidR="00877155">
        <w:rPr>
          <w:rFonts w:cstheme="minorHAnsi"/>
          <w:sz w:val="24"/>
          <w:szCs w:val="24"/>
        </w:rPr>
        <w:t>.</w:t>
      </w:r>
      <w:r w:rsidR="00624222">
        <w:rPr>
          <w:rFonts w:cstheme="minorHAnsi"/>
          <w:sz w:val="24"/>
          <w:szCs w:val="24"/>
        </w:rPr>
        <w:t xml:space="preserve"> Ze zijn gebaseerd op de fundamentele beginselen </w:t>
      </w:r>
      <w:r w:rsidR="006C7220">
        <w:rPr>
          <w:rFonts w:cstheme="minorHAnsi"/>
          <w:sz w:val="24"/>
          <w:szCs w:val="24"/>
        </w:rPr>
        <w:t xml:space="preserve">die opgenomen zijn </w:t>
      </w:r>
      <w:r w:rsidR="00624222">
        <w:rPr>
          <w:rFonts w:cstheme="minorHAnsi"/>
          <w:sz w:val="24"/>
          <w:szCs w:val="24"/>
        </w:rPr>
        <w:t>in</w:t>
      </w:r>
      <w:r w:rsidR="00AD6A6D">
        <w:rPr>
          <w:rFonts w:cstheme="minorHAnsi"/>
          <w:sz w:val="24"/>
          <w:szCs w:val="24"/>
        </w:rPr>
        <w:t xml:space="preserve"> onder andere</w:t>
      </w:r>
      <w:r w:rsidR="00624222">
        <w:rPr>
          <w:rFonts w:cstheme="minorHAnsi"/>
          <w:sz w:val="24"/>
          <w:szCs w:val="24"/>
        </w:rPr>
        <w:t xml:space="preserve"> de </w:t>
      </w:r>
      <w:r w:rsidR="006C7220">
        <w:rPr>
          <w:rFonts w:cstheme="minorHAnsi"/>
          <w:sz w:val="24"/>
          <w:szCs w:val="24"/>
        </w:rPr>
        <w:t xml:space="preserve">VGC. </w:t>
      </w:r>
      <w:r w:rsidR="006C7220" w:rsidRPr="006C7220">
        <w:rPr>
          <w:rFonts w:cstheme="minorHAnsi"/>
          <w:sz w:val="24"/>
          <w:szCs w:val="24"/>
        </w:rPr>
        <w:t xml:space="preserve">Deze fundamentele beginselen zijn: </w:t>
      </w:r>
      <w:r w:rsidR="00AD6A6D">
        <w:rPr>
          <w:rFonts w:cstheme="minorHAnsi"/>
          <w:sz w:val="24"/>
          <w:szCs w:val="24"/>
        </w:rPr>
        <w:t xml:space="preserve">zorgvuldigheid, deskundigheid, </w:t>
      </w:r>
      <w:r w:rsidR="006C7220" w:rsidRPr="006C7220">
        <w:rPr>
          <w:rFonts w:cstheme="minorHAnsi"/>
          <w:sz w:val="24"/>
          <w:szCs w:val="24"/>
        </w:rPr>
        <w:t>integriteit, objectiviteit en onafhankelijkheid</w:t>
      </w:r>
      <w:r w:rsidR="006C7220">
        <w:rPr>
          <w:rFonts w:cstheme="minorHAnsi"/>
          <w:sz w:val="24"/>
          <w:szCs w:val="24"/>
        </w:rPr>
        <w:t xml:space="preserve">. </w:t>
      </w:r>
      <w:r w:rsidR="00AD6A6D">
        <w:rPr>
          <w:rFonts w:cstheme="minorHAnsi"/>
          <w:sz w:val="24"/>
          <w:szCs w:val="24"/>
        </w:rPr>
        <w:t xml:space="preserve">De NBA voert namens de regering de voorschriften uit. </w:t>
      </w:r>
      <w:r w:rsidR="00EA0C6F">
        <w:rPr>
          <w:rFonts w:cstheme="minorHAnsi"/>
          <w:sz w:val="24"/>
          <w:szCs w:val="24"/>
        </w:rPr>
        <w:t>Wetgeving</w:t>
      </w:r>
      <w:r w:rsidR="00AD6A6D">
        <w:rPr>
          <w:rFonts w:cstheme="minorHAnsi"/>
          <w:sz w:val="24"/>
          <w:szCs w:val="24"/>
        </w:rPr>
        <w:t xml:space="preserve"> heeft namelijk bepaald dat er een publiek orgaan moet zijn die dit uitvaardigt. </w:t>
      </w:r>
      <w:r w:rsidR="006C7220">
        <w:rPr>
          <w:rFonts w:cstheme="minorHAnsi"/>
          <w:sz w:val="24"/>
          <w:szCs w:val="24"/>
        </w:rPr>
        <w:t>Bij de onafhankelijkheid is een tweedeling gemaakt, namelijk onafhankelijkheid in wezen en onafhankelijkheid in optreden.</w:t>
      </w:r>
      <w:r w:rsidR="00AD6A6D">
        <w:rPr>
          <w:rFonts w:cstheme="minorHAnsi"/>
          <w:sz w:val="24"/>
          <w:szCs w:val="24"/>
        </w:rPr>
        <w:t xml:space="preserve"> </w:t>
      </w:r>
    </w:p>
    <w:p w:rsidR="004D29DB" w:rsidRDefault="001816F9" w:rsidP="001816F9">
      <w:pPr>
        <w:pStyle w:val="Kop2"/>
        <w:spacing w:line="360" w:lineRule="auto"/>
      </w:pPr>
      <w:bookmarkStart w:id="9" w:name="_Toc360661881"/>
      <w:r>
        <w:t>4</w:t>
      </w:r>
      <w:r w:rsidR="004D29DB">
        <w:t>.2 Onafhankelijkheid in wezen</w:t>
      </w:r>
      <w:bookmarkEnd w:id="9"/>
    </w:p>
    <w:p w:rsidR="001A1E38" w:rsidRPr="002A4E6B" w:rsidRDefault="000769E7" w:rsidP="001816F9">
      <w:pPr>
        <w:spacing w:line="360" w:lineRule="auto"/>
        <w:rPr>
          <w:rFonts w:ascii="Calibri" w:hAnsi="Calibri" w:cs="Calibri"/>
          <w:sz w:val="24"/>
          <w:szCs w:val="24"/>
        </w:rPr>
      </w:pPr>
      <w:r>
        <w:rPr>
          <w:sz w:val="24"/>
          <w:szCs w:val="24"/>
        </w:rPr>
        <w:t xml:space="preserve">De accountant moet qua geesteshouding (in wezen) onafhankelijk zijn van de </w:t>
      </w:r>
      <w:r w:rsidR="002A4E6B" w:rsidRPr="002A4E6B">
        <w:rPr>
          <w:sz w:val="24"/>
          <w:szCs w:val="24"/>
        </w:rPr>
        <w:t>cli</w:t>
      </w:r>
      <w:r w:rsidR="002A4E6B" w:rsidRPr="002A4E6B">
        <w:rPr>
          <w:rFonts w:ascii="Calibri" w:hAnsi="Calibri" w:cs="Calibri"/>
          <w:sz w:val="24"/>
          <w:szCs w:val="24"/>
        </w:rPr>
        <w:t>ënt</w:t>
      </w:r>
      <w:r w:rsidR="004227B4">
        <w:rPr>
          <w:rFonts w:ascii="Calibri" w:hAnsi="Calibri" w:cs="Calibri"/>
          <w:sz w:val="24"/>
          <w:szCs w:val="24"/>
        </w:rPr>
        <w:t>. Alle overwegingen die ook maar mogelijk zijn moet worden meegenomen als het te maken heeft met de uit te voeren opdracht.</w:t>
      </w:r>
      <w:r w:rsidR="00586EBC">
        <w:rPr>
          <w:rFonts w:ascii="Calibri" w:hAnsi="Calibri" w:cs="Calibri"/>
          <w:sz w:val="24"/>
          <w:szCs w:val="24"/>
        </w:rPr>
        <w:t xml:space="preserve"> Dit betekent dat de accountant als persoon zelf onafhankelijk </w:t>
      </w:r>
      <w:r w:rsidR="00586EBC">
        <w:rPr>
          <w:rFonts w:ascii="Calibri" w:hAnsi="Calibri" w:cs="Calibri"/>
          <w:sz w:val="24"/>
          <w:szCs w:val="24"/>
        </w:rPr>
        <w:lastRenderedPageBreak/>
        <w:t>moet zijn en geen vooroordelen mag hebben tijdens het controleproces</w:t>
      </w:r>
      <w:r w:rsidR="002D71F2">
        <w:rPr>
          <w:rFonts w:ascii="Calibri" w:hAnsi="Calibri" w:cs="Calibri"/>
          <w:sz w:val="24"/>
          <w:szCs w:val="24"/>
        </w:rPr>
        <w:t>. Onafhankelijkheid in wezen speelt</w:t>
      </w:r>
      <w:r w:rsidR="00586EBC">
        <w:rPr>
          <w:rFonts w:ascii="Calibri" w:hAnsi="Calibri" w:cs="Calibri"/>
          <w:sz w:val="24"/>
          <w:szCs w:val="24"/>
        </w:rPr>
        <w:t xml:space="preserve"> vooral in </w:t>
      </w:r>
      <w:r w:rsidR="002D71F2">
        <w:rPr>
          <w:rFonts w:ascii="Calibri" w:hAnsi="Calibri" w:cs="Calibri"/>
          <w:sz w:val="24"/>
          <w:szCs w:val="24"/>
        </w:rPr>
        <w:t>het hoofd van de accountant</w:t>
      </w:r>
      <w:r w:rsidR="00586EBC">
        <w:rPr>
          <w:rFonts w:ascii="Calibri" w:hAnsi="Calibri" w:cs="Calibri"/>
          <w:sz w:val="24"/>
          <w:szCs w:val="24"/>
        </w:rPr>
        <w:t>.</w:t>
      </w:r>
    </w:p>
    <w:p w:rsidR="004D29DB" w:rsidRDefault="001816F9" w:rsidP="001816F9">
      <w:pPr>
        <w:pStyle w:val="Kop2"/>
        <w:spacing w:line="360" w:lineRule="auto"/>
      </w:pPr>
      <w:bookmarkStart w:id="10" w:name="_Toc360661882"/>
      <w:r>
        <w:t>4</w:t>
      </w:r>
      <w:r w:rsidR="004D29DB">
        <w:t>.3 Onafhankelijkheid in optreden</w:t>
      </w:r>
      <w:bookmarkEnd w:id="10"/>
    </w:p>
    <w:p w:rsidR="00BE0993" w:rsidRDefault="000769E7" w:rsidP="001816F9">
      <w:pPr>
        <w:spacing w:line="360" w:lineRule="auto"/>
        <w:rPr>
          <w:sz w:val="24"/>
          <w:szCs w:val="24"/>
        </w:rPr>
      </w:pPr>
      <w:r>
        <w:rPr>
          <w:sz w:val="24"/>
          <w:szCs w:val="24"/>
        </w:rPr>
        <w:t xml:space="preserve">Tegenover onafhankelijk qua geesteshouding </w:t>
      </w:r>
      <w:r w:rsidR="00116944">
        <w:rPr>
          <w:sz w:val="24"/>
          <w:szCs w:val="24"/>
        </w:rPr>
        <w:t>staat</w:t>
      </w:r>
      <w:r>
        <w:rPr>
          <w:sz w:val="24"/>
          <w:szCs w:val="24"/>
        </w:rPr>
        <w:t xml:space="preserve"> de onafhankelijkheid naar buiten toe (in optreden).</w:t>
      </w:r>
      <w:r w:rsidR="00E35A24">
        <w:rPr>
          <w:sz w:val="24"/>
          <w:szCs w:val="24"/>
        </w:rPr>
        <w:t xml:space="preserve"> De accountant moet </w:t>
      </w:r>
      <w:r w:rsidR="00116944">
        <w:rPr>
          <w:sz w:val="24"/>
          <w:szCs w:val="24"/>
        </w:rPr>
        <w:t>alle</w:t>
      </w:r>
      <w:r w:rsidR="00E35A24">
        <w:rPr>
          <w:sz w:val="24"/>
          <w:szCs w:val="24"/>
        </w:rPr>
        <w:t xml:space="preserve"> feiten en omstandigheden vermijden</w:t>
      </w:r>
      <w:r w:rsidR="00116944">
        <w:rPr>
          <w:sz w:val="24"/>
          <w:szCs w:val="24"/>
        </w:rPr>
        <w:t>,</w:t>
      </w:r>
      <w:r w:rsidR="00E35A24">
        <w:rPr>
          <w:sz w:val="24"/>
          <w:szCs w:val="24"/>
        </w:rPr>
        <w:t xml:space="preserve"> </w:t>
      </w:r>
      <w:r w:rsidR="00E35A24" w:rsidRPr="00E35A24">
        <w:rPr>
          <w:sz w:val="24"/>
          <w:szCs w:val="24"/>
        </w:rPr>
        <w:t>die dusdanig suggestief zijn</w:t>
      </w:r>
      <w:r w:rsidR="00116944">
        <w:rPr>
          <w:sz w:val="24"/>
          <w:szCs w:val="24"/>
        </w:rPr>
        <w:t>,</w:t>
      </w:r>
      <w:r w:rsidR="00B90D5C">
        <w:rPr>
          <w:sz w:val="24"/>
          <w:szCs w:val="24"/>
        </w:rPr>
        <w:t xml:space="preserve"> dat een goed geïnformeerde en</w:t>
      </w:r>
      <w:r w:rsidR="00E35A24" w:rsidRPr="00E35A24">
        <w:rPr>
          <w:sz w:val="24"/>
          <w:szCs w:val="24"/>
        </w:rPr>
        <w:t xml:space="preserve"> redelijk denkende derde, de objectiviteit van de openbaar accountant in twijfel </w:t>
      </w:r>
      <w:r w:rsidR="00116944">
        <w:rPr>
          <w:sz w:val="24"/>
          <w:szCs w:val="24"/>
        </w:rPr>
        <w:t>kan</w:t>
      </w:r>
      <w:r w:rsidR="00E35A24" w:rsidRPr="00E35A24">
        <w:rPr>
          <w:sz w:val="24"/>
          <w:szCs w:val="24"/>
        </w:rPr>
        <w:t xml:space="preserve"> trekken</w:t>
      </w:r>
      <w:r w:rsidR="00E35A24">
        <w:rPr>
          <w:sz w:val="24"/>
          <w:szCs w:val="24"/>
        </w:rPr>
        <w:t>.</w:t>
      </w:r>
      <w:r w:rsidR="001A21AB">
        <w:rPr>
          <w:sz w:val="24"/>
          <w:szCs w:val="24"/>
        </w:rPr>
        <w:t xml:space="preserve"> Deze derde wordt veronderstelt te beschikken over al het informatie die van belang zijn.</w:t>
      </w:r>
      <w:r w:rsidR="00586EBC">
        <w:rPr>
          <w:sz w:val="24"/>
          <w:szCs w:val="24"/>
        </w:rPr>
        <w:t xml:space="preserve"> Bij de onafhankelijkheid in optreden gaat het niet zozeer om de persoon zelf, maar hoe buitenstaanders de verrichte handelingen van de accountant interpreteert. De accountant moet ervoor zorgen dat </w:t>
      </w:r>
      <w:r w:rsidR="002D71F2">
        <w:rPr>
          <w:sz w:val="24"/>
          <w:szCs w:val="24"/>
        </w:rPr>
        <w:t>hij geen schijn wekt bij derden dat hij niet onafhankelijk is.</w:t>
      </w:r>
    </w:p>
    <w:p w:rsidR="008040EC" w:rsidRPr="00E35A24" w:rsidRDefault="008040EC" w:rsidP="001816F9">
      <w:pPr>
        <w:spacing w:line="360" w:lineRule="auto"/>
        <w:rPr>
          <w:sz w:val="24"/>
          <w:szCs w:val="24"/>
        </w:rPr>
      </w:pPr>
      <w:r>
        <w:rPr>
          <w:sz w:val="24"/>
          <w:szCs w:val="24"/>
        </w:rPr>
        <w:t xml:space="preserve">Indien </w:t>
      </w:r>
      <w:r w:rsidR="005A7003">
        <w:rPr>
          <w:sz w:val="24"/>
          <w:szCs w:val="24"/>
        </w:rPr>
        <w:t>de accountant onafhankelijk is in wezen, maar niet in optreden, dan verdwijnt de waarde van zijn werk (Arens, 2012)</w:t>
      </w:r>
      <w:r w:rsidR="0004617D">
        <w:rPr>
          <w:sz w:val="24"/>
          <w:szCs w:val="24"/>
        </w:rPr>
        <w:t xml:space="preserve">. Het is dus </w:t>
      </w:r>
      <w:r w:rsidR="007D7D17">
        <w:rPr>
          <w:sz w:val="24"/>
          <w:szCs w:val="24"/>
        </w:rPr>
        <w:t>belangrijk</w:t>
      </w:r>
      <w:r w:rsidR="0004617D">
        <w:rPr>
          <w:sz w:val="24"/>
          <w:szCs w:val="24"/>
        </w:rPr>
        <w:t xml:space="preserve"> dat de accountant zowel onafhankelijk is in wezen als in optreden.</w:t>
      </w:r>
      <w:r w:rsidR="00930475">
        <w:rPr>
          <w:sz w:val="24"/>
          <w:szCs w:val="24"/>
        </w:rPr>
        <w:br/>
      </w:r>
      <w:r w:rsidR="00930475">
        <w:rPr>
          <w:sz w:val="24"/>
          <w:szCs w:val="24"/>
        </w:rPr>
        <w:br/>
        <w:t>Accountants mogen onder meer geen familie</w:t>
      </w:r>
      <w:r w:rsidR="009521D6">
        <w:rPr>
          <w:sz w:val="24"/>
          <w:szCs w:val="24"/>
        </w:rPr>
        <w:t xml:space="preserve"> of aandeelhouder zijn van de opdrachtgever. Daarnaast is het accepteren van giften of</w:t>
      </w:r>
      <w:r w:rsidR="00502F79">
        <w:rPr>
          <w:sz w:val="24"/>
          <w:szCs w:val="24"/>
        </w:rPr>
        <w:t xml:space="preserve"> een</w:t>
      </w:r>
      <w:r w:rsidR="009521D6">
        <w:rPr>
          <w:sz w:val="24"/>
          <w:szCs w:val="24"/>
        </w:rPr>
        <w:t xml:space="preserve"> andere vorm van compensatie voor het </w:t>
      </w:r>
      <w:r w:rsidR="00BF3FB8">
        <w:rPr>
          <w:sz w:val="24"/>
          <w:szCs w:val="24"/>
        </w:rPr>
        <w:t xml:space="preserve">verrichte </w:t>
      </w:r>
      <w:r w:rsidR="009521D6">
        <w:rPr>
          <w:sz w:val="24"/>
          <w:szCs w:val="24"/>
        </w:rPr>
        <w:t>werk ook streng gereguleerd.</w:t>
      </w:r>
    </w:p>
    <w:p w:rsidR="004F31F2" w:rsidRDefault="001816F9" w:rsidP="001816F9">
      <w:pPr>
        <w:pStyle w:val="Kop2"/>
        <w:spacing w:line="360" w:lineRule="auto"/>
      </w:pPr>
      <w:bookmarkStart w:id="11" w:name="_Toc360661883"/>
      <w:r>
        <w:t>4</w:t>
      </w:r>
      <w:r w:rsidR="004D29DB">
        <w:t>.4</w:t>
      </w:r>
      <w:r w:rsidR="003102A1">
        <w:t xml:space="preserve"> Samenvatting</w:t>
      </w:r>
      <w:bookmarkEnd w:id="11"/>
    </w:p>
    <w:p w:rsidR="007535FD" w:rsidRDefault="00010BDA" w:rsidP="001816F9">
      <w:pPr>
        <w:spacing w:line="360" w:lineRule="auto"/>
        <w:rPr>
          <w:sz w:val="24"/>
          <w:szCs w:val="24"/>
        </w:rPr>
      </w:pPr>
      <w:r>
        <w:rPr>
          <w:sz w:val="24"/>
          <w:szCs w:val="24"/>
        </w:rPr>
        <w:t>In dit hoofdstuk is het begrip onafhankelijkheid behandeld. Sinds oudsher wordt onafhankelijkheid van de accountant al vaak besproken in de accountancy wereld. Het is namelijk van groot belang dat de accountant onafhankelijk is, zodat hij een objectief oordeel kan geven over de jaarrekening. De NBA heeft enkele voorschriften gepubliceerd waaraan huidige accountants zich moeten houden. Hierbij is onderscheid gemaakt tussen onafhankelijkheid in wezen en onafhankelijkheid in optreden.</w:t>
      </w:r>
      <w:r w:rsidR="007D2BDC">
        <w:rPr>
          <w:sz w:val="24"/>
          <w:szCs w:val="24"/>
        </w:rPr>
        <w:br/>
      </w:r>
      <w:r w:rsidR="007208FB">
        <w:rPr>
          <w:sz w:val="24"/>
          <w:szCs w:val="24"/>
        </w:rPr>
        <w:t>Na het begrip onafhankelijkheid zijn</w:t>
      </w:r>
      <w:r w:rsidR="007D2BDC">
        <w:rPr>
          <w:sz w:val="24"/>
          <w:szCs w:val="24"/>
        </w:rPr>
        <w:t xml:space="preserve"> alle relevante begrippen toegelicht. In </w:t>
      </w:r>
      <w:r w:rsidR="007208FB">
        <w:rPr>
          <w:sz w:val="24"/>
          <w:szCs w:val="24"/>
        </w:rPr>
        <w:t>de</w:t>
      </w:r>
      <w:r w:rsidR="007D2BDC">
        <w:rPr>
          <w:sz w:val="24"/>
          <w:szCs w:val="24"/>
        </w:rPr>
        <w:t xml:space="preserve"> volgende hoofdstuk</w:t>
      </w:r>
      <w:r w:rsidR="00A3677A">
        <w:rPr>
          <w:sz w:val="24"/>
          <w:szCs w:val="24"/>
        </w:rPr>
        <w:t>ken</w:t>
      </w:r>
      <w:r w:rsidR="007D2BDC">
        <w:rPr>
          <w:sz w:val="24"/>
          <w:szCs w:val="24"/>
        </w:rPr>
        <w:t xml:space="preserve"> is </w:t>
      </w:r>
      <w:r w:rsidR="00A3677A">
        <w:rPr>
          <w:sz w:val="24"/>
          <w:szCs w:val="24"/>
        </w:rPr>
        <w:t>het</w:t>
      </w:r>
      <w:r w:rsidR="007D2BDC">
        <w:rPr>
          <w:sz w:val="24"/>
          <w:szCs w:val="24"/>
        </w:rPr>
        <w:t xml:space="preserve"> literatuuronderzoek gepresenteerd.</w:t>
      </w:r>
    </w:p>
    <w:p w:rsidR="00B73378" w:rsidRPr="006B45F8" w:rsidRDefault="00B73378" w:rsidP="00263751">
      <w:pPr>
        <w:pStyle w:val="Kop1"/>
      </w:pPr>
      <w:bookmarkStart w:id="12" w:name="_Toc360661884"/>
      <w:r w:rsidRPr="006B45F8">
        <w:t>5. Recente ontwikkelingen</w:t>
      </w:r>
      <w:bookmarkEnd w:id="12"/>
    </w:p>
    <w:p w:rsidR="002A3B6D" w:rsidRPr="00E61B14" w:rsidRDefault="006B45F8" w:rsidP="002A3B6D">
      <w:pPr>
        <w:spacing w:line="360" w:lineRule="auto"/>
        <w:rPr>
          <w:sz w:val="24"/>
        </w:rPr>
      </w:pPr>
      <w:r>
        <w:rPr>
          <w:sz w:val="24"/>
        </w:rPr>
        <w:t xml:space="preserve">Dit hoofdstuk functioneert als een opstap naar de volgende twee hoofdstukken. De recente ontwikkelingen en gebeurtenissen over de onafhankelijkheid van de accountant </w:t>
      </w:r>
      <w:r w:rsidR="00B90D5C">
        <w:rPr>
          <w:sz w:val="24"/>
        </w:rPr>
        <w:t>worden</w:t>
      </w:r>
      <w:r>
        <w:rPr>
          <w:sz w:val="24"/>
        </w:rPr>
        <w:t xml:space="preserve"> hier </w:t>
      </w:r>
      <w:r>
        <w:rPr>
          <w:sz w:val="24"/>
        </w:rPr>
        <w:lastRenderedPageBreak/>
        <w:t>kort toegelicht. In paragraaf 5.1 zal het AFM rapport van 2013</w:t>
      </w:r>
      <w:r w:rsidR="002A3B6D">
        <w:rPr>
          <w:sz w:val="24"/>
        </w:rPr>
        <w:t xml:space="preserve"> </w:t>
      </w:r>
      <w:r w:rsidR="00C603BF">
        <w:rPr>
          <w:sz w:val="24"/>
        </w:rPr>
        <w:t xml:space="preserve">uiteen </w:t>
      </w:r>
      <w:r w:rsidR="002A3B6D">
        <w:rPr>
          <w:sz w:val="24"/>
        </w:rPr>
        <w:t xml:space="preserve">worden </w:t>
      </w:r>
      <w:r w:rsidR="00C603BF">
        <w:rPr>
          <w:sz w:val="24"/>
        </w:rPr>
        <w:t>gezet</w:t>
      </w:r>
      <w:r w:rsidR="002A3B6D">
        <w:rPr>
          <w:sz w:val="24"/>
        </w:rPr>
        <w:t>. Paragraaf 5.2 behandelt de nieuwe wetgeving in Nederland en betrekt hierbij ook de regelgeving vanuit de Europese Unie.</w:t>
      </w:r>
      <w:r w:rsidR="00CF2BA8">
        <w:rPr>
          <w:sz w:val="24"/>
        </w:rPr>
        <w:t xml:space="preserve"> Het</w:t>
      </w:r>
      <w:r w:rsidR="002A3B6D">
        <w:rPr>
          <w:sz w:val="24"/>
        </w:rPr>
        <w:t xml:space="preserve"> hoofdstuk zal worden afgesloten met een samenvatting in paragraaf 5.3.</w:t>
      </w:r>
    </w:p>
    <w:p w:rsidR="00E44FF0" w:rsidRDefault="00E44FF0" w:rsidP="00E44FF0">
      <w:pPr>
        <w:pStyle w:val="Kop2"/>
      </w:pPr>
      <w:bookmarkStart w:id="13" w:name="_Toc360661885"/>
      <w:r>
        <w:t>5.1 AFM rapport</w:t>
      </w:r>
      <w:bookmarkEnd w:id="13"/>
    </w:p>
    <w:p w:rsidR="00E07CC8" w:rsidRDefault="00E07CC8" w:rsidP="00E07CC8">
      <w:pPr>
        <w:pStyle w:val="Geenafstand"/>
        <w:spacing w:line="360" w:lineRule="auto"/>
        <w:rPr>
          <w:color w:val="000000" w:themeColor="text1"/>
        </w:rPr>
      </w:pPr>
      <w:r>
        <w:rPr>
          <w:color w:val="000000" w:themeColor="text1"/>
        </w:rPr>
        <w:t xml:space="preserve">Dit onderwerp is tegenwoordig nog zeer actueel. Onlangs is bekend gemaakt dat </w:t>
      </w:r>
      <w:r w:rsidR="00D27A4B">
        <w:rPr>
          <w:color w:val="000000" w:themeColor="text1"/>
        </w:rPr>
        <w:t xml:space="preserve">de </w:t>
      </w:r>
      <w:r>
        <w:rPr>
          <w:color w:val="000000" w:themeColor="text1"/>
        </w:rPr>
        <w:t xml:space="preserve">Big </w:t>
      </w:r>
      <w:r w:rsidR="006871D2">
        <w:rPr>
          <w:color w:val="000000" w:themeColor="text1"/>
        </w:rPr>
        <w:t>Four</w:t>
      </w:r>
      <w:r>
        <w:rPr>
          <w:color w:val="000000" w:themeColor="text1"/>
        </w:rPr>
        <w:t xml:space="preserve">-kantoren vóór 1 januari 2013 contracten zijn aangegaan met bedrijven waarbij de invulling van het contract open is gelaten. </w:t>
      </w:r>
      <w:r w:rsidR="00746910">
        <w:rPr>
          <w:color w:val="000000" w:themeColor="text1"/>
        </w:rPr>
        <w:t>Er is bijvoorbeeld niet bepaald welke niet-auditdiensten worden aangeschaft.</w:t>
      </w:r>
      <w:r w:rsidR="006871D2">
        <w:rPr>
          <w:color w:val="000000" w:themeColor="text1"/>
        </w:rPr>
        <w:t xml:space="preserve"> </w:t>
      </w:r>
      <w:r>
        <w:rPr>
          <w:color w:val="000000" w:themeColor="text1"/>
        </w:rPr>
        <w:t>Naar aanleiding van dit incident heeft de Autoriteit Financiële Markten (Hierna: AFM) een onderzoek gedaan en een rapport hierover gepubliceerd (AFM, 2013).</w:t>
      </w:r>
    </w:p>
    <w:p w:rsidR="00E07CC8" w:rsidRDefault="00E07CC8" w:rsidP="00E07CC8">
      <w:pPr>
        <w:pStyle w:val="Geenafstand"/>
        <w:spacing w:line="360" w:lineRule="auto"/>
        <w:rPr>
          <w:color w:val="000000" w:themeColor="text1"/>
        </w:rPr>
      </w:pPr>
    </w:p>
    <w:p w:rsidR="00E07CC8" w:rsidRDefault="00E07CC8" w:rsidP="00E07CC8">
      <w:pPr>
        <w:pStyle w:val="Geenafstand"/>
        <w:spacing w:line="360" w:lineRule="auto"/>
        <w:rPr>
          <w:color w:val="000000" w:themeColor="text1"/>
        </w:rPr>
      </w:pPr>
      <w:r>
        <w:rPr>
          <w:color w:val="000000" w:themeColor="text1"/>
        </w:rPr>
        <w:t xml:space="preserve">De AFM heeft het handelen van de Big </w:t>
      </w:r>
      <w:r w:rsidR="006871D2">
        <w:rPr>
          <w:color w:val="000000" w:themeColor="text1"/>
        </w:rPr>
        <w:t>Four</w:t>
      </w:r>
      <w:r>
        <w:rPr>
          <w:color w:val="000000" w:themeColor="text1"/>
        </w:rPr>
        <w:t xml:space="preserve">-kantoren afgekeurd en dit blijkt ook uit de uitspraken die ze heeft gedaan in de media. Zo werd door AFM-bestuurder Gerben Everts onder andere gezegd dat ’we 50 van die contracten als heel dubieus kwalificeren’ en dat dit ‘des te teleurstellender is, omdat van accountantsorganisaties mag worden verwacht dat zij serieus met hun maatschappelijke verantwoordelijkheid omgaan’ (Accountancynieuws, 2013, Nr. 7). De Big </w:t>
      </w:r>
      <w:r w:rsidR="006871D2">
        <w:rPr>
          <w:color w:val="000000" w:themeColor="text1"/>
        </w:rPr>
        <w:t>Four</w:t>
      </w:r>
      <w:r>
        <w:rPr>
          <w:color w:val="000000" w:themeColor="text1"/>
        </w:rPr>
        <w:t>-kantoren hebben hierop gereageerd door afstand te nemen van de bevindingen van de AFM.</w:t>
      </w:r>
    </w:p>
    <w:p w:rsidR="006B45F8" w:rsidRDefault="006B45F8" w:rsidP="00E07CC8">
      <w:pPr>
        <w:pStyle w:val="Geenafstand"/>
        <w:spacing w:line="360" w:lineRule="auto"/>
        <w:rPr>
          <w:color w:val="000000" w:themeColor="text1"/>
        </w:rPr>
      </w:pPr>
    </w:p>
    <w:p w:rsidR="006B45F8" w:rsidRDefault="006B45F8" w:rsidP="006B45F8">
      <w:pPr>
        <w:pStyle w:val="Kop2"/>
      </w:pPr>
      <w:bookmarkStart w:id="14" w:name="_Toc360661886"/>
      <w:r>
        <w:t>5.2 Nieuwe (EU) wetgeving</w:t>
      </w:r>
      <w:bookmarkEnd w:id="14"/>
    </w:p>
    <w:p w:rsidR="00E07CC8" w:rsidRPr="00383DA6" w:rsidRDefault="00383DA6" w:rsidP="00383DA6">
      <w:pPr>
        <w:spacing w:line="360" w:lineRule="auto"/>
        <w:rPr>
          <w:sz w:val="24"/>
        </w:rPr>
      </w:pPr>
      <w:r w:rsidRPr="00383DA6">
        <w:rPr>
          <w:sz w:val="24"/>
        </w:rPr>
        <w:t xml:space="preserve">Een nieuw wetsartikel, artikel 24b Wta, is per 1 januari 2013 in werking getreden. Het debat over de onafhankelijkheid van accountants blijft bestaan, omdat op Europees niveau veranderingen zijn gekomen in de regels omtrent onafhankelijkheid van accountants, bijvoorbeeld de </w:t>
      </w:r>
      <w:r w:rsidR="008E7F94">
        <w:rPr>
          <w:sz w:val="24"/>
        </w:rPr>
        <w:t>regel</w:t>
      </w:r>
      <w:r w:rsidR="00285366">
        <w:rPr>
          <w:sz w:val="24"/>
        </w:rPr>
        <w:t xml:space="preserve">s van </w:t>
      </w:r>
      <w:r w:rsidR="001C255E">
        <w:rPr>
          <w:sz w:val="24"/>
        </w:rPr>
        <w:t xml:space="preserve">de </w:t>
      </w:r>
      <w:r w:rsidRPr="00383DA6">
        <w:rPr>
          <w:sz w:val="24"/>
        </w:rPr>
        <w:t>Aanbeveling van de Commissie van de Europese Gemeenschappen. Uit art. 288 VWEU blijkt dat aanbevelingen en adviezen niet verbindend zijn voor de lidstaten. Het is echter wel gebruikelijk om hier rekening mee te houden (Amtenbrink, 2010, pg. 188). Minister Dijsselbloem heeft onlangs gezegd het voornemen te hebben om de Nederlandse wetgeving aan te passen wanneer deze conflicteert met de Europese regels</w:t>
      </w:r>
      <w:r w:rsidR="0039506E">
        <w:rPr>
          <w:sz w:val="24"/>
        </w:rPr>
        <w:t xml:space="preserve">. Het blijft echter moeilijk om een Europese eenheid voor accountantsregels te creëren. </w:t>
      </w:r>
      <w:r w:rsidRPr="00383DA6">
        <w:rPr>
          <w:sz w:val="24"/>
        </w:rPr>
        <w:t xml:space="preserve"> (Accountancynieuws, 2013, Nr. 11).</w:t>
      </w:r>
    </w:p>
    <w:p w:rsidR="00E07CC8" w:rsidRDefault="00E07CC8" w:rsidP="00E07CC8">
      <w:pPr>
        <w:pStyle w:val="Geenafstand"/>
        <w:spacing w:line="360" w:lineRule="auto"/>
        <w:rPr>
          <w:color w:val="000000" w:themeColor="text1"/>
        </w:rPr>
      </w:pPr>
      <w:r w:rsidRPr="00B67961">
        <w:rPr>
          <w:color w:val="000000" w:themeColor="text1"/>
        </w:rPr>
        <w:lastRenderedPageBreak/>
        <w:t xml:space="preserve">Naar aanleiding van een amendement </w:t>
      </w:r>
      <w:r w:rsidR="00DC305E">
        <w:rPr>
          <w:color w:val="000000" w:themeColor="text1"/>
        </w:rPr>
        <w:t>op</w:t>
      </w:r>
      <w:r w:rsidRPr="00B67961">
        <w:rPr>
          <w:color w:val="000000" w:themeColor="text1"/>
        </w:rPr>
        <w:t xml:space="preserve"> de </w:t>
      </w:r>
      <w:r>
        <w:rPr>
          <w:color w:val="000000" w:themeColor="text1"/>
        </w:rPr>
        <w:t>Wet op het accountantsberoep</w:t>
      </w:r>
      <w:r w:rsidRPr="00B67961">
        <w:rPr>
          <w:color w:val="000000" w:themeColor="text1"/>
        </w:rPr>
        <w:t xml:space="preserve"> </w:t>
      </w:r>
      <w:r>
        <w:rPr>
          <w:color w:val="000000" w:themeColor="text1"/>
        </w:rPr>
        <w:t xml:space="preserve">(Hierna: </w:t>
      </w:r>
      <w:r w:rsidRPr="00B67961">
        <w:rPr>
          <w:color w:val="000000" w:themeColor="text1"/>
        </w:rPr>
        <w:t>Wab</w:t>
      </w:r>
      <w:r>
        <w:rPr>
          <w:color w:val="000000" w:themeColor="text1"/>
        </w:rPr>
        <w:t>)</w:t>
      </w:r>
      <w:r w:rsidRPr="00B67961">
        <w:rPr>
          <w:color w:val="000000" w:themeColor="text1"/>
        </w:rPr>
        <w:t xml:space="preserve"> </w:t>
      </w:r>
      <w:r w:rsidR="00411F2E" w:rsidRPr="00B67961">
        <w:rPr>
          <w:color w:val="000000" w:themeColor="text1"/>
        </w:rPr>
        <w:t>over de scheiding van controlediensten en andere werkzaamheden</w:t>
      </w:r>
      <w:r w:rsidR="00411F2E">
        <w:rPr>
          <w:color w:val="000000" w:themeColor="text1"/>
        </w:rPr>
        <w:t xml:space="preserve">, </w:t>
      </w:r>
      <w:r w:rsidRPr="00B67961">
        <w:rPr>
          <w:color w:val="000000" w:themeColor="text1"/>
        </w:rPr>
        <w:t>dat is ingediend in de Tweede Kamer</w:t>
      </w:r>
      <w:r w:rsidR="00343CD2">
        <w:rPr>
          <w:color w:val="000000" w:themeColor="text1"/>
        </w:rPr>
        <w:t>,</w:t>
      </w:r>
      <w:r w:rsidRPr="00B67961">
        <w:rPr>
          <w:color w:val="000000" w:themeColor="text1"/>
        </w:rPr>
        <w:t xml:space="preserve"> is aan de </w:t>
      </w:r>
      <w:r>
        <w:rPr>
          <w:color w:val="000000" w:themeColor="text1"/>
        </w:rPr>
        <w:t>Wet toezicht accountantsorganisaties</w:t>
      </w:r>
      <w:r w:rsidRPr="00B67961">
        <w:rPr>
          <w:color w:val="000000" w:themeColor="text1"/>
        </w:rPr>
        <w:t xml:space="preserve"> </w:t>
      </w:r>
      <w:r>
        <w:rPr>
          <w:color w:val="000000" w:themeColor="text1"/>
        </w:rPr>
        <w:t xml:space="preserve">(Hierna: </w:t>
      </w:r>
      <w:r w:rsidRPr="00B67961">
        <w:rPr>
          <w:color w:val="000000" w:themeColor="text1"/>
        </w:rPr>
        <w:t>Wta</w:t>
      </w:r>
      <w:r>
        <w:rPr>
          <w:color w:val="000000" w:themeColor="text1"/>
        </w:rPr>
        <w:t>)</w:t>
      </w:r>
      <w:r w:rsidRPr="00B67961">
        <w:rPr>
          <w:color w:val="000000" w:themeColor="text1"/>
        </w:rPr>
        <w:t xml:space="preserve"> ar</w:t>
      </w:r>
      <w:r>
        <w:rPr>
          <w:color w:val="000000" w:themeColor="text1"/>
        </w:rPr>
        <w:t xml:space="preserve">tikel 24b </w:t>
      </w:r>
      <w:r w:rsidRPr="00B67961">
        <w:rPr>
          <w:color w:val="000000" w:themeColor="text1"/>
        </w:rPr>
        <w:t xml:space="preserve">toegevoegd. </w:t>
      </w:r>
    </w:p>
    <w:p w:rsidR="00E07CC8" w:rsidRDefault="00E07CC8" w:rsidP="00E07CC8">
      <w:pPr>
        <w:pStyle w:val="Geenafstand"/>
        <w:spacing w:line="360" w:lineRule="auto"/>
        <w:rPr>
          <w:color w:val="000000" w:themeColor="text1"/>
        </w:rPr>
      </w:pPr>
    </w:p>
    <w:p w:rsidR="00E07CC8" w:rsidRDefault="00E07CC8" w:rsidP="00E07CC8">
      <w:pPr>
        <w:pStyle w:val="Geenafstand"/>
        <w:spacing w:line="360" w:lineRule="auto"/>
        <w:rPr>
          <w:color w:val="000000" w:themeColor="text1"/>
        </w:rPr>
      </w:pPr>
      <w:r w:rsidRPr="00B67961">
        <w:rPr>
          <w:color w:val="000000" w:themeColor="text1"/>
        </w:rPr>
        <w:t>Dit artikel luidt:</w:t>
      </w:r>
      <w:r>
        <w:rPr>
          <w:color w:val="000000" w:themeColor="text1"/>
        </w:rPr>
        <w:t xml:space="preserve"> ‘</w:t>
      </w:r>
      <w:r w:rsidRPr="00B329A8">
        <w:rPr>
          <w:i/>
          <w:color w:val="000000" w:themeColor="text1"/>
        </w:rPr>
        <w:t>De accountantsorganisatie die wettelijke controles verricht bij een organisatie van openbaar belang, verricht naast controlediensten geen andere werkzaamheden voor die organisatie</w:t>
      </w:r>
      <w:r>
        <w:rPr>
          <w:color w:val="000000" w:themeColor="text1"/>
        </w:rPr>
        <w:t xml:space="preserve">’. </w:t>
      </w:r>
    </w:p>
    <w:p w:rsidR="00E07CC8" w:rsidRDefault="00E07CC8" w:rsidP="00E07CC8">
      <w:pPr>
        <w:pStyle w:val="Geenafstand"/>
        <w:spacing w:line="360" w:lineRule="auto"/>
        <w:rPr>
          <w:color w:val="000000" w:themeColor="text1"/>
        </w:rPr>
      </w:pPr>
    </w:p>
    <w:p w:rsidR="00E07CC8" w:rsidRDefault="00E07CC8" w:rsidP="00E07CC8">
      <w:pPr>
        <w:pStyle w:val="Geenafstand"/>
        <w:spacing w:line="360" w:lineRule="auto"/>
        <w:rPr>
          <w:color w:val="000000" w:themeColor="text1"/>
        </w:rPr>
      </w:pPr>
      <w:r w:rsidRPr="00B67961">
        <w:rPr>
          <w:color w:val="000000" w:themeColor="text1"/>
        </w:rPr>
        <w:t>Dit verbod bet</w:t>
      </w:r>
      <w:r>
        <w:rPr>
          <w:color w:val="000000" w:themeColor="text1"/>
        </w:rPr>
        <w:t>e</w:t>
      </w:r>
      <w:r w:rsidRPr="00B67961">
        <w:rPr>
          <w:color w:val="000000" w:themeColor="text1"/>
        </w:rPr>
        <w:t xml:space="preserve">kent dat een accountantsorganisatie niet tegelijkertijd controlediensten en andere werkzaamheden mag verrichten voor een </w:t>
      </w:r>
      <w:r>
        <w:rPr>
          <w:color w:val="000000" w:themeColor="text1"/>
        </w:rPr>
        <w:t>Organisatie van Openbaar Belang-</w:t>
      </w:r>
      <w:r w:rsidRPr="00B67961">
        <w:rPr>
          <w:color w:val="000000" w:themeColor="text1"/>
        </w:rPr>
        <w:t xml:space="preserve">cliënt </w:t>
      </w:r>
    </w:p>
    <w:p w:rsidR="00E07CC8" w:rsidRDefault="00E07CC8" w:rsidP="00E07CC8">
      <w:pPr>
        <w:pStyle w:val="Geenafstand"/>
        <w:spacing w:line="360" w:lineRule="auto"/>
        <w:rPr>
          <w:color w:val="000000" w:themeColor="text1"/>
        </w:rPr>
      </w:pPr>
      <w:r>
        <w:rPr>
          <w:color w:val="000000" w:themeColor="text1"/>
        </w:rPr>
        <w:t xml:space="preserve">(hierna: </w:t>
      </w:r>
      <w:r w:rsidRPr="00B67961">
        <w:rPr>
          <w:color w:val="000000" w:themeColor="text1"/>
        </w:rPr>
        <w:t>OOB</w:t>
      </w:r>
      <w:r>
        <w:rPr>
          <w:color w:val="000000" w:themeColor="text1"/>
        </w:rPr>
        <w:t>).</w:t>
      </w:r>
    </w:p>
    <w:p w:rsidR="00E07CC8" w:rsidRDefault="00E07CC8" w:rsidP="00E07CC8">
      <w:pPr>
        <w:pStyle w:val="Geenafstand"/>
        <w:spacing w:line="360" w:lineRule="auto"/>
        <w:rPr>
          <w:color w:val="000000" w:themeColor="text1"/>
        </w:rPr>
      </w:pPr>
    </w:p>
    <w:p w:rsidR="00E07CC8" w:rsidRPr="00B67961" w:rsidRDefault="00E07CC8" w:rsidP="00E07CC8">
      <w:pPr>
        <w:pStyle w:val="Geenafstand"/>
        <w:spacing w:line="360" w:lineRule="auto"/>
        <w:rPr>
          <w:color w:val="000000" w:themeColor="text1"/>
        </w:rPr>
      </w:pPr>
      <w:r w:rsidRPr="00B67961">
        <w:rPr>
          <w:color w:val="000000" w:themeColor="text1"/>
        </w:rPr>
        <w:t xml:space="preserve">Voor dit verbod is een overgangsregeling opgenomen in artikel 86a </w:t>
      </w:r>
      <w:r w:rsidR="00892C89">
        <w:rPr>
          <w:color w:val="000000" w:themeColor="text1"/>
        </w:rPr>
        <w:t>die</w:t>
      </w:r>
      <w:r w:rsidRPr="00B67961">
        <w:rPr>
          <w:color w:val="000000" w:themeColor="text1"/>
        </w:rPr>
        <w:t xml:space="preserve"> luidt:</w:t>
      </w:r>
    </w:p>
    <w:p w:rsidR="00E07CC8" w:rsidRPr="00397800" w:rsidRDefault="00E07CC8" w:rsidP="00E07CC8">
      <w:pPr>
        <w:pStyle w:val="Geenafstand"/>
        <w:spacing w:line="360" w:lineRule="auto"/>
        <w:rPr>
          <w:i/>
          <w:color w:val="000000" w:themeColor="text1"/>
        </w:rPr>
      </w:pPr>
      <w:r w:rsidRPr="00397800">
        <w:rPr>
          <w:i/>
          <w:color w:val="000000" w:themeColor="text1"/>
        </w:rPr>
        <w:t xml:space="preserve">Tot twee jaar na de inwerkingtreding van de Wet op het accountantsberoep is artikel </w:t>
      </w:r>
    </w:p>
    <w:p w:rsidR="00E07CC8" w:rsidRPr="00397800" w:rsidRDefault="00E07CC8" w:rsidP="00E07CC8">
      <w:pPr>
        <w:pStyle w:val="Geenafstand"/>
        <w:spacing w:line="360" w:lineRule="auto"/>
        <w:rPr>
          <w:i/>
          <w:color w:val="000000" w:themeColor="text1"/>
        </w:rPr>
      </w:pPr>
      <w:r w:rsidRPr="00397800">
        <w:rPr>
          <w:i/>
          <w:color w:val="000000" w:themeColor="text1"/>
        </w:rPr>
        <w:t xml:space="preserve">24b niet van toepassing op werkzaamheden waarvoor de opdracht aan de accountant </w:t>
      </w:r>
    </w:p>
    <w:p w:rsidR="00E07CC8" w:rsidRPr="00397800" w:rsidRDefault="00E07CC8" w:rsidP="00E07CC8">
      <w:pPr>
        <w:pStyle w:val="Geenafstand"/>
        <w:spacing w:line="360" w:lineRule="auto"/>
        <w:rPr>
          <w:i/>
          <w:color w:val="000000" w:themeColor="text1"/>
        </w:rPr>
      </w:pPr>
      <w:r w:rsidRPr="00397800">
        <w:rPr>
          <w:i/>
          <w:color w:val="000000" w:themeColor="text1"/>
        </w:rPr>
        <w:t xml:space="preserve">of de accountantsorganisatie is verstrekt voorafgaand aan de inwerkingtreding van de </w:t>
      </w:r>
    </w:p>
    <w:p w:rsidR="00E07CC8" w:rsidRDefault="00E07CC8" w:rsidP="00E07CC8">
      <w:pPr>
        <w:pStyle w:val="Geenafstand"/>
        <w:spacing w:line="360" w:lineRule="auto"/>
        <w:rPr>
          <w:color w:val="000000" w:themeColor="text1"/>
        </w:rPr>
      </w:pPr>
      <w:r w:rsidRPr="00397800">
        <w:rPr>
          <w:i/>
          <w:color w:val="000000" w:themeColor="text1"/>
        </w:rPr>
        <w:t>Wab (AFM, 2013</w:t>
      </w:r>
      <w:r>
        <w:rPr>
          <w:color w:val="000000" w:themeColor="text1"/>
        </w:rPr>
        <w:t>)</w:t>
      </w:r>
      <w:r w:rsidRPr="00B67961">
        <w:rPr>
          <w:color w:val="000000" w:themeColor="text1"/>
        </w:rPr>
        <w:t>.</w:t>
      </w:r>
      <w:r w:rsidR="006871D2">
        <w:rPr>
          <w:color w:val="000000" w:themeColor="text1"/>
        </w:rPr>
        <w:t xml:space="preserve"> Dit </w:t>
      </w:r>
      <w:r w:rsidR="00EE5420">
        <w:rPr>
          <w:color w:val="000000" w:themeColor="text1"/>
        </w:rPr>
        <w:t>is</w:t>
      </w:r>
      <w:r w:rsidR="006871D2">
        <w:rPr>
          <w:color w:val="000000" w:themeColor="text1"/>
        </w:rPr>
        <w:t xml:space="preserve"> de reden waarom de Big Four </w:t>
      </w:r>
      <w:r w:rsidR="009B0E86">
        <w:rPr>
          <w:color w:val="000000" w:themeColor="text1"/>
        </w:rPr>
        <w:t>de voormelde contracten in paragraaf 5.1 zijn aangegaan.</w:t>
      </w:r>
    </w:p>
    <w:p w:rsidR="00F43874" w:rsidRDefault="00F43874" w:rsidP="00E07CC8">
      <w:pPr>
        <w:pStyle w:val="Geenafstand"/>
        <w:spacing w:line="360" w:lineRule="auto"/>
        <w:rPr>
          <w:color w:val="000000" w:themeColor="text1"/>
        </w:rPr>
      </w:pPr>
    </w:p>
    <w:p w:rsidR="00E44FF0" w:rsidRDefault="00E44FF0" w:rsidP="00E44FF0">
      <w:pPr>
        <w:pStyle w:val="Kop2"/>
      </w:pPr>
      <w:bookmarkStart w:id="15" w:name="_Toc360661887"/>
      <w:r>
        <w:t>5.3 Samenvatting</w:t>
      </w:r>
      <w:bookmarkEnd w:id="15"/>
    </w:p>
    <w:p w:rsidR="0039506E" w:rsidRPr="00DA5621" w:rsidRDefault="00DA5621" w:rsidP="00DA5621">
      <w:pPr>
        <w:spacing w:line="360" w:lineRule="auto"/>
        <w:rPr>
          <w:sz w:val="24"/>
        </w:rPr>
      </w:pPr>
      <w:r>
        <w:rPr>
          <w:sz w:val="24"/>
        </w:rPr>
        <w:t xml:space="preserve">In dit hoofdstuk zijn de recente ontwikkelingen </w:t>
      </w:r>
      <w:r w:rsidR="00506842">
        <w:rPr>
          <w:sz w:val="24"/>
        </w:rPr>
        <w:t>in kaart gezet. De AFM heeft een rapport uitgebracht</w:t>
      </w:r>
      <w:r w:rsidR="00DE4605">
        <w:rPr>
          <w:sz w:val="24"/>
        </w:rPr>
        <w:t>,</w:t>
      </w:r>
      <w:r w:rsidR="00506842">
        <w:rPr>
          <w:sz w:val="24"/>
        </w:rPr>
        <w:t xml:space="preserve"> waarin ze de handelingen van de Big </w:t>
      </w:r>
      <w:r w:rsidR="006871D2">
        <w:rPr>
          <w:sz w:val="24"/>
        </w:rPr>
        <w:t>Four</w:t>
      </w:r>
      <w:r w:rsidR="00506842">
        <w:rPr>
          <w:sz w:val="24"/>
        </w:rPr>
        <w:t xml:space="preserve">-kantoren afkeurt. </w:t>
      </w:r>
      <w:r w:rsidR="00506842" w:rsidRPr="00506842">
        <w:rPr>
          <w:sz w:val="24"/>
        </w:rPr>
        <w:t xml:space="preserve">De Big </w:t>
      </w:r>
      <w:r w:rsidR="006871D2">
        <w:rPr>
          <w:sz w:val="24"/>
        </w:rPr>
        <w:t>Four</w:t>
      </w:r>
      <w:r w:rsidR="00506842" w:rsidRPr="00506842">
        <w:rPr>
          <w:sz w:val="24"/>
        </w:rPr>
        <w:t>-kantoren hebben hierop gereageerd door afstand te nemen van de bevindingen van de AFM.</w:t>
      </w:r>
      <w:r w:rsidR="00DB30F3">
        <w:rPr>
          <w:sz w:val="24"/>
        </w:rPr>
        <w:t xml:space="preserve"> Nederland zal haar wetgeving aanpassen aan de Europese regels indien deze met elkaar conflicteren.</w:t>
      </w:r>
      <w:r w:rsidR="0039506E">
        <w:rPr>
          <w:sz w:val="24"/>
        </w:rPr>
        <w:t xml:space="preserve"> In de toekomst zal er nog verder gewerkt worden</w:t>
      </w:r>
      <w:r w:rsidR="00DE4605">
        <w:rPr>
          <w:sz w:val="24"/>
        </w:rPr>
        <w:t xml:space="preserve"> aan</w:t>
      </w:r>
      <w:r w:rsidR="0039506E">
        <w:rPr>
          <w:sz w:val="24"/>
        </w:rPr>
        <w:t xml:space="preserve"> een Europese eenheid over accountantsregels, een voorbeeld hiervan is het nieuwe artikel 24b Wta. Het blijft echter een moeizaam proces.</w:t>
      </w:r>
      <w:r w:rsidR="00A84FBC">
        <w:rPr>
          <w:sz w:val="24"/>
        </w:rPr>
        <w:t xml:space="preserve"> </w:t>
      </w:r>
      <w:r w:rsidR="00077CC7">
        <w:rPr>
          <w:sz w:val="24"/>
        </w:rPr>
        <w:t xml:space="preserve">Hierna volgt het literatuuronderzoek. </w:t>
      </w:r>
      <w:r w:rsidR="0039506E">
        <w:rPr>
          <w:sz w:val="24"/>
        </w:rPr>
        <w:t xml:space="preserve">In hoofdstuk 6 </w:t>
      </w:r>
      <w:r w:rsidR="00A84FBC">
        <w:rPr>
          <w:sz w:val="24"/>
        </w:rPr>
        <w:t>worden de argumenten vóór scheiding van auditdiensten en niet-auditdiensten gepresenteerd. Hoofdstuk 7 behandeld de argumenten tégen dergelijke scheiding.</w:t>
      </w:r>
    </w:p>
    <w:p w:rsidR="00F828CC" w:rsidRPr="00E22B4B" w:rsidRDefault="00B73378" w:rsidP="001816F9">
      <w:pPr>
        <w:pStyle w:val="Kop1"/>
        <w:spacing w:line="360" w:lineRule="auto"/>
      </w:pPr>
      <w:bookmarkStart w:id="16" w:name="_Toc360661888"/>
      <w:r w:rsidRPr="00E22B4B">
        <w:lastRenderedPageBreak/>
        <w:t>6</w:t>
      </w:r>
      <w:r w:rsidR="004F31F2" w:rsidRPr="00E22B4B">
        <w:t>.</w:t>
      </w:r>
      <w:r w:rsidR="00097AB7" w:rsidRPr="00E22B4B">
        <w:t xml:space="preserve"> </w:t>
      </w:r>
      <w:r w:rsidR="00F828CC" w:rsidRPr="00E22B4B">
        <w:t>Literatuuronderzoek</w:t>
      </w:r>
      <w:bookmarkEnd w:id="16"/>
    </w:p>
    <w:p w:rsidR="009C6E4D" w:rsidRDefault="00980603" w:rsidP="001C119C">
      <w:pPr>
        <w:pStyle w:val="Geenafstand"/>
        <w:spacing w:line="360" w:lineRule="auto"/>
      </w:pPr>
      <w:r>
        <w:t xml:space="preserve">In dit hoofdstuk wordt het literatuuronderzoek </w:t>
      </w:r>
      <w:r w:rsidR="005435F5">
        <w:t>gepresenteerd</w:t>
      </w:r>
      <w:r>
        <w:t xml:space="preserve">. Hierbij worden </w:t>
      </w:r>
      <w:r w:rsidR="00F828CC">
        <w:t>de</w:t>
      </w:r>
      <w:r>
        <w:t>elvragen drie en vier</w:t>
      </w:r>
      <w:r w:rsidR="00523BC1">
        <w:t xml:space="preserve"> beantwoord. De derde deelvraag is</w:t>
      </w:r>
      <w:r w:rsidR="00F828CC" w:rsidRPr="00806524">
        <w:t xml:space="preserve"> </w:t>
      </w:r>
      <w:r w:rsidR="003570D0">
        <w:t>‘</w:t>
      </w:r>
      <w:r w:rsidR="009C6E4D">
        <w:rPr>
          <w:color w:val="000000" w:themeColor="text1"/>
        </w:rPr>
        <w:t>wat zijn de argumenten v</w:t>
      </w:r>
      <w:r w:rsidR="003570D0">
        <w:rPr>
          <w:color w:val="000000" w:themeColor="text1"/>
        </w:rPr>
        <w:t>an de voorstanders van scheiding van auditdiensten en niet-auditdiensten</w:t>
      </w:r>
      <w:r w:rsidR="009C6E4D">
        <w:rPr>
          <w:color w:val="000000" w:themeColor="text1"/>
        </w:rPr>
        <w:t>?</w:t>
      </w:r>
      <w:r w:rsidR="003570D0">
        <w:rPr>
          <w:color w:val="000000" w:themeColor="text1"/>
        </w:rPr>
        <w:t xml:space="preserve">’ </w:t>
      </w:r>
      <w:r w:rsidR="009C6E4D">
        <w:rPr>
          <w:color w:val="000000" w:themeColor="text1"/>
        </w:rPr>
        <w:t>De vierde deelvraag is</w:t>
      </w:r>
      <w:r w:rsidR="003570D0">
        <w:rPr>
          <w:color w:val="000000" w:themeColor="text1"/>
        </w:rPr>
        <w:t>:</w:t>
      </w:r>
      <w:r w:rsidR="009C6E4D">
        <w:rPr>
          <w:color w:val="000000" w:themeColor="text1"/>
        </w:rPr>
        <w:t xml:space="preserve"> </w:t>
      </w:r>
      <w:r w:rsidR="003570D0">
        <w:rPr>
          <w:color w:val="000000" w:themeColor="text1"/>
        </w:rPr>
        <w:t>‘</w:t>
      </w:r>
      <w:r w:rsidR="009C6E4D">
        <w:rPr>
          <w:color w:val="000000" w:themeColor="text1"/>
        </w:rPr>
        <w:t>wat zijn de argumenten van de tegenstanders van scheiding</w:t>
      </w:r>
      <w:r w:rsidR="003570D0">
        <w:rPr>
          <w:color w:val="000000" w:themeColor="text1"/>
        </w:rPr>
        <w:t xml:space="preserve"> van auditdiensten en niet-auditdiensten</w:t>
      </w:r>
      <w:r w:rsidR="009C6E4D">
        <w:rPr>
          <w:color w:val="000000" w:themeColor="text1"/>
        </w:rPr>
        <w:t>?</w:t>
      </w:r>
      <w:r w:rsidR="003570D0">
        <w:rPr>
          <w:color w:val="000000" w:themeColor="text1"/>
        </w:rPr>
        <w:t>’</w:t>
      </w:r>
      <w:r w:rsidR="009C6E4D">
        <w:rPr>
          <w:color w:val="000000" w:themeColor="text1"/>
        </w:rPr>
        <w:t xml:space="preserve"> </w:t>
      </w:r>
      <w:r w:rsidR="0024745A">
        <w:rPr>
          <w:color w:val="000000" w:themeColor="text1"/>
        </w:rPr>
        <w:t xml:space="preserve">In paragraaf 6.1 wordt de keuze van de </w:t>
      </w:r>
      <w:r w:rsidR="00F96A35">
        <w:rPr>
          <w:color w:val="000000" w:themeColor="text1"/>
        </w:rPr>
        <w:t xml:space="preserve">gekozen </w:t>
      </w:r>
      <w:r w:rsidR="0024745A">
        <w:rPr>
          <w:color w:val="000000" w:themeColor="text1"/>
        </w:rPr>
        <w:t>artikelen verantwoord. Paragraaf 6.2 behandelt deelvraag drie, terwijl paragraaf 6.</w:t>
      </w:r>
      <w:r w:rsidR="009B0E86">
        <w:rPr>
          <w:color w:val="000000" w:themeColor="text1"/>
        </w:rPr>
        <w:t>3</w:t>
      </w:r>
      <w:r w:rsidR="0024745A">
        <w:rPr>
          <w:color w:val="000000" w:themeColor="text1"/>
        </w:rPr>
        <w:t xml:space="preserve"> deelvraag vier presenteert.</w:t>
      </w:r>
    </w:p>
    <w:p w:rsidR="009C6E4D" w:rsidRDefault="009C6E4D" w:rsidP="001C119C">
      <w:pPr>
        <w:pStyle w:val="Geenafstand"/>
        <w:spacing w:line="360" w:lineRule="auto"/>
      </w:pPr>
    </w:p>
    <w:p w:rsidR="00523BC1" w:rsidRPr="00523BC1" w:rsidRDefault="00523BC1" w:rsidP="00523BC1">
      <w:pPr>
        <w:pStyle w:val="Kop2"/>
      </w:pPr>
      <w:bookmarkStart w:id="17" w:name="_Toc360661889"/>
      <w:r>
        <w:t xml:space="preserve">6.1 </w:t>
      </w:r>
      <w:r w:rsidRPr="00523BC1">
        <w:t>Verantwoording van keuze</w:t>
      </w:r>
      <w:bookmarkEnd w:id="17"/>
    </w:p>
    <w:p w:rsidR="00222A65" w:rsidRDefault="008C5C47" w:rsidP="00F828CC">
      <w:pPr>
        <w:pStyle w:val="Geenafstand"/>
        <w:spacing w:line="360" w:lineRule="auto"/>
      </w:pPr>
      <w:r>
        <w:t xml:space="preserve">In de literatuur zijn veel artikelen te vinden over de onafhankelijkheid van de accountant. </w:t>
      </w:r>
      <w:r w:rsidR="00222A65">
        <w:t>Omdat onafhankelijkheid als zodanig niet te meten is, moet er naar andere</w:t>
      </w:r>
      <w:r w:rsidR="00690F29">
        <w:t>,</w:t>
      </w:r>
      <w:r w:rsidR="00222A65">
        <w:t xml:space="preserve"> </w:t>
      </w:r>
      <w:r w:rsidR="00DA11EA">
        <w:t xml:space="preserve">meetbare </w:t>
      </w:r>
      <w:r w:rsidR="00222A65">
        <w:t>variabelen gekeken worden</w:t>
      </w:r>
      <w:r w:rsidR="001C16F0">
        <w:t>,</w:t>
      </w:r>
      <w:r w:rsidR="00222A65">
        <w:t xml:space="preserve"> die als substituut voor onafhankelijkheid kunnen dienen. </w:t>
      </w:r>
    </w:p>
    <w:p w:rsidR="00222A65" w:rsidRDefault="00222A65" w:rsidP="00F828CC">
      <w:pPr>
        <w:pStyle w:val="Geenafstand"/>
        <w:spacing w:line="360" w:lineRule="auto"/>
      </w:pPr>
    </w:p>
    <w:p w:rsidR="008C5C47" w:rsidRDefault="008C5C47" w:rsidP="00F828CC">
      <w:pPr>
        <w:pStyle w:val="Geenafstand"/>
        <w:spacing w:line="360" w:lineRule="auto"/>
      </w:pPr>
      <w:r>
        <w:t>S</w:t>
      </w:r>
      <w:r w:rsidR="00EA60CF">
        <w:t>ommige</w:t>
      </w:r>
      <w:r w:rsidR="00222A65">
        <w:t xml:space="preserve"> onderzoekers</w:t>
      </w:r>
      <w:r>
        <w:t xml:space="preserve"> </w:t>
      </w:r>
      <w:r w:rsidR="00EA60CF">
        <w:t xml:space="preserve">onderzoeken de relatie tussen </w:t>
      </w:r>
      <w:r>
        <w:t>‘going concern reports’</w:t>
      </w:r>
      <w:r>
        <w:rPr>
          <w:rStyle w:val="Voetnootmarkering"/>
        </w:rPr>
        <w:footnoteReference w:id="7"/>
      </w:r>
      <w:r w:rsidR="00222A65">
        <w:t xml:space="preserve"> </w:t>
      </w:r>
      <w:r w:rsidR="00EA60CF">
        <w:t>en de</w:t>
      </w:r>
      <w:r w:rsidR="00222A65">
        <w:t xml:space="preserve"> onafhankelijkheid </w:t>
      </w:r>
      <w:r w:rsidR="00EA60CF">
        <w:t xml:space="preserve">van de accountant </w:t>
      </w:r>
      <w:r w:rsidR="00222A65">
        <w:t>(Sharma en Sidhu, 20</w:t>
      </w:r>
      <w:r w:rsidR="0098227E">
        <w:t>01). De Earnings Response Coefficients</w:t>
      </w:r>
      <w:r w:rsidR="00C44A39">
        <w:rPr>
          <w:rStyle w:val="Voetnootmarkering"/>
        </w:rPr>
        <w:footnoteReference w:id="8"/>
      </w:r>
      <w:r w:rsidR="0098227E">
        <w:t xml:space="preserve"> is ook vaak gebruikt in de literatuur</w:t>
      </w:r>
      <w:r w:rsidR="00C44A39">
        <w:t>, bijvoorbeeld in die van Francis en Ke</w:t>
      </w:r>
      <w:r w:rsidR="0098227E">
        <w:t xml:space="preserve"> (Francis en Ke, 2006).</w:t>
      </w:r>
    </w:p>
    <w:p w:rsidR="008C5C47" w:rsidRDefault="008C5C47" w:rsidP="00F828CC">
      <w:pPr>
        <w:pStyle w:val="Geenafstand"/>
        <w:spacing w:line="360" w:lineRule="auto"/>
      </w:pPr>
    </w:p>
    <w:p w:rsidR="00BA2B83" w:rsidRDefault="00C44A39" w:rsidP="00F828CC">
      <w:pPr>
        <w:pStyle w:val="Geenafstand"/>
        <w:spacing w:line="360" w:lineRule="auto"/>
      </w:pPr>
      <w:r>
        <w:t xml:space="preserve">In deze scriptie is gekozen </w:t>
      </w:r>
      <w:r w:rsidR="00BF3CFD">
        <w:t>vo</w:t>
      </w:r>
      <w:r w:rsidR="005F5034">
        <w:t>or de ‘discretionairy accruals’.</w:t>
      </w:r>
      <w:r w:rsidR="00BF3CFD">
        <w:t xml:space="preserve"> Accruals zijn </w:t>
      </w:r>
      <w:r w:rsidR="00775D47">
        <w:t xml:space="preserve">de </w:t>
      </w:r>
      <w:r w:rsidR="00BF3CFD">
        <w:t xml:space="preserve">overlopende posten in een onderneming. Het zijn inkomsten en </w:t>
      </w:r>
      <w:r w:rsidR="00BF3CFD" w:rsidRPr="003A2D48">
        <w:t>uitgave</w:t>
      </w:r>
      <w:r w:rsidR="00412E93" w:rsidRPr="003A2D48">
        <w:t>n</w:t>
      </w:r>
      <w:r w:rsidR="00BF3CFD">
        <w:t xml:space="preserve"> </w:t>
      </w:r>
      <w:r w:rsidR="00AF0D7F">
        <w:t xml:space="preserve">waarvoor de rekeningen </w:t>
      </w:r>
      <w:r w:rsidR="003F7B38">
        <w:t>niet aan het eind van een berekeningsperiode zijn ontvangen</w:t>
      </w:r>
      <w:r w:rsidR="0043486E">
        <w:t>;</w:t>
      </w:r>
      <w:r w:rsidR="005C3CDD">
        <w:t xml:space="preserve"> </w:t>
      </w:r>
      <w:r w:rsidR="0043486E">
        <w:t>h</w:t>
      </w:r>
      <w:r w:rsidR="005C3CDD">
        <w:t>et is een aansprakelijkheid.</w:t>
      </w:r>
      <w:r w:rsidR="00BA2B83">
        <w:t xml:space="preserve"> </w:t>
      </w:r>
    </w:p>
    <w:p w:rsidR="00BA2B83" w:rsidRDefault="00BA2B83" w:rsidP="00F828CC">
      <w:pPr>
        <w:pStyle w:val="Geenafstand"/>
        <w:spacing w:line="360" w:lineRule="auto"/>
      </w:pPr>
    </w:p>
    <w:p w:rsidR="00C44A39" w:rsidRDefault="00BA2B83" w:rsidP="00F828CC">
      <w:pPr>
        <w:pStyle w:val="Geenafstand"/>
        <w:spacing w:line="360" w:lineRule="auto"/>
      </w:pPr>
      <w:r>
        <w:t>Accruals kunnen worden onderverdeeld naar een discretionaire deel en een niet-discretionaire deel. Het niet-discretionaire deel van de accruals zijn accruals die ontstaan tijdens het normale bedrijfsproces</w:t>
      </w:r>
      <w:r w:rsidR="0048546D">
        <w:t>, dit zijn ook wel de normale accruals.</w:t>
      </w:r>
      <w:r>
        <w:t xml:space="preserve"> Het discretionaire deel van de accruals wordt bepaald door keuzes van he</w:t>
      </w:r>
      <w:r w:rsidR="0048546D">
        <w:t>t management in een onderneming, dit zijn de abnormale accruals.</w:t>
      </w:r>
    </w:p>
    <w:p w:rsidR="00956159" w:rsidRDefault="00FB2988" w:rsidP="00F828CC">
      <w:pPr>
        <w:pStyle w:val="Geenafstand"/>
        <w:spacing w:line="360" w:lineRule="auto"/>
      </w:pPr>
      <w:r>
        <w:t>Uit eerdere onderzoeken is gebleken dat</w:t>
      </w:r>
      <w:r w:rsidR="005F5034">
        <w:t xml:space="preserve"> discretionaire</w:t>
      </w:r>
      <w:r>
        <w:t xml:space="preserve"> accruals door ondernemingen worden gebruikt om hun winsten te beïnvloeden (Jones, 1991). </w:t>
      </w:r>
      <w:r w:rsidR="00775D47">
        <w:t xml:space="preserve">Daarnaast zijn </w:t>
      </w:r>
      <w:r w:rsidR="005F5034">
        <w:t xml:space="preserve">discretionaire </w:t>
      </w:r>
      <w:r w:rsidR="00775D47">
        <w:lastRenderedPageBreak/>
        <w:t>a</w:t>
      </w:r>
      <w:r w:rsidR="001C119C">
        <w:t>ccruals een robuuste maatstaf voor de winst kwaliteit van een onderneming (Richardson et al. 2001).</w:t>
      </w:r>
      <w:r w:rsidR="00E62876">
        <w:t xml:space="preserve"> De gekozen artikelen behandelen enerzijds de niet-auditdiensten van accountants en anderzijds de winst kwaliteit, via discretionaire accruals, als maatstaf voor de onafhankelijkheid.</w:t>
      </w:r>
      <w:r w:rsidR="00956159">
        <w:t xml:space="preserve"> Accountants die veel provisies krijgen voor hun niet-auditdiensten zouden geneigd zijn om bepaalde dingen door de vingers </w:t>
      </w:r>
      <w:r w:rsidR="009B0E86">
        <w:t>te zien</w:t>
      </w:r>
      <w:r w:rsidR="00956159">
        <w:t xml:space="preserve">. </w:t>
      </w:r>
      <w:r w:rsidR="007A6EBD">
        <w:t>Dit komt vervolgens tot uiting in</w:t>
      </w:r>
      <w:r w:rsidR="00956159">
        <w:t xml:space="preserve"> de winst</w:t>
      </w:r>
      <w:r w:rsidR="007A6EBD">
        <w:t xml:space="preserve"> kwaliteit van een onderneming</w:t>
      </w:r>
      <w:r w:rsidR="00B637CB">
        <w:t>, zie bijvoorbeeld het onderzoek van Dee et al. (Dee et al, 2002)</w:t>
      </w:r>
      <w:r w:rsidR="007A6EBD">
        <w:t>.</w:t>
      </w:r>
    </w:p>
    <w:p w:rsidR="00A10876" w:rsidRDefault="00A10876" w:rsidP="00F828CC">
      <w:pPr>
        <w:pStyle w:val="Geenafstand"/>
        <w:spacing w:line="360" w:lineRule="auto"/>
      </w:pPr>
    </w:p>
    <w:p w:rsidR="00A10876" w:rsidRDefault="00A10876" w:rsidP="00F828CC">
      <w:pPr>
        <w:pStyle w:val="Geenafstand"/>
        <w:spacing w:line="360" w:lineRule="auto"/>
      </w:pPr>
      <w:r>
        <w:t xml:space="preserve">De volgende twee figuren uit </w:t>
      </w:r>
      <w:r w:rsidR="003970E1">
        <w:t>hun</w:t>
      </w:r>
      <w:r>
        <w:t xml:space="preserve"> onderzoek zullen dit verduidelijken.</w:t>
      </w:r>
    </w:p>
    <w:p w:rsidR="00A10876" w:rsidRDefault="003970E1" w:rsidP="00F828CC">
      <w:pPr>
        <w:pStyle w:val="Geenafstand"/>
        <w:spacing w:line="360" w:lineRule="auto"/>
      </w:pPr>
      <w:r>
        <w:rPr>
          <w:noProof/>
          <w:lang w:eastAsia="nl-NL"/>
        </w:rPr>
        <w:drawing>
          <wp:inline distT="0" distB="0" distL="0" distR="0">
            <wp:extent cx="5720080" cy="1095375"/>
            <wp:effectExtent l="0" t="0" r="0" b="9525"/>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0080" cy="1095375"/>
                    </a:xfrm>
                    <a:prstGeom prst="rect">
                      <a:avLst/>
                    </a:prstGeom>
                    <a:noFill/>
                    <a:ln>
                      <a:noFill/>
                    </a:ln>
                  </pic:spPr>
                </pic:pic>
              </a:graphicData>
            </a:graphic>
          </wp:inline>
        </w:drawing>
      </w:r>
    </w:p>
    <w:p w:rsidR="001C5F30" w:rsidRDefault="00A10876" w:rsidP="00F828CC">
      <w:pPr>
        <w:pStyle w:val="Geenafstand"/>
        <w:spacing w:line="360" w:lineRule="auto"/>
      </w:pPr>
      <w:r>
        <w:t xml:space="preserve">In figuur 1 </w:t>
      </w:r>
      <w:r w:rsidR="0032312A">
        <w:t>is de totale situatie geschetst.</w:t>
      </w:r>
    </w:p>
    <w:p w:rsidR="00A10876" w:rsidRDefault="00A10876" w:rsidP="00F828CC">
      <w:pPr>
        <w:pStyle w:val="Geenafstand"/>
        <w:spacing w:line="360" w:lineRule="auto"/>
      </w:pPr>
      <w:r>
        <w:t xml:space="preserve">Hoge provisies voor niet-auditdiensten kunnen leiden tot een lagere onafhankelijkheid van accountants. </w:t>
      </w:r>
      <w:r w:rsidR="003970E1">
        <w:t>Vervolgens zorgt dit</w:t>
      </w:r>
      <w:r>
        <w:t xml:space="preserve"> voor een lagere auditkwaliteit, waardoor uiteindelijk een lagere winst kwaliteit zal ontstaan.</w:t>
      </w:r>
    </w:p>
    <w:p w:rsidR="00A10876" w:rsidRDefault="00A10876" w:rsidP="00F828CC">
      <w:pPr>
        <w:pStyle w:val="Geenafstand"/>
        <w:spacing w:line="360" w:lineRule="auto"/>
      </w:pPr>
    </w:p>
    <w:p w:rsidR="00A10876" w:rsidRDefault="00A10876" w:rsidP="00F828CC">
      <w:pPr>
        <w:pStyle w:val="Geenafstand"/>
        <w:spacing w:line="360" w:lineRule="auto"/>
      </w:pPr>
      <w:r>
        <w:t>Aangezien schakel</w:t>
      </w:r>
      <w:r w:rsidR="005A79A6">
        <w:t>s</w:t>
      </w:r>
      <w:r>
        <w:t xml:space="preserve"> </w:t>
      </w:r>
      <w:r w:rsidR="003D4AEA">
        <w:t>(b) en (c) niet te observeren zijn</w:t>
      </w:r>
      <w:r>
        <w:t xml:space="preserve">, worden deze beschouwd als een ‘zwarte box’. Er zal dan niet gekeken worden naar </w:t>
      </w:r>
      <w:r w:rsidR="0032312A">
        <w:t>de</w:t>
      </w:r>
      <w:r>
        <w:t xml:space="preserve"> ‘zwarte box’ zelf, maar </w:t>
      </w:r>
      <w:r w:rsidR="005A79A6">
        <w:t xml:space="preserve">slechts </w:t>
      </w:r>
      <w:r>
        <w:t xml:space="preserve">naar de gevolgen die eruit </w:t>
      </w:r>
      <w:r w:rsidR="0069772E">
        <w:t>komen</w:t>
      </w:r>
      <w:r>
        <w:t>. Dit wordt geïllustreerd in figuur 2.</w:t>
      </w:r>
      <w:r w:rsidR="005A5DE4">
        <w:t xml:space="preserve"> Uit de literatuur </w:t>
      </w:r>
      <w:r w:rsidR="0069772E">
        <w:t>zijn</w:t>
      </w:r>
      <w:r w:rsidR="005A5DE4">
        <w:t xml:space="preserve"> op basis van deze filters uiteindelijk een aantal artikelen gekozen.</w:t>
      </w:r>
    </w:p>
    <w:p w:rsidR="00A10876" w:rsidRDefault="003970E1" w:rsidP="00F828CC">
      <w:pPr>
        <w:pStyle w:val="Geenafstand"/>
        <w:spacing w:line="360" w:lineRule="auto"/>
      </w:pPr>
      <w:r>
        <w:rPr>
          <w:noProof/>
          <w:lang w:eastAsia="nl-NL"/>
        </w:rPr>
        <w:drawing>
          <wp:inline distT="0" distB="0" distL="0" distR="0">
            <wp:extent cx="5327015" cy="1510030"/>
            <wp:effectExtent l="0" t="0" r="698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27015" cy="1510030"/>
                    </a:xfrm>
                    <a:prstGeom prst="rect">
                      <a:avLst/>
                    </a:prstGeom>
                    <a:noFill/>
                    <a:ln>
                      <a:noFill/>
                    </a:ln>
                  </pic:spPr>
                </pic:pic>
              </a:graphicData>
            </a:graphic>
          </wp:inline>
        </w:drawing>
      </w:r>
    </w:p>
    <w:p w:rsidR="00425FB0" w:rsidRPr="000C1E9C" w:rsidRDefault="00425FB0" w:rsidP="00425FB0">
      <w:pPr>
        <w:pStyle w:val="Geenafstand"/>
        <w:spacing w:line="360" w:lineRule="auto"/>
        <w:rPr>
          <w:rFonts w:cs="FFHGEB+TimesNewRoman"/>
          <w:color w:val="000000"/>
          <w:sz w:val="23"/>
          <w:szCs w:val="23"/>
        </w:rPr>
      </w:pPr>
    </w:p>
    <w:p w:rsidR="004F31F2" w:rsidRDefault="00523BC1" w:rsidP="00F63057">
      <w:pPr>
        <w:pStyle w:val="Kop2"/>
      </w:pPr>
      <w:bookmarkStart w:id="18" w:name="_Toc360661890"/>
      <w:r>
        <w:lastRenderedPageBreak/>
        <w:t>6.2</w:t>
      </w:r>
      <w:r w:rsidR="00F828CC">
        <w:t xml:space="preserve"> </w:t>
      </w:r>
      <w:r w:rsidR="004F31F2">
        <w:t>Argumenten vóór scheiding</w:t>
      </w:r>
      <w:bookmarkEnd w:id="18"/>
    </w:p>
    <w:p w:rsidR="00C80D46" w:rsidRPr="00637CB5" w:rsidRDefault="00F63057" w:rsidP="00E22B4B">
      <w:pPr>
        <w:pStyle w:val="Geenafstand"/>
        <w:spacing w:line="360" w:lineRule="auto"/>
      </w:pPr>
      <w:r>
        <w:t xml:space="preserve">De tabel hieronder </w:t>
      </w:r>
      <w:r w:rsidR="00E22B4B">
        <w:t>toont</w:t>
      </w:r>
      <w:r>
        <w:t xml:space="preserve"> welke onderzoekers wat hebben onderzocht en hun conclusies daarbij. De laatste kolom geeft aan in welke paragraaf het onderzoek nader wordt toegelicht.</w:t>
      </w:r>
    </w:p>
    <w:tbl>
      <w:tblPr>
        <w:tblStyle w:val="Lichtelijst"/>
        <w:tblW w:w="0" w:type="auto"/>
        <w:tblLook w:val="04A0"/>
      </w:tblPr>
      <w:tblGrid>
        <w:gridCol w:w="2507"/>
        <w:gridCol w:w="4621"/>
        <w:gridCol w:w="1620"/>
      </w:tblGrid>
      <w:tr w:rsidR="00D16367" w:rsidRPr="00B7591E" w:rsidTr="00D16367">
        <w:trPr>
          <w:cnfStyle w:val="100000000000"/>
        </w:trPr>
        <w:tc>
          <w:tcPr>
            <w:cnfStyle w:val="001000000000"/>
            <w:tcW w:w="2507" w:type="dxa"/>
          </w:tcPr>
          <w:p w:rsidR="00D16367" w:rsidRPr="00B7591E" w:rsidRDefault="00D16367" w:rsidP="00C7263E">
            <w:pPr>
              <w:pStyle w:val="Geenafstand"/>
            </w:pPr>
            <w:r w:rsidRPr="00B7591E">
              <w:t>Onderzoekers</w:t>
            </w:r>
          </w:p>
        </w:tc>
        <w:tc>
          <w:tcPr>
            <w:tcW w:w="4621" w:type="dxa"/>
          </w:tcPr>
          <w:p w:rsidR="00D16367" w:rsidRPr="00B7591E" w:rsidRDefault="00117D8E" w:rsidP="00C7263E">
            <w:pPr>
              <w:pStyle w:val="Geenafstand"/>
              <w:cnfStyle w:val="100000000000"/>
            </w:pPr>
            <w:r>
              <w:t>Conclusi</w:t>
            </w:r>
            <w:r w:rsidR="00387FCF">
              <w:t>e</w:t>
            </w:r>
            <w:r>
              <w:t>s</w:t>
            </w:r>
          </w:p>
        </w:tc>
        <w:tc>
          <w:tcPr>
            <w:tcW w:w="1620" w:type="dxa"/>
          </w:tcPr>
          <w:p w:rsidR="00D16367" w:rsidRPr="00B7591E" w:rsidRDefault="00D16367" w:rsidP="00C7263E">
            <w:pPr>
              <w:pStyle w:val="Geenafstand"/>
              <w:cnfStyle w:val="100000000000"/>
            </w:pPr>
            <w:r w:rsidRPr="00B7591E">
              <w:t>Paragraaf</w:t>
            </w:r>
          </w:p>
        </w:tc>
      </w:tr>
      <w:tr w:rsidR="00D16367" w:rsidRPr="00637CB5" w:rsidTr="00D16367">
        <w:trPr>
          <w:cnfStyle w:val="000000100000"/>
        </w:trPr>
        <w:tc>
          <w:tcPr>
            <w:cnfStyle w:val="001000000000"/>
            <w:tcW w:w="2507" w:type="dxa"/>
          </w:tcPr>
          <w:p w:rsidR="00D16367" w:rsidRPr="00191889" w:rsidRDefault="00D16367" w:rsidP="00191889">
            <w:r w:rsidRPr="00B67458">
              <w:rPr>
                <w:sz w:val="24"/>
              </w:rPr>
              <w:t>(1998) Becker et al.</w:t>
            </w:r>
          </w:p>
        </w:tc>
        <w:tc>
          <w:tcPr>
            <w:tcW w:w="4621" w:type="dxa"/>
          </w:tcPr>
          <w:p w:rsidR="00D16367" w:rsidRPr="00637CB5" w:rsidRDefault="00587308" w:rsidP="00D16367">
            <w:pPr>
              <w:pStyle w:val="Geenafstand"/>
              <w:cnfStyle w:val="000000100000"/>
            </w:pPr>
            <w:r>
              <w:rPr>
                <w:szCs w:val="24"/>
              </w:rPr>
              <w:t>Ondernemingen met rapporten van niet-Big Six kantoren hebben significant grotere discretionaire accruals, vergeleken met die van de Big Six kantoren. Zij hebben ook significant meer variaties van discretionaire accruals</w:t>
            </w:r>
          </w:p>
        </w:tc>
        <w:tc>
          <w:tcPr>
            <w:tcW w:w="1620" w:type="dxa"/>
          </w:tcPr>
          <w:p w:rsidR="00D16367" w:rsidRPr="00637CB5" w:rsidRDefault="00D16367" w:rsidP="00C7263E">
            <w:pPr>
              <w:pStyle w:val="Geenafstand"/>
              <w:cnfStyle w:val="000000100000"/>
            </w:pPr>
            <w:r>
              <w:t>6.2</w:t>
            </w:r>
            <w:r w:rsidRPr="00637CB5">
              <w:t>.1</w:t>
            </w:r>
          </w:p>
        </w:tc>
      </w:tr>
      <w:tr w:rsidR="00D16367" w:rsidTr="00D16367">
        <w:tc>
          <w:tcPr>
            <w:cnfStyle w:val="001000000000"/>
            <w:tcW w:w="2507" w:type="dxa"/>
          </w:tcPr>
          <w:p w:rsidR="00D16367" w:rsidRPr="00C80D46" w:rsidRDefault="00D16367" w:rsidP="00C7263E">
            <w:pPr>
              <w:pStyle w:val="Geenafstand"/>
            </w:pPr>
            <w:r w:rsidRPr="00C80D46">
              <w:t>(200</w:t>
            </w:r>
            <w:r>
              <w:t>2</w:t>
            </w:r>
            <w:r w:rsidRPr="00C80D46">
              <w:t>)</w:t>
            </w:r>
            <w:r>
              <w:t xml:space="preserve"> Frankel et al.</w:t>
            </w:r>
          </w:p>
        </w:tc>
        <w:tc>
          <w:tcPr>
            <w:tcW w:w="4621" w:type="dxa"/>
          </w:tcPr>
          <w:p w:rsidR="00D16367" w:rsidRDefault="008F60E0" w:rsidP="00C7263E">
            <w:pPr>
              <w:pStyle w:val="Geenafstand"/>
              <w:cnfStyle w:val="000000000000"/>
            </w:pPr>
            <w:r>
              <w:t>Ondernemingen die niet-auditdiensten aanschaffen van hun accountant rapporteren hogere discretionaire accruals</w:t>
            </w:r>
          </w:p>
        </w:tc>
        <w:tc>
          <w:tcPr>
            <w:tcW w:w="1620" w:type="dxa"/>
          </w:tcPr>
          <w:p w:rsidR="00D16367" w:rsidRDefault="00D16367" w:rsidP="00C7263E">
            <w:pPr>
              <w:pStyle w:val="Geenafstand"/>
              <w:cnfStyle w:val="000000000000"/>
            </w:pPr>
            <w:r>
              <w:t>6.2.2</w:t>
            </w:r>
          </w:p>
        </w:tc>
      </w:tr>
      <w:tr w:rsidR="00D16367" w:rsidTr="00D16367">
        <w:trPr>
          <w:cnfStyle w:val="000000100000"/>
        </w:trPr>
        <w:tc>
          <w:tcPr>
            <w:cnfStyle w:val="001000000000"/>
            <w:tcW w:w="2507" w:type="dxa"/>
          </w:tcPr>
          <w:p w:rsidR="00D16367" w:rsidRDefault="00D16367" w:rsidP="00C7263E">
            <w:pPr>
              <w:pStyle w:val="Geenafstand"/>
            </w:pPr>
            <w:r>
              <w:t>(2002) Dee et al.</w:t>
            </w:r>
          </w:p>
        </w:tc>
        <w:tc>
          <w:tcPr>
            <w:tcW w:w="4621" w:type="dxa"/>
          </w:tcPr>
          <w:p w:rsidR="00D16367" w:rsidRDefault="00A10876" w:rsidP="00C7263E">
            <w:pPr>
              <w:pStyle w:val="Geenafstand"/>
              <w:cnfStyle w:val="000000100000"/>
            </w:pPr>
            <w:r>
              <w:t>Ondernemingen die hoge provisies voor niet-auditdiensten betalen</w:t>
            </w:r>
            <w:r w:rsidR="009C67C9">
              <w:t>,</w:t>
            </w:r>
            <w:r>
              <w:t xml:space="preserve"> hebben significant hogere discretionaire accruals</w:t>
            </w:r>
          </w:p>
        </w:tc>
        <w:tc>
          <w:tcPr>
            <w:tcW w:w="1620" w:type="dxa"/>
          </w:tcPr>
          <w:p w:rsidR="00D16367" w:rsidRDefault="00D16367" w:rsidP="00C7263E">
            <w:pPr>
              <w:pStyle w:val="Geenafstand"/>
              <w:cnfStyle w:val="000000100000"/>
            </w:pPr>
            <w:r>
              <w:t>6.2.3</w:t>
            </w:r>
          </w:p>
        </w:tc>
      </w:tr>
      <w:tr w:rsidR="00D16367" w:rsidTr="00D16367">
        <w:tc>
          <w:tcPr>
            <w:cnfStyle w:val="001000000000"/>
            <w:tcW w:w="2507" w:type="dxa"/>
          </w:tcPr>
          <w:p w:rsidR="00D16367" w:rsidRDefault="00D16367" w:rsidP="00C7263E">
            <w:pPr>
              <w:pStyle w:val="Geenafstand"/>
            </w:pPr>
            <w:r>
              <w:t>(2004) Reynolds et al.</w:t>
            </w:r>
          </w:p>
        </w:tc>
        <w:tc>
          <w:tcPr>
            <w:tcW w:w="4621" w:type="dxa"/>
          </w:tcPr>
          <w:p w:rsidR="00D16367" w:rsidRDefault="005B7E31" w:rsidP="005B7E31">
            <w:pPr>
              <w:pStyle w:val="Geenafstand"/>
              <w:cnfStyle w:val="000000000000"/>
            </w:pPr>
            <w:r>
              <w:rPr>
                <w:szCs w:val="24"/>
              </w:rPr>
              <w:t>Accountants die naast auditdiensten ook niet-auditdiensten verlenen</w:t>
            </w:r>
            <w:r w:rsidR="009C67C9">
              <w:rPr>
                <w:szCs w:val="24"/>
              </w:rPr>
              <w:t>,</w:t>
            </w:r>
            <w:r>
              <w:rPr>
                <w:szCs w:val="24"/>
              </w:rPr>
              <w:t xml:space="preserve"> hebben niet systematisch een lagere onafhankelijkheid </w:t>
            </w:r>
          </w:p>
        </w:tc>
        <w:tc>
          <w:tcPr>
            <w:tcW w:w="1620" w:type="dxa"/>
          </w:tcPr>
          <w:p w:rsidR="00D16367" w:rsidRDefault="00D16367" w:rsidP="00C7263E">
            <w:pPr>
              <w:pStyle w:val="Geenafstand"/>
              <w:cnfStyle w:val="000000000000"/>
            </w:pPr>
            <w:r>
              <w:t>6.2.4</w:t>
            </w:r>
          </w:p>
        </w:tc>
      </w:tr>
      <w:tr w:rsidR="00D16367" w:rsidTr="00D16367">
        <w:trPr>
          <w:cnfStyle w:val="000000100000"/>
        </w:trPr>
        <w:tc>
          <w:tcPr>
            <w:cnfStyle w:val="001000000000"/>
            <w:tcW w:w="2507" w:type="dxa"/>
          </w:tcPr>
          <w:p w:rsidR="00D16367" w:rsidRDefault="00D16367" w:rsidP="00C7263E">
            <w:pPr>
              <w:pStyle w:val="Geenafstand"/>
            </w:pPr>
            <w:r>
              <w:t>(2011) Krishnan et al.</w:t>
            </w:r>
          </w:p>
        </w:tc>
        <w:tc>
          <w:tcPr>
            <w:tcW w:w="4621" w:type="dxa"/>
          </w:tcPr>
          <w:p w:rsidR="00D16367" w:rsidRDefault="00D86FEE" w:rsidP="00D86FEE">
            <w:pPr>
              <w:pStyle w:val="Geenafstand"/>
              <w:cnfStyle w:val="000000100000"/>
            </w:pPr>
            <w:r>
              <w:t>Niet-auditdiensten hebben een significant positief verband met inkomen verlagende discretionaire accruals</w:t>
            </w:r>
          </w:p>
        </w:tc>
        <w:tc>
          <w:tcPr>
            <w:tcW w:w="1620" w:type="dxa"/>
          </w:tcPr>
          <w:p w:rsidR="00D16367" w:rsidRDefault="00D16367" w:rsidP="00C7263E">
            <w:pPr>
              <w:pStyle w:val="Geenafstand"/>
              <w:cnfStyle w:val="000000100000"/>
            </w:pPr>
            <w:r>
              <w:t>6.2.5</w:t>
            </w:r>
          </w:p>
        </w:tc>
      </w:tr>
    </w:tbl>
    <w:p w:rsidR="00C80D46" w:rsidRPr="00064BA5" w:rsidRDefault="00C80D46" w:rsidP="00C7263E">
      <w:pPr>
        <w:pStyle w:val="Geenafstand"/>
      </w:pPr>
    </w:p>
    <w:p w:rsidR="00081059" w:rsidRDefault="00523BC1" w:rsidP="00637CB5">
      <w:pPr>
        <w:pStyle w:val="Kop3"/>
        <w:rPr>
          <w:rStyle w:val="Kop2Char"/>
          <w:b/>
          <w:bCs/>
          <w:sz w:val="24"/>
          <w:szCs w:val="22"/>
        </w:rPr>
      </w:pPr>
      <w:bookmarkStart w:id="19" w:name="_Toc360661891"/>
      <w:r>
        <w:t>6.2</w:t>
      </w:r>
      <w:r w:rsidR="00F828CC" w:rsidRPr="00637CB5">
        <w:t>.1</w:t>
      </w:r>
      <w:r w:rsidR="00081059" w:rsidRPr="00637CB5">
        <w:t xml:space="preserve"> </w:t>
      </w:r>
      <w:r w:rsidR="00081059" w:rsidRPr="00637CB5">
        <w:rPr>
          <w:rStyle w:val="Kop2Char"/>
          <w:b/>
          <w:bCs/>
          <w:sz w:val="24"/>
          <w:szCs w:val="22"/>
        </w:rPr>
        <w:t>Becker et al. (1998)</w:t>
      </w:r>
      <w:bookmarkEnd w:id="19"/>
    </w:p>
    <w:p w:rsidR="00B82ACA" w:rsidRDefault="00E20D62" w:rsidP="00E20D62">
      <w:pPr>
        <w:spacing w:line="360" w:lineRule="auto"/>
        <w:rPr>
          <w:sz w:val="24"/>
          <w:szCs w:val="24"/>
        </w:rPr>
      </w:pPr>
      <w:r w:rsidRPr="00E20D62">
        <w:rPr>
          <w:sz w:val="24"/>
          <w:szCs w:val="24"/>
          <w:u w:val="single"/>
        </w:rPr>
        <w:t>Achtergrond</w:t>
      </w:r>
      <w:r w:rsidR="0002545D">
        <w:rPr>
          <w:sz w:val="24"/>
          <w:szCs w:val="24"/>
          <w:u w:val="single"/>
        </w:rPr>
        <w:br/>
      </w:r>
      <w:r w:rsidR="008D61CD">
        <w:rPr>
          <w:sz w:val="24"/>
          <w:szCs w:val="24"/>
        </w:rPr>
        <w:t>De onderzoekers willen in dit onderzoek het effect van audit kwaliteit op earnings management onderzoeken via de discretionaire accruals.</w:t>
      </w:r>
      <w:r w:rsidR="00EC0979">
        <w:rPr>
          <w:sz w:val="24"/>
          <w:szCs w:val="24"/>
        </w:rPr>
        <w:t xml:space="preserve"> </w:t>
      </w:r>
      <w:r w:rsidR="008A7153">
        <w:rPr>
          <w:sz w:val="24"/>
          <w:szCs w:val="24"/>
        </w:rPr>
        <w:t>Met</w:t>
      </w:r>
      <w:r w:rsidR="00EC0979">
        <w:rPr>
          <w:sz w:val="24"/>
          <w:szCs w:val="24"/>
        </w:rPr>
        <w:t xml:space="preserve"> audit kwaliteit </w:t>
      </w:r>
      <w:r w:rsidR="00F267DD">
        <w:rPr>
          <w:sz w:val="24"/>
          <w:szCs w:val="24"/>
        </w:rPr>
        <w:t>is</w:t>
      </w:r>
      <w:r w:rsidR="00EC0979">
        <w:rPr>
          <w:sz w:val="24"/>
          <w:szCs w:val="24"/>
        </w:rPr>
        <w:t xml:space="preserve"> de onafhankelijkheid van de </w:t>
      </w:r>
      <w:r w:rsidR="00F267DD">
        <w:rPr>
          <w:sz w:val="24"/>
          <w:szCs w:val="24"/>
        </w:rPr>
        <w:t xml:space="preserve">externe openbare </w:t>
      </w:r>
      <w:r w:rsidR="00EC0979">
        <w:rPr>
          <w:sz w:val="24"/>
          <w:szCs w:val="24"/>
        </w:rPr>
        <w:t xml:space="preserve">accountant </w:t>
      </w:r>
      <w:r w:rsidR="008A7153">
        <w:rPr>
          <w:sz w:val="24"/>
          <w:szCs w:val="24"/>
        </w:rPr>
        <w:t>bedoeld.</w:t>
      </w:r>
      <w:r w:rsidR="001A0794">
        <w:rPr>
          <w:sz w:val="24"/>
          <w:szCs w:val="24"/>
        </w:rPr>
        <w:t xml:space="preserve"> Ze zijn van mening dat accountants van hogere kwaliteit meer </w:t>
      </w:r>
      <w:r w:rsidR="009B0E86">
        <w:rPr>
          <w:sz w:val="24"/>
          <w:szCs w:val="24"/>
        </w:rPr>
        <w:t>prikkels hebben</w:t>
      </w:r>
      <w:r w:rsidR="001A0794">
        <w:rPr>
          <w:sz w:val="24"/>
          <w:szCs w:val="24"/>
        </w:rPr>
        <w:t xml:space="preserve"> om malafide accounting praktijken, zoals earnings management</w:t>
      </w:r>
      <w:r w:rsidR="00EA02DD">
        <w:rPr>
          <w:rStyle w:val="Voetnootmarkering"/>
          <w:sz w:val="24"/>
          <w:szCs w:val="24"/>
        </w:rPr>
        <w:footnoteReference w:id="9"/>
      </w:r>
      <w:r w:rsidR="001A0794">
        <w:rPr>
          <w:sz w:val="24"/>
          <w:szCs w:val="24"/>
        </w:rPr>
        <w:t xml:space="preserve"> via discretionaire accruals, te kunnen ontdekken.</w:t>
      </w:r>
      <w:r w:rsidR="00EA02DD">
        <w:rPr>
          <w:sz w:val="24"/>
          <w:szCs w:val="24"/>
        </w:rPr>
        <w:t xml:space="preserve"> </w:t>
      </w:r>
      <w:r w:rsidR="006354EA">
        <w:rPr>
          <w:sz w:val="24"/>
          <w:szCs w:val="24"/>
        </w:rPr>
        <w:br/>
      </w:r>
      <w:r w:rsidR="006354EA">
        <w:rPr>
          <w:sz w:val="24"/>
          <w:szCs w:val="24"/>
        </w:rPr>
        <w:br/>
      </w:r>
      <w:r w:rsidR="00EA02DD">
        <w:rPr>
          <w:sz w:val="24"/>
          <w:szCs w:val="24"/>
        </w:rPr>
        <w:t>Indien bekend wordt gemaakt dat een onderneming earnings management toepast</w:t>
      </w:r>
      <w:r w:rsidR="009B5D6E">
        <w:rPr>
          <w:sz w:val="24"/>
          <w:szCs w:val="24"/>
        </w:rPr>
        <w:t xml:space="preserve">, zullen de gevolgen desastreus zijn. </w:t>
      </w:r>
      <w:r w:rsidR="009C67C9">
        <w:rPr>
          <w:sz w:val="24"/>
          <w:szCs w:val="24"/>
        </w:rPr>
        <w:t>De r</w:t>
      </w:r>
      <w:r w:rsidR="009B5D6E">
        <w:rPr>
          <w:sz w:val="24"/>
          <w:szCs w:val="24"/>
        </w:rPr>
        <w:t xml:space="preserve">eputatie van het management wordt geschaad en </w:t>
      </w:r>
      <w:r w:rsidR="00581612">
        <w:rPr>
          <w:sz w:val="24"/>
          <w:szCs w:val="24"/>
        </w:rPr>
        <w:t>de ondernemingswaarde zal</w:t>
      </w:r>
      <w:r w:rsidR="00DF5F71">
        <w:rPr>
          <w:sz w:val="24"/>
          <w:szCs w:val="24"/>
        </w:rPr>
        <w:t xml:space="preserve"> ook dalen. De hypothese is dat er meer earnings management aanwezig zal zijn in ondernemingen met </w:t>
      </w:r>
      <w:r w:rsidR="00B82ACA">
        <w:rPr>
          <w:sz w:val="24"/>
          <w:szCs w:val="24"/>
        </w:rPr>
        <w:t>accountants van lage kwaliteit.</w:t>
      </w:r>
    </w:p>
    <w:p w:rsidR="006354EA" w:rsidRPr="00E20D62" w:rsidRDefault="00E20D62" w:rsidP="00E20D62">
      <w:pPr>
        <w:spacing w:line="360" w:lineRule="auto"/>
        <w:rPr>
          <w:sz w:val="24"/>
          <w:szCs w:val="24"/>
        </w:rPr>
      </w:pPr>
      <w:r w:rsidRPr="00E20D62">
        <w:rPr>
          <w:sz w:val="24"/>
          <w:szCs w:val="24"/>
          <w:u w:val="single"/>
        </w:rPr>
        <w:lastRenderedPageBreak/>
        <w:t>Werkwijze</w:t>
      </w:r>
      <w:r w:rsidR="0002545D">
        <w:rPr>
          <w:sz w:val="24"/>
          <w:szCs w:val="24"/>
          <w:u w:val="single"/>
        </w:rPr>
        <w:br/>
      </w:r>
      <w:r w:rsidR="00B82ACA">
        <w:rPr>
          <w:sz w:val="24"/>
          <w:szCs w:val="24"/>
        </w:rPr>
        <w:t xml:space="preserve">Ten eerste moet er een onderscheid worden gemaakt tussen accountants van hoge kwaliteit en </w:t>
      </w:r>
      <w:r w:rsidR="00F45AE4">
        <w:rPr>
          <w:sz w:val="24"/>
          <w:szCs w:val="24"/>
        </w:rPr>
        <w:t xml:space="preserve">van </w:t>
      </w:r>
      <w:r w:rsidR="00B82ACA">
        <w:rPr>
          <w:sz w:val="24"/>
          <w:szCs w:val="24"/>
        </w:rPr>
        <w:t xml:space="preserve">lage kwaliteit. </w:t>
      </w:r>
      <w:r w:rsidR="00F45AE4">
        <w:rPr>
          <w:sz w:val="24"/>
          <w:szCs w:val="24"/>
        </w:rPr>
        <w:t>Dit hebben de auteurs g</w:t>
      </w:r>
      <w:r w:rsidR="00B82ACA">
        <w:rPr>
          <w:sz w:val="24"/>
          <w:szCs w:val="24"/>
        </w:rPr>
        <w:t xml:space="preserve">etracht te bereiken door Big Six kantoren </w:t>
      </w:r>
      <w:r w:rsidR="00147618">
        <w:rPr>
          <w:sz w:val="24"/>
          <w:szCs w:val="24"/>
        </w:rPr>
        <w:t>te nemen en niet-Big Six</w:t>
      </w:r>
      <w:r w:rsidR="00B82ACA">
        <w:rPr>
          <w:sz w:val="24"/>
          <w:szCs w:val="24"/>
        </w:rPr>
        <w:t xml:space="preserve"> kantoren.</w:t>
      </w:r>
      <w:r w:rsidR="006354EA">
        <w:rPr>
          <w:sz w:val="24"/>
          <w:szCs w:val="24"/>
        </w:rPr>
        <w:t xml:space="preserve"> Op dat moment waren de Big Six: Arthur Andersen, Coopers &amp; Lybrand, Deloitte &amp; Touche, Ernst &amp; Young, KPMG Peat Marwick en Price Waterhouse.</w:t>
      </w:r>
      <w:r w:rsidR="00147618">
        <w:rPr>
          <w:sz w:val="24"/>
          <w:szCs w:val="24"/>
        </w:rPr>
        <w:t xml:space="preserve"> Menige eerdere onderzoeken hebben aangetoond dat de Big Six kantoren een hogere audit kwaliteit leveren dan niet-Big Six kantoren. Ze hebben meer prikkels om malafide praktijken van management </w:t>
      </w:r>
      <w:r w:rsidR="00DE526E">
        <w:rPr>
          <w:sz w:val="24"/>
          <w:szCs w:val="24"/>
        </w:rPr>
        <w:t>te ontdekken en bekend te maken, omdat ze groter zijn dan de concurrenten.</w:t>
      </w:r>
      <w:r w:rsidR="002477E7">
        <w:rPr>
          <w:sz w:val="24"/>
          <w:szCs w:val="24"/>
        </w:rPr>
        <w:br/>
      </w:r>
      <w:r w:rsidR="002477E7">
        <w:rPr>
          <w:sz w:val="24"/>
          <w:szCs w:val="24"/>
        </w:rPr>
        <w:br/>
        <w:t xml:space="preserve">Om hun hypothese meetbaar te maken is de hypothese vertaald naar: </w:t>
      </w:r>
      <w:r w:rsidR="00711948">
        <w:rPr>
          <w:sz w:val="24"/>
          <w:szCs w:val="24"/>
        </w:rPr>
        <w:t xml:space="preserve">Inkomst-verhogende earnings management, via discretionaire accruals, worden door </w:t>
      </w:r>
      <w:r w:rsidR="002477E7">
        <w:rPr>
          <w:sz w:val="24"/>
          <w:szCs w:val="24"/>
        </w:rPr>
        <w:t xml:space="preserve">niet-Big Six kantoren </w:t>
      </w:r>
      <w:r w:rsidR="00711948">
        <w:rPr>
          <w:sz w:val="24"/>
          <w:szCs w:val="24"/>
        </w:rPr>
        <w:t>vaker toegelaten.</w:t>
      </w:r>
      <w:r w:rsidR="00D73B65">
        <w:rPr>
          <w:sz w:val="24"/>
          <w:szCs w:val="24"/>
        </w:rPr>
        <w:t xml:space="preserve"> Zij hebben slechts gekeken naar inkomst-verhogende</w:t>
      </w:r>
      <w:r w:rsidR="0010422E">
        <w:rPr>
          <w:sz w:val="24"/>
          <w:szCs w:val="24"/>
        </w:rPr>
        <w:t xml:space="preserve"> earnings management, omdat managers meer geneigd zijn om hun winsten te ove</w:t>
      </w:r>
      <w:r w:rsidR="006969F4">
        <w:rPr>
          <w:sz w:val="24"/>
          <w:szCs w:val="24"/>
        </w:rPr>
        <w:t>rschatten dan te onderschatten.</w:t>
      </w:r>
      <w:r w:rsidR="006969F4">
        <w:rPr>
          <w:sz w:val="24"/>
          <w:szCs w:val="24"/>
        </w:rPr>
        <w:br/>
      </w:r>
      <w:r w:rsidR="006969F4">
        <w:rPr>
          <w:sz w:val="24"/>
          <w:szCs w:val="24"/>
        </w:rPr>
        <w:br/>
      </w:r>
      <w:r w:rsidR="00C809CD">
        <w:rPr>
          <w:sz w:val="24"/>
          <w:szCs w:val="24"/>
        </w:rPr>
        <w:t>Daarnaast is gekeken naar de variat</w:t>
      </w:r>
      <w:r w:rsidR="00060510">
        <w:rPr>
          <w:sz w:val="24"/>
          <w:szCs w:val="24"/>
        </w:rPr>
        <w:t>ies van</w:t>
      </w:r>
      <w:r w:rsidR="00C809CD">
        <w:rPr>
          <w:sz w:val="24"/>
          <w:szCs w:val="24"/>
        </w:rPr>
        <w:t xml:space="preserve"> discretionaire accruals. Indien er veel verschillende discretionaire accruals zijn gerapporteerd, dan laat dit zien dat de accountant een hoge accounting flexibiliteit </w:t>
      </w:r>
      <w:r w:rsidR="002F6842">
        <w:rPr>
          <w:sz w:val="24"/>
          <w:szCs w:val="24"/>
        </w:rPr>
        <w:t xml:space="preserve">van zijn cliënt </w:t>
      </w:r>
      <w:r w:rsidR="00C809CD">
        <w:rPr>
          <w:sz w:val="24"/>
          <w:szCs w:val="24"/>
        </w:rPr>
        <w:t xml:space="preserve">heeft toegelaten. </w:t>
      </w:r>
      <w:r w:rsidR="0010422E">
        <w:rPr>
          <w:sz w:val="24"/>
          <w:szCs w:val="24"/>
        </w:rPr>
        <w:t>Aan de hand van multivariate analysemethoden wordt de hypothese getest op meer dan 10.000 observaties</w:t>
      </w:r>
      <w:r w:rsidR="00B16810">
        <w:rPr>
          <w:sz w:val="24"/>
          <w:szCs w:val="24"/>
        </w:rPr>
        <w:t>.</w:t>
      </w:r>
      <w:r w:rsidR="00F860CA">
        <w:rPr>
          <w:sz w:val="24"/>
          <w:szCs w:val="24"/>
        </w:rPr>
        <w:t xml:space="preserve"> De discretionaire accruals worden berekend op basis van het </w:t>
      </w:r>
      <w:r w:rsidR="00EE39AE">
        <w:rPr>
          <w:sz w:val="24"/>
          <w:szCs w:val="24"/>
        </w:rPr>
        <w:t xml:space="preserve">crosssectie </w:t>
      </w:r>
      <w:r w:rsidR="00196170">
        <w:rPr>
          <w:sz w:val="24"/>
          <w:szCs w:val="24"/>
        </w:rPr>
        <w:t>model van Jones</w:t>
      </w:r>
      <w:r w:rsidR="00EB78CE">
        <w:rPr>
          <w:sz w:val="24"/>
          <w:szCs w:val="24"/>
        </w:rPr>
        <w:t>,</w:t>
      </w:r>
      <w:r w:rsidR="00196170">
        <w:rPr>
          <w:sz w:val="24"/>
          <w:szCs w:val="24"/>
        </w:rPr>
        <w:t xml:space="preserve"> </w:t>
      </w:r>
      <w:r w:rsidR="006F12D6">
        <w:rPr>
          <w:sz w:val="24"/>
          <w:szCs w:val="24"/>
        </w:rPr>
        <w:t>ontwikkeld</w:t>
      </w:r>
      <w:r w:rsidR="00196170">
        <w:rPr>
          <w:sz w:val="24"/>
          <w:szCs w:val="24"/>
        </w:rPr>
        <w:t xml:space="preserve"> in 1991.</w:t>
      </w:r>
    </w:p>
    <w:p w:rsidR="00E20D62" w:rsidRPr="0002545D" w:rsidRDefault="00E20D62" w:rsidP="00E20D62">
      <w:pPr>
        <w:spacing w:line="360" w:lineRule="auto"/>
        <w:rPr>
          <w:sz w:val="24"/>
          <w:szCs w:val="24"/>
        </w:rPr>
      </w:pPr>
      <w:r>
        <w:rPr>
          <w:sz w:val="24"/>
          <w:szCs w:val="24"/>
          <w:u w:val="single"/>
        </w:rPr>
        <w:t>Conclusie</w:t>
      </w:r>
      <w:r w:rsidR="0002545D">
        <w:rPr>
          <w:sz w:val="24"/>
          <w:szCs w:val="24"/>
          <w:u w:val="single"/>
        </w:rPr>
        <w:br/>
      </w:r>
      <w:r w:rsidR="00EE39AE">
        <w:rPr>
          <w:sz w:val="24"/>
          <w:szCs w:val="24"/>
        </w:rPr>
        <w:t xml:space="preserve">De resultaten van het onderzoek bevestigt de hypothese. </w:t>
      </w:r>
      <w:r w:rsidR="00D040DA">
        <w:rPr>
          <w:sz w:val="24"/>
          <w:szCs w:val="24"/>
        </w:rPr>
        <w:t>Ondernemingen met rapporten van niet-Big Six kantoren hebben significant grotere discretionaire accruals</w:t>
      </w:r>
      <w:r w:rsidR="00353EAA">
        <w:rPr>
          <w:sz w:val="24"/>
          <w:szCs w:val="24"/>
        </w:rPr>
        <w:t>, vergeleken met die van de Big Six kantoren.</w:t>
      </w:r>
      <w:r w:rsidR="00C809CD">
        <w:rPr>
          <w:sz w:val="24"/>
          <w:szCs w:val="24"/>
        </w:rPr>
        <w:t xml:space="preserve"> </w:t>
      </w:r>
      <w:r w:rsidR="00060510">
        <w:rPr>
          <w:sz w:val="24"/>
          <w:szCs w:val="24"/>
        </w:rPr>
        <w:t>Zij hebben ook significant meer variat</w:t>
      </w:r>
      <w:r w:rsidR="00353EAA">
        <w:rPr>
          <w:sz w:val="24"/>
          <w:szCs w:val="24"/>
        </w:rPr>
        <w:t>ies van discretionaire accruals.</w:t>
      </w:r>
      <w:r w:rsidR="00B87168">
        <w:rPr>
          <w:sz w:val="24"/>
          <w:szCs w:val="24"/>
        </w:rPr>
        <w:t xml:space="preserve"> </w:t>
      </w:r>
      <w:r w:rsidR="006E6D41">
        <w:rPr>
          <w:sz w:val="24"/>
          <w:szCs w:val="24"/>
        </w:rPr>
        <w:br/>
      </w:r>
      <w:r w:rsidR="006E6D41">
        <w:rPr>
          <w:sz w:val="24"/>
          <w:szCs w:val="24"/>
        </w:rPr>
        <w:br/>
      </w:r>
      <w:r w:rsidR="00B87168">
        <w:rPr>
          <w:sz w:val="24"/>
          <w:szCs w:val="24"/>
        </w:rPr>
        <w:t xml:space="preserve">Dit onderzoek is van belang voor mijn scriptie, omdat het aantoont dat de onafhankelijkheid van de accountant, als onderdeel van het audit kwaliteit, </w:t>
      </w:r>
      <w:r w:rsidR="0080799E">
        <w:rPr>
          <w:sz w:val="24"/>
          <w:szCs w:val="24"/>
        </w:rPr>
        <w:t>bepaalt in hoeverre earnings management, via discretionaire accruals, door de vingers wordt gezien.</w:t>
      </w:r>
      <w:r w:rsidR="00750385">
        <w:rPr>
          <w:sz w:val="24"/>
          <w:szCs w:val="24"/>
        </w:rPr>
        <w:t xml:space="preserve"> Het verrichten van niet-auditdi</w:t>
      </w:r>
      <w:r w:rsidR="006A1E7E">
        <w:rPr>
          <w:sz w:val="24"/>
          <w:szCs w:val="24"/>
        </w:rPr>
        <w:t xml:space="preserve">ensten kan ervoor zorgen dat de </w:t>
      </w:r>
      <w:r w:rsidR="00750385">
        <w:rPr>
          <w:sz w:val="24"/>
          <w:szCs w:val="24"/>
        </w:rPr>
        <w:t>audit kwaliteit</w:t>
      </w:r>
      <w:r w:rsidR="006A1E7E">
        <w:rPr>
          <w:sz w:val="24"/>
          <w:szCs w:val="24"/>
        </w:rPr>
        <w:t>, de onafhankelijkheid,</w:t>
      </w:r>
      <w:r w:rsidR="00750385">
        <w:rPr>
          <w:sz w:val="24"/>
          <w:szCs w:val="24"/>
        </w:rPr>
        <w:t xml:space="preserve"> wordt </w:t>
      </w:r>
      <w:r w:rsidR="00750385">
        <w:rPr>
          <w:sz w:val="24"/>
          <w:szCs w:val="24"/>
        </w:rPr>
        <w:lastRenderedPageBreak/>
        <w:t xml:space="preserve">aangetast. </w:t>
      </w:r>
      <w:r w:rsidR="00A87CEB">
        <w:rPr>
          <w:sz w:val="24"/>
          <w:szCs w:val="24"/>
        </w:rPr>
        <w:t xml:space="preserve">Als dit gebeurt dan </w:t>
      </w:r>
      <w:r w:rsidR="00750385">
        <w:rPr>
          <w:sz w:val="24"/>
          <w:szCs w:val="24"/>
        </w:rPr>
        <w:t xml:space="preserve">komt </w:t>
      </w:r>
      <w:r w:rsidR="00A87CEB">
        <w:rPr>
          <w:sz w:val="24"/>
          <w:szCs w:val="24"/>
        </w:rPr>
        <w:t xml:space="preserve">het </w:t>
      </w:r>
      <w:r w:rsidR="00750385">
        <w:rPr>
          <w:sz w:val="24"/>
          <w:szCs w:val="24"/>
        </w:rPr>
        <w:t xml:space="preserve">vervolgens tot uiting in grotere </w:t>
      </w:r>
      <w:r w:rsidR="00E87857">
        <w:rPr>
          <w:sz w:val="24"/>
          <w:szCs w:val="24"/>
        </w:rPr>
        <w:t xml:space="preserve">discretionaire accruals </w:t>
      </w:r>
      <w:r w:rsidR="00750385">
        <w:rPr>
          <w:sz w:val="24"/>
          <w:szCs w:val="24"/>
        </w:rPr>
        <w:t xml:space="preserve">en </w:t>
      </w:r>
      <w:r w:rsidR="00E87857">
        <w:rPr>
          <w:sz w:val="24"/>
          <w:szCs w:val="24"/>
        </w:rPr>
        <w:t>meer variaties ervan.</w:t>
      </w:r>
    </w:p>
    <w:p w:rsidR="00B1647B" w:rsidRPr="00081059" w:rsidRDefault="00081059" w:rsidP="00F828CC">
      <w:pPr>
        <w:pStyle w:val="Kop3"/>
      </w:pPr>
      <w:bookmarkStart w:id="20" w:name="_Toc360661892"/>
      <w:r w:rsidRPr="00081059">
        <w:t>6.</w:t>
      </w:r>
      <w:r w:rsidR="00523BC1">
        <w:t>2</w:t>
      </w:r>
      <w:r w:rsidR="00F828CC">
        <w:t>.2</w:t>
      </w:r>
      <w:r w:rsidR="00FB4956" w:rsidRPr="00081059">
        <w:t xml:space="preserve"> Frankel et al. (2002)</w:t>
      </w:r>
      <w:bookmarkEnd w:id="20"/>
    </w:p>
    <w:p w:rsidR="002B5C8E" w:rsidRPr="00AB58C8" w:rsidRDefault="00B4554A" w:rsidP="00B4554A">
      <w:pPr>
        <w:spacing w:line="360" w:lineRule="auto"/>
        <w:rPr>
          <w:sz w:val="24"/>
          <w:szCs w:val="24"/>
        </w:rPr>
      </w:pPr>
      <w:r w:rsidRPr="00E20D62">
        <w:rPr>
          <w:sz w:val="24"/>
          <w:szCs w:val="24"/>
          <w:u w:val="single"/>
        </w:rPr>
        <w:t>Achtergrond</w:t>
      </w:r>
      <w:r w:rsidR="00AB58C8">
        <w:rPr>
          <w:sz w:val="24"/>
          <w:szCs w:val="24"/>
          <w:u w:val="single"/>
        </w:rPr>
        <w:br/>
      </w:r>
      <w:r w:rsidR="00620A8D">
        <w:rPr>
          <w:sz w:val="24"/>
          <w:szCs w:val="24"/>
        </w:rPr>
        <w:t>Dit artikel toont empirisch bewijs voor de relatie tussen niet-auditdiensten en winst kwaliteit. De onderzoekers constateerden dat accountantskantoren steeds meer winsten halen uit niet-auditdiensten, zoals adviestaken aan het management.</w:t>
      </w:r>
      <w:r w:rsidR="004B414E">
        <w:rPr>
          <w:sz w:val="24"/>
          <w:szCs w:val="24"/>
        </w:rPr>
        <w:t xml:space="preserve"> De Securities and Exchange Commission (SEC) in </w:t>
      </w:r>
      <w:r w:rsidR="00391E35">
        <w:rPr>
          <w:sz w:val="24"/>
          <w:szCs w:val="24"/>
        </w:rPr>
        <w:t>Amerika</w:t>
      </w:r>
      <w:r w:rsidR="004B414E">
        <w:rPr>
          <w:sz w:val="24"/>
          <w:szCs w:val="24"/>
        </w:rPr>
        <w:t xml:space="preserve"> was bezorgd</w:t>
      </w:r>
      <w:r w:rsidR="00391E35">
        <w:rPr>
          <w:sz w:val="24"/>
          <w:szCs w:val="24"/>
        </w:rPr>
        <w:t xml:space="preserve"> over het effect van niet-auditdiensten op </w:t>
      </w:r>
      <w:r w:rsidR="00077782">
        <w:rPr>
          <w:sz w:val="24"/>
          <w:szCs w:val="24"/>
        </w:rPr>
        <w:t>het proces van financiële</w:t>
      </w:r>
      <w:r w:rsidR="004F56AF">
        <w:rPr>
          <w:sz w:val="24"/>
          <w:szCs w:val="24"/>
        </w:rPr>
        <w:t xml:space="preserve"> verslaggeving en heeft als antwoord hierop een aantal regels over de onafhankelijkheid van accountants herzien. Ondernemingen moesten de bedragen die ze hebben betaald aan hun accountants voor zowel auditdiensten als niet-auditdiensten openbaar maken</w:t>
      </w:r>
      <w:r w:rsidR="009B0E86">
        <w:rPr>
          <w:rStyle w:val="Voetnootmarkering"/>
          <w:sz w:val="24"/>
          <w:szCs w:val="24"/>
        </w:rPr>
        <w:footnoteReference w:id="10"/>
      </w:r>
      <w:r w:rsidR="004F56AF">
        <w:rPr>
          <w:sz w:val="24"/>
          <w:szCs w:val="24"/>
        </w:rPr>
        <w:t>.</w:t>
      </w:r>
      <w:r w:rsidR="00A551E2">
        <w:rPr>
          <w:sz w:val="24"/>
          <w:szCs w:val="24"/>
        </w:rPr>
        <w:t xml:space="preserve"> </w:t>
      </w:r>
      <w:r w:rsidR="00A551E2">
        <w:rPr>
          <w:sz w:val="24"/>
          <w:szCs w:val="24"/>
        </w:rPr>
        <w:br/>
      </w:r>
      <w:r w:rsidR="00A551E2">
        <w:rPr>
          <w:sz w:val="24"/>
          <w:szCs w:val="24"/>
        </w:rPr>
        <w:br/>
        <w:t>De onderzoekers willen onderzoeken of provisies voor niet-auditdiensten geassoci</w:t>
      </w:r>
      <w:r w:rsidR="00FD1C18">
        <w:rPr>
          <w:sz w:val="24"/>
          <w:szCs w:val="24"/>
        </w:rPr>
        <w:t>eerd is met earnings management, dit is de eerste hypothese.</w:t>
      </w:r>
      <w:r w:rsidR="002B5C8E">
        <w:rPr>
          <w:sz w:val="24"/>
          <w:szCs w:val="24"/>
        </w:rPr>
        <w:br/>
      </w:r>
      <w:r w:rsidR="002B5C8E">
        <w:rPr>
          <w:sz w:val="24"/>
          <w:szCs w:val="24"/>
        </w:rPr>
        <w:br/>
        <w:t>Dit artikel werd vaak geciteerd door nieuwsbladen, omdat het als eerst het positieve verband tussen provisies voor niet-auditdiensten en earnings management. In de conclusie van dit artikel wordt hier nog aandacht aan besteed.</w:t>
      </w:r>
    </w:p>
    <w:p w:rsidR="00B4554A" w:rsidRPr="00A710F0" w:rsidRDefault="00B4554A" w:rsidP="00B4554A">
      <w:pPr>
        <w:spacing w:line="360" w:lineRule="auto"/>
        <w:rPr>
          <w:sz w:val="24"/>
          <w:szCs w:val="24"/>
        </w:rPr>
      </w:pPr>
      <w:r w:rsidRPr="00E20D62">
        <w:rPr>
          <w:sz w:val="24"/>
          <w:szCs w:val="24"/>
          <w:u w:val="single"/>
        </w:rPr>
        <w:t>Werkwijze</w:t>
      </w:r>
      <w:r w:rsidR="00FC6071">
        <w:rPr>
          <w:sz w:val="24"/>
          <w:szCs w:val="24"/>
          <w:u w:val="single"/>
        </w:rPr>
        <w:br/>
      </w:r>
      <w:r w:rsidR="00FD1C18">
        <w:rPr>
          <w:sz w:val="24"/>
          <w:szCs w:val="24"/>
        </w:rPr>
        <w:t xml:space="preserve">Om de eerste hypothese te beantwoorden </w:t>
      </w:r>
      <w:r w:rsidR="00E05262">
        <w:rPr>
          <w:sz w:val="24"/>
          <w:szCs w:val="24"/>
        </w:rPr>
        <w:t xml:space="preserve">is gekeken naar de </w:t>
      </w:r>
      <w:r w:rsidR="009B0E86">
        <w:rPr>
          <w:sz w:val="24"/>
          <w:szCs w:val="24"/>
        </w:rPr>
        <w:t>neiging</w:t>
      </w:r>
      <w:r w:rsidR="00E05262">
        <w:rPr>
          <w:sz w:val="24"/>
          <w:szCs w:val="24"/>
        </w:rPr>
        <w:t xml:space="preserve"> om een bepaalde winst doelstelling te behalen en de hoogte van de discretionaire accruals. De dataset bestaat uit 3074 formulieren waarin ondernemingen hun kosten voor auditdiensten en niet-auditdiensten hebben genoteerd.</w:t>
      </w:r>
      <w:r w:rsidR="00681EE7">
        <w:rPr>
          <w:sz w:val="24"/>
          <w:szCs w:val="24"/>
        </w:rPr>
        <w:t xml:space="preserve"> Op basis van deze dataset zijn twee maatstaven van niet-auditdiensten gemaakt. </w:t>
      </w:r>
      <w:r w:rsidR="006E6D41">
        <w:rPr>
          <w:sz w:val="24"/>
          <w:szCs w:val="24"/>
        </w:rPr>
        <w:br/>
      </w:r>
      <w:r w:rsidR="006E6D41">
        <w:rPr>
          <w:sz w:val="24"/>
          <w:szCs w:val="24"/>
        </w:rPr>
        <w:br/>
      </w:r>
      <w:r w:rsidR="00681EE7">
        <w:rPr>
          <w:sz w:val="24"/>
          <w:szCs w:val="24"/>
        </w:rPr>
        <w:t>De eerste maatstaf is de ratio van provisies voor niet-auditdiensten op de totale provisies</w:t>
      </w:r>
      <w:r w:rsidR="003E3C8F">
        <w:rPr>
          <w:sz w:val="24"/>
          <w:szCs w:val="24"/>
        </w:rPr>
        <w:t xml:space="preserve"> (variabele: FEERATIO)</w:t>
      </w:r>
      <w:r w:rsidR="00681EE7">
        <w:rPr>
          <w:sz w:val="24"/>
          <w:szCs w:val="24"/>
        </w:rPr>
        <w:t xml:space="preserve">. Voor de tweede maatstaf worden de totale provisies eerst verdeeld </w:t>
      </w:r>
      <w:r w:rsidR="00F45AE4">
        <w:rPr>
          <w:sz w:val="24"/>
          <w:szCs w:val="24"/>
        </w:rPr>
        <w:t>in</w:t>
      </w:r>
      <w:r w:rsidR="00681EE7">
        <w:rPr>
          <w:sz w:val="24"/>
          <w:szCs w:val="24"/>
        </w:rPr>
        <w:t xml:space="preserve"> een niet-audit component </w:t>
      </w:r>
      <w:r w:rsidR="003E3C8F">
        <w:rPr>
          <w:sz w:val="24"/>
          <w:szCs w:val="24"/>
        </w:rPr>
        <w:t>(</w:t>
      </w:r>
      <w:r w:rsidR="002A4C07">
        <w:rPr>
          <w:sz w:val="24"/>
          <w:szCs w:val="24"/>
        </w:rPr>
        <w:t xml:space="preserve">variabele: </w:t>
      </w:r>
      <w:r w:rsidR="003E3C8F">
        <w:rPr>
          <w:sz w:val="24"/>
          <w:szCs w:val="24"/>
        </w:rPr>
        <w:t xml:space="preserve">RANKNON) </w:t>
      </w:r>
      <w:r w:rsidR="00681EE7">
        <w:rPr>
          <w:sz w:val="24"/>
          <w:szCs w:val="24"/>
        </w:rPr>
        <w:t xml:space="preserve">en </w:t>
      </w:r>
      <w:r w:rsidR="00F45AE4">
        <w:rPr>
          <w:sz w:val="24"/>
          <w:szCs w:val="24"/>
        </w:rPr>
        <w:t xml:space="preserve">in </w:t>
      </w:r>
      <w:r w:rsidR="00681EE7">
        <w:rPr>
          <w:sz w:val="24"/>
          <w:szCs w:val="24"/>
        </w:rPr>
        <w:t>een audit component</w:t>
      </w:r>
      <w:r w:rsidR="003E3C8F">
        <w:rPr>
          <w:sz w:val="24"/>
          <w:szCs w:val="24"/>
        </w:rPr>
        <w:t xml:space="preserve"> (</w:t>
      </w:r>
      <w:r w:rsidR="002A4C07">
        <w:rPr>
          <w:sz w:val="24"/>
          <w:szCs w:val="24"/>
        </w:rPr>
        <w:t xml:space="preserve">variabele: </w:t>
      </w:r>
      <w:r w:rsidR="003E3C8F">
        <w:rPr>
          <w:sz w:val="24"/>
          <w:szCs w:val="24"/>
        </w:rPr>
        <w:t>RANKAUD)</w:t>
      </w:r>
      <w:r w:rsidR="00681EE7">
        <w:rPr>
          <w:sz w:val="24"/>
          <w:szCs w:val="24"/>
        </w:rPr>
        <w:t>.</w:t>
      </w:r>
      <w:r w:rsidR="008D0C3F">
        <w:rPr>
          <w:sz w:val="24"/>
          <w:szCs w:val="24"/>
        </w:rPr>
        <w:t xml:space="preserve"> De ondernemingen zijn gecontroleerd door de Big Six kantoren.</w:t>
      </w:r>
      <w:r w:rsidR="00A6558A">
        <w:rPr>
          <w:sz w:val="24"/>
          <w:szCs w:val="24"/>
        </w:rPr>
        <w:br/>
      </w:r>
      <w:r w:rsidR="00A6558A">
        <w:rPr>
          <w:sz w:val="24"/>
          <w:szCs w:val="24"/>
        </w:rPr>
        <w:lastRenderedPageBreak/>
        <w:br/>
      </w:r>
      <w:r>
        <w:rPr>
          <w:sz w:val="24"/>
          <w:szCs w:val="24"/>
          <w:u w:val="single"/>
        </w:rPr>
        <w:t>Conclusie</w:t>
      </w:r>
      <w:r w:rsidR="00C138AE">
        <w:rPr>
          <w:sz w:val="24"/>
          <w:szCs w:val="24"/>
          <w:u w:val="single"/>
        </w:rPr>
        <w:br/>
      </w:r>
      <w:r w:rsidR="00102225">
        <w:rPr>
          <w:sz w:val="24"/>
          <w:szCs w:val="24"/>
        </w:rPr>
        <w:t xml:space="preserve">Het onderzoek laat een significant positieve relatie </w:t>
      </w:r>
      <w:r w:rsidR="002A4C07">
        <w:rPr>
          <w:sz w:val="24"/>
          <w:szCs w:val="24"/>
        </w:rPr>
        <w:t xml:space="preserve">zien </w:t>
      </w:r>
      <w:r w:rsidR="00102225">
        <w:rPr>
          <w:sz w:val="24"/>
          <w:szCs w:val="24"/>
        </w:rPr>
        <w:t xml:space="preserve">tussen het </w:t>
      </w:r>
      <w:r w:rsidR="008C0607">
        <w:rPr>
          <w:sz w:val="24"/>
          <w:szCs w:val="24"/>
        </w:rPr>
        <w:t>aanschaffen</w:t>
      </w:r>
      <w:r w:rsidR="00102225">
        <w:rPr>
          <w:sz w:val="24"/>
          <w:szCs w:val="24"/>
        </w:rPr>
        <w:t xml:space="preserve"> van niet-auditdiensten en earnings management.</w:t>
      </w:r>
      <w:r w:rsidR="008C0607">
        <w:rPr>
          <w:sz w:val="24"/>
          <w:szCs w:val="24"/>
        </w:rPr>
        <w:t xml:space="preserve"> Ondernemingen die hun winst verwachtingen of doelstellingen net hebben gehaald</w:t>
      </w:r>
      <w:r w:rsidR="002A4C07">
        <w:rPr>
          <w:sz w:val="24"/>
          <w:szCs w:val="24"/>
        </w:rPr>
        <w:t>,</w:t>
      </w:r>
      <w:r w:rsidR="008C0607">
        <w:rPr>
          <w:sz w:val="24"/>
          <w:szCs w:val="24"/>
        </w:rPr>
        <w:t xml:space="preserve"> </w:t>
      </w:r>
      <w:r w:rsidR="003E3C8F">
        <w:rPr>
          <w:sz w:val="24"/>
          <w:szCs w:val="24"/>
        </w:rPr>
        <w:t xml:space="preserve">hebben een </w:t>
      </w:r>
      <w:r w:rsidR="00E75CD0">
        <w:rPr>
          <w:sz w:val="24"/>
          <w:szCs w:val="24"/>
        </w:rPr>
        <w:t>significant hogere FEERATIO en RANKNON.</w:t>
      </w:r>
      <w:r w:rsidR="00A776F2">
        <w:rPr>
          <w:sz w:val="24"/>
          <w:szCs w:val="24"/>
        </w:rPr>
        <w:br/>
        <w:t>Ondernemingen die hun winst verwachtingen of doelstelling net niet hebben gehaald, hebben juist een significant lagere FEERATIO en RANKNON.</w:t>
      </w:r>
      <w:r w:rsidR="00C66F2D">
        <w:rPr>
          <w:sz w:val="24"/>
          <w:szCs w:val="24"/>
        </w:rPr>
        <w:t xml:space="preserve"> Daarnaast tonen de resultaten dat ondernemingen met hoge discretionaire accruals een significant hogere FEERATIO en RANKNON hebben.</w:t>
      </w:r>
      <w:r w:rsidR="00C51A7D">
        <w:rPr>
          <w:sz w:val="24"/>
          <w:szCs w:val="24"/>
        </w:rPr>
        <w:t xml:space="preserve"> </w:t>
      </w:r>
      <w:r w:rsidR="00092278">
        <w:rPr>
          <w:sz w:val="24"/>
          <w:szCs w:val="24"/>
        </w:rPr>
        <w:t>De onderzoekers</w:t>
      </w:r>
      <w:r w:rsidR="00C51A7D">
        <w:rPr>
          <w:sz w:val="24"/>
          <w:szCs w:val="24"/>
        </w:rPr>
        <w:t xml:space="preserve"> concluderen dat ondernemingen die meer niet-auditdiensten van hun accountants aanschaffen, vaker </w:t>
      </w:r>
      <w:r w:rsidR="00117D8E">
        <w:rPr>
          <w:sz w:val="24"/>
          <w:szCs w:val="24"/>
        </w:rPr>
        <w:t>schuldig zijn</w:t>
      </w:r>
      <w:r w:rsidR="00C51A7D">
        <w:rPr>
          <w:sz w:val="24"/>
          <w:szCs w:val="24"/>
        </w:rPr>
        <w:t xml:space="preserve"> aan earnings management.</w:t>
      </w:r>
      <w:r w:rsidR="00857B27">
        <w:rPr>
          <w:sz w:val="24"/>
          <w:szCs w:val="24"/>
        </w:rPr>
        <w:t xml:space="preserve"> Hierbij sluiten ze zich aan</w:t>
      </w:r>
      <w:r w:rsidR="00117D8E">
        <w:rPr>
          <w:sz w:val="24"/>
          <w:szCs w:val="24"/>
        </w:rPr>
        <w:t xml:space="preserve"> bij</w:t>
      </w:r>
      <w:r w:rsidR="00857B27">
        <w:rPr>
          <w:sz w:val="24"/>
          <w:szCs w:val="24"/>
        </w:rPr>
        <w:t xml:space="preserve"> het argument dat provisies voor niet-auditdiensten de economische bond tussen de accountant en de onderneming versterkt.</w:t>
      </w:r>
      <w:r w:rsidR="001E6B62">
        <w:rPr>
          <w:sz w:val="24"/>
          <w:szCs w:val="24"/>
        </w:rPr>
        <w:br/>
      </w:r>
      <w:r w:rsidR="003770C6">
        <w:rPr>
          <w:sz w:val="24"/>
          <w:szCs w:val="24"/>
        </w:rPr>
        <w:br/>
      </w:r>
      <w:r w:rsidR="00523BC1" w:rsidRPr="001E6B62">
        <w:rPr>
          <w:rStyle w:val="Kop3Char"/>
        </w:rPr>
        <w:t>6.2</w:t>
      </w:r>
      <w:r w:rsidR="000C1E9C" w:rsidRPr="001E6B62">
        <w:rPr>
          <w:rStyle w:val="Kop3Char"/>
        </w:rPr>
        <w:t>.3</w:t>
      </w:r>
      <w:r w:rsidR="002C2748" w:rsidRPr="001E6B62">
        <w:rPr>
          <w:rStyle w:val="Kop3Char"/>
        </w:rPr>
        <w:t xml:space="preserve"> Dee et al. (2002)</w:t>
      </w:r>
      <w:r w:rsidR="001E6B62">
        <w:rPr>
          <w:rStyle w:val="Kop3Char"/>
        </w:rPr>
        <w:br/>
      </w:r>
      <w:r w:rsidRPr="00E20D62">
        <w:rPr>
          <w:sz w:val="24"/>
          <w:szCs w:val="24"/>
          <w:u w:val="single"/>
        </w:rPr>
        <w:t>Achtergrond</w:t>
      </w:r>
      <w:r w:rsidR="00A710F0">
        <w:rPr>
          <w:sz w:val="24"/>
          <w:szCs w:val="24"/>
          <w:u w:val="single"/>
        </w:rPr>
        <w:br/>
      </w:r>
      <w:r w:rsidR="00D373A6">
        <w:rPr>
          <w:sz w:val="24"/>
          <w:szCs w:val="24"/>
        </w:rPr>
        <w:t>De SEC en overige participanten in de kapitaalmarkt, zoals investeerders en de overheid, waren bezorgd dat de onafhankelijkheid van accountants aangetast kan worden, omdat ze een economisch motief daarvoor hebben. Accountants krijgen namelijk steeds meer provisies voor het verrichten van n</w:t>
      </w:r>
      <w:r w:rsidR="00766E2C">
        <w:rPr>
          <w:sz w:val="24"/>
          <w:szCs w:val="24"/>
        </w:rPr>
        <w:t xml:space="preserve">iet-auditdiensten, soms </w:t>
      </w:r>
      <w:r w:rsidR="00B822DD">
        <w:rPr>
          <w:sz w:val="24"/>
          <w:szCs w:val="24"/>
        </w:rPr>
        <w:t>stijgen de provisies voor niet-auditdiensten boven de provisies van de gewone auditdiensten.</w:t>
      </w:r>
      <w:r w:rsidR="00087D30">
        <w:rPr>
          <w:sz w:val="24"/>
          <w:szCs w:val="24"/>
        </w:rPr>
        <w:t xml:space="preserve"> Sommige panel leden van de ‘Panel on Audit Effectiveness’ in 2000 menen dat accountants die niet-auditdiensten verrichten te vergelijken zijn met accountants die aandelen in een onderneming zouden hebben</w:t>
      </w:r>
      <w:r w:rsidR="00087D30">
        <w:rPr>
          <w:rStyle w:val="Voetnootmarkering"/>
          <w:sz w:val="24"/>
          <w:szCs w:val="24"/>
        </w:rPr>
        <w:footnoteReference w:id="11"/>
      </w:r>
      <w:r w:rsidR="00087D30">
        <w:rPr>
          <w:sz w:val="24"/>
          <w:szCs w:val="24"/>
        </w:rPr>
        <w:t>. In beide situaties is er namelijk een economisch belang</w:t>
      </w:r>
      <w:r w:rsidR="00F7225F">
        <w:rPr>
          <w:sz w:val="24"/>
          <w:szCs w:val="24"/>
        </w:rPr>
        <w:t>, omdat ze toekomstige winsten zouden genereren</w:t>
      </w:r>
      <w:r w:rsidR="00087D30">
        <w:rPr>
          <w:sz w:val="24"/>
          <w:szCs w:val="24"/>
        </w:rPr>
        <w:t>.</w:t>
      </w:r>
      <w:r w:rsidR="00B637CB">
        <w:rPr>
          <w:sz w:val="24"/>
          <w:szCs w:val="24"/>
        </w:rPr>
        <w:t xml:space="preserve"> Dit kan de onafhankelijkheid van de accountant beïnvloeden, waardoor </w:t>
      </w:r>
      <w:r w:rsidR="005A79A6">
        <w:rPr>
          <w:sz w:val="24"/>
          <w:szCs w:val="24"/>
        </w:rPr>
        <w:t>hi</w:t>
      </w:r>
      <w:r w:rsidR="00894C58">
        <w:rPr>
          <w:sz w:val="24"/>
          <w:szCs w:val="24"/>
        </w:rPr>
        <w:t xml:space="preserve">j bepaalde keuzes van de cliënt toestaat. Deze heeft dan een mogelijkheid </w:t>
      </w:r>
      <w:r w:rsidR="00B637CB">
        <w:rPr>
          <w:sz w:val="24"/>
          <w:szCs w:val="24"/>
        </w:rPr>
        <w:t>tot agressieve earnings management.</w:t>
      </w:r>
      <w:r w:rsidR="006E6D41">
        <w:rPr>
          <w:sz w:val="24"/>
          <w:szCs w:val="24"/>
        </w:rPr>
        <w:br/>
      </w:r>
      <w:r w:rsidR="006E6D41">
        <w:rPr>
          <w:sz w:val="24"/>
          <w:szCs w:val="24"/>
        </w:rPr>
        <w:br/>
      </w:r>
      <w:r w:rsidR="00C723F2">
        <w:rPr>
          <w:sz w:val="24"/>
          <w:szCs w:val="24"/>
        </w:rPr>
        <w:t xml:space="preserve">Vroeger </w:t>
      </w:r>
      <w:r w:rsidR="006D4172">
        <w:rPr>
          <w:sz w:val="24"/>
          <w:szCs w:val="24"/>
        </w:rPr>
        <w:t xml:space="preserve">waren </w:t>
      </w:r>
      <w:r w:rsidR="00C723F2">
        <w:rPr>
          <w:sz w:val="24"/>
          <w:szCs w:val="24"/>
        </w:rPr>
        <w:t xml:space="preserve">ondernemingen niet verplicht om de provisies die ze hebben betaald aan de accountant te openbaren. Dit is echter veranderd door de SEC in 2001, nadat de regels over onafhankelijkheid van de accountant zijn herzien. Net als het artikel van Frankel et al. levert dit artikel empirisch bewijs voor de relatie tussen provisies van niet-auditdiensten en de </w:t>
      </w:r>
      <w:r w:rsidR="00C723F2">
        <w:rPr>
          <w:sz w:val="24"/>
          <w:szCs w:val="24"/>
        </w:rPr>
        <w:lastRenderedPageBreak/>
        <w:t>winst kwaliteit. De onderzoekers verwachten dat accountants strenger gaan letten op hun onafhankelijkheid, aangezien nu iedereen</w:t>
      </w:r>
      <w:r w:rsidR="00E11397">
        <w:rPr>
          <w:sz w:val="24"/>
          <w:szCs w:val="24"/>
        </w:rPr>
        <w:t xml:space="preserve"> met eigen ogen</w:t>
      </w:r>
      <w:r w:rsidR="00C723F2">
        <w:rPr>
          <w:sz w:val="24"/>
          <w:szCs w:val="24"/>
        </w:rPr>
        <w:t xml:space="preserve"> kan zien dat ze veel provisies krijgen voor hun niet-auditdiensten en ook hoeveel.</w:t>
      </w:r>
    </w:p>
    <w:p w:rsidR="00502C74" w:rsidRDefault="00B4554A" w:rsidP="00B4554A">
      <w:pPr>
        <w:spacing w:line="360" w:lineRule="auto"/>
        <w:rPr>
          <w:sz w:val="24"/>
          <w:szCs w:val="24"/>
        </w:rPr>
      </w:pPr>
      <w:r w:rsidRPr="00E20D62">
        <w:rPr>
          <w:sz w:val="24"/>
          <w:szCs w:val="24"/>
          <w:u w:val="single"/>
        </w:rPr>
        <w:t>Werkwijze</w:t>
      </w:r>
      <w:r w:rsidR="00E11397">
        <w:rPr>
          <w:sz w:val="24"/>
          <w:szCs w:val="24"/>
          <w:u w:val="single"/>
        </w:rPr>
        <w:br/>
      </w:r>
      <w:r w:rsidR="00E11397">
        <w:rPr>
          <w:sz w:val="24"/>
          <w:szCs w:val="24"/>
        </w:rPr>
        <w:t>Onafhankelijkheid van de accountant als zodanig is niet te observeren. Een empirisch onderzoek tussen ‘onafhankelijkheid’ enerzijds en ‘provisies voor niet-auditdiensten’ anderzijds is dus niet mogelijk. In plaats van ‘onafhankelijkheid’ gaan de onderzoekers de relatie tussen ‘provisies voor niet-auditdiensten’ en ‘winst kwaliteit’. Winst kwaliteit wordt vervolgens gesubstitueerd met discretionaire accruals en totale accruals</w:t>
      </w:r>
      <w:r w:rsidR="00502C74">
        <w:rPr>
          <w:sz w:val="24"/>
          <w:szCs w:val="24"/>
        </w:rPr>
        <w:t>.</w:t>
      </w:r>
      <w:r w:rsidR="006E6D41">
        <w:rPr>
          <w:sz w:val="24"/>
          <w:szCs w:val="24"/>
        </w:rPr>
        <w:br/>
      </w:r>
      <w:r w:rsidR="006E6D41">
        <w:rPr>
          <w:sz w:val="24"/>
          <w:szCs w:val="24"/>
        </w:rPr>
        <w:br/>
      </w:r>
      <w:r w:rsidR="00502C74">
        <w:rPr>
          <w:sz w:val="24"/>
          <w:szCs w:val="24"/>
        </w:rPr>
        <w:t xml:space="preserve">Ondernemingen uit de </w:t>
      </w:r>
      <w:r w:rsidR="00E11397">
        <w:rPr>
          <w:sz w:val="24"/>
          <w:szCs w:val="24"/>
        </w:rPr>
        <w:t>S</w:t>
      </w:r>
      <w:r w:rsidR="00666448">
        <w:rPr>
          <w:sz w:val="24"/>
          <w:szCs w:val="24"/>
        </w:rPr>
        <w:t xml:space="preserve">tandard </w:t>
      </w:r>
      <w:r w:rsidR="00E11397">
        <w:rPr>
          <w:sz w:val="24"/>
          <w:szCs w:val="24"/>
        </w:rPr>
        <w:t>&amp;</w:t>
      </w:r>
      <w:r w:rsidR="00666448">
        <w:rPr>
          <w:sz w:val="24"/>
          <w:szCs w:val="24"/>
        </w:rPr>
        <w:t xml:space="preserve"> </w:t>
      </w:r>
      <w:r w:rsidR="00E11397">
        <w:rPr>
          <w:sz w:val="24"/>
          <w:szCs w:val="24"/>
        </w:rPr>
        <w:t>P</w:t>
      </w:r>
      <w:r w:rsidR="00666448">
        <w:rPr>
          <w:sz w:val="24"/>
          <w:szCs w:val="24"/>
        </w:rPr>
        <w:t>oor’s</w:t>
      </w:r>
      <w:r w:rsidR="00502C74">
        <w:rPr>
          <w:sz w:val="24"/>
          <w:szCs w:val="24"/>
        </w:rPr>
        <w:t xml:space="preserve"> 500</w:t>
      </w:r>
      <w:r w:rsidR="00502C74">
        <w:rPr>
          <w:rStyle w:val="Voetnootmarkering"/>
          <w:sz w:val="24"/>
          <w:szCs w:val="24"/>
        </w:rPr>
        <w:footnoteReference w:id="12"/>
      </w:r>
      <w:r w:rsidR="00E11397">
        <w:rPr>
          <w:sz w:val="24"/>
          <w:szCs w:val="24"/>
        </w:rPr>
        <w:t xml:space="preserve"> zijn gekozen als doelgroep van het onderzoek.</w:t>
      </w:r>
      <w:r w:rsidR="00CC76D0">
        <w:rPr>
          <w:sz w:val="24"/>
          <w:szCs w:val="24"/>
        </w:rPr>
        <w:t xml:space="preserve"> Ze hebben deze ondernemingen gekozen</w:t>
      </w:r>
      <w:r w:rsidR="007B6FE1">
        <w:rPr>
          <w:sz w:val="24"/>
          <w:szCs w:val="24"/>
        </w:rPr>
        <w:t>,</w:t>
      </w:r>
      <w:r w:rsidR="00CC76D0">
        <w:rPr>
          <w:sz w:val="24"/>
          <w:szCs w:val="24"/>
        </w:rPr>
        <w:t xml:space="preserve"> omdat ze groot en veel provisies betalen voor niet-auditdiensten vergeleken met kleine ondernemingen. Daarnaast zorgt dit ervoor dat alle ondernemingen in hun doelgroep min of meer hetzelfde achtergrond hebben, ze zijn immers allemaal S&amp;P </w:t>
      </w:r>
      <w:r w:rsidR="003E66D9">
        <w:rPr>
          <w:sz w:val="24"/>
          <w:szCs w:val="24"/>
        </w:rPr>
        <w:t xml:space="preserve">500 </w:t>
      </w:r>
      <w:r w:rsidR="00CC76D0">
        <w:rPr>
          <w:sz w:val="24"/>
          <w:szCs w:val="24"/>
        </w:rPr>
        <w:t>ondernemingen.</w:t>
      </w:r>
      <w:r w:rsidR="00450456">
        <w:rPr>
          <w:sz w:val="24"/>
          <w:szCs w:val="24"/>
        </w:rPr>
        <w:t xml:space="preserve"> Verschillen in de ratio van provisies voor niet-auditdiensten op provisies voor totale diensten zal</w:t>
      </w:r>
      <w:r w:rsidR="009227A8">
        <w:rPr>
          <w:sz w:val="24"/>
          <w:szCs w:val="24"/>
        </w:rPr>
        <w:t xml:space="preserve"> in dit geval</w:t>
      </w:r>
      <w:r w:rsidR="00450456">
        <w:rPr>
          <w:sz w:val="24"/>
          <w:szCs w:val="24"/>
        </w:rPr>
        <w:t xml:space="preserve"> slechts ontstaan door verschillen in de provisies voor niet-auditdiensten.</w:t>
      </w:r>
      <w:r w:rsidR="009227A8">
        <w:rPr>
          <w:sz w:val="24"/>
          <w:szCs w:val="24"/>
        </w:rPr>
        <w:t xml:space="preserve"> </w:t>
      </w:r>
      <w:r w:rsidR="006D4172">
        <w:rPr>
          <w:sz w:val="24"/>
          <w:szCs w:val="24"/>
        </w:rPr>
        <w:t>Alle ondernemingen die betrokken zijn in dit onderzoek waren cliënten van de Big Five kantoren. De Big Six werd Big Five na samenvoeging van Price Waterhouse en Coopers &amp; Lybrand tot PricewaterhouseCoopers (PwC).</w:t>
      </w:r>
      <w:r w:rsidR="003E66D9">
        <w:rPr>
          <w:sz w:val="24"/>
          <w:szCs w:val="24"/>
        </w:rPr>
        <w:br/>
      </w:r>
      <w:r w:rsidR="003E66D9">
        <w:rPr>
          <w:sz w:val="24"/>
          <w:szCs w:val="24"/>
        </w:rPr>
        <w:br/>
      </w:r>
      <w:r w:rsidR="00502C74">
        <w:rPr>
          <w:sz w:val="24"/>
          <w:szCs w:val="24"/>
        </w:rPr>
        <w:t xml:space="preserve">De hypothese is: </w:t>
      </w:r>
      <w:r w:rsidR="00502C74" w:rsidRPr="00502C74">
        <w:rPr>
          <w:sz w:val="24"/>
          <w:szCs w:val="24"/>
        </w:rPr>
        <w:t xml:space="preserve">Ceteris paribus, </w:t>
      </w:r>
      <w:r w:rsidR="00502C74">
        <w:rPr>
          <w:sz w:val="24"/>
          <w:szCs w:val="24"/>
        </w:rPr>
        <w:t>ondernemingen die een hogere proportie van niet-auditdiensten provisies betalen aan hun externe accountant, hogere inkomen verhogende accruals rapporteren</w:t>
      </w:r>
      <w:r w:rsidR="00502C74">
        <w:rPr>
          <w:rStyle w:val="Voetnootmarkering"/>
          <w:sz w:val="24"/>
          <w:szCs w:val="24"/>
        </w:rPr>
        <w:footnoteReference w:id="13"/>
      </w:r>
      <w:r w:rsidR="00502C74">
        <w:rPr>
          <w:sz w:val="24"/>
          <w:szCs w:val="24"/>
        </w:rPr>
        <w:t>.</w:t>
      </w:r>
    </w:p>
    <w:p w:rsidR="00CD02AA" w:rsidRPr="00E11397" w:rsidRDefault="00CD02AA" w:rsidP="00B4554A">
      <w:pPr>
        <w:spacing w:line="360" w:lineRule="auto"/>
        <w:rPr>
          <w:sz w:val="24"/>
          <w:szCs w:val="24"/>
        </w:rPr>
      </w:pPr>
      <w:r>
        <w:rPr>
          <w:sz w:val="24"/>
          <w:szCs w:val="24"/>
        </w:rPr>
        <w:t>Ook in dit onderzoek is de Jones model van cross sectie analyse gebruikt (Jones, 2001). Via de balans worden de totale discretionaire accruals berekend.</w:t>
      </w:r>
      <w:r w:rsidR="006D4172">
        <w:rPr>
          <w:sz w:val="24"/>
          <w:szCs w:val="24"/>
        </w:rPr>
        <w:t xml:space="preserve"> </w:t>
      </w:r>
      <w:r w:rsidR="009227A8">
        <w:rPr>
          <w:sz w:val="24"/>
          <w:szCs w:val="24"/>
        </w:rPr>
        <w:t xml:space="preserve">Het verschil </w:t>
      </w:r>
      <w:r w:rsidR="003E66D9">
        <w:rPr>
          <w:sz w:val="24"/>
          <w:szCs w:val="24"/>
        </w:rPr>
        <w:t>met Frankel et al. is dat in het</w:t>
      </w:r>
      <w:r w:rsidR="009227A8">
        <w:rPr>
          <w:sz w:val="24"/>
          <w:szCs w:val="24"/>
        </w:rPr>
        <w:t xml:space="preserve"> onderzoek</w:t>
      </w:r>
      <w:r w:rsidR="003E66D9">
        <w:rPr>
          <w:sz w:val="24"/>
          <w:szCs w:val="24"/>
        </w:rPr>
        <w:t xml:space="preserve"> van Dee et al.</w:t>
      </w:r>
      <w:r w:rsidR="009227A8">
        <w:rPr>
          <w:sz w:val="24"/>
          <w:szCs w:val="24"/>
        </w:rPr>
        <w:t xml:space="preserve"> </w:t>
      </w:r>
      <w:r w:rsidR="005029FC">
        <w:rPr>
          <w:sz w:val="24"/>
          <w:szCs w:val="24"/>
        </w:rPr>
        <w:t xml:space="preserve">na enige aftrekkingen </w:t>
      </w:r>
      <w:r w:rsidR="009227A8">
        <w:rPr>
          <w:sz w:val="24"/>
          <w:szCs w:val="24"/>
        </w:rPr>
        <w:t xml:space="preserve">slechts </w:t>
      </w:r>
      <w:r w:rsidR="003E66D9">
        <w:rPr>
          <w:sz w:val="24"/>
          <w:szCs w:val="24"/>
        </w:rPr>
        <w:t>203</w:t>
      </w:r>
      <w:r w:rsidR="006969D8">
        <w:rPr>
          <w:sz w:val="24"/>
          <w:szCs w:val="24"/>
        </w:rPr>
        <w:t xml:space="preserve"> van de 500</w:t>
      </w:r>
      <w:r w:rsidR="009227A8">
        <w:rPr>
          <w:sz w:val="24"/>
          <w:szCs w:val="24"/>
        </w:rPr>
        <w:t xml:space="preserve"> ondernemingen zijn </w:t>
      </w:r>
      <w:r w:rsidR="006969D8">
        <w:rPr>
          <w:sz w:val="24"/>
          <w:szCs w:val="24"/>
        </w:rPr>
        <w:t>overgebleven</w:t>
      </w:r>
      <w:r w:rsidR="009227A8">
        <w:rPr>
          <w:sz w:val="24"/>
          <w:szCs w:val="24"/>
        </w:rPr>
        <w:t>, terwijl Frankel et al</w:t>
      </w:r>
      <w:r w:rsidR="006D4172">
        <w:rPr>
          <w:sz w:val="24"/>
          <w:szCs w:val="24"/>
        </w:rPr>
        <w:t>.</w:t>
      </w:r>
      <w:r w:rsidR="009227A8">
        <w:rPr>
          <w:sz w:val="24"/>
          <w:szCs w:val="24"/>
        </w:rPr>
        <w:t xml:space="preserve"> 3074 ondernemingen hebben </w:t>
      </w:r>
      <w:r w:rsidR="009227A8">
        <w:rPr>
          <w:sz w:val="24"/>
          <w:szCs w:val="24"/>
        </w:rPr>
        <w:lastRenderedPageBreak/>
        <w:t xml:space="preserve">genomen. De reden hiervoor is dat in het laatst genoemde onderzoek ook kleinere ondernemingen zijn </w:t>
      </w:r>
      <w:r w:rsidR="00502C74">
        <w:rPr>
          <w:sz w:val="24"/>
          <w:szCs w:val="24"/>
        </w:rPr>
        <w:t>betrokken</w:t>
      </w:r>
      <w:r w:rsidR="009227A8">
        <w:rPr>
          <w:sz w:val="24"/>
          <w:szCs w:val="24"/>
        </w:rPr>
        <w:t>.</w:t>
      </w:r>
    </w:p>
    <w:p w:rsidR="00CE0691" w:rsidRPr="00AF7CC2" w:rsidRDefault="00B4554A" w:rsidP="00B4554A">
      <w:pPr>
        <w:spacing w:line="360" w:lineRule="auto"/>
        <w:rPr>
          <w:sz w:val="24"/>
          <w:szCs w:val="24"/>
        </w:rPr>
      </w:pPr>
      <w:r>
        <w:rPr>
          <w:sz w:val="24"/>
          <w:szCs w:val="24"/>
          <w:u w:val="single"/>
        </w:rPr>
        <w:t>Conclusie</w:t>
      </w:r>
      <w:r w:rsidR="00B42397">
        <w:rPr>
          <w:sz w:val="24"/>
          <w:szCs w:val="24"/>
          <w:u w:val="single"/>
        </w:rPr>
        <w:br/>
      </w:r>
      <w:r w:rsidR="00B42397">
        <w:rPr>
          <w:sz w:val="24"/>
          <w:szCs w:val="24"/>
        </w:rPr>
        <w:t xml:space="preserve">Dee et al. hebben empirisch bewijs geleverd dat ondernemingen die een hoog bedrag betalen aan provisies voor niet-auditdiensten ook significant hogere (inkomen verhogende) discretionaire accruals hebben. Dit </w:t>
      </w:r>
      <w:r w:rsidR="00502C74">
        <w:rPr>
          <w:sz w:val="24"/>
          <w:szCs w:val="24"/>
        </w:rPr>
        <w:t xml:space="preserve">is in lijn met </w:t>
      </w:r>
      <w:r w:rsidR="00B42397">
        <w:rPr>
          <w:sz w:val="24"/>
          <w:szCs w:val="24"/>
        </w:rPr>
        <w:t>opvattingen van sommige critici dat accountants die veel provisies krijgen voor niet-auditdiensten minder geneigd zijn om earnings management van hun cliënt in toom te houden.</w:t>
      </w:r>
      <w:r w:rsidR="00EA453E">
        <w:rPr>
          <w:sz w:val="24"/>
          <w:szCs w:val="24"/>
        </w:rPr>
        <w:br/>
      </w:r>
      <w:r w:rsidR="00EA453E">
        <w:rPr>
          <w:sz w:val="24"/>
          <w:szCs w:val="24"/>
        </w:rPr>
        <w:br/>
        <w:t>De resultaten zijn robuust wanneer aan de hand van sensitivity analyses gecontroleerd wordt voor andere specificaties van accruals modellen en andere controlerende variabelen.</w:t>
      </w:r>
      <w:r w:rsidR="006969F4">
        <w:rPr>
          <w:sz w:val="24"/>
          <w:szCs w:val="24"/>
        </w:rPr>
        <w:br/>
      </w:r>
      <w:r w:rsidR="006969F4">
        <w:rPr>
          <w:sz w:val="24"/>
          <w:szCs w:val="24"/>
        </w:rPr>
        <w:br/>
      </w:r>
      <w:r w:rsidR="009D09CB" w:rsidRPr="006969F4">
        <w:rPr>
          <w:rStyle w:val="Kop3Char"/>
        </w:rPr>
        <w:t>6.</w:t>
      </w:r>
      <w:r w:rsidR="00523BC1" w:rsidRPr="006969F4">
        <w:rPr>
          <w:rStyle w:val="Kop3Char"/>
        </w:rPr>
        <w:t>2</w:t>
      </w:r>
      <w:r w:rsidR="00F828CC" w:rsidRPr="006969F4">
        <w:rPr>
          <w:rStyle w:val="Kop3Char"/>
        </w:rPr>
        <w:t>.</w:t>
      </w:r>
      <w:r w:rsidR="00FA7D1D" w:rsidRPr="006969F4">
        <w:rPr>
          <w:rStyle w:val="Kop3Char"/>
        </w:rPr>
        <w:t>4</w:t>
      </w:r>
      <w:r w:rsidR="009D09CB" w:rsidRPr="006969F4">
        <w:rPr>
          <w:rStyle w:val="Kop3Char"/>
        </w:rPr>
        <w:t xml:space="preserve"> </w:t>
      </w:r>
      <w:r w:rsidR="00081059" w:rsidRPr="006969F4">
        <w:rPr>
          <w:rStyle w:val="Kop3Char"/>
        </w:rPr>
        <w:t>Reynolds et al. (2004)</w:t>
      </w:r>
      <w:r w:rsidR="006969F4">
        <w:rPr>
          <w:rStyle w:val="Kop3Char"/>
        </w:rPr>
        <w:br/>
      </w:r>
      <w:r w:rsidR="00CE0691">
        <w:rPr>
          <w:sz w:val="24"/>
          <w:szCs w:val="24"/>
          <w:u w:val="single"/>
        </w:rPr>
        <w:t>Achtergrond</w:t>
      </w:r>
      <w:r w:rsidR="00AF7CC2">
        <w:rPr>
          <w:sz w:val="24"/>
          <w:szCs w:val="24"/>
          <w:u w:val="single"/>
        </w:rPr>
        <w:br/>
      </w:r>
      <w:r w:rsidR="00CE0691">
        <w:rPr>
          <w:sz w:val="24"/>
          <w:szCs w:val="24"/>
        </w:rPr>
        <w:t xml:space="preserve">Dit artikel bouwt voort op het artikel van Frankel et al. in paragraaf 6.2.2 hierboven. </w:t>
      </w:r>
      <w:r w:rsidR="008F596D">
        <w:rPr>
          <w:sz w:val="24"/>
          <w:szCs w:val="24"/>
        </w:rPr>
        <w:t>Het onderzoekt of de onafhankelijkheid van de accountant wordt aangetast door</w:t>
      </w:r>
      <w:r w:rsidR="00BD2B18">
        <w:rPr>
          <w:sz w:val="24"/>
          <w:szCs w:val="24"/>
        </w:rPr>
        <w:t xml:space="preserve"> het niveau van economisc</w:t>
      </w:r>
      <w:r w:rsidR="007B6FE1">
        <w:rPr>
          <w:sz w:val="24"/>
          <w:szCs w:val="24"/>
        </w:rPr>
        <w:t>h afhankelijkheid met de cliënt.</w:t>
      </w:r>
      <w:r w:rsidR="00BD2B18">
        <w:rPr>
          <w:sz w:val="24"/>
          <w:szCs w:val="24"/>
        </w:rPr>
        <w:t xml:space="preserve"> </w:t>
      </w:r>
      <w:r w:rsidR="007B6FE1">
        <w:rPr>
          <w:sz w:val="24"/>
          <w:szCs w:val="24"/>
        </w:rPr>
        <w:t>D</w:t>
      </w:r>
      <w:r w:rsidR="00304EFA">
        <w:rPr>
          <w:sz w:val="24"/>
          <w:szCs w:val="24"/>
        </w:rPr>
        <w:t xml:space="preserve">it laatste wordt </w:t>
      </w:r>
      <w:r w:rsidR="00BD2B18">
        <w:rPr>
          <w:sz w:val="24"/>
          <w:szCs w:val="24"/>
        </w:rPr>
        <w:t xml:space="preserve">gemeten </w:t>
      </w:r>
      <w:r w:rsidR="00133B0C">
        <w:rPr>
          <w:sz w:val="24"/>
          <w:szCs w:val="24"/>
        </w:rPr>
        <w:t>aan de hand van</w:t>
      </w:r>
      <w:r w:rsidR="008F596D">
        <w:rPr>
          <w:sz w:val="24"/>
          <w:szCs w:val="24"/>
        </w:rPr>
        <w:t xml:space="preserve"> provisies voor auditdiensten</w:t>
      </w:r>
      <w:r w:rsidR="008F6B3C">
        <w:rPr>
          <w:sz w:val="24"/>
          <w:szCs w:val="24"/>
        </w:rPr>
        <w:t xml:space="preserve"> en niet-auditdiensten. Ze constateren dat er verschillende resultaten in de literatuur voorkomen. Naast het onderzoeken geven ze </w:t>
      </w:r>
      <w:r w:rsidR="00104075">
        <w:rPr>
          <w:sz w:val="24"/>
          <w:szCs w:val="24"/>
        </w:rPr>
        <w:t xml:space="preserve">ook </w:t>
      </w:r>
      <w:r w:rsidR="008F6B3C">
        <w:rPr>
          <w:sz w:val="24"/>
          <w:szCs w:val="24"/>
        </w:rPr>
        <w:t xml:space="preserve">een verklaring waarom </w:t>
      </w:r>
      <w:r w:rsidR="00133B0C">
        <w:rPr>
          <w:sz w:val="24"/>
          <w:szCs w:val="24"/>
        </w:rPr>
        <w:t xml:space="preserve">er </w:t>
      </w:r>
      <w:r w:rsidR="008F6B3C">
        <w:rPr>
          <w:sz w:val="24"/>
          <w:szCs w:val="24"/>
        </w:rPr>
        <w:t xml:space="preserve">diverse </w:t>
      </w:r>
      <w:r w:rsidR="004D0AA3">
        <w:rPr>
          <w:sz w:val="24"/>
          <w:szCs w:val="24"/>
        </w:rPr>
        <w:t xml:space="preserve">resultaten </w:t>
      </w:r>
      <w:r w:rsidR="00BD2B18">
        <w:rPr>
          <w:sz w:val="24"/>
          <w:szCs w:val="24"/>
        </w:rPr>
        <w:t>aanwezig zijn</w:t>
      </w:r>
      <w:r w:rsidR="00681D93">
        <w:rPr>
          <w:sz w:val="24"/>
          <w:szCs w:val="24"/>
        </w:rPr>
        <w:t xml:space="preserve"> in d</w:t>
      </w:r>
      <w:r w:rsidR="00104075">
        <w:rPr>
          <w:sz w:val="24"/>
          <w:szCs w:val="24"/>
        </w:rPr>
        <w:t xml:space="preserve">e literatuur, </w:t>
      </w:r>
      <w:r w:rsidR="0032312A">
        <w:rPr>
          <w:sz w:val="24"/>
          <w:szCs w:val="24"/>
        </w:rPr>
        <w:t>vooral</w:t>
      </w:r>
      <w:r w:rsidR="00104075">
        <w:rPr>
          <w:sz w:val="24"/>
          <w:szCs w:val="24"/>
        </w:rPr>
        <w:t xml:space="preserve"> het artikel van Frankel et al.</w:t>
      </w:r>
      <w:r w:rsidR="007E6B22">
        <w:rPr>
          <w:sz w:val="24"/>
          <w:szCs w:val="24"/>
        </w:rPr>
        <w:t xml:space="preserve"> is vaak geciteerd door andere mensen. </w:t>
      </w:r>
    </w:p>
    <w:p w:rsidR="00916AC0" w:rsidRDefault="00B4554A" w:rsidP="00315605">
      <w:pPr>
        <w:spacing w:line="360" w:lineRule="auto"/>
        <w:rPr>
          <w:sz w:val="24"/>
          <w:szCs w:val="24"/>
        </w:rPr>
      </w:pPr>
      <w:r w:rsidRPr="00E20D62">
        <w:rPr>
          <w:sz w:val="24"/>
          <w:szCs w:val="24"/>
          <w:u w:val="single"/>
        </w:rPr>
        <w:t>Werkwijze</w:t>
      </w:r>
      <w:r w:rsidR="00AB6196">
        <w:rPr>
          <w:sz w:val="24"/>
          <w:szCs w:val="24"/>
          <w:u w:val="single"/>
        </w:rPr>
        <w:br/>
      </w:r>
      <w:r w:rsidR="00681D93">
        <w:rPr>
          <w:sz w:val="24"/>
          <w:szCs w:val="24"/>
        </w:rPr>
        <w:t>De werkwijze in dit artikel is vrijwel hetzelfde als die van Frankel et al. Ze nemen gegevens van provisies voor auditdiensten en niet-auditdiensten uit zogenaamde proxy statements. Dit zijn formulieren die Amerikaanse beursgenoteerde ondernemingen moeten invullen vóór de jaarlijkse aandeelhoudersvergadering.</w:t>
      </w:r>
      <w:r w:rsidR="009156A2">
        <w:rPr>
          <w:sz w:val="24"/>
          <w:szCs w:val="24"/>
        </w:rPr>
        <w:t xml:space="preserve"> In het formulier moet onder meer worden aangegeven hoeveel er is betaald aan de accountant voor zowel auditdiensten als niet-auditdiensten.</w:t>
      </w:r>
      <w:r w:rsidR="009156A2">
        <w:rPr>
          <w:sz w:val="24"/>
          <w:szCs w:val="24"/>
        </w:rPr>
        <w:br/>
      </w:r>
      <w:r w:rsidR="009156A2">
        <w:rPr>
          <w:sz w:val="24"/>
          <w:szCs w:val="24"/>
        </w:rPr>
        <w:br/>
      </w:r>
      <w:r w:rsidR="00CD7633">
        <w:rPr>
          <w:sz w:val="24"/>
          <w:szCs w:val="24"/>
        </w:rPr>
        <w:t xml:space="preserve">Vervolgens wordt gekeken naar het niveau van discretionaire accruals in de jaarrekeningen van de ondernemingen. De onderzoekers stellen dit niveau als een substituut voor de </w:t>
      </w:r>
      <w:r w:rsidR="00CD7633">
        <w:rPr>
          <w:sz w:val="24"/>
          <w:szCs w:val="24"/>
        </w:rPr>
        <w:lastRenderedPageBreak/>
        <w:t>vrijheid die ondernemingen in hun jaarrekeningen hebben.</w:t>
      </w:r>
      <w:r w:rsidR="00315605">
        <w:rPr>
          <w:sz w:val="24"/>
          <w:szCs w:val="24"/>
        </w:rPr>
        <w:t xml:space="preserve"> Als ze veel vrijheid hebben, dan kunnen ze meer discretionaire accruals in de jaarrekening zetten.</w:t>
      </w:r>
      <w:r w:rsidR="00CD7633">
        <w:rPr>
          <w:sz w:val="24"/>
          <w:szCs w:val="24"/>
        </w:rPr>
        <w:t xml:space="preserve"> Aan de hand van deze gegevens wordt het onafhankelijkheidsniveau van de accountant gemeten. </w:t>
      </w:r>
      <w:r w:rsidR="00893982">
        <w:rPr>
          <w:sz w:val="24"/>
          <w:szCs w:val="24"/>
        </w:rPr>
        <w:br/>
      </w:r>
      <w:r w:rsidR="00893982">
        <w:rPr>
          <w:sz w:val="24"/>
          <w:szCs w:val="24"/>
        </w:rPr>
        <w:br/>
        <w:t xml:space="preserve">Ze gebruiken in dit artikel ook het cross sectie model van Jones. </w:t>
      </w:r>
      <w:r w:rsidR="00A4667B">
        <w:rPr>
          <w:sz w:val="24"/>
          <w:szCs w:val="24"/>
        </w:rPr>
        <w:t>Twee modellen zijn gebruikt in het onderzoek, een ‘replication model’ en een ‘expanded model’. Met het ‘replication model’ is geprobeerd om dezelfde resultaten als Frankel et al. te bereiken. Met het ‘expanded model’ proberen ze een stap verder te gaan. Het verschil met Frankel et al. is dat er nu ook gecontroleerd is voor de groei in activa (variabele: ASSETGROW) en de aanwezigheid van een beursintroductie (variabele: IPO) in het fiscaal jaar van 2000.</w:t>
      </w:r>
      <w:r w:rsidR="00315605">
        <w:rPr>
          <w:sz w:val="24"/>
          <w:szCs w:val="24"/>
        </w:rPr>
        <w:br/>
      </w:r>
      <w:r w:rsidR="00315605">
        <w:rPr>
          <w:sz w:val="24"/>
          <w:szCs w:val="24"/>
        </w:rPr>
        <w:br/>
      </w:r>
      <w:r>
        <w:rPr>
          <w:sz w:val="24"/>
          <w:szCs w:val="24"/>
          <w:u w:val="single"/>
        </w:rPr>
        <w:t>Conclusie</w:t>
      </w:r>
      <w:r w:rsidR="00315605">
        <w:rPr>
          <w:sz w:val="24"/>
          <w:szCs w:val="24"/>
          <w:u w:val="single"/>
        </w:rPr>
        <w:br/>
      </w:r>
      <w:r w:rsidR="008469CD">
        <w:rPr>
          <w:sz w:val="24"/>
          <w:szCs w:val="24"/>
        </w:rPr>
        <w:t xml:space="preserve">De onderzoekers hebben een significant positieve relatie gevonden tussen ondernemingen die veel discretionaire accruals in hun jaarrekening hebben en </w:t>
      </w:r>
      <w:r w:rsidR="00AF51DC">
        <w:rPr>
          <w:sz w:val="24"/>
          <w:szCs w:val="24"/>
        </w:rPr>
        <w:t>de FEERATIO (</w:t>
      </w:r>
      <w:r w:rsidR="0032312A">
        <w:rPr>
          <w:sz w:val="24"/>
          <w:szCs w:val="24"/>
        </w:rPr>
        <w:t>de</w:t>
      </w:r>
      <w:r w:rsidR="00AF51DC">
        <w:rPr>
          <w:sz w:val="24"/>
          <w:szCs w:val="24"/>
        </w:rPr>
        <w:t xml:space="preserve"> ratio van provisies voor niet-auditdiensten op de totale provisies, zie hierboven van Frankel et al.). Accountants die een hogere FEERATIO hebben, dus veel meer provisies voor hun niet-auditdiensten krijgen ten opzichte van het totaal, geven hun cliënten meer ruimte bij het opstellen van hun jaarrekening. Cliënten kunnen zich dan meer discretionaire accruals veroorloven. </w:t>
      </w:r>
      <w:r w:rsidR="00655881">
        <w:rPr>
          <w:sz w:val="24"/>
          <w:szCs w:val="24"/>
        </w:rPr>
        <w:t>Dit resultaat komt uit het eerste ‘replication model’ en het loopt min of meer in dezelfde lijn als het onderzoek van Frankel et al.</w:t>
      </w:r>
      <w:r w:rsidR="00655881">
        <w:rPr>
          <w:sz w:val="24"/>
          <w:szCs w:val="24"/>
        </w:rPr>
        <w:br/>
      </w:r>
      <w:r w:rsidR="00655881">
        <w:rPr>
          <w:sz w:val="24"/>
          <w:szCs w:val="24"/>
        </w:rPr>
        <w:br/>
      </w:r>
      <w:r w:rsidR="00B13742">
        <w:rPr>
          <w:sz w:val="24"/>
          <w:szCs w:val="24"/>
        </w:rPr>
        <w:t xml:space="preserve">Het ‘expanded model’ </w:t>
      </w:r>
      <w:r w:rsidR="000D5712">
        <w:rPr>
          <w:sz w:val="24"/>
          <w:szCs w:val="24"/>
        </w:rPr>
        <w:t xml:space="preserve">geeft </w:t>
      </w:r>
      <w:r w:rsidR="00F676E2">
        <w:rPr>
          <w:sz w:val="24"/>
          <w:szCs w:val="24"/>
        </w:rPr>
        <w:t>een ander bee</w:t>
      </w:r>
      <w:r w:rsidR="000D5712">
        <w:rPr>
          <w:sz w:val="24"/>
          <w:szCs w:val="24"/>
        </w:rPr>
        <w:t>ld over deze situatie.</w:t>
      </w:r>
      <w:r w:rsidR="00AC56B5">
        <w:rPr>
          <w:sz w:val="24"/>
          <w:szCs w:val="24"/>
        </w:rPr>
        <w:t xml:space="preserve"> </w:t>
      </w:r>
      <w:r w:rsidR="00F31410">
        <w:rPr>
          <w:sz w:val="24"/>
          <w:szCs w:val="24"/>
        </w:rPr>
        <w:t xml:space="preserve">De onderzoekers constateren </w:t>
      </w:r>
      <w:r w:rsidR="0032312A">
        <w:rPr>
          <w:sz w:val="24"/>
          <w:szCs w:val="24"/>
        </w:rPr>
        <w:t xml:space="preserve">dat er </w:t>
      </w:r>
      <w:r w:rsidR="00AC56B5">
        <w:rPr>
          <w:sz w:val="24"/>
          <w:szCs w:val="24"/>
        </w:rPr>
        <w:t>veel ondernemingen</w:t>
      </w:r>
      <w:r w:rsidR="00F31410">
        <w:rPr>
          <w:sz w:val="24"/>
          <w:szCs w:val="24"/>
        </w:rPr>
        <w:t xml:space="preserve"> </w:t>
      </w:r>
      <w:r w:rsidR="0032312A">
        <w:rPr>
          <w:sz w:val="24"/>
          <w:szCs w:val="24"/>
        </w:rPr>
        <w:t xml:space="preserve">zijn </w:t>
      </w:r>
      <w:r w:rsidR="00F31410">
        <w:rPr>
          <w:sz w:val="24"/>
          <w:szCs w:val="24"/>
        </w:rPr>
        <w:t xml:space="preserve">die voor het </w:t>
      </w:r>
      <w:r w:rsidR="00AC56B5">
        <w:rPr>
          <w:sz w:val="24"/>
          <w:szCs w:val="24"/>
        </w:rPr>
        <w:t xml:space="preserve">eerst op de beurs zijn geïntroduceerd in </w:t>
      </w:r>
      <w:r w:rsidR="0032312A">
        <w:rPr>
          <w:sz w:val="24"/>
          <w:szCs w:val="24"/>
        </w:rPr>
        <w:t>het fiscaal jaar 2000</w:t>
      </w:r>
      <w:r w:rsidR="00AC56B5">
        <w:rPr>
          <w:sz w:val="24"/>
          <w:szCs w:val="24"/>
        </w:rPr>
        <w:t>. Dezelfde ondernemingen hebben ook relatief weinig activa</w:t>
      </w:r>
      <w:r w:rsidR="00F31410">
        <w:rPr>
          <w:sz w:val="24"/>
          <w:szCs w:val="24"/>
        </w:rPr>
        <w:t xml:space="preserve">. Er zijn vier kwartielen gemaakt op basis van de totale activa van elke onderneming. </w:t>
      </w:r>
      <w:r w:rsidR="00F94F16">
        <w:rPr>
          <w:sz w:val="24"/>
          <w:szCs w:val="24"/>
        </w:rPr>
        <w:t>Uit hun analyse volgt dat</w:t>
      </w:r>
      <w:r w:rsidR="00F31410">
        <w:rPr>
          <w:sz w:val="24"/>
          <w:szCs w:val="24"/>
        </w:rPr>
        <w:t xml:space="preserve"> ondernemingen die een beursintroductie hebben gemaakt in het fiscaal jaar 2000 voornamelijk in </w:t>
      </w:r>
      <w:r w:rsidR="0032312A">
        <w:rPr>
          <w:sz w:val="24"/>
          <w:szCs w:val="24"/>
        </w:rPr>
        <w:t>het</w:t>
      </w:r>
      <w:r w:rsidR="00F94F16">
        <w:rPr>
          <w:sz w:val="24"/>
          <w:szCs w:val="24"/>
        </w:rPr>
        <w:t xml:space="preserve"> een-na-laagste kwartiel zitten.</w:t>
      </w:r>
      <w:r w:rsidR="00F31410">
        <w:rPr>
          <w:sz w:val="24"/>
          <w:szCs w:val="24"/>
        </w:rPr>
        <w:br/>
      </w:r>
      <w:r w:rsidR="00F31410">
        <w:rPr>
          <w:sz w:val="24"/>
          <w:szCs w:val="24"/>
        </w:rPr>
        <w:br/>
        <w:t xml:space="preserve">Na </w:t>
      </w:r>
      <w:r w:rsidR="0032312A">
        <w:rPr>
          <w:sz w:val="24"/>
          <w:szCs w:val="24"/>
        </w:rPr>
        <w:t>verder</w:t>
      </w:r>
      <w:r w:rsidR="00F31410">
        <w:rPr>
          <w:sz w:val="24"/>
          <w:szCs w:val="24"/>
        </w:rPr>
        <w:t xml:space="preserve"> onderzoek is gebleken dat </w:t>
      </w:r>
      <w:r w:rsidR="00582AD1">
        <w:rPr>
          <w:sz w:val="24"/>
          <w:szCs w:val="24"/>
        </w:rPr>
        <w:t xml:space="preserve">deze ondernemingen voornamelijk tot de bedrijfstakken e-commerce, biomedische onderzoeken, farmaceutische onderzoeken en telecommunicatie behoren. </w:t>
      </w:r>
      <w:r w:rsidR="00467026">
        <w:rPr>
          <w:sz w:val="24"/>
          <w:szCs w:val="24"/>
        </w:rPr>
        <w:t>Deze ondernemingen hebben een enorme (activa) groei ondergaan</w:t>
      </w:r>
      <w:r w:rsidR="00B90F47">
        <w:rPr>
          <w:sz w:val="24"/>
          <w:szCs w:val="24"/>
        </w:rPr>
        <w:t xml:space="preserve">, variërend van iets meer dan 100% groei tot een groei van 3515%. Reynolds et al. </w:t>
      </w:r>
      <w:r w:rsidR="00B90F47">
        <w:rPr>
          <w:sz w:val="24"/>
          <w:szCs w:val="24"/>
        </w:rPr>
        <w:lastRenderedPageBreak/>
        <w:t>hebben in hun tweede analyse gecontroleerd voor deze ondernemingen, waardoor uiteindelijk de eerder geconstateerde positieve relatie tussen FEERATIO en ondernemingen met veel discretionaire accruals is verdwenen.</w:t>
      </w:r>
      <w:r w:rsidR="00023270">
        <w:rPr>
          <w:sz w:val="24"/>
          <w:szCs w:val="24"/>
        </w:rPr>
        <w:t xml:space="preserve"> </w:t>
      </w:r>
      <w:r w:rsidR="00F94F16">
        <w:rPr>
          <w:sz w:val="24"/>
          <w:szCs w:val="24"/>
        </w:rPr>
        <w:br/>
      </w:r>
      <w:r w:rsidR="00F94F16">
        <w:rPr>
          <w:sz w:val="24"/>
          <w:szCs w:val="24"/>
        </w:rPr>
        <w:br/>
      </w:r>
      <w:r w:rsidR="000C3DA3">
        <w:rPr>
          <w:sz w:val="24"/>
          <w:szCs w:val="24"/>
        </w:rPr>
        <w:t>Dit is te verklaren aan de hand van de bloeiende periode van deze be</w:t>
      </w:r>
      <w:r w:rsidR="00B26006">
        <w:rPr>
          <w:sz w:val="24"/>
          <w:szCs w:val="24"/>
        </w:rPr>
        <w:t xml:space="preserve">drijfstakken rond het jaar 2000. In dergelijke periode is het niet vreemd dat er veel discretionaire accruals zijn opgenomen in de jaarrekening. </w:t>
      </w:r>
      <w:r w:rsidR="00023270">
        <w:rPr>
          <w:sz w:val="24"/>
          <w:szCs w:val="24"/>
        </w:rPr>
        <w:t>Hun conclusie is dat accountants die naast auditdiensten ook niet-auditdiensten verlenen niet systematisch een lagere onafhankelijkheid hebben.</w:t>
      </w:r>
    </w:p>
    <w:p w:rsidR="00522A26" w:rsidRDefault="00081059" w:rsidP="00B4554A">
      <w:pPr>
        <w:pStyle w:val="Kop3"/>
        <w:rPr>
          <w:rStyle w:val="Kop2Char"/>
          <w:b/>
          <w:bCs/>
          <w:sz w:val="24"/>
          <w:szCs w:val="22"/>
        </w:rPr>
      </w:pPr>
      <w:bookmarkStart w:id="21" w:name="_Toc360661893"/>
      <w:r w:rsidRPr="00B4554A">
        <w:rPr>
          <w:rStyle w:val="Kop2Char"/>
          <w:b/>
          <w:bCs/>
          <w:sz w:val="24"/>
          <w:szCs w:val="22"/>
        </w:rPr>
        <w:t>6.</w:t>
      </w:r>
      <w:r w:rsidR="00523BC1" w:rsidRPr="00B4554A">
        <w:rPr>
          <w:rStyle w:val="Kop2Char"/>
          <w:b/>
          <w:bCs/>
          <w:sz w:val="24"/>
          <w:szCs w:val="22"/>
        </w:rPr>
        <w:t>2</w:t>
      </w:r>
      <w:r w:rsidR="00F828CC" w:rsidRPr="00B4554A">
        <w:rPr>
          <w:rStyle w:val="Kop2Char"/>
          <w:b/>
          <w:bCs/>
          <w:sz w:val="24"/>
          <w:szCs w:val="22"/>
        </w:rPr>
        <w:t>.</w:t>
      </w:r>
      <w:r w:rsidR="00FA7D1D" w:rsidRPr="00B4554A">
        <w:rPr>
          <w:rStyle w:val="Kop2Char"/>
          <w:b/>
          <w:bCs/>
          <w:sz w:val="24"/>
          <w:szCs w:val="22"/>
        </w:rPr>
        <w:t>5</w:t>
      </w:r>
      <w:r w:rsidR="009C3958" w:rsidRPr="00B4554A">
        <w:rPr>
          <w:rStyle w:val="Kop2Char"/>
          <w:b/>
          <w:bCs/>
          <w:sz w:val="24"/>
          <w:szCs w:val="22"/>
        </w:rPr>
        <w:t xml:space="preserve"> </w:t>
      </w:r>
      <w:r w:rsidRPr="00B4554A">
        <w:rPr>
          <w:rStyle w:val="Kop2Char"/>
          <w:b/>
          <w:bCs/>
          <w:sz w:val="24"/>
          <w:szCs w:val="22"/>
        </w:rPr>
        <w:t>Krishnan et al. (2011)</w:t>
      </w:r>
      <w:bookmarkEnd w:id="21"/>
    </w:p>
    <w:p w:rsidR="00B4554A" w:rsidRPr="00B1738E" w:rsidRDefault="00B4554A" w:rsidP="00B4554A">
      <w:pPr>
        <w:spacing w:line="360" w:lineRule="auto"/>
        <w:rPr>
          <w:sz w:val="24"/>
          <w:szCs w:val="24"/>
        </w:rPr>
      </w:pPr>
      <w:r w:rsidRPr="00E20D62">
        <w:rPr>
          <w:sz w:val="24"/>
          <w:szCs w:val="24"/>
          <w:u w:val="single"/>
        </w:rPr>
        <w:t>Achtergrond</w:t>
      </w:r>
      <w:r w:rsidR="00B1738E">
        <w:rPr>
          <w:sz w:val="24"/>
          <w:szCs w:val="24"/>
          <w:u w:val="single"/>
        </w:rPr>
        <w:br/>
      </w:r>
      <w:r w:rsidR="009F1FBD">
        <w:rPr>
          <w:sz w:val="24"/>
          <w:szCs w:val="24"/>
        </w:rPr>
        <w:t>De SEC heeft in 2003 verklaard dat een aantal specifieke niet-auditdiensten voortaan niet meer mogen wor</w:t>
      </w:r>
      <w:r w:rsidR="00AD7478">
        <w:rPr>
          <w:sz w:val="24"/>
          <w:szCs w:val="24"/>
        </w:rPr>
        <w:t>den uitgevoerd door accountants die al reguliere auditdiensten verrichten voor hun cliënt.</w:t>
      </w:r>
      <w:r w:rsidR="00561DA0">
        <w:rPr>
          <w:sz w:val="24"/>
          <w:szCs w:val="24"/>
        </w:rPr>
        <w:t xml:space="preserve"> Dit zijn onder andere de volgende diensten: </w:t>
      </w:r>
      <w:r w:rsidR="005E5A73">
        <w:rPr>
          <w:sz w:val="24"/>
          <w:szCs w:val="24"/>
        </w:rPr>
        <w:t>design en implementatie van financiële informatie systemen, actuariële services, adviezen geven omtrent investeringen en juridisch advies geven dat niet gerelateerd is aan de audit</w:t>
      </w:r>
      <w:r w:rsidR="003B746C">
        <w:rPr>
          <w:sz w:val="24"/>
          <w:szCs w:val="24"/>
        </w:rPr>
        <w:t xml:space="preserve"> (SEC, 2003). Zie bijlage 1 voor de volledige lijst.</w:t>
      </w:r>
      <w:r w:rsidR="00CB699F">
        <w:rPr>
          <w:sz w:val="24"/>
          <w:szCs w:val="24"/>
        </w:rPr>
        <w:t xml:space="preserve"> </w:t>
      </w:r>
      <w:r w:rsidR="00DE0A84">
        <w:rPr>
          <w:sz w:val="24"/>
          <w:szCs w:val="24"/>
        </w:rPr>
        <w:br/>
      </w:r>
      <w:r w:rsidR="00DE0A84">
        <w:rPr>
          <w:sz w:val="24"/>
          <w:szCs w:val="24"/>
        </w:rPr>
        <w:br/>
      </w:r>
      <w:r w:rsidR="00CB699F">
        <w:rPr>
          <w:sz w:val="24"/>
          <w:szCs w:val="24"/>
        </w:rPr>
        <w:t>Door deze wijziging is er een significante daling van het aantal verrichte NAS</w:t>
      </w:r>
      <w:r w:rsidR="006C33B8">
        <w:rPr>
          <w:sz w:val="24"/>
          <w:szCs w:val="24"/>
        </w:rPr>
        <w:t>, gemeten in provisies voor niet-auditdiensten,</w:t>
      </w:r>
      <w:r w:rsidR="00CB699F">
        <w:rPr>
          <w:sz w:val="24"/>
          <w:szCs w:val="24"/>
        </w:rPr>
        <w:t xml:space="preserve"> in de periode van 2000-2001 tot 2004-2005.</w:t>
      </w:r>
      <w:r w:rsidR="00DE0A84">
        <w:rPr>
          <w:sz w:val="24"/>
          <w:szCs w:val="24"/>
        </w:rPr>
        <w:t xml:space="preserve"> De onderzoekers verwachten dat de introd</w:t>
      </w:r>
      <w:r w:rsidR="00900881">
        <w:rPr>
          <w:sz w:val="24"/>
          <w:szCs w:val="24"/>
        </w:rPr>
        <w:t>uctie van de Sarbanes-Oxley</w:t>
      </w:r>
      <w:r w:rsidR="007175A0">
        <w:rPr>
          <w:sz w:val="24"/>
          <w:szCs w:val="24"/>
        </w:rPr>
        <w:t xml:space="preserve"> (hierna: SOX)</w:t>
      </w:r>
      <w:r w:rsidR="00900881">
        <w:rPr>
          <w:sz w:val="24"/>
          <w:szCs w:val="24"/>
        </w:rPr>
        <w:t xml:space="preserve"> Act van 2002 ervoor heeft gezorgd dat accountantskantoren terughoudend zijn geweest met het verrichten van niet-auditdiensten.</w:t>
      </w:r>
    </w:p>
    <w:p w:rsidR="00124694" w:rsidRDefault="00B4554A" w:rsidP="00B4554A">
      <w:pPr>
        <w:spacing w:line="360" w:lineRule="auto"/>
        <w:rPr>
          <w:sz w:val="24"/>
          <w:szCs w:val="24"/>
        </w:rPr>
      </w:pPr>
      <w:r w:rsidRPr="00E20D62">
        <w:rPr>
          <w:sz w:val="24"/>
          <w:szCs w:val="24"/>
          <w:u w:val="single"/>
        </w:rPr>
        <w:t>Werkwijze</w:t>
      </w:r>
      <w:r w:rsidR="007175A0">
        <w:rPr>
          <w:sz w:val="24"/>
          <w:szCs w:val="24"/>
          <w:u w:val="single"/>
        </w:rPr>
        <w:br/>
      </w:r>
      <w:r w:rsidR="00D12563">
        <w:rPr>
          <w:sz w:val="24"/>
          <w:szCs w:val="24"/>
        </w:rPr>
        <w:t xml:space="preserve">De onderzoekers onderscheiden </w:t>
      </w:r>
      <w:r w:rsidR="00C27D3C">
        <w:rPr>
          <w:sz w:val="24"/>
          <w:szCs w:val="24"/>
        </w:rPr>
        <w:t>twee periodes: pre-SOX (2000-2001) en post-SOX (2004-2005). De periode hiertussen is bewust weggelaten</w:t>
      </w:r>
      <w:r w:rsidR="007B6FE1">
        <w:rPr>
          <w:sz w:val="24"/>
          <w:szCs w:val="24"/>
        </w:rPr>
        <w:t>,</w:t>
      </w:r>
      <w:r w:rsidR="00C27D3C">
        <w:rPr>
          <w:sz w:val="24"/>
          <w:szCs w:val="24"/>
        </w:rPr>
        <w:t xml:space="preserve"> omdat het een </w:t>
      </w:r>
      <w:r w:rsidR="00A4661B">
        <w:rPr>
          <w:sz w:val="24"/>
          <w:szCs w:val="24"/>
        </w:rPr>
        <w:t>transitie</w:t>
      </w:r>
      <w:r w:rsidR="00C27D3C">
        <w:rPr>
          <w:sz w:val="24"/>
          <w:szCs w:val="24"/>
        </w:rPr>
        <w:t xml:space="preserve">periode is waar </w:t>
      </w:r>
      <w:r w:rsidR="006F34E1">
        <w:rPr>
          <w:sz w:val="24"/>
          <w:szCs w:val="24"/>
        </w:rPr>
        <w:t xml:space="preserve">bepaalde </w:t>
      </w:r>
      <w:r w:rsidR="00C27D3C">
        <w:rPr>
          <w:sz w:val="24"/>
          <w:szCs w:val="24"/>
        </w:rPr>
        <w:t>regels langzaam aan</w:t>
      </w:r>
      <w:r w:rsidR="00075ECD">
        <w:rPr>
          <w:sz w:val="24"/>
          <w:szCs w:val="24"/>
        </w:rPr>
        <w:t xml:space="preserve"> pas</w:t>
      </w:r>
      <w:r w:rsidR="00C27D3C">
        <w:rPr>
          <w:sz w:val="24"/>
          <w:szCs w:val="24"/>
        </w:rPr>
        <w:t xml:space="preserve"> </w:t>
      </w:r>
      <w:r w:rsidR="00223D0E">
        <w:rPr>
          <w:sz w:val="24"/>
          <w:szCs w:val="24"/>
        </w:rPr>
        <w:t>h</w:t>
      </w:r>
      <w:r w:rsidR="00075ECD">
        <w:rPr>
          <w:sz w:val="24"/>
          <w:szCs w:val="24"/>
        </w:rPr>
        <w:t>aar werking krijgen.</w:t>
      </w:r>
      <w:r w:rsidR="00CB17EF">
        <w:rPr>
          <w:sz w:val="24"/>
          <w:szCs w:val="24"/>
        </w:rPr>
        <w:t xml:space="preserve"> Ze verwachten dat ondernemingen die minder provisies voor niet-auditdiensten </w:t>
      </w:r>
      <w:r w:rsidR="00155C55">
        <w:rPr>
          <w:sz w:val="24"/>
          <w:szCs w:val="24"/>
        </w:rPr>
        <w:t xml:space="preserve">zijn gaan </w:t>
      </w:r>
      <w:r w:rsidR="00CB17EF">
        <w:rPr>
          <w:sz w:val="24"/>
          <w:szCs w:val="24"/>
        </w:rPr>
        <w:t>betalen</w:t>
      </w:r>
      <w:r w:rsidR="00155C55">
        <w:rPr>
          <w:sz w:val="24"/>
          <w:szCs w:val="24"/>
        </w:rPr>
        <w:t xml:space="preserve"> in de post-SOX periode</w:t>
      </w:r>
      <w:r w:rsidR="00CB17EF">
        <w:rPr>
          <w:sz w:val="24"/>
          <w:szCs w:val="24"/>
        </w:rPr>
        <w:t xml:space="preserve">, </w:t>
      </w:r>
      <w:r w:rsidR="008B5E6B">
        <w:rPr>
          <w:sz w:val="24"/>
          <w:szCs w:val="24"/>
        </w:rPr>
        <w:t>meer</w:t>
      </w:r>
      <w:r w:rsidR="00CB17EF">
        <w:rPr>
          <w:sz w:val="24"/>
          <w:szCs w:val="24"/>
        </w:rPr>
        <w:t xml:space="preserve"> earnings management tonen in de pre-SOX perio</w:t>
      </w:r>
      <w:r w:rsidR="00155C55">
        <w:rPr>
          <w:sz w:val="24"/>
          <w:szCs w:val="24"/>
        </w:rPr>
        <w:t xml:space="preserve">de. </w:t>
      </w:r>
      <w:r w:rsidR="000024A1">
        <w:rPr>
          <w:sz w:val="24"/>
          <w:szCs w:val="24"/>
        </w:rPr>
        <w:t>Daarnaast verwachten ze dat dit effect zal verdwijnen in de post-SOX periode.</w:t>
      </w:r>
      <w:r w:rsidR="00155C55">
        <w:rPr>
          <w:sz w:val="24"/>
          <w:szCs w:val="24"/>
        </w:rPr>
        <w:br/>
      </w:r>
      <w:r w:rsidR="00155C55">
        <w:rPr>
          <w:sz w:val="24"/>
          <w:szCs w:val="24"/>
        </w:rPr>
        <w:br/>
        <w:t xml:space="preserve">De redenering hierachter is als volgt: in 2002-2003 zijn bepaalde niet-auditdiensten </w:t>
      </w:r>
      <w:r w:rsidR="00155C55">
        <w:rPr>
          <w:sz w:val="24"/>
          <w:szCs w:val="24"/>
        </w:rPr>
        <w:lastRenderedPageBreak/>
        <w:t xml:space="preserve">bestempeld als </w:t>
      </w:r>
      <w:r w:rsidR="0018129A">
        <w:rPr>
          <w:sz w:val="24"/>
          <w:szCs w:val="24"/>
        </w:rPr>
        <w:t>‘</w:t>
      </w:r>
      <w:r w:rsidR="00155C55">
        <w:rPr>
          <w:sz w:val="24"/>
          <w:szCs w:val="24"/>
        </w:rPr>
        <w:t>schadelijke</w:t>
      </w:r>
      <w:r w:rsidR="0018129A">
        <w:rPr>
          <w:sz w:val="24"/>
          <w:szCs w:val="24"/>
        </w:rPr>
        <w:t>’</w:t>
      </w:r>
      <w:r w:rsidR="00155C55">
        <w:rPr>
          <w:sz w:val="24"/>
          <w:szCs w:val="24"/>
        </w:rPr>
        <w:t xml:space="preserve"> </w:t>
      </w:r>
      <w:r w:rsidR="0018129A">
        <w:rPr>
          <w:sz w:val="24"/>
          <w:szCs w:val="24"/>
        </w:rPr>
        <w:t>niet-audit</w:t>
      </w:r>
      <w:r w:rsidR="00155C55">
        <w:rPr>
          <w:sz w:val="24"/>
          <w:szCs w:val="24"/>
        </w:rPr>
        <w:t xml:space="preserve">diensten (zie hierboven). Ondernemingen die veel van deze </w:t>
      </w:r>
      <w:r w:rsidR="00124694">
        <w:rPr>
          <w:sz w:val="24"/>
          <w:szCs w:val="24"/>
        </w:rPr>
        <w:t>‘</w:t>
      </w:r>
      <w:r w:rsidR="00155C55">
        <w:rPr>
          <w:sz w:val="24"/>
          <w:szCs w:val="24"/>
        </w:rPr>
        <w:t>schadelijke</w:t>
      </w:r>
      <w:r w:rsidR="00124694">
        <w:rPr>
          <w:sz w:val="24"/>
          <w:szCs w:val="24"/>
        </w:rPr>
        <w:t>’</w:t>
      </w:r>
      <w:r w:rsidR="00155C55">
        <w:rPr>
          <w:sz w:val="24"/>
          <w:szCs w:val="24"/>
        </w:rPr>
        <w:t xml:space="preserve"> diensten gebruik hadden gemaakt in de pre-SOX periode zullen daarna veel minder kosten kwijt zijn aan totale niet-auditdiensten, omdat </w:t>
      </w:r>
      <w:r w:rsidR="009B5A7A">
        <w:rPr>
          <w:sz w:val="24"/>
          <w:szCs w:val="24"/>
        </w:rPr>
        <w:t xml:space="preserve">een groot gedeelte van hun oude niet-auditdiensten </w:t>
      </w:r>
      <w:r w:rsidR="00155C55">
        <w:rPr>
          <w:sz w:val="24"/>
          <w:szCs w:val="24"/>
        </w:rPr>
        <w:t xml:space="preserve">nu eenmaal verboden is. </w:t>
      </w:r>
      <w:r w:rsidR="00F65612">
        <w:rPr>
          <w:sz w:val="24"/>
          <w:szCs w:val="24"/>
        </w:rPr>
        <w:br/>
      </w:r>
      <w:r w:rsidR="00F65612">
        <w:rPr>
          <w:sz w:val="24"/>
          <w:szCs w:val="24"/>
        </w:rPr>
        <w:br/>
      </w:r>
      <w:r w:rsidR="00155C55">
        <w:rPr>
          <w:sz w:val="24"/>
          <w:szCs w:val="24"/>
        </w:rPr>
        <w:t xml:space="preserve">Daarentegen zullen ondernemingen </w:t>
      </w:r>
      <w:r w:rsidR="00124694">
        <w:rPr>
          <w:sz w:val="24"/>
          <w:szCs w:val="24"/>
        </w:rPr>
        <w:t>die ‘</w:t>
      </w:r>
      <w:r w:rsidR="0018129A">
        <w:rPr>
          <w:sz w:val="24"/>
          <w:szCs w:val="24"/>
        </w:rPr>
        <w:t>onschuldige</w:t>
      </w:r>
      <w:r w:rsidR="00124694">
        <w:rPr>
          <w:sz w:val="24"/>
          <w:szCs w:val="24"/>
        </w:rPr>
        <w:t>’</w:t>
      </w:r>
      <w:r w:rsidR="0018129A">
        <w:rPr>
          <w:sz w:val="24"/>
          <w:szCs w:val="24"/>
        </w:rPr>
        <w:t xml:space="preserve"> </w:t>
      </w:r>
      <w:r w:rsidR="00155C55">
        <w:rPr>
          <w:sz w:val="24"/>
          <w:szCs w:val="24"/>
        </w:rPr>
        <w:t>niet-auditdiensten</w:t>
      </w:r>
      <w:r w:rsidR="00124694">
        <w:rPr>
          <w:sz w:val="24"/>
          <w:szCs w:val="24"/>
        </w:rPr>
        <w:t xml:space="preserve"> in de pre-SOX periode hadden aangeschaft</w:t>
      </w:r>
      <w:r w:rsidR="00E369BB">
        <w:rPr>
          <w:sz w:val="24"/>
          <w:szCs w:val="24"/>
        </w:rPr>
        <w:t xml:space="preserve">, </w:t>
      </w:r>
      <w:r w:rsidR="00124694">
        <w:rPr>
          <w:sz w:val="24"/>
          <w:szCs w:val="24"/>
        </w:rPr>
        <w:t xml:space="preserve">dit ook blijven doen in de post-SOX aangezien hier geen belemmering voor is. Deze ondernemingen zullen dan geen significante daling vertonen in hun kosten aan niet-auditdiensten. </w:t>
      </w:r>
      <w:r w:rsidR="000B68EA">
        <w:rPr>
          <w:sz w:val="24"/>
          <w:szCs w:val="24"/>
        </w:rPr>
        <w:t>Ook hier wordt gekeken naar de discretionaire accruals, maar dan aangepast aan de prestaties van de onderneming, de zogenaamde performance-adjusted discretionaire accruals.</w:t>
      </w:r>
      <w:r w:rsidR="000F75C5">
        <w:rPr>
          <w:sz w:val="24"/>
          <w:szCs w:val="24"/>
        </w:rPr>
        <w:t xml:space="preserve"> Onder performance wordt hier verstaan de rentabiliteit op het totale vermogen (Return on Assets).</w:t>
      </w:r>
    </w:p>
    <w:p w:rsidR="00407CDA" w:rsidRDefault="00B4554A" w:rsidP="00F32AA9">
      <w:pPr>
        <w:spacing w:line="360" w:lineRule="auto"/>
        <w:rPr>
          <w:sz w:val="24"/>
          <w:szCs w:val="24"/>
        </w:rPr>
      </w:pPr>
      <w:r>
        <w:rPr>
          <w:sz w:val="24"/>
          <w:szCs w:val="24"/>
          <w:u w:val="single"/>
        </w:rPr>
        <w:t>Conclusie</w:t>
      </w:r>
      <w:r w:rsidR="00F32AA9">
        <w:rPr>
          <w:sz w:val="24"/>
          <w:szCs w:val="24"/>
          <w:u w:val="single"/>
        </w:rPr>
        <w:br/>
      </w:r>
      <w:r w:rsidR="00407CDA">
        <w:rPr>
          <w:sz w:val="24"/>
          <w:szCs w:val="24"/>
        </w:rPr>
        <w:t xml:space="preserve">De resultaten bevestigen de verwachtingen van de onderzoekers. Het blijkt dat ondernemingen die in de pre-SOX periode </w:t>
      </w:r>
      <w:r w:rsidR="006E6656">
        <w:rPr>
          <w:sz w:val="24"/>
          <w:szCs w:val="24"/>
        </w:rPr>
        <w:t xml:space="preserve">meer discretionaire accruals hebben in hun jaarrekening, </w:t>
      </w:r>
      <w:r w:rsidR="00A131C8">
        <w:rPr>
          <w:sz w:val="24"/>
          <w:szCs w:val="24"/>
        </w:rPr>
        <w:t xml:space="preserve">significant </w:t>
      </w:r>
      <w:r w:rsidR="00237E66">
        <w:rPr>
          <w:sz w:val="24"/>
          <w:szCs w:val="24"/>
        </w:rPr>
        <w:t>minder provisies betale</w:t>
      </w:r>
      <w:r w:rsidR="00726650">
        <w:rPr>
          <w:sz w:val="24"/>
          <w:szCs w:val="24"/>
        </w:rPr>
        <w:t>n aan totale niet-auditdiensten in de post-SOX periode.</w:t>
      </w:r>
      <w:r w:rsidR="00A131C8">
        <w:rPr>
          <w:sz w:val="24"/>
          <w:szCs w:val="24"/>
        </w:rPr>
        <w:t xml:space="preserve"> </w:t>
      </w:r>
      <w:r w:rsidR="00395A5C">
        <w:rPr>
          <w:sz w:val="24"/>
          <w:szCs w:val="24"/>
        </w:rPr>
        <w:t>Met andere woorden</w:t>
      </w:r>
      <w:r w:rsidR="00386039">
        <w:rPr>
          <w:sz w:val="24"/>
          <w:szCs w:val="24"/>
        </w:rPr>
        <w:t xml:space="preserve"> </w:t>
      </w:r>
      <w:r w:rsidR="00395A5C">
        <w:rPr>
          <w:sz w:val="24"/>
          <w:szCs w:val="24"/>
        </w:rPr>
        <w:t>de niet-auditdiensten hebben een significant</w:t>
      </w:r>
      <w:r w:rsidR="00386039">
        <w:rPr>
          <w:sz w:val="24"/>
          <w:szCs w:val="24"/>
        </w:rPr>
        <w:t>e</w:t>
      </w:r>
      <w:r w:rsidR="00395A5C">
        <w:rPr>
          <w:sz w:val="24"/>
          <w:szCs w:val="24"/>
        </w:rPr>
        <w:t xml:space="preserve"> invloed op de onafhankelijkheid van de accountant.</w:t>
      </w:r>
      <w:r w:rsidR="009C7AEF">
        <w:rPr>
          <w:sz w:val="24"/>
          <w:szCs w:val="24"/>
        </w:rPr>
        <w:br/>
      </w:r>
      <w:r w:rsidR="009C7AEF">
        <w:rPr>
          <w:sz w:val="24"/>
          <w:szCs w:val="24"/>
        </w:rPr>
        <w:br/>
        <w:t xml:space="preserve">Dit is echter anders wanneer de discretionaire accruals </w:t>
      </w:r>
      <w:r w:rsidR="00386039">
        <w:rPr>
          <w:sz w:val="24"/>
          <w:szCs w:val="24"/>
        </w:rPr>
        <w:t>worden</w:t>
      </w:r>
      <w:r w:rsidR="009C7AEF">
        <w:rPr>
          <w:sz w:val="24"/>
          <w:szCs w:val="24"/>
        </w:rPr>
        <w:t xml:space="preserve"> opgedeeld in een positieve en negatieve component. Positieve discretionaire accruals zijn overlopende posten</w:t>
      </w:r>
      <w:r w:rsidR="00386039">
        <w:rPr>
          <w:sz w:val="24"/>
          <w:szCs w:val="24"/>
        </w:rPr>
        <w:t>,</w:t>
      </w:r>
      <w:r w:rsidR="009C7AEF">
        <w:rPr>
          <w:sz w:val="24"/>
          <w:szCs w:val="24"/>
        </w:rPr>
        <w:t xml:space="preserve"> waardoor de winsten van de onderneming omhoog wordt gehaald. Negatieve discretionaire accruals zijn overlopende posten</w:t>
      </w:r>
      <w:r w:rsidR="00386039">
        <w:rPr>
          <w:sz w:val="24"/>
          <w:szCs w:val="24"/>
        </w:rPr>
        <w:t>,</w:t>
      </w:r>
      <w:r w:rsidR="009C7AEF">
        <w:rPr>
          <w:sz w:val="24"/>
          <w:szCs w:val="24"/>
        </w:rPr>
        <w:t xml:space="preserve"> waardoor de winsten juist omlaag wordt gedrukt.</w:t>
      </w:r>
      <w:r w:rsidR="00324844">
        <w:rPr>
          <w:sz w:val="24"/>
          <w:szCs w:val="24"/>
        </w:rPr>
        <w:br/>
      </w:r>
      <w:r w:rsidR="00324844">
        <w:rPr>
          <w:sz w:val="24"/>
          <w:szCs w:val="24"/>
        </w:rPr>
        <w:br/>
        <w:t>Na de verdeling tussen positieve en neg</w:t>
      </w:r>
      <w:r w:rsidR="00353EDE">
        <w:rPr>
          <w:sz w:val="24"/>
          <w:szCs w:val="24"/>
        </w:rPr>
        <w:t>atieve discretionaire accruals is er slechts een significant verband met de negatieve discretionaire accruals. Inkomen verhogende earnings management is dus niet geassocieerd met het verlenen van niet-auditdiensten. Wellicht omdat het risico op een rechtszaak grote</w:t>
      </w:r>
      <w:r w:rsidR="00081ACA">
        <w:rPr>
          <w:sz w:val="24"/>
          <w:szCs w:val="24"/>
        </w:rPr>
        <w:t>r is dan de eventuele voordelen.</w:t>
      </w:r>
      <w:r w:rsidR="00006854">
        <w:rPr>
          <w:sz w:val="24"/>
          <w:szCs w:val="24"/>
        </w:rPr>
        <w:t xml:space="preserve"> Dit risico speelt een minder acute rol bij inkomen verlagende earnings management.</w:t>
      </w:r>
      <w:r w:rsidR="00B30C62">
        <w:rPr>
          <w:sz w:val="24"/>
          <w:szCs w:val="24"/>
        </w:rPr>
        <w:t xml:space="preserve"> Deze resultaten zijn robuust wanneer gecontroleerd wordt voor de effectiviteit van audit </w:t>
      </w:r>
      <w:r w:rsidR="00E92715">
        <w:rPr>
          <w:sz w:val="24"/>
          <w:szCs w:val="24"/>
        </w:rPr>
        <w:t xml:space="preserve">commissies. </w:t>
      </w:r>
    </w:p>
    <w:p w:rsidR="004F31F2" w:rsidRDefault="00F828CC" w:rsidP="00F828CC">
      <w:pPr>
        <w:pStyle w:val="Kop2"/>
      </w:pPr>
      <w:bookmarkStart w:id="22" w:name="_Toc360661894"/>
      <w:r>
        <w:lastRenderedPageBreak/>
        <w:t>6.</w:t>
      </w:r>
      <w:r w:rsidR="00523BC1">
        <w:t>3</w:t>
      </w:r>
      <w:r w:rsidR="004F31F2">
        <w:t xml:space="preserve"> Argumenten tegen scheiding</w:t>
      </w:r>
      <w:bookmarkEnd w:id="22"/>
    </w:p>
    <w:p w:rsidR="00806524" w:rsidRPr="00806524" w:rsidRDefault="00AC0C71" w:rsidP="00AC0C71">
      <w:pPr>
        <w:pStyle w:val="Geenafstand"/>
        <w:spacing w:line="360" w:lineRule="auto"/>
      </w:pPr>
      <w:r>
        <w:t>De tabel hieronder laat zien welke onderzoekers wat hebben onderzocht en hun conclusies daarbij. De laatste kolom geeft aan in welke paragraaf het onderzoek nader wordt toegelicht.</w:t>
      </w:r>
    </w:p>
    <w:tbl>
      <w:tblPr>
        <w:tblStyle w:val="Lichtelijst"/>
        <w:tblW w:w="9322" w:type="dxa"/>
        <w:tblLook w:val="04A0"/>
      </w:tblPr>
      <w:tblGrid>
        <w:gridCol w:w="3227"/>
        <w:gridCol w:w="4678"/>
        <w:gridCol w:w="1417"/>
      </w:tblGrid>
      <w:tr w:rsidR="00EE118A" w:rsidRPr="00B4554A" w:rsidTr="005147AA">
        <w:trPr>
          <w:cnfStyle w:val="100000000000"/>
        </w:trPr>
        <w:tc>
          <w:tcPr>
            <w:cnfStyle w:val="001000000000"/>
            <w:tcW w:w="3227" w:type="dxa"/>
          </w:tcPr>
          <w:p w:rsidR="00EE118A" w:rsidRPr="00B4554A" w:rsidRDefault="00EE118A" w:rsidP="0096386F">
            <w:pPr>
              <w:pStyle w:val="Geenafstand"/>
            </w:pPr>
            <w:r w:rsidRPr="00B4554A">
              <w:t>Onderzoekers</w:t>
            </w:r>
          </w:p>
        </w:tc>
        <w:tc>
          <w:tcPr>
            <w:tcW w:w="4678" w:type="dxa"/>
          </w:tcPr>
          <w:p w:rsidR="00EE118A" w:rsidRPr="00B4554A" w:rsidRDefault="00EE118A" w:rsidP="0096386F">
            <w:pPr>
              <w:pStyle w:val="Geenafstand"/>
              <w:cnfStyle w:val="100000000000"/>
            </w:pPr>
            <w:r w:rsidRPr="00B4554A">
              <w:t>Conclusies</w:t>
            </w:r>
          </w:p>
        </w:tc>
        <w:tc>
          <w:tcPr>
            <w:tcW w:w="1417" w:type="dxa"/>
          </w:tcPr>
          <w:p w:rsidR="00EE118A" w:rsidRPr="00B4554A" w:rsidRDefault="00EE118A" w:rsidP="0096386F">
            <w:pPr>
              <w:pStyle w:val="Geenafstand"/>
              <w:cnfStyle w:val="100000000000"/>
            </w:pPr>
            <w:r w:rsidRPr="00B4554A">
              <w:t>Paragraaf</w:t>
            </w:r>
          </w:p>
        </w:tc>
      </w:tr>
      <w:tr w:rsidR="00EE118A" w:rsidTr="005147AA">
        <w:trPr>
          <w:cnfStyle w:val="000000100000"/>
        </w:trPr>
        <w:tc>
          <w:tcPr>
            <w:cnfStyle w:val="001000000000"/>
            <w:tcW w:w="3227" w:type="dxa"/>
          </w:tcPr>
          <w:p w:rsidR="00EE118A" w:rsidRDefault="00EE118A" w:rsidP="007F1B1C">
            <w:pPr>
              <w:pStyle w:val="Geenafstand"/>
            </w:pPr>
            <w:r>
              <w:t xml:space="preserve">(2002) </w:t>
            </w:r>
            <w:r w:rsidRPr="007F1B1C">
              <w:t>Antle et al.</w:t>
            </w:r>
          </w:p>
        </w:tc>
        <w:tc>
          <w:tcPr>
            <w:tcW w:w="4678" w:type="dxa"/>
          </w:tcPr>
          <w:p w:rsidR="00EE118A" w:rsidRDefault="00EE118A" w:rsidP="00EE118A">
            <w:pPr>
              <w:pStyle w:val="Geenafstand"/>
              <w:cnfStyle w:val="000000100000"/>
            </w:pPr>
            <w:r>
              <w:rPr>
                <w:szCs w:val="24"/>
              </w:rPr>
              <w:t>Provisies voor niet-auditdiensten leiden tot een daling van abnormale accruals</w:t>
            </w:r>
          </w:p>
        </w:tc>
        <w:tc>
          <w:tcPr>
            <w:tcW w:w="1417" w:type="dxa"/>
          </w:tcPr>
          <w:p w:rsidR="00EE118A" w:rsidRDefault="00EE118A" w:rsidP="00E22B4B">
            <w:pPr>
              <w:pStyle w:val="Geenafstand"/>
              <w:cnfStyle w:val="000000100000"/>
            </w:pPr>
            <w:r>
              <w:t>6.3.1</w:t>
            </w:r>
          </w:p>
        </w:tc>
      </w:tr>
      <w:tr w:rsidR="00EE118A" w:rsidRPr="007F1B1C" w:rsidTr="005147AA">
        <w:tc>
          <w:tcPr>
            <w:cnfStyle w:val="001000000000"/>
            <w:tcW w:w="3227" w:type="dxa"/>
          </w:tcPr>
          <w:p w:rsidR="00EE118A" w:rsidRDefault="00EE118A" w:rsidP="007F1B1C">
            <w:pPr>
              <w:pStyle w:val="Geenafstand"/>
            </w:pPr>
            <w:r>
              <w:t>(2003) Ashbaugh et al.</w:t>
            </w:r>
          </w:p>
        </w:tc>
        <w:tc>
          <w:tcPr>
            <w:tcW w:w="4678" w:type="dxa"/>
          </w:tcPr>
          <w:p w:rsidR="00EE118A" w:rsidRPr="00EE118A" w:rsidRDefault="005147AA" w:rsidP="005147AA">
            <w:pPr>
              <w:pStyle w:val="Geenafstand"/>
              <w:cnfStyle w:val="000000000000"/>
            </w:pPr>
            <w:r>
              <w:t>Na controle voor ondernemingsprestaties tonen de resultaten geen significante verband tussen positieve discretionaire accruals en niet-auditdiensten</w:t>
            </w:r>
          </w:p>
        </w:tc>
        <w:tc>
          <w:tcPr>
            <w:tcW w:w="1417" w:type="dxa"/>
          </w:tcPr>
          <w:p w:rsidR="00EE118A" w:rsidRPr="007F1B1C" w:rsidRDefault="00EE118A" w:rsidP="00B81A47">
            <w:pPr>
              <w:pStyle w:val="Geenafstand"/>
              <w:cnfStyle w:val="000000000000"/>
              <w:rPr>
                <w:lang w:val="en-US"/>
              </w:rPr>
            </w:pPr>
            <w:r>
              <w:rPr>
                <w:lang w:val="en-US"/>
              </w:rPr>
              <w:t>6.3.2</w:t>
            </w:r>
          </w:p>
        </w:tc>
      </w:tr>
      <w:tr w:rsidR="00EE118A" w:rsidTr="005147AA">
        <w:trPr>
          <w:cnfStyle w:val="000000100000"/>
        </w:trPr>
        <w:tc>
          <w:tcPr>
            <w:cnfStyle w:val="001000000000"/>
            <w:tcW w:w="3227" w:type="dxa"/>
          </w:tcPr>
          <w:p w:rsidR="00EE118A" w:rsidRDefault="00775CB1" w:rsidP="00E22B4B">
            <w:pPr>
              <w:pStyle w:val="Geenafstand"/>
            </w:pPr>
            <w:r>
              <w:t>(2004) Larcker en Richardson</w:t>
            </w:r>
          </w:p>
        </w:tc>
        <w:tc>
          <w:tcPr>
            <w:tcW w:w="4678" w:type="dxa"/>
          </w:tcPr>
          <w:p w:rsidR="00EE118A" w:rsidRDefault="00E37876" w:rsidP="00E22B4B">
            <w:pPr>
              <w:pStyle w:val="Geenafstand"/>
              <w:cnfStyle w:val="000000100000"/>
            </w:pPr>
            <w:r>
              <w:rPr>
                <w:szCs w:val="24"/>
              </w:rPr>
              <w:t>Er is geen significant positieve relatie tussen de provisies die betaald zijn aan accountants en de discretionaire accruals</w:t>
            </w:r>
          </w:p>
        </w:tc>
        <w:tc>
          <w:tcPr>
            <w:tcW w:w="1417" w:type="dxa"/>
          </w:tcPr>
          <w:p w:rsidR="00EE118A" w:rsidRDefault="00EE118A" w:rsidP="00E22B4B">
            <w:pPr>
              <w:pStyle w:val="Geenafstand"/>
              <w:cnfStyle w:val="000000100000"/>
            </w:pPr>
            <w:r>
              <w:t>6.3.3</w:t>
            </w:r>
          </w:p>
        </w:tc>
      </w:tr>
      <w:tr w:rsidR="00EE118A" w:rsidTr="005147AA">
        <w:tc>
          <w:tcPr>
            <w:cnfStyle w:val="001000000000"/>
            <w:tcW w:w="3227" w:type="dxa"/>
          </w:tcPr>
          <w:p w:rsidR="00EE118A" w:rsidRDefault="00EE118A" w:rsidP="00E22B4B">
            <w:pPr>
              <w:pStyle w:val="Geenafstand"/>
            </w:pPr>
            <w:r>
              <w:t>(2007) Mitra, S.</w:t>
            </w:r>
          </w:p>
        </w:tc>
        <w:tc>
          <w:tcPr>
            <w:tcW w:w="4678" w:type="dxa"/>
          </w:tcPr>
          <w:p w:rsidR="00EE118A" w:rsidRDefault="00F61ABE" w:rsidP="00E22B4B">
            <w:pPr>
              <w:pStyle w:val="Geenafstand"/>
              <w:cnfStyle w:val="000000000000"/>
            </w:pPr>
            <w:r>
              <w:rPr>
                <w:szCs w:val="24"/>
              </w:rPr>
              <w:t>De grootte van de abnormale accruals is niet significant geassocieerd met de provisies voor niet-auditdiensten in de gas en olie industrie</w:t>
            </w:r>
          </w:p>
        </w:tc>
        <w:tc>
          <w:tcPr>
            <w:tcW w:w="1417" w:type="dxa"/>
          </w:tcPr>
          <w:p w:rsidR="00EE118A" w:rsidRDefault="00EE118A" w:rsidP="00E22B4B">
            <w:pPr>
              <w:pStyle w:val="Geenafstand"/>
              <w:cnfStyle w:val="000000000000"/>
            </w:pPr>
            <w:r>
              <w:t>6.3.4</w:t>
            </w:r>
          </w:p>
        </w:tc>
      </w:tr>
      <w:tr w:rsidR="00EE118A" w:rsidTr="005147AA">
        <w:trPr>
          <w:cnfStyle w:val="000000100000"/>
        </w:trPr>
        <w:tc>
          <w:tcPr>
            <w:cnfStyle w:val="001000000000"/>
            <w:tcW w:w="3227" w:type="dxa"/>
          </w:tcPr>
          <w:p w:rsidR="00EE118A" w:rsidRDefault="00EE118A" w:rsidP="00B81A47">
            <w:pPr>
              <w:pStyle w:val="Geenafstand"/>
            </w:pPr>
            <w:r>
              <w:t>(2012) Svanström, T.</w:t>
            </w:r>
          </w:p>
        </w:tc>
        <w:tc>
          <w:tcPr>
            <w:tcW w:w="4678" w:type="dxa"/>
          </w:tcPr>
          <w:p w:rsidR="00EE118A" w:rsidRDefault="00B251AF" w:rsidP="00B251AF">
            <w:pPr>
              <w:pStyle w:val="Geenafstand"/>
              <w:cnfStyle w:val="000000100000"/>
            </w:pPr>
            <w:r>
              <w:rPr>
                <w:szCs w:val="24"/>
              </w:rPr>
              <w:t>Geen significant positieve verband tussen provisies voor niet-auditdiensten en discretionaire accruals</w:t>
            </w:r>
            <w:r w:rsidR="00A51631">
              <w:rPr>
                <w:szCs w:val="24"/>
              </w:rPr>
              <w:t>. Voor sommige types bestat er zelfs een</w:t>
            </w:r>
            <w:r w:rsidR="004B6B40">
              <w:rPr>
                <w:szCs w:val="24"/>
              </w:rPr>
              <w:t xml:space="preserve"> significant</w:t>
            </w:r>
            <w:r w:rsidR="00A51631">
              <w:rPr>
                <w:szCs w:val="24"/>
              </w:rPr>
              <w:t xml:space="preserve"> negatief verband.</w:t>
            </w:r>
          </w:p>
        </w:tc>
        <w:tc>
          <w:tcPr>
            <w:tcW w:w="1417" w:type="dxa"/>
          </w:tcPr>
          <w:p w:rsidR="00EE118A" w:rsidRDefault="00EE118A" w:rsidP="00B81A47">
            <w:pPr>
              <w:pStyle w:val="Geenafstand"/>
              <w:cnfStyle w:val="000000100000"/>
            </w:pPr>
            <w:r>
              <w:t>6.3.5</w:t>
            </w:r>
          </w:p>
        </w:tc>
      </w:tr>
    </w:tbl>
    <w:p w:rsidR="00522A26" w:rsidRDefault="00F828CC" w:rsidP="00503130">
      <w:pPr>
        <w:pStyle w:val="Kop3"/>
        <w:rPr>
          <w:lang w:val="en-US"/>
        </w:rPr>
      </w:pPr>
      <w:bookmarkStart w:id="23" w:name="_Toc360661895"/>
      <w:r w:rsidRPr="00523BC1">
        <w:rPr>
          <w:lang w:val="en-US"/>
        </w:rPr>
        <w:t>6</w:t>
      </w:r>
      <w:r w:rsidR="00522A26" w:rsidRPr="00523BC1">
        <w:rPr>
          <w:lang w:val="en-US"/>
        </w:rPr>
        <w:t>.</w:t>
      </w:r>
      <w:r w:rsidR="00523BC1">
        <w:rPr>
          <w:lang w:val="en-US"/>
        </w:rPr>
        <w:t>3</w:t>
      </w:r>
      <w:r w:rsidRPr="00523BC1">
        <w:rPr>
          <w:lang w:val="en-US"/>
        </w:rPr>
        <w:t>.</w:t>
      </w:r>
      <w:r w:rsidR="007F1B1C" w:rsidRPr="00523BC1">
        <w:rPr>
          <w:lang w:val="en-US"/>
        </w:rPr>
        <w:t>1</w:t>
      </w:r>
      <w:r w:rsidR="00522A26" w:rsidRPr="00523BC1">
        <w:rPr>
          <w:lang w:val="en-US"/>
        </w:rPr>
        <w:t xml:space="preserve"> </w:t>
      </w:r>
      <w:r w:rsidR="007F1B1C" w:rsidRPr="00523BC1">
        <w:rPr>
          <w:lang w:val="en-US"/>
        </w:rPr>
        <w:t xml:space="preserve">Antle et al. </w:t>
      </w:r>
      <w:r w:rsidR="00522A26" w:rsidRPr="00523BC1">
        <w:rPr>
          <w:lang w:val="en-US"/>
        </w:rPr>
        <w:t>(200</w:t>
      </w:r>
      <w:r w:rsidR="007F1B1C" w:rsidRPr="00523BC1">
        <w:rPr>
          <w:lang w:val="en-US"/>
        </w:rPr>
        <w:t>2</w:t>
      </w:r>
      <w:r w:rsidR="00522A26" w:rsidRPr="00523BC1">
        <w:rPr>
          <w:lang w:val="en-US"/>
        </w:rPr>
        <w:t>)</w:t>
      </w:r>
      <w:bookmarkEnd w:id="23"/>
    </w:p>
    <w:p w:rsidR="00B4554A" w:rsidRPr="00396866" w:rsidRDefault="00B4554A" w:rsidP="00B4554A">
      <w:pPr>
        <w:spacing w:line="360" w:lineRule="auto"/>
        <w:rPr>
          <w:sz w:val="24"/>
          <w:szCs w:val="24"/>
        </w:rPr>
      </w:pPr>
      <w:r w:rsidRPr="00E20D62">
        <w:rPr>
          <w:sz w:val="24"/>
          <w:szCs w:val="24"/>
          <w:u w:val="single"/>
        </w:rPr>
        <w:t>Achtergrond</w:t>
      </w:r>
      <w:r w:rsidR="00711860">
        <w:rPr>
          <w:sz w:val="24"/>
          <w:szCs w:val="24"/>
          <w:u w:val="single"/>
        </w:rPr>
        <w:br/>
      </w:r>
      <w:r w:rsidR="00317F05">
        <w:rPr>
          <w:sz w:val="24"/>
          <w:szCs w:val="24"/>
        </w:rPr>
        <w:t>In de literatuur zijn verschillende methoden</w:t>
      </w:r>
      <w:r w:rsidR="005F5E77">
        <w:rPr>
          <w:sz w:val="24"/>
          <w:szCs w:val="24"/>
        </w:rPr>
        <w:t xml:space="preserve"> te vinden om onafhankelijkheid van de accountant te meten aan de hand van discretionaire accruals. Sommige variabelen worden als endogeen beschouwd, terwijl bij andere onderzoekers het juist exogene variabelen zijn. Dit is bijvoorbeeld het geval met provisies voor auditdiensten en niet-auditdiensten. Indien de accountant naast het verrichten van auditdiensten ook niet-auditdiensten voor haar cliënt verricht, kan de cliënt </w:t>
      </w:r>
      <w:r w:rsidR="00344103">
        <w:rPr>
          <w:sz w:val="24"/>
          <w:szCs w:val="24"/>
        </w:rPr>
        <w:t>besluiten</w:t>
      </w:r>
      <w:r w:rsidR="005F5E77">
        <w:rPr>
          <w:sz w:val="24"/>
          <w:szCs w:val="24"/>
        </w:rPr>
        <w:t xml:space="preserve"> om ook meer te betalen voor de auditdiensten.</w:t>
      </w:r>
      <w:r w:rsidR="0013659A">
        <w:rPr>
          <w:sz w:val="24"/>
          <w:szCs w:val="24"/>
        </w:rPr>
        <w:t xml:space="preserve"> </w:t>
      </w:r>
      <w:r w:rsidR="009B7AFD">
        <w:rPr>
          <w:sz w:val="24"/>
          <w:szCs w:val="24"/>
        </w:rPr>
        <w:br/>
      </w:r>
      <w:r w:rsidR="009B7AFD">
        <w:rPr>
          <w:sz w:val="24"/>
          <w:szCs w:val="24"/>
        </w:rPr>
        <w:br/>
      </w:r>
      <w:r w:rsidR="0013659A">
        <w:rPr>
          <w:sz w:val="24"/>
          <w:szCs w:val="24"/>
        </w:rPr>
        <w:t xml:space="preserve">In dit artikel is rekening gehouden met het feit dat de beslissing om auditdiensten en niet-auditdiensten aan te schaffen van de accountant simultaan, dat wil zeggen </w:t>
      </w:r>
      <w:r w:rsidR="009B7AFD">
        <w:rPr>
          <w:sz w:val="24"/>
          <w:szCs w:val="24"/>
        </w:rPr>
        <w:t xml:space="preserve">tegelijkertijd, </w:t>
      </w:r>
      <w:r w:rsidR="0013659A">
        <w:rPr>
          <w:sz w:val="24"/>
          <w:szCs w:val="24"/>
        </w:rPr>
        <w:t>gebeurt</w:t>
      </w:r>
      <w:r w:rsidR="009B7AFD">
        <w:rPr>
          <w:sz w:val="24"/>
          <w:szCs w:val="24"/>
        </w:rPr>
        <w:t xml:space="preserve">. Ook het betalen van provisies aan niet-auditdiensten </w:t>
      </w:r>
      <w:r w:rsidR="00A65196">
        <w:rPr>
          <w:sz w:val="24"/>
          <w:szCs w:val="24"/>
        </w:rPr>
        <w:t xml:space="preserve">en abnormale accruals </w:t>
      </w:r>
      <w:r w:rsidR="00531DF2">
        <w:rPr>
          <w:sz w:val="24"/>
          <w:szCs w:val="24"/>
        </w:rPr>
        <w:t>wordt gezamenlijk vastgesteld.</w:t>
      </w:r>
      <w:r w:rsidR="00C809FE">
        <w:rPr>
          <w:sz w:val="24"/>
          <w:szCs w:val="24"/>
        </w:rPr>
        <w:t xml:space="preserve"> Dit is terug te vinden in hun onderzoeksopzet: er zijn drie simultane vergelijkingen opgesteld over provisies voor auditdiensten, provisies voor niet-auditdiensten en abnormale accruals. </w:t>
      </w:r>
      <w:r w:rsidR="005F5E77">
        <w:rPr>
          <w:sz w:val="24"/>
          <w:szCs w:val="24"/>
        </w:rPr>
        <w:br/>
      </w:r>
      <w:r w:rsidR="00317F05">
        <w:rPr>
          <w:sz w:val="24"/>
          <w:szCs w:val="24"/>
        </w:rPr>
        <w:lastRenderedPageBreak/>
        <w:t xml:space="preserve">De onderzoekers hebben besloten om naast ondernemingen van Amerika, ook ondernemingen van het Verenigd Koninkrijk in hun onderzoek mee te nemen. De reden hierachter is dat de UK GAAP vanaf 1992 al heeft besloten dat ondernemingen hun kosten voor auditdiensten en niet-auditdiensten moeten openbaren. </w:t>
      </w:r>
      <w:r w:rsidR="00A331BE">
        <w:rPr>
          <w:sz w:val="24"/>
          <w:szCs w:val="24"/>
        </w:rPr>
        <w:t xml:space="preserve">Ten opzichte van </w:t>
      </w:r>
      <w:r w:rsidR="00317F05">
        <w:rPr>
          <w:sz w:val="24"/>
          <w:szCs w:val="24"/>
        </w:rPr>
        <w:t xml:space="preserve">de Amerikaanse ondernemingen is er dus veel meer data aanwezig </w:t>
      </w:r>
      <w:r w:rsidR="00A331BE">
        <w:rPr>
          <w:sz w:val="24"/>
          <w:szCs w:val="24"/>
        </w:rPr>
        <w:t>over</w:t>
      </w:r>
      <w:r w:rsidR="00317F05">
        <w:rPr>
          <w:sz w:val="24"/>
          <w:szCs w:val="24"/>
        </w:rPr>
        <w:t xml:space="preserve"> de ondernemingen in het Verenigd Koninkrijk. </w:t>
      </w:r>
      <w:r w:rsidR="00111656">
        <w:rPr>
          <w:sz w:val="24"/>
          <w:szCs w:val="24"/>
        </w:rPr>
        <w:br/>
      </w:r>
      <w:r w:rsidR="00111656">
        <w:rPr>
          <w:sz w:val="24"/>
          <w:szCs w:val="24"/>
        </w:rPr>
        <w:br/>
      </w:r>
      <w:r w:rsidRPr="00E20D62">
        <w:rPr>
          <w:sz w:val="24"/>
          <w:szCs w:val="24"/>
          <w:u w:val="single"/>
        </w:rPr>
        <w:t>Werkwijze</w:t>
      </w:r>
      <w:r w:rsidR="00396866">
        <w:rPr>
          <w:sz w:val="24"/>
          <w:szCs w:val="24"/>
          <w:u w:val="single"/>
        </w:rPr>
        <w:br/>
      </w:r>
      <w:r w:rsidR="000408ED">
        <w:rPr>
          <w:sz w:val="24"/>
          <w:szCs w:val="24"/>
        </w:rPr>
        <w:t xml:space="preserve">Zoals hierboven </w:t>
      </w:r>
      <w:r w:rsidR="00396866">
        <w:rPr>
          <w:sz w:val="24"/>
          <w:szCs w:val="24"/>
        </w:rPr>
        <w:t xml:space="preserve">is vermeld hebben de onderzoekers drie simultane vergelijkingen opgesteld. Dit is geïllustreerd in figuur 3. </w:t>
      </w:r>
      <w:r w:rsidR="00094D81">
        <w:rPr>
          <w:sz w:val="24"/>
          <w:szCs w:val="24"/>
        </w:rPr>
        <w:br/>
      </w:r>
      <w:r w:rsidR="000E6F88">
        <w:rPr>
          <w:noProof/>
          <w:sz w:val="24"/>
          <w:szCs w:val="24"/>
          <w:lang w:eastAsia="nl-NL"/>
        </w:rPr>
        <w:drawing>
          <wp:inline distT="0" distB="0" distL="0" distR="0">
            <wp:extent cx="5752465" cy="1137920"/>
            <wp:effectExtent l="0" t="0" r="63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2465" cy="1137920"/>
                    </a:xfrm>
                    <a:prstGeom prst="rect">
                      <a:avLst/>
                    </a:prstGeom>
                    <a:noFill/>
                    <a:ln>
                      <a:noFill/>
                    </a:ln>
                  </pic:spPr>
                </pic:pic>
              </a:graphicData>
            </a:graphic>
          </wp:inline>
        </w:drawing>
      </w:r>
    </w:p>
    <w:p w:rsidR="00B4554A" w:rsidRPr="00AD6A6D" w:rsidRDefault="004F21DB" w:rsidP="00127B5C">
      <w:pPr>
        <w:spacing w:line="360" w:lineRule="auto"/>
      </w:pPr>
      <w:r w:rsidRPr="004F21DB">
        <w:rPr>
          <w:sz w:val="24"/>
          <w:szCs w:val="24"/>
        </w:rPr>
        <w:t xml:space="preserve">Hierbij staat </w:t>
      </w:r>
      <w:r>
        <w:rPr>
          <w:sz w:val="24"/>
          <w:szCs w:val="24"/>
        </w:rPr>
        <w:t xml:space="preserve">AF voor provisies voor auditdiensten (audit fees), </w:t>
      </w:r>
      <w:r w:rsidRPr="004F21DB">
        <w:rPr>
          <w:sz w:val="24"/>
          <w:szCs w:val="24"/>
        </w:rPr>
        <w:t>NAF voor provisies voor niet-auditdiensten (non-audit fees)</w:t>
      </w:r>
      <w:r>
        <w:rPr>
          <w:sz w:val="24"/>
          <w:szCs w:val="24"/>
        </w:rPr>
        <w:t xml:space="preserve"> en AA voor abnormale accruals.</w:t>
      </w:r>
      <w:r w:rsidR="00D40AE5">
        <w:rPr>
          <w:sz w:val="24"/>
          <w:szCs w:val="24"/>
        </w:rPr>
        <w:t xml:space="preserve"> Voor de interpretatie nemen we bijvoorbeeld vergelijking 1c. Een positieve coëfficiënt voor AF en/of NAF betekent in deze vergelijking dat er tijdens het bepalen van de abnormale accruals </w:t>
      </w:r>
      <w:r w:rsidR="009D4A03">
        <w:rPr>
          <w:sz w:val="24"/>
          <w:szCs w:val="24"/>
        </w:rPr>
        <w:t>i</w:t>
      </w:r>
      <w:r w:rsidR="00E62C01">
        <w:rPr>
          <w:sz w:val="24"/>
          <w:szCs w:val="24"/>
        </w:rPr>
        <w:t xml:space="preserve">nvloeden </w:t>
      </w:r>
      <w:r w:rsidR="003B4519">
        <w:rPr>
          <w:sz w:val="24"/>
          <w:szCs w:val="24"/>
        </w:rPr>
        <w:t>z</w:t>
      </w:r>
      <w:r w:rsidR="00E62C01">
        <w:rPr>
          <w:sz w:val="24"/>
          <w:szCs w:val="24"/>
        </w:rPr>
        <w:t xml:space="preserve">ijn geweest </w:t>
      </w:r>
      <w:r w:rsidR="00D40AE5">
        <w:rPr>
          <w:sz w:val="24"/>
          <w:szCs w:val="24"/>
        </w:rPr>
        <w:t>van de accountant</w:t>
      </w:r>
      <w:r w:rsidR="003B2F31">
        <w:rPr>
          <w:sz w:val="24"/>
          <w:szCs w:val="24"/>
        </w:rPr>
        <w:t xml:space="preserve">. </w:t>
      </w:r>
      <w:r w:rsidR="003B2F31" w:rsidRPr="00887FA7">
        <w:rPr>
          <w:sz w:val="24"/>
          <w:szCs w:val="24"/>
        </w:rPr>
        <w:t xml:space="preserve">Dit is </w:t>
      </w:r>
      <w:r w:rsidR="00D40AE5" w:rsidRPr="00887FA7">
        <w:rPr>
          <w:sz w:val="24"/>
          <w:szCs w:val="24"/>
        </w:rPr>
        <w:t xml:space="preserve">het simultane </w:t>
      </w:r>
      <w:r w:rsidR="002D71C6" w:rsidRPr="00887FA7">
        <w:rPr>
          <w:sz w:val="24"/>
          <w:szCs w:val="24"/>
        </w:rPr>
        <w:t>kenmerk</w:t>
      </w:r>
      <w:r w:rsidR="009A3613" w:rsidRPr="00887FA7">
        <w:rPr>
          <w:sz w:val="24"/>
          <w:szCs w:val="24"/>
        </w:rPr>
        <w:t xml:space="preserve"> </w:t>
      </w:r>
      <w:r w:rsidR="00F71123" w:rsidRPr="00887FA7">
        <w:rPr>
          <w:sz w:val="24"/>
          <w:szCs w:val="24"/>
        </w:rPr>
        <w:t>in</w:t>
      </w:r>
      <w:r w:rsidR="009A3613" w:rsidRPr="00887FA7">
        <w:rPr>
          <w:sz w:val="24"/>
          <w:szCs w:val="24"/>
        </w:rPr>
        <w:t xml:space="preserve"> het onderzoek.</w:t>
      </w:r>
      <w:r w:rsidR="000408ED">
        <w:rPr>
          <w:sz w:val="24"/>
          <w:szCs w:val="24"/>
        </w:rPr>
        <w:br/>
      </w:r>
      <w:r w:rsidR="000408ED">
        <w:rPr>
          <w:sz w:val="24"/>
          <w:szCs w:val="24"/>
        </w:rPr>
        <w:br/>
        <w:t>De controle variabelen zijn onder andere de leverage ratio en quick ratio. Verder is er ook een dummyvariabele voor de Big Six kantoren.</w:t>
      </w:r>
      <w:r w:rsidR="00233017">
        <w:rPr>
          <w:sz w:val="24"/>
          <w:szCs w:val="24"/>
        </w:rPr>
        <w:t xml:space="preserve"> In het onderzoek zijn in totaal 2443 en 1430 observaties meegenomen van</w:t>
      </w:r>
      <w:r w:rsidR="00902D42" w:rsidRPr="00902D42">
        <w:rPr>
          <w:sz w:val="24"/>
          <w:szCs w:val="24"/>
        </w:rPr>
        <w:t xml:space="preserve"> </w:t>
      </w:r>
      <w:r w:rsidR="00902D42">
        <w:rPr>
          <w:sz w:val="24"/>
          <w:szCs w:val="24"/>
        </w:rPr>
        <w:t>respectievelijk</w:t>
      </w:r>
      <w:r w:rsidR="00233017">
        <w:rPr>
          <w:sz w:val="24"/>
          <w:szCs w:val="24"/>
        </w:rPr>
        <w:t xml:space="preserve"> ondernemingen in het Verenigd Koninkrijk en Amerika.</w:t>
      </w:r>
      <w:r w:rsidR="004C1C0B" w:rsidRPr="00887FA7">
        <w:rPr>
          <w:sz w:val="24"/>
          <w:szCs w:val="24"/>
        </w:rPr>
        <w:br/>
      </w:r>
      <w:r w:rsidRPr="00887FA7">
        <w:rPr>
          <w:sz w:val="24"/>
          <w:szCs w:val="24"/>
          <w:u w:val="single"/>
        </w:rPr>
        <w:br/>
      </w:r>
      <w:r w:rsidR="00B4554A" w:rsidRPr="00887FA7">
        <w:rPr>
          <w:sz w:val="24"/>
          <w:szCs w:val="24"/>
          <w:u w:val="single"/>
        </w:rPr>
        <w:t>Conclusie</w:t>
      </w:r>
      <w:r w:rsidR="00B95581" w:rsidRPr="00887FA7">
        <w:rPr>
          <w:sz w:val="24"/>
          <w:szCs w:val="24"/>
          <w:u w:val="single"/>
        </w:rPr>
        <w:br/>
      </w:r>
      <w:r w:rsidR="00887FA7">
        <w:rPr>
          <w:sz w:val="24"/>
          <w:szCs w:val="24"/>
        </w:rPr>
        <w:t>Uit de resultaten volgen enkele conclusies. Tussen auditdiensten en</w:t>
      </w:r>
      <w:r w:rsidR="003E3541">
        <w:rPr>
          <w:sz w:val="24"/>
          <w:szCs w:val="24"/>
        </w:rPr>
        <w:t xml:space="preserve"> niet-auditdiensten bestaat een wederzijdse knowledge spillover effect, dit betekent dat ze elkaar </w:t>
      </w:r>
      <w:r w:rsidR="009E1C65">
        <w:rPr>
          <w:sz w:val="24"/>
          <w:szCs w:val="24"/>
        </w:rPr>
        <w:t xml:space="preserve">significant positief </w:t>
      </w:r>
      <w:r w:rsidR="003E3541">
        <w:rPr>
          <w:sz w:val="24"/>
          <w:szCs w:val="24"/>
        </w:rPr>
        <w:t xml:space="preserve">beïnvloeden. </w:t>
      </w:r>
      <w:r w:rsidR="00A26586">
        <w:rPr>
          <w:sz w:val="24"/>
          <w:szCs w:val="24"/>
        </w:rPr>
        <w:t>Hogere provisies voor auditdiensten leiden tot hogere pr</w:t>
      </w:r>
      <w:r w:rsidR="00253283">
        <w:rPr>
          <w:sz w:val="24"/>
          <w:szCs w:val="24"/>
        </w:rPr>
        <w:t>ovisies voor niet-auditdiensten en andersom.</w:t>
      </w:r>
      <w:r w:rsidR="00A26586">
        <w:rPr>
          <w:sz w:val="24"/>
          <w:szCs w:val="24"/>
        </w:rPr>
        <w:t xml:space="preserve"> </w:t>
      </w:r>
      <w:r w:rsidR="00BE7A30">
        <w:rPr>
          <w:sz w:val="24"/>
          <w:szCs w:val="24"/>
        </w:rPr>
        <w:t>Dit sluit aan bij de</w:t>
      </w:r>
      <w:r w:rsidR="00BC4D63">
        <w:rPr>
          <w:sz w:val="24"/>
          <w:szCs w:val="24"/>
        </w:rPr>
        <w:t xml:space="preserve"> theorie van synergievoordelen tussen deze twee.</w:t>
      </w:r>
      <w:r w:rsidR="00824E72">
        <w:rPr>
          <w:sz w:val="24"/>
          <w:szCs w:val="24"/>
        </w:rPr>
        <w:br/>
      </w:r>
      <w:r w:rsidR="003E3541">
        <w:rPr>
          <w:sz w:val="24"/>
          <w:szCs w:val="24"/>
        </w:rPr>
        <w:lastRenderedPageBreak/>
        <w:t xml:space="preserve">Van belang voor deze scriptie is dat provisies voor niet-auditdiensten </w:t>
      </w:r>
      <w:r w:rsidR="006525B8">
        <w:rPr>
          <w:sz w:val="24"/>
          <w:szCs w:val="24"/>
        </w:rPr>
        <w:t xml:space="preserve">niet leiden tot </w:t>
      </w:r>
      <w:r w:rsidR="009E1C65">
        <w:rPr>
          <w:sz w:val="24"/>
          <w:szCs w:val="24"/>
        </w:rPr>
        <w:t xml:space="preserve">significant </w:t>
      </w:r>
      <w:r w:rsidR="006525B8">
        <w:rPr>
          <w:sz w:val="24"/>
          <w:szCs w:val="24"/>
        </w:rPr>
        <w:t>hogere abnormale accruals.</w:t>
      </w:r>
      <w:r w:rsidR="005A2603">
        <w:rPr>
          <w:sz w:val="24"/>
          <w:szCs w:val="24"/>
        </w:rPr>
        <w:t xml:space="preserve"> Dit is het tegenovergestelde van de bevindingen van bijvoorbeeld Frankel et al.</w:t>
      </w:r>
      <w:r w:rsidR="003953E8">
        <w:rPr>
          <w:sz w:val="24"/>
          <w:szCs w:val="24"/>
        </w:rPr>
        <w:t xml:space="preserve"> in 2002.</w:t>
      </w:r>
      <w:r w:rsidR="00696000">
        <w:rPr>
          <w:sz w:val="24"/>
          <w:szCs w:val="24"/>
        </w:rPr>
        <w:t xml:space="preserve"> Sterker nog, de onderzoekers constateren dat provisies voor niet-auditdiensten zelfs leiden tot een daling van abnormale accruals.</w:t>
      </w:r>
      <w:r w:rsidR="006515EB">
        <w:rPr>
          <w:sz w:val="24"/>
          <w:szCs w:val="24"/>
        </w:rPr>
        <w:t xml:space="preserve"> Dit effect was te vinden in de gegevens van het Verenigd Konin</w:t>
      </w:r>
      <w:r w:rsidR="004C2CFF">
        <w:rPr>
          <w:sz w:val="24"/>
          <w:szCs w:val="24"/>
        </w:rPr>
        <w:t>krijk. Een mogelijke verklaring hiervoor is dat</w:t>
      </w:r>
      <w:r w:rsidR="006515EB">
        <w:rPr>
          <w:sz w:val="24"/>
          <w:szCs w:val="24"/>
        </w:rPr>
        <w:t xml:space="preserve"> door </w:t>
      </w:r>
      <w:r w:rsidR="00253283">
        <w:rPr>
          <w:sz w:val="24"/>
          <w:szCs w:val="24"/>
        </w:rPr>
        <w:t>bijvoorbeeld een speciaal voorraadsysteem te bedenken voor hun cliënt</w:t>
      </w:r>
      <w:r w:rsidR="004C2CFF">
        <w:rPr>
          <w:sz w:val="24"/>
          <w:szCs w:val="24"/>
        </w:rPr>
        <w:t>, zij</w:t>
      </w:r>
      <w:r w:rsidR="00253283">
        <w:rPr>
          <w:sz w:val="24"/>
          <w:szCs w:val="24"/>
        </w:rPr>
        <w:t xml:space="preserve"> voortaan </w:t>
      </w:r>
      <w:r w:rsidR="006515EB">
        <w:rPr>
          <w:sz w:val="24"/>
          <w:szCs w:val="24"/>
        </w:rPr>
        <w:t xml:space="preserve">efficiënter </w:t>
      </w:r>
      <w:r w:rsidR="00253283">
        <w:rPr>
          <w:sz w:val="24"/>
          <w:szCs w:val="24"/>
        </w:rPr>
        <w:t xml:space="preserve">met voorraden </w:t>
      </w:r>
      <w:r w:rsidR="004C2CFF">
        <w:rPr>
          <w:sz w:val="24"/>
          <w:szCs w:val="24"/>
        </w:rPr>
        <w:t>kunnen</w:t>
      </w:r>
      <w:r w:rsidR="00253283">
        <w:rPr>
          <w:sz w:val="24"/>
          <w:szCs w:val="24"/>
        </w:rPr>
        <w:t xml:space="preserve"> omgaan.</w:t>
      </w:r>
      <w:r w:rsidR="009A2EF0">
        <w:rPr>
          <w:sz w:val="24"/>
          <w:szCs w:val="24"/>
        </w:rPr>
        <w:t xml:space="preserve"> </w:t>
      </w:r>
      <w:r w:rsidR="00253283">
        <w:rPr>
          <w:sz w:val="24"/>
          <w:szCs w:val="24"/>
        </w:rPr>
        <w:t xml:space="preserve"> </w:t>
      </w:r>
      <w:r w:rsidR="006515EB" w:rsidRPr="004C2CFF">
        <w:rPr>
          <w:sz w:val="24"/>
          <w:szCs w:val="24"/>
        </w:rPr>
        <w:t>Hierdoor kunnen d</w:t>
      </w:r>
      <w:r w:rsidR="009A2EF0">
        <w:rPr>
          <w:sz w:val="24"/>
          <w:szCs w:val="24"/>
        </w:rPr>
        <w:t>e abnormale accruals gaan dalen, via bijvoorbeeld de crediteurenpost.</w:t>
      </w:r>
      <w:r w:rsidR="00127B5C">
        <w:rPr>
          <w:sz w:val="24"/>
          <w:szCs w:val="24"/>
        </w:rPr>
        <w:t xml:space="preserve"> </w:t>
      </w:r>
    </w:p>
    <w:p w:rsidR="00522A26" w:rsidRPr="00317F05" w:rsidRDefault="00F828CC" w:rsidP="00F828CC">
      <w:pPr>
        <w:pStyle w:val="Kop3"/>
      </w:pPr>
      <w:bookmarkStart w:id="24" w:name="_Toc360661896"/>
      <w:r w:rsidRPr="0032312A">
        <w:t>6</w:t>
      </w:r>
      <w:r w:rsidR="007F1B1C" w:rsidRPr="0032312A">
        <w:t>.</w:t>
      </w:r>
      <w:r w:rsidR="00523BC1" w:rsidRPr="0032312A">
        <w:t>3</w:t>
      </w:r>
      <w:r w:rsidRPr="0032312A">
        <w:t>.</w:t>
      </w:r>
      <w:r w:rsidR="007F1B1C" w:rsidRPr="0032312A">
        <w:t>2</w:t>
      </w:r>
      <w:r w:rsidR="00522A26" w:rsidRPr="0032312A">
        <w:t xml:space="preserve"> </w:t>
      </w:r>
      <w:r w:rsidR="007F1B1C" w:rsidRPr="0032312A">
        <w:t xml:space="preserve">Ashbaugh et al. </w:t>
      </w:r>
      <w:r w:rsidR="00522A26" w:rsidRPr="00317F05">
        <w:t>(200</w:t>
      </w:r>
      <w:r w:rsidR="007F1B1C" w:rsidRPr="00317F05">
        <w:t>3</w:t>
      </w:r>
      <w:r w:rsidR="00522A26" w:rsidRPr="00317F05">
        <w:t>)</w:t>
      </w:r>
      <w:bookmarkEnd w:id="24"/>
    </w:p>
    <w:p w:rsidR="00B4554A" w:rsidRDefault="00B4554A" w:rsidP="001330E4">
      <w:pPr>
        <w:spacing w:line="360" w:lineRule="auto"/>
        <w:rPr>
          <w:sz w:val="24"/>
        </w:rPr>
      </w:pPr>
      <w:r w:rsidRPr="00317F05">
        <w:rPr>
          <w:sz w:val="24"/>
          <w:szCs w:val="24"/>
          <w:u w:val="single"/>
        </w:rPr>
        <w:t>Achtergrond</w:t>
      </w:r>
      <w:r w:rsidR="00AE25BB">
        <w:rPr>
          <w:sz w:val="24"/>
          <w:szCs w:val="24"/>
          <w:u w:val="single"/>
        </w:rPr>
        <w:br/>
      </w:r>
      <w:r w:rsidR="00AE25BB">
        <w:rPr>
          <w:sz w:val="24"/>
          <w:szCs w:val="24"/>
        </w:rPr>
        <w:t>Dit artikel is een antwoord op het artikel van Frankel et al. in 2002.</w:t>
      </w:r>
      <w:r w:rsidR="003B5FBD">
        <w:rPr>
          <w:sz w:val="24"/>
          <w:szCs w:val="24"/>
        </w:rPr>
        <w:t xml:space="preserve"> De onderzoekers zijn kritisch over de resultaten en onderzoeksopzet van Frankel</w:t>
      </w:r>
      <w:r w:rsidR="00BE2F10">
        <w:rPr>
          <w:sz w:val="24"/>
          <w:szCs w:val="24"/>
        </w:rPr>
        <w:t xml:space="preserve"> et al</w:t>
      </w:r>
      <w:r w:rsidR="003B5FBD">
        <w:rPr>
          <w:sz w:val="24"/>
          <w:szCs w:val="24"/>
        </w:rPr>
        <w:t xml:space="preserve">. </w:t>
      </w:r>
      <w:r w:rsidR="00590C4D">
        <w:rPr>
          <w:sz w:val="24"/>
          <w:szCs w:val="24"/>
        </w:rPr>
        <w:t xml:space="preserve">Zij menen bijvoorbeeld dat </w:t>
      </w:r>
      <w:r w:rsidR="003B5FBD">
        <w:rPr>
          <w:sz w:val="24"/>
          <w:szCs w:val="24"/>
        </w:rPr>
        <w:t xml:space="preserve"> gekeken moet worden naar de totale provisies aan de accountant, dus </w:t>
      </w:r>
      <w:r w:rsidR="00BE2F10">
        <w:rPr>
          <w:sz w:val="24"/>
          <w:szCs w:val="24"/>
        </w:rPr>
        <w:t xml:space="preserve">provisies voor </w:t>
      </w:r>
      <w:r w:rsidR="003B5FBD">
        <w:rPr>
          <w:sz w:val="24"/>
          <w:szCs w:val="24"/>
        </w:rPr>
        <w:t xml:space="preserve">zowel auditdiensten als niet-auditdiensten, in plaats van de FEERATIO (provisies voor niet-auditdiensten gedeeld door de totale provisies aan de accountant). </w:t>
      </w:r>
      <w:r w:rsidR="00AC6FA9">
        <w:rPr>
          <w:sz w:val="24"/>
          <w:szCs w:val="24"/>
        </w:rPr>
        <w:t xml:space="preserve">De redenering hierachter is dat bij een ratio niet naar </w:t>
      </w:r>
      <w:r w:rsidR="00405A7B">
        <w:rPr>
          <w:sz w:val="24"/>
          <w:szCs w:val="24"/>
        </w:rPr>
        <w:t>de</w:t>
      </w:r>
      <w:r w:rsidR="00AC6FA9">
        <w:rPr>
          <w:sz w:val="24"/>
          <w:szCs w:val="24"/>
        </w:rPr>
        <w:t xml:space="preserve"> economische significantie kan worden gekeken. Een ratio van 73% is hoog, maar dit heeft</w:t>
      </w:r>
      <w:r w:rsidR="0057498F">
        <w:rPr>
          <w:sz w:val="24"/>
          <w:szCs w:val="24"/>
        </w:rPr>
        <w:t xml:space="preserve"> vrijwel</w:t>
      </w:r>
      <w:r w:rsidR="00AC6FA9">
        <w:rPr>
          <w:sz w:val="24"/>
          <w:szCs w:val="24"/>
        </w:rPr>
        <w:t xml:space="preserve"> geen economische betekenis </w:t>
      </w:r>
      <w:r w:rsidR="0057498F">
        <w:rPr>
          <w:sz w:val="24"/>
          <w:szCs w:val="24"/>
        </w:rPr>
        <w:t xml:space="preserve">voor de accountant </w:t>
      </w:r>
      <w:r w:rsidR="00AC6FA9">
        <w:rPr>
          <w:sz w:val="24"/>
          <w:szCs w:val="24"/>
        </w:rPr>
        <w:t xml:space="preserve">wanneer de totale provisies slechts $50.000 zijn. </w:t>
      </w:r>
      <w:r w:rsidR="00511505">
        <w:rPr>
          <w:sz w:val="24"/>
          <w:szCs w:val="24"/>
        </w:rPr>
        <w:br/>
      </w:r>
      <w:r w:rsidR="00511505">
        <w:rPr>
          <w:sz w:val="24"/>
          <w:szCs w:val="24"/>
        </w:rPr>
        <w:br/>
      </w:r>
      <w:r w:rsidR="00BE2F10">
        <w:rPr>
          <w:sz w:val="24"/>
          <w:szCs w:val="24"/>
        </w:rPr>
        <w:t>Daarnaast zijn de onderzoekers van mening dat de resultaten van Frankel et al. gecontroleerd moeten worden op prestaties van ondernemingen.</w:t>
      </w:r>
      <w:r w:rsidR="006804C4">
        <w:rPr>
          <w:sz w:val="24"/>
          <w:szCs w:val="24"/>
        </w:rPr>
        <w:t xml:space="preserve"> Uit onderzoek van Kothari et al. is namelijk gebleken dat prestaties ook i</w:t>
      </w:r>
      <w:r w:rsidR="00120D0D">
        <w:rPr>
          <w:sz w:val="24"/>
          <w:szCs w:val="24"/>
        </w:rPr>
        <w:t>nvloed hebben op de</w:t>
      </w:r>
      <w:r w:rsidR="00E151D0">
        <w:rPr>
          <w:sz w:val="24"/>
          <w:szCs w:val="24"/>
        </w:rPr>
        <w:t xml:space="preserve"> </w:t>
      </w:r>
      <w:r w:rsidR="006804C4">
        <w:rPr>
          <w:sz w:val="24"/>
          <w:szCs w:val="24"/>
        </w:rPr>
        <w:t>accruals</w:t>
      </w:r>
      <w:r w:rsidR="00136DD1">
        <w:rPr>
          <w:sz w:val="24"/>
          <w:szCs w:val="24"/>
        </w:rPr>
        <w:t xml:space="preserve"> (Kothari et al. 2002)</w:t>
      </w:r>
      <w:r w:rsidR="006804C4">
        <w:rPr>
          <w:sz w:val="24"/>
          <w:szCs w:val="24"/>
        </w:rPr>
        <w:t>.</w:t>
      </w:r>
      <w:r w:rsidR="0041082A">
        <w:rPr>
          <w:sz w:val="24"/>
          <w:szCs w:val="24"/>
        </w:rPr>
        <w:br/>
      </w:r>
      <w:r w:rsidR="0041082A">
        <w:rPr>
          <w:sz w:val="24"/>
          <w:szCs w:val="24"/>
        </w:rPr>
        <w:br/>
      </w:r>
      <w:r w:rsidRPr="00317F05">
        <w:rPr>
          <w:sz w:val="24"/>
          <w:szCs w:val="24"/>
          <w:u w:val="single"/>
        </w:rPr>
        <w:t>Werkwijze</w:t>
      </w:r>
      <w:r w:rsidR="0057498F">
        <w:rPr>
          <w:sz w:val="24"/>
          <w:szCs w:val="24"/>
          <w:u w:val="single"/>
        </w:rPr>
        <w:br/>
      </w:r>
      <w:r w:rsidR="0057498F">
        <w:rPr>
          <w:sz w:val="24"/>
          <w:szCs w:val="24"/>
        </w:rPr>
        <w:t>De empirische testen van Frankel et al. worden in dit artikel overgenomen met een aanpassing voor</w:t>
      </w:r>
      <w:r w:rsidR="00E05039">
        <w:rPr>
          <w:sz w:val="24"/>
          <w:szCs w:val="24"/>
        </w:rPr>
        <w:t xml:space="preserve"> de </w:t>
      </w:r>
      <w:r w:rsidR="00664707">
        <w:rPr>
          <w:sz w:val="24"/>
          <w:szCs w:val="24"/>
        </w:rPr>
        <w:t>totale provisies</w:t>
      </w:r>
      <w:r w:rsidR="00E05039">
        <w:rPr>
          <w:sz w:val="24"/>
          <w:szCs w:val="24"/>
        </w:rPr>
        <w:t xml:space="preserve"> en</w:t>
      </w:r>
      <w:r w:rsidR="0057498F">
        <w:rPr>
          <w:sz w:val="24"/>
          <w:szCs w:val="24"/>
        </w:rPr>
        <w:t xml:space="preserve"> </w:t>
      </w:r>
      <w:r w:rsidR="00E05039">
        <w:rPr>
          <w:sz w:val="24"/>
          <w:szCs w:val="24"/>
        </w:rPr>
        <w:t>de prestaties van ondernemingen.</w:t>
      </w:r>
      <w:r w:rsidR="00B82343">
        <w:rPr>
          <w:sz w:val="24"/>
          <w:szCs w:val="24"/>
        </w:rPr>
        <w:t xml:space="preserve"> </w:t>
      </w:r>
      <w:r w:rsidR="00A01D9C">
        <w:rPr>
          <w:sz w:val="24"/>
          <w:szCs w:val="24"/>
        </w:rPr>
        <w:t>Deze aanpassing vindt plaats b</w:t>
      </w:r>
      <w:r w:rsidR="00B82343">
        <w:rPr>
          <w:sz w:val="24"/>
          <w:szCs w:val="24"/>
        </w:rPr>
        <w:t>ij het bepalen</w:t>
      </w:r>
      <w:r w:rsidR="00A01D9C">
        <w:rPr>
          <w:sz w:val="24"/>
          <w:szCs w:val="24"/>
        </w:rPr>
        <w:t xml:space="preserve"> van de discretionaire accruals. </w:t>
      </w:r>
      <w:r w:rsidR="00AC1C4D">
        <w:rPr>
          <w:sz w:val="24"/>
          <w:szCs w:val="24"/>
        </w:rPr>
        <w:t>De onderzoekers hebben twee methodes voorgesteld om dit te bereiken.</w:t>
      </w:r>
      <w:r w:rsidR="00672AC3">
        <w:rPr>
          <w:sz w:val="24"/>
          <w:szCs w:val="24"/>
        </w:rPr>
        <w:t xml:space="preserve"> </w:t>
      </w:r>
      <w:r w:rsidR="00672AC3">
        <w:rPr>
          <w:sz w:val="24"/>
          <w:szCs w:val="24"/>
        </w:rPr>
        <w:br/>
      </w:r>
      <w:r w:rsidR="00672AC3">
        <w:rPr>
          <w:sz w:val="24"/>
          <w:szCs w:val="24"/>
        </w:rPr>
        <w:br/>
        <w:t xml:space="preserve">De eerste methode is de zogenaamde </w:t>
      </w:r>
      <w:r w:rsidR="00672AC3" w:rsidRPr="00672AC3">
        <w:rPr>
          <w:sz w:val="24"/>
          <w:szCs w:val="24"/>
        </w:rPr>
        <w:t>Portfolio Performance Adjusted</w:t>
      </w:r>
      <w:r w:rsidR="00672AC3">
        <w:rPr>
          <w:sz w:val="24"/>
          <w:szCs w:val="24"/>
        </w:rPr>
        <w:t xml:space="preserve"> </w:t>
      </w:r>
      <w:r w:rsidR="00672AC3" w:rsidRPr="00672AC3">
        <w:rPr>
          <w:sz w:val="24"/>
          <w:szCs w:val="24"/>
        </w:rPr>
        <w:t xml:space="preserve">Discretionary Current </w:t>
      </w:r>
      <w:r w:rsidR="00672AC3" w:rsidRPr="00672AC3">
        <w:rPr>
          <w:sz w:val="24"/>
          <w:szCs w:val="24"/>
        </w:rPr>
        <w:lastRenderedPageBreak/>
        <w:t>Accrual</w:t>
      </w:r>
      <w:r w:rsidR="00672AC3">
        <w:rPr>
          <w:sz w:val="24"/>
          <w:szCs w:val="24"/>
        </w:rPr>
        <w:t xml:space="preserve">. </w:t>
      </w:r>
      <w:r w:rsidR="000C746E">
        <w:rPr>
          <w:sz w:val="24"/>
          <w:szCs w:val="24"/>
        </w:rPr>
        <w:t xml:space="preserve">Hierbij worden de discretionaire accruals gecontroleerd voor de prestaties van ondernemingen via een </w:t>
      </w:r>
      <w:r w:rsidR="001B1965">
        <w:rPr>
          <w:sz w:val="24"/>
          <w:szCs w:val="24"/>
        </w:rPr>
        <w:t xml:space="preserve">portfolio techniek. Er wordt onder meer gekeken naar de (vertraagde) totale activa, netto-omzet en </w:t>
      </w:r>
      <w:r w:rsidR="00BE6E78">
        <w:rPr>
          <w:sz w:val="24"/>
          <w:szCs w:val="24"/>
        </w:rPr>
        <w:t>debiteuren. Voor een complete uitleg over de portfolio techniek wordt verwezen naar het artikel zelf</w:t>
      </w:r>
      <w:r w:rsidR="00EE7D0B">
        <w:rPr>
          <w:rStyle w:val="Voetnootmarkering"/>
          <w:sz w:val="24"/>
          <w:szCs w:val="24"/>
        </w:rPr>
        <w:footnoteReference w:id="14"/>
      </w:r>
      <w:r w:rsidR="00EE7D0B">
        <w:rPr>
          <w:sz w:val="24"/>
          <w:szCs w:val="24"/>
        </w:rPr>
        <w:t xml:space="preserve">. </w:t>
      </w:r>
      <w:r w:rsidR="000C746E">
        <w:rPr>
          <w:sz w:val="24"/>
          <w:szCs w:val="24"/>
        </w:rPr>
        <w:br/>
      </w:r>
      <w:r w:rsidR="000C746E">
        <w:rPr>
          <w:sz w:val="24"/>
          <w:szCs w:val="24"/>
        </w:rPr>
        <w:br/>
        <w:t xml:space="preserve">In de tweede methode </w:t>
      </w:r>
      <w:r w:rsidR="00783C96">
        <w:rPr>
          <w:sz w:val="24"/>
          <w:szCs w:val="24"/>
        </w:rPr>
        <w:t xml:space="preserve">volgen de onderzoekers de methode van Kothari et al. door </w:t>
      </w:r>
      <w:r w:rsidR="000C746E">
        <w:rPr>
          <w:sz w:val="24"/>
          <w:szCs w:val="24"/>
        </w:rPr>
        <w:t>een controlerende variabele</w:t>
      </w:r>
      <w:r w:rsidR="008A5B8F">
        <w:rPr>
          <w:sz w:val="24"/>
          <w:szCs w:val="24"/>
        </w:rPr>
        <w:t xml:space="preserve"> voor de prestaties</w:t>
      </w:r>
      <w:r w:rsidR="000C746E">
        <w:rPr>
          <w:sz w:val="24"/>
          <w:szCs w:val="24"/>
        </w:rPr>
        <w:t xml:space="preserve"> aan </w:t>
      </w:r>
      <w:r w:rsidR="00C31BFF">
        <w:rPr>
          <w:sz w:val="24"/>
          <w:szCs w:val="24"/>
        </w:rPr>
        <w:t>het</w:t>
      </w:r>
      <w:r w:rsidR="000C746E">
        <w:rPr>
          <w:sz w:val="24"/>
          <w:szCs w:val="24"/>
        </w:rPr>
        <w:t xml:space="preserve"> regressie model</w:t>
      </w:r>
      <w:r w:rsidR="00783C96">
        <w:rPr>
          <w:sz w:val="24"/>
          <w:szCs w:val="24"/>
        </w:rPr>
        <w:t xml:space="preserve"> toe te voegen</w:t>
      </w:r>
      <w:r w:rsidR="008A5B8F">
        <w:rPr>
          <w:sz w:val="24"/>
          <w:szCs w:val="24"/>
        </w:rPr>
        <w:t>.</w:t>
      </w:r>
      <w:r w:rsidR="00783C96">
        <w:rPr>
          <w:sz w:val="24"/>
          <w:szCs w:val="24"/>
        </w:rPr>
        <w:t xml:space="preserve"> Dit is de </w:t>
      </w:r>
      <w:r w:rsidR="00351466">
        <w:rPr>
          <w:sz w:val="24"/>
          <w:szCs w:val="24"/>
        </w:rPr>
        <w:t xml:space="preserve">vertraagde </w:t>
      </w:r>
      <w:r w:rsidR="00783C96">
        <w:rPr>
          <w:sz w:val="24"/>
          <w:szCs w:val="24"/>
        </w:rPr>
        <w:t xml:space="preserve">variabele </w:t>
      </w:r>
      <w:r w:rsidR="00DB0A1F">
        <w:rPr>
          <w:sz w:val="24"/>
          <w:szCs w:val="24"/>
        </w:rPr>
        <w:t>‘</w:t>
      </w:r>
      <w:r w:rsidR="00783C96">
        <w:rPr>
          <w:sz w:val="24"/>
          <w:szCs w:val="24"/>
        </w:rPr>
        <w:t>rendement op activa</w:t>
      </w:r>
      <w:r w:rsidR="00DB0A1F">
        <w:rPr>
          <w:sz w:val="24"/>
          <w:szCs w:val="24"/>
        </w:rPr>
        <w:t>’</w:t>
      </w:r>
      <w:r w:rsidR="00783C96">
        <w:rPr>
          <w:sz w:val="24"/>
          <w:szCs w:val="24"/>
        </w:rPr>
        <w:t>.</w:t>
      </w:r>
      <w:r w:rsidR="002A3736">
        <w:rPr>
          <w:sz w:val="24"/>
          <w:szCs w:val="24"/>
        </w:rPr>
        <w:t xml:space="preserve"> Het regressie model van Frankel et al. wordt </w:t>
      </w:r>
      <w:r w:rsidR="00757CFF">
        <w:rPr>
          <w:sz w:val="24"/>
          <w:szCs w:val="24"/>
        </w:rPr>
        <w:t>ook in dit artikel gebruikt.</w:t>
      </w:r>
      <w:r w:rsidR="0041082A">
        <w:rPr>
          <w:sz w:val="24"/>
          <w:szCs w:val="24"/>
        </w:rPr>
        <w:br/>
      </w:r>
      <w:r w:rsidR="00590C4D">
        <w:rPr>
          <w:sz w:val="24"/>
          <w:szCs w:val="24"/>
          <w:u w:val="single"/>
        </w:rPr>
        <w:br/>
      </w:r>
      <w:r w:rsidRPr="009A3613">
        <w:rPr>
          <w:sz w:val="24"/>
          <w:szCs w:val="24"/>
          <w:u w:val="single"/>
        </w:rPr>
        <w:t>Conclusie</w:t>
      </w:r>
      <w:r w:rsidR="00424FEE">
        <w:rPr>
          <w:sz w:val="24"/>
          <w:szCs w:val="24"/>
          <w:u w:val="single"/>
        </w:rPr>
        <w:br/>
      </w:r>
      <w:r w:rsidR="001330E4">
        <w:rPr>
          <w:sz w:val="24"/>
        </w:rPr>
        <w:t>De resultaten tonen</w:t>
      </w:r>
      <w:r w:rsidR="00982299">
        <w:rPr>
          <w:sz w:val="24"/>
        </w:rPr>
        <w:t xml:space="preserve"> dat er</w:t>
      </w:r>
      <w:r w:rsidR="001330E4">
        <w:rPr>
          <w:sz w:val="24"/>
        </w:rPr>
        <w:t xml:space="preserve"> </w:t>
      </w:r>
      <w:r w:rsidR="00982299">
        <w:rPr>
          <w:sz w:val="24"/>
        </w:rPr>
        <w:t>geen significante verband bestaat tussen positieve discretionaire</w:t>
      </w:r>
      <w:r w:rsidR="006C4BBE">
        <w:rPr>
          <w:sz w:val="24"/>
        </w:rPr>
        <w:t xml:space="preserve"> accruals en niet-auditdiensten</w:t>
      </w:r>
      <w:r w:rsidR="00652594">
        <w:rPr>
          <w:sz w:val="24"/>
        </w:rPr>
        <w:t>. Ook is het verband niet te vinden voor</w:t>
      </w:r>
      <w:r w:rsidR="0024171D">
        <w:rPr>
          <w:sz w:val="24"/>
        </w:rPr>
        <w:t xml:space="preserve"> gewone</w:t>
      </w:r>
      <w:r w:rsidR="00652594">
        <w:rPr>
          <w:sz w:val="24"/>
        </w:rPr>
        <w:t xml:space="preserve"> auditdiensten of</w:t>
      </w:r>
      <w:r w:rsidR="00386039">
        <w:rPr>
          <w:sz w:val="24"/>
        </w:rPr>
        <w:t xml:space="preserve"> voor</w:t>
      </w:r>
      <w:r w:rsidR="00652594">
        <w:rPr>
          <w:sz w:val="24"/>
        </w:rPr>
        <w:t xml:space="preserve"> totale auditdiensten.</w:t>
      </w:r>
      <w:r w:rsidR="002841A9">
        <w:rPr>
          <w:sz w:val="24"/>
        </w:rPr>
        <w:t xml:space="preserve"> N</w:t>
      </w:r>
      <w:r w:rsidR="006C4BBE">
        <w:rPr>
          <w:sz w:val="24"/>
        </w:rPr>
        <w:t xml:space="preserve">adat er gecontroleerd is voor </w:t>
      </w:r>
      <w:r w:rsidR="002841A9">
        <w:rPr>
          <w:sz w:val="24"/>
        </w:rPr>
        <w:t xml:space="preserve">ondernemingsprestaties blijkt </w:t>
      </w:r>
      <w:r w:rsidR="00861DD7">
        <w:rPr>
          <w:sz w:val="24"/>
        </w:rPr>
        <w:t>dus dat het positieve verband in Frankel et al. verdwenen is.</w:t>
      </w:r>
    </w:p>
    <w:p w:rsidR="00282474" w:rsidRPr="00424FEE" w:rsidRDefault="00B2360D" w:rsidP="001330E4">
      <w:pPr>
        <w:spacing w:line="360" w:lineRule="auto"/>
      </w:pPr>
      <w:r>
        <w:rPr>
          <w:sz w:val="24"/>
        </w:rPr>
        <w:t xml:space="preserve">De onderzoekers menen dat de resultaten van Frankel et al. gevoelig zijn voor de keuze van </w:t>
      </w:r>
      <w:r w:rsidR="00386039">
        <w:rPr>
          <w:sz w:val="24"/>
        </w:rPr>
        <w:t>de</w:t>
      </w:r>
      <w:r>
        <w:rPr>
          <w:sz w:val="24"/>
        </w:rPr>
        <w:t xml:space="preserve"> onderzoeksopzet. Indien er niet </w:t>
      </w:r>
      <w:r w:rsidR="00386039">
        <w:rPr>
          <w:sz w:val="24"/>
        </w:rPr>
        <w:t>werd</w:t>
      </w:r>
      <w:r>
        <w:rPr>
          <w:sz w:val="24"/>
        </w:rPr>
        <w:t xml:space="preserve"> gecontroleerd voor ondernemingsprestaties, dan kregen Ashbaugh et al. ook dezelfde resultaten als die van Frankel et al.</w:t>
      </w:r>
      <w:r w:rsidR="00D60B86">
        <w:rPr>
          <w:sz w:val="24"/>
        </w:rPr>
        <w:br/>
        <w:t>Zie bijlage 2 voor een tabel voor de verschillen tussen Frankel et al. en Ashbaugh et al.</w:t>
      </w:r>
    </w:p>
    <w:p w:rsidR="00522A26" w:rsidRPr="00620A8D" w:rsidRDefault="00F828CC" w:rsidP="00F828CC">
      <w:pPr>
        <w:pStyle w:val="Kop3"/>
      </w:pPr>
      <w:bookmarkStart w:id="25" w:name="_Toc360661897"/>
      <w:r w:rsidRPr="00620A8D">
        <w:t>6</w:t>
      </w:r>
      <w:r w:rsidR="007F1B1C" w:rsidRPr="00620A8D">
        <w:t>.</w:t>
      </w:r>
      <w:r w:rsidR="00523BC1" w:rsidRPr="00620A8D">
        <w:t>3</w:t>
      </w:r>
      <w:r w:rsidRPr="00620A8D">
        <w:t>.</w:t>
      </w:r>
      <w:r w:rsidR="007F1B1C" w:rsidRPr="00620A8D">
        <w:t>3</w:t>
      </w:r>
      <w:r w:rsidR="00522A26" w:rsidRPr="00620A8D">
        <w:t xml:space="preserve"> </w:t>
      </w:r>
      <w:r w:rsidR="00775CB1">
        <w:t>Larcker en Richardson</w:t>
      </w:r>
      <w:r w:rsidR="00522A26" w:rsidRPr="00620A8D">
        <w:t xml:space="preserve"> (200</w:t>
      </w:r>
      <w:r w:rsidR="007F1B1C" w:rsidRPr="00620A8D">
        <w:t>4</w:t>
      </w:r>
      <w:r w:rsidR="00522A26" w:rsidRPr="00620A8D">
        <w:t>)</w:t>
      </w:r>
      <w:bookmarkEnd w:id="25"/>
    </w:p>
    <w:p w:rsidR="00B4554A" w:rsidRPr="00EB3806" w:rsidRDefault="00B4554A" w:rsidP="00B4554A">
      <w:pPr>
        <w:spacing w:line="360" w:lineRule="auto"/>
        <w:rPr>
          <w:sz w:val="24"/>
          <w:szCs w:val="24"/>
        </w:rPr>
      </w:pPr>
      <w:r w:rsidRPr="00E20D62">
        <w:rPr>
          <w:sz w:val="24"/>
          <w:szCs w:val="24"/>
          <w:u w:val="single"/>
        </w:rPr>
        <w:t>Achtergrond</w:t>
      </w:r>
      <w:r w:rsidR="00EB3806">
        <w:rPr>
          <w:sz w:val="24"/>
          <w:szCs w:val="24"/>
          <w:u w:val="single"/>
        </w:rPr>
        <w:br/>
      </w:r>
      <w:r w:rsidR="0026191C">
        <w:rPr>
          <w:sz w:val="24"/>
          <w:szCs w:val="24"/>
        </w:rPr>
        <w:t xml:space="preserve">Het doel van dit artikel is min of meer hetzelfde als die van Ashbaugh et al. Aangezien de resultaten van Frankel et al. voor grote ophef hebben gezorgd in de media willen onderzoekers deze resultaten </w:t>
      </w:r>
      <w:r w:rsidR="00247AB2">
        <w:rPr>
          <w:sz w:val="24"/>
          <w:szCs w:val="24"/>
        </w:rPr>
        <w:t xml:space="preserve">uitdagen en testen of ze blijven kloppen onder verschillende </w:t>
      </w:r>
      <w:r w:rsidR="00940200">
        <w:rPr>
          <w:sz w:val="24"/>
          <w:szCs w:val="24"/>
        </w:rPr>
        <w:t>toetsen</w:t>
      </w:r>
      <w:r w:rsidR="00247AB2">
        <w:rPr>
          <w:sz w:val="24"/>
          <w:szCs w:val="24"/>
        </w:rPr>
        <w:t xml:space="preserve"> en onderzoeksopzet</w:t>
      </w:r>
      <w:r w:rsidR="00BA2DC2">
        <w:rPr>
          <w:sz w:val="24"/>
          <w:szCs w:val="24"/>
        </w:rPr>
        <w:t>ten</w:t>
      </w:r>
      <w:r w:rsidR="004C341F">
        <w:rPr>
          <w:sz w:val="24"/>
          <w:szCs w:val="24"/>
        </w:rPr>
        <w:t>.</w:t>
      </w:r>
      <w:r w:rsidR="00775CB1">
        <w:rPr>
          <w:sz w:val="24"/>
          <w:szCs w:val="24"/>
        </w:rPr>
        <w:br/>
      </w:r>
      <w:r w:rsidR="00775CB1">
        <w:rPr>
          <w:sz w:val="24"/>
          <w:szCs w:val="24"/>
        </w:rPr>
        <w:br/>
      </w:r>
      <w:r w:rsidR="00BA2DC2">
        <w:rPr>
          <w:sz w:val="24"/>
          <w:szCs w:val="24"/>
        </w:rPr>
        <w:t>Dit onderzoek breidt de bestaande literatu</w:t>
      </w:r>
      <w:r w:rsidR="004C341F">
        <w:rPr>
          <w:sz w:val="24"/>
          <w:szCs w:val="24"/>
        </w:rPr>
        <w:t>ur uit in de volgende opzichten. V</w:t>
      </w:r>
      <w:r w:rsidR="00BA2DC2">
        <w:rPr>
          <w:sz w:val="24"/>
          <w:szCs w:val="24"/>
        </w:rPr>
        <w:t xml:space="preserve">oorgaande literatuur hebben geen rekening gehouden met corporate governance in ondernemingen. </w:t>
      </w:r>
      <w:r w:rsidR="004C341F">
        <w:rPr>
          <w:sz w:val="24"/>
          <w:szCs w:val="24"/>
        </w:rPr>
        <w:t xml:space="preserve">Larcker en Richardson menen dat de accountant slechts een deel van het systeem van corporate governance is. In een onderneming zijn </w:t>
      </w:r>
      <w:r w:rsidR="00F334CA">
        <w:rPr>
          <w:sz w:val="24"/>
          <w:szCs w:val="24"/>
        </w:rPr>
        <w:t xml:space="preserve">nog </w:t>
      </w:r>
      <w:r w:rsidR="004C341F">
        <w:rPr>
          <w:sz w:val="24"/>
          <w:szCs w:val="24"/>
        </w:rPr>
        <w:t xml:space="preserve">meer mechanismen </w:t>
      </w:r>
      <w:r w:rsidR="00AB2F7F">
        <w:rPr>
          <w:sz w:val="24"/>
          <w:szCs w:val="24"/>
        </w:rPr>
        <w:t xml:space="preserve">aanwezig </w:t>
      </w:r>
      <w:r w:rsidR="004C341F">
        <w:rPr>
          <w:sz w:val="24"/>
          <w:szCs w:val="24"/>
        </w:rPr>
        <w:t>die</w:t>
      </w:r>
      <w:r w:rsidR="00AB2F7F">
        <w:rPr>
          <w:sz w:val="24"/>
          <w:szCs w:val="24"/>
        </w:rPr>
        <w:t xml:space="preserve"> ook</w:t>
      </w:r>
      <w:r w:rsidR="004C341F">
        <w:rPr>
          <w:sz w:val="24"/>
          <w:szCs w:val="24"/>
        </w:rPr>
        <w:t xml:space="preserve"> </w:t>
      </w:r>
      <w:r w:rsidR="004C341F">
        <w:rPr>
          <w:sz w:val="24"/>
          <w:szCs w:val="24"/>
        </w:rPr>
        <w:lastRenderedPageBreak/>
        <w:t>een invloed hebben op de winstkwaliteit.</w:t>
      </w:r>
      <w:r w:rsidR="00483F96">
        <w:rPr>
          <w:sz w:val="24"/>
          <w:szCs w:val="24"/>
        </w:rPr>
        <w:t xml:space="preserve"> </w:t>
      </w:r>
      <w:r w:rsidR="00263507">
        <w:rPr>
          <w:sz w:val="24"/>
          <w:szCs w:val="24"/>
        </w:rPr>
        <w:t xml:space="preserve">Daarnaast is in de literatuur vaak gebruik gemaakt van een simpele regressiemodel. Antle et al. (zie paragraaf 6.3.1.) zijn hiervan afgeweken met hun simultane vergelijkingen methode. Larcker en Richardson </w:t>
      </w:r>
      <w:r w:rsidR="00114944">
        <w:rPr>
          <w:sz w:val="24"/>
          <w:szCs w:val="24"/>
        </w:rPr>
        <w:t xml:space="preserve">stellen voor om ook een andere methode dan de </w:t>
      </w:r>
      <w:r w:rsidR="00A35FAC">
        <w:rPr>
          <w:sz w:val="24"/>
          <w:szCs w:val="24"/>
        </w:rPr>
        <w:t xml:space="preserve">simpele regressiemodel te nemen, omdat het </w:t>
      </w:r>
      <w:r w:rsidR="001432D5">
        <w:rPr>
          <w:sz w:val="24"/>
          <w:szCs w:val="24"/>
        </w:rPr>
        <w:t>lastig is om daarmee</w:t>
      </w:r>
      <w:r w:rsidR="00A35FAC">
        <w:rPr>
          <w:sz w:val="24"/>
          <w:szCs w:val="24"/>
        </w:rPr>
        <w:t xml:space="preserve"> een adequate voorstelling van de gehele situatie </w:t>
      </w:r>
      <w:r w:rsidR="008A2F8C">
        <w:rPr>
          <w:sz w:val="24"/>
          <w:szCs w:val="24"/>
        </w:rPr>
        <w:t>te</w:t>
      </w:r>
      <w:r w:rsidR="00A35FAC">
        <w:rPr>
          <w:sz w:val="24"/>
          <w:szCs w:val="24"/>
        </w:rPr>
        <w:t xml:space="preserve"> geven.</w:t>
      </w:r>
    </w:p>
    <w:p w:rsidR="0041131A" w:rsidRDefault="00B4554A" w:rsidP="00B4554A">
      <w:pPr>
        <w:spacing w:line="360" w:lineRule="auto"/>
        <w:rPr>
          <w:sz w:val="24"/>
          <w:szCs w:val="24"/>
        </w:rPr>
      </w:pPr>
      <w:r w:rsidRPr="00E20D62">
        <w:rPr>
          <w:sz w:val="24"/>
          <w:szCs w:val="24"/>
          <w:u w:val="single"/>
        </w:rPr>
        <w:t>Werkwijze</w:t>
      </w:r>
      <w:r w:rsidR="00E74964">
        <w:rPr>
          <w:sz w:val="24"/>
          <w:szCs w:val="24"/>
          <w:u w:val="single"/>
        </w:rPr>
        <w:br/>
      </w:r>
      <w:r w:rsidR="00D30672">
        <w:rPr>
          <w:sz w:val="24"/>
          <w:szCs w:val="24"/>
        </w:rPr>
        <w:t xml:space="preserve">De gegevens over de provisies die ondernemingen hebben betaald zijn genomen </w:t>
      </w:r>
      <w:r w:rsidR="00666448">
        <w:rPr>
          <w:sz w:val="24"/>
          <w:szCs w:val="24"/>
        </w:rPr>
        <w:t xml:space="preserve">uit </w:t>
      </w:r>
      <w:r w:rsidR="00794B7F">
        <w:rPr>
          <w:sz w:val="24"/>
          <w:szCs w:val="24"/>
        </w:rPr>
        <w:t>S&amp;P’s dataset.</w:t>
      </w:r>
      <w:r w:rsidR="009D2025">
        <w:rPr>
          <w:sz w:val="24"/>
          <w:szCs w:val="24"/>
        </w:rPr>
        <w:t xml:space="preserve"> Zij hebben ook gebruik gemaakt van de formulieren die ondernemingen moesten invullen naar aanleiding van de SEC’s herziening van regelgeving.</w:t>
      </w:r>
      <w:r w:rsidR="00A24442">
        <w:rPr>
          <w:sz w:val="24"/>
          <w:szCs w:val="24"/>
        </w:rPr>
        <w:t xml:space="preserve"> </w:t>
      </w:r>
      <w:r w:rsidR="00616311">
        <w:rPr>
          <w:sz w:val="24"/>
          <w:szCs w:val="24"/>
        </w:rPr>
        <w:t>In totaal zijn gegevens van 3424 ondernemingen gebruikt voor 5103 observaties.</w:t>
      </w:r>
      <w:r w:rsidR="009F0A23">
        <w:rPr>
          <w:sz w:val="24"/>
          <w:szCs w:val="24"/>
        </w:rPr>
        <w:t xml:space="preserve"> </w:t>
      </w:r>
      <w:r w:rsidR="00695315">
        <w:rPr>
          <w:sz w:val="24"/>
          <w:szCs w:val="24"/>
        </w:rPr>
        <w:br/>
      </w:r>
      <w:r w:rsidR="00695315">
        <w:rPr>
          <w:sz w:val="24"/>
          <w:szCs w:val="24"/>
        </w:rPr>
        <w:br/>
        <w:t xml:space="preserve">De ratio van provisies voor niet-auditdiensten op die van totale auditdiensten wordt in dit artikel niet gebruikt, omdat het de grootte van de provisies niet meerekent. </w:t>
      </w:r>
      <w:r w:rsidR="009A130B">
        <w:rPr>
          <w:sz w:val="24"/>
          <w:szCs w:val="24"/>
        </w:rPr>
        <w:t>Om de grootte wel mee te nemen</w:t>
      </w:r>
      <w:r w:rsidR="002A5BC2">
        <w:rPr>
          <w:sz w:val="24"/>
          <w:szCs w:val="24"/>
        </w:rPr>
        <w:t>,</w:t>
      </w:r>
      <w:r w:rsidR="009A130B">
        <w:rPr>
          <w:sz w:val="24"/>
          <w:szCs w:val="24"/>
        </w:rPr>
        <w:t xml:space="preserve"> hebben de onderzoekers </w:t>
      </w:r>
      <w:r w:rsidR="002E0E43">
        <w:rPr>
          <w:sz w:val="24"/>
          <w:szCs w:val="24"/>
        </w:rPr>
        <w:t xml:space="preserve">gekeken naar de mate van belangrijkheid van de cliënt voor </w:t>
      </w:r>
      <w:r w:rsidR="002C20CA">
        <w:rPr>
          <w:sz w:val="24"/>
          <w:szCs w:val="24"/>
        </w:rPr>
        <w:t>het</w:t>
      </w:r>
      <w:r w:rsidR="002E0E43">
        <w:rPr>
          <w:sz w:val="24"/>
          <w:szCs w:val="24"/>
        </w:rPr>
        <w:t xml:space="preserve"> accountant</w:t>
      </w:r>
      <w:r w:rsidR="002C20CA">
        <w:rPr>
          <w:sz w:val="24"/>
          <w:szCs w:val="24"/>
        </w:rPr>
        <w:t>skantoor.</w:t>
      </w:r>
      <w:r w:rsidR="002E0E43">
        <w:rPr>
          <w:sz w:val="24"/>
          <w:szCs w:val="24"/>
        </w:rPr>
        <w:t xml:space="preserve"> </w:t>
      </w:r>
      <w:r w:rsidR="008A4CB3">
        <w:rPr>
          <w:sz w:val="24"/>
          <w:szCs w:val="24"/>
        </w:rPr>
        <w:t xml:space="preserve">Deze belangrijkheid wordt gemeten aan de hand van een andere ratio. Hier worden de provisies die betaald zijn aan auditdiensten gedeeld door de totale </w:t>
      </w:r>
      <w:r w:rsidR="002C20CA">
        <w:rPr>
          <w:sz w:val="24"/>
          <w:szCs w:val="24"/>
        </w:rPr>
        <w:t>inkomsten van het</w:t>
      </w:r>
      <w:r w:rsidR="008A4CB3">
        <w:rPr>
          <w:sz w:val="24"/>
          <w:szCs w:val="24"/>
        </w:rPr>
        <w:t xml:space="preserve"> accountant</w:t>
      </w:r>
      <w:r w:rsidR="002C20CA">
        <w:rPr>
          <w:sz w:val="24"/>
          <w:szCs w:val="24"/>
        </w:rPr>
        <w:t>skantoor</w:t>
      </w:r>
      <w:r w:rsidR="008A4CB3">
        <w:rPr>
          <w:sz w:val="24"/>
          <w:szCs w:val="24"/>
        </w:rPr>
        <w:t>.</w:t>
      </w:r>
      <w:r w:rsidR="0041131A">
        <w:rPr>
          <w:sz w:val="24"/>
          <w:szCs w:val="24"/>
        </w:rPr>
        <w:t xml:space="preserve"> Dit is geïllustreerd in figuur 4.</w:t>
      </w:r>
    </w:p>
    <w:p w:rsidR="00D412D6" w:rsidRDefault="00D412D6" w:rsidP="00B4554A">
      <w:pPr>
        <w:spacing w:line="360" w:lineRule="auto"/>
        <w:rPr>
          <w:sz w:val="24"/>
          <w:szCs w:val="24"/>
        </w:rPr>
      </w:pPr>
      <w:r>
        <w:rPr>
          <w:noProof/>
          <w:sz w:val="24"/>
          <w:szCs w:val="24"/>
          <w:lang w:eastAsia="nl-NL"/>
        </w:rPr>
        <w:drawing>
          <wp:anchor distT="0" distB="0" distL="114300" distR="114300" simplePos="0" relativeHeight="251663360" behindDoc="0" locked="0" layoutInCell="1" allowOverlap="1">
            <wp:simplePos x="0" y="0"/>
            <wp:positionH relativeFrom="column">
              <wp:posOffset>121226</wp:posOffset>
            </wp:positionH>
            <wp:positionV relativeFrom="paragraph">
              <wp:posOffset>-60690</wp:posOffset>
            </wp:positionV>
            <wp:extent cx="3366135" cy="1020445"/>
            <wp:effectExtent l="0" t="0" r="5715" b="8255"/>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66135" cy="1020445"/>
                    </a:xfrm>
                    <a:prstGeom prst="rect">
                      <a:avLst/>
                    </a:prstGeom>
                    <a:noFill/>
                    <a:ln>
                      <a:noFill/>
                    </a:ln>
                  </pic:spPr>
                </pic:pic>
              </a:graphicData>
            </a:graphic>
          </wp:anchor>
        </w:drawing>
      </w:r>
    </w:p>
    <w:p w:rsidR="0041131A" w:rsidRDefault="0041131A" w:rsidP="00B4554A">
      <w:pPr>
        <w:spacing w:line="360" w:lineRule="auto"/>
        <w:rPr>
          <w:sz w:val="24"/>
          <w:szCs w:val="24"/>
        </w:rPr>
      </w:pPr>
    </w:p>
    <w:p w:rsidR="00B4554A" w:rsidRPr="00E74964" w:rsidRDefault="00D412D6" w:rsidP="00B4554A">
      <w:pPr>
        <w:spacing w:line="360" w:lineRule="auto"/>
        <w:rPr>
          <w:sz w:val="24"/>
          <w:szCs w:val="24"/>
        </w:rPr>
      </w:pPr>
      <w:r>
        <w:rPr>
          <w:sz w:val="24"/>
          <w:szCs w:val="24"/>
        </w:rPr>
        <w:br/>
      </w:r>
      <w:r w:rsidR="0041131A">
        <w:rPr>
          <w:sz w:val="24"/>
          <w:szCs w:val="24"/>
        </w:rPr>
        <w:t>Met de variabele</w:t>
      </w:r>
      <w:r w:rsidR="003F2550">
        <w:rPr>
          <w:sz w:val="24"/>
          <w:szCs w:val="24"/>
        </w:rPr>
        <w:t xml:space="preserve"> </w:t>
      </w:r>
      <w:r w:rsidR="00E73B19">
        <w:rPr>
          <w:sz w:val="24"/>
          <w:szCs w:val="24"/>
        </w:rPr>
        <w:t>‘</w:t>
      </w:r>
      <w:r w:rsidR="002C20CA">
        <w:rPr>
          <w:sz w:val="24"/>
          <w:szCs w:val="24"/>
        </w:rPr>
        <w:t>NONAUDFEE</w:t>
      </w:r>
      <w:r w:rsidR="00E73B19">
        <w:rPr>
          <w:sz w:val="24"/>
          <w:szCs w:val="24"/>
        </w:rPr>
        <w:t>’</w:t>
      </w:r>
      <w:r w:rsidR="0041131A">
        <w:rPr>
          <w:sz w:val="24"/>
          <w:szCs w:val="24"/>
        </w:rPr>
        <w:t xml:space="preserve"> wordt aangegeven dat provisies voor niet-auditdiensten </w:t>
      </w:r>
      <w:r w:rsidR="00AA02FE">
        <w:rPr>
          <w:sz w:val="24"/>
          <w:szCs w:val="24"/>
        </w:rPr>
        <w:t xml:space="preserve">in de </w:t>
      </w:r>
      <w:r w:rsidR="00766E2C">
        <w:rPr>
          <w:sz w:val="24"/>
          <w:szCs w:val="24"/>
        </w:rPr>
        <w:t>teller</w:t>
      </w:r>
      <w:r w:rsidR="00AA02FE">
        <w:rPr>
          <w:sz w:val="24"/>
          <w:szCs w:val="24"/>
        </w:rPr>
        <w:t xml:space="preserve"> van de ratio staat. Bij de variabele </w:t>
      </w:r>
      <w:r w:rsidR="00E73B19">
        <w:rPr>
          <w:sz w:val="24"/>
          <w:szCs w:val="24"/>
        </w:rPr>
        <w:t>‘</w:t>
      </w:r>
      <w:r w:rsidR="00AA02FE">
        <w:rPr>
          <w:sz w:val="24"/>
          <w:szCs w:val="24"/>
        </w:rPr>
        <w:t>TOTFEE</w:t>
      </w:r>
      <w:r w:rsidR="00E73B19">
        <w:rPr>
          <w:sz w:val="24"/>
          <w:szCs w:val="24"/>
        </w:rPr>
        <w:t xml:space="preserve">’ </w:t>
      </w:r>
      <w:r w:rsidR="00AA02FE">
        <w:rPr>
          <w:sz w:val="24"/>
          <w:szCs w:val="24"/>
        </w:rPr>
        <w:t xml:space="preserve">staan </w:t>
      </w:r>
      <w:r w:rsidR="00F656A5">
        <w:rPr>
          <w:sz w:val="24"/>
          <w:szCs w:val="24"/>
        </w:rPr>
        <w:t xml:space="preserve">zowel </w:t>
      </w:r>
      <w:r w:rsidR="00AA02FE">
        <w:rPr>
          <w:sz w:val="24"/>
          <w:szCs w:val="24"/>
        </w:rPr>
        <w:t xml:space="preserve">de provisies voor auditdiensten als niet-auditdiensten in de </w:t>
      </w:r>
      <w:r w:rsidR="00766E2C">
        <w:rPr>
          <w:sz w:val="24"/>
          <w:szCs w:val="24"/>
        </w:rPr>
        <w:t>teller</w:t>
      </w:r>
      <w:r w:rsidR="00AA02FE">
        <w:rPr>
          <w:sz w:val="24"/>
          <w:szCs w:val="24"/>
        </w:rPr>
        <w:t>.</w:t>
      </w:r>
      <w:r w:rsidR="00B80AEB">
        <w:rPr>
          <w:sz w:val="24"/>
          <w:szCs w:val="24"/>
        </w:rPr>
        <w:br/>
      </w:r>
      <w:r w:rsidR="00B80AEB">
        <w:rPr>
          <w:sz w:val="24"/>
          <w:szCs w:val="24"/>
        </w:rPr>
        <w:br/>
      </w:r>
      <w:r w:rsidR="002F0157">
        <w:rPr>
          <w:sz w:val="24"/>
          <w:szCs w:val="24"/>
        </w:rPr>
        <w:t xml:space="preserve">Om de winstkwaliteit te meten is gebruik gemaakt van </w:t>
      </w:r>
      <w:r w:rsidR="006410CD">
        <w:rPr>
          <w:sz w:val="24"/>
          <w:szCs w:val="24"/>
        </w:rPr>
        <w:t xml:space="preserve">het </w:t>
      </w:r>
      <w:r w:rsidR="00FC4030">
        <w:rPr>
          <w:sz w:val="24"/>
          <w:szCs w:val="24"/>
        </w:rPr>
        <w:t xml:space="preserve">gemodificeerde Jones model van DeFond en Subramanyam in </w:t>
      </w:r>
      <w:r w:rsidR="008C2FE7">
        <w:rPr>
          <w:sz w:val="24"/>
          <w:szCs w:val="24"/>
        </w:rPr>
        <w:t>1998 (DeFond en Subramanyam, 1998).</w:t>
      </w:r>
      <w:r w:rsidR="005C7640">
        <w:rPr>
          <w:sz w:val="24"/>
          <w:szCs w:val="24"/>
        </w:rPr>
        <w:t xml:space="preserve"> In dit model is de aanname gemaakt dat de verandering in inkomsten minu</w:t>
      </w:r>
      <w:r w:rsidR="00DE7484">
        <w:rPr>
          <w:sz w:val="24"/>
          <w:szCs w:val="24"/>
        </w:rPr>
        <w:t>s de verandering in crediteuren</w:t>
      </w:r>
      <w:r w:rsidR="005C7640">
        <w:rPr>
          <w:sz w:val="24"/>
          <w:szCs w:val="24"/>
        </w:rPr>
        <w:t xml:space="preserve"> niet beïnvloed kan worden door de managers in de onderneming. Met andere woorden bestaat het discretionaire deel van de accruals uit de verandering in de crediteurenpost.</w:t>
      </w:r>
      <w:r w:rsidR="008D4202">
        <w:rPr>
          <w:sz w:val="24"/>
          <w:szCs w:val="24"/>
        </w:rPr>
        <w:t xml:space="preserve"> Daarnaast zijn door Larcker en Richardson nog twee extra variabelen geïntroduceerd, </w:t>
      </w:r>
      <w:r w:rsidR="00144E64">
        <w:rPr>
          <w:sz w:val="24"/>
          <w:szCs w:val="24"/>
        </w:rPr>
        <w:t xml:space="preserve">de </w:t>
      </w:r>
      <w:r w:rsidR="00144E64">
        <w:rPr>
          <w:sz w:val="24"/>
          <w:szCs w:val="24"/>
        </w:rPr>
        <w:lastRenderedPageBreak/>
        <w:t>book-to-market ratio</w:t>
      </w:r>
      <w:r w:rsidR="00321D6A">
        <w:rPr>
          <w:rStyle w:val="Voetnootmarkering"/>
          <w:sz w:val="24"/>
          <w:szCs w:val="24"/>
        </w:rPr>
        <w:footnoteReference w:id="15"/>
      </w:r>
      <w:r w:rsidR="00144E64">
        <w:rPr>
          <w:sz w:val="24"/>
          <w:szCs w:val="24"/>
        </w:rPr>
        <w:t xml:space="preserve"> en de kasstromen uit operationele activiteiten.</w:t>
      </w:r>
      <w:r w:rsidR="0018411A">
        <w:rPr>
          <w:sz w:val="24"/>
          <w:szCs w:val="24"/>
        </w:rPr>
        <w:t xml:space="preserve"> </w:t>
      </w:r>
      <w:r w:rsidR="0018411A">
        <w:rPr>
          <w:sz w:val="24"/>
          <w:szCs w:val="24"/>
        </w:rPr>
        <w:br/>
      </w:r>
      <w:r w:rsidR="0018411A">
        <w:rPr>
          <w:sz w:val="24"/>
          <w:szCs w:val="24"/>
        </w:rPr>
        <w:br/>
        <w:t xml:space="preserve">Voor de </w:t>
      </w:r>
      <w:r w:rsidR="002F38C5">
        <w:rPr>
          <w:sz w:val="24"/>
          <w:szCs w:val="24"/>
        </w:rPr>
        <w:t xml:space="preserve">mate van </w:t>
      </w:r>
      <w:r w:rsidR="0018411A">
        <w:rPr>
          <w:sz w:val="24"/>
          <w:szCs w:val="24"/>
        </w:rPr>
        <w:t xml:space="preserve">corporate governance is </w:t>
      </w:r>
      <w:r w:rsidR="00F827CC">
        <w:rPr>
          <w:sz w:val="24"/>
          <w:szCs w:val="24"/>
        </w:rPr>
        <w:t xml:space="preserve">gekeken </w:t>
      </w:r>
      <w:r w:rsidR="00CE7E43">
        <w:rPr>
          <w:sz w:val="24"/>
          <w:szCs w:val="24"/>
        </w:rPr>
        <w:t xml:space="preserve">of de onderneming aandelen </w:t>
      </w:r>
      <w:r w:rsidR="00E6182C">
        <w:rPr>
          <w:sz w:val="24"/>
          <w:szCs w:val="24"/>
        </w:rPr>
        <w:t xml:space="preserve">heeft </w:t>
      </w:r>
      <w:r w:rsidR="00CE7E43">
        <w:rPr>
          <w:sz w:val="24"/>
          <w:szCs w:val="24"/>
        </w:rPr>
        <w:t xml:space="preserve">die in handen zijn van instituten </w:t>
      </w:r>
      <w:r w:rsidR="00DE7484">
        <w:rPr>
          <w:sz w:val="24"/>
          <w:szCs w:val="24"/>
        </w:rPr>
        <w:t>of van insiders.</w:t>
      </w:r>
      <w:r w:rsidR="002F38C5">
        <w:rPr>
          <w:sz w:val="24"/>
          <w:szCs w:val="24"/>
        </w:rPr>
        <w:t xml:space="preserve"> </w:t>
      </w:r>
      <w:r w:rsidR="00DE7484">
        <w:rPr>
          <w:sz w:val="24"/>
          <w:szCs w:val="24"/>
        </w:rPr>
        <w:t>H</w:t>
      </w:r>
      <w:r w:rsidR="002F38C5">
        <w:rPr>
          <w:sz w:val="24"/>
          <w:szCs w:val="24"/>
        </w:rPr>
        <w:t>ierbij volgen ze eerdere onderzoeken</w:t>
      </w:r>
      <w:r w:rsidR="00675BA3">
        <w:rPr>
          <w:sz w:val="24"/>
          <w:szCs w:val="24"/>
        </w:rPr>
        <w:t xml:space="preserve"> zoals die van Schleifer en Vishny</w:t>
      </w:r>
      <w:r w:rsidR="002F38C5">
        <w:rPr>
          <w:sz w:val="24"/>
          <w:szCs w:val="24"/>
        </w:rPr>
        <w:t xml:space="preserve"> </w:t>
      </w:r>
      <w:r w:rsidR="002F38C5" w:rsidRPr="002F38C5">
        <w:rPr>
          <w:sz w:val="24"/>
          <w:szCs w:val="24"/>
        </w:rPr>
        <w:t xml:space="preserve">(Shleifer </w:t>
      </w:r>
      <w:r w:rsidR="002F38C5">
        <w:rPr>
          <w:sz w:val="24"/>
          <w:szCs w:val="24"/>
        </w:rPr>
        <w:t>en</w:t>
      </w:r>
      <w:r w:rsidR="002F38C5" w:rsidRPr="002F38C5">
        <w:rPr>
          <w:sz w:val="24"/>
          <w:szCs w:val="24"/>
        </w:rPr>
        <w:t xml:space="preserve"> Vishny</w:t>
      </w:r>
      <w:r w:rsidR="002F38C5">
        <w:rPr>
          <w:sz w:val="24"/>
          <w:szCs w:val="24"/>
        </w:rPr>
        <w:t>, 1997).</w:t>
      </w:r>
      <w:r w:rsidR="00D23624">
        <w:rPr>
          <w:sz w:val="24"/>
          <w:szCs w:val="24"/>
        </w:rPr>
        <w:t xml:space="preserve"> </w:t>
      </w:r>
      <w:r w:rsidR="002F38C5">
        <w:rPr>
          <w:sz w:val="24"/>
          <w:szCs w:val="24"/>
        </w:rPr>
        <w:t>Ook is de compositie van het bestuur meegenomen</w:t>
      </w:r>
      <w:r w:rsidR="00BC4D14">
        <w:rPr>
          <w:sz w:val="24"/>
          <w:szCs w:val="24"/>
        </w:rPr>
        <w:t xml:space="preserve"> in het </w:t>
      </w:r>
      <w:r w:rsidR="00177340">
        <w:rPr>
          <w:sz w:val="24"/>
          <w:szCs w:val="24"/>
        </w:rPr>
        <w:t>model</w:t>
      </w:r>
      <w:r w:rsidR="002F38C5">
        <w:rPr>
          <w:sz w:val="24"/>
          <w:szCs w:val="24"/>
        </w:rPr>
        <w:t xml:space="preserve">. </w:t>
      </w:r>
      <w:r w:rsidR="00BC4D14">
        <w:rPr>
          <w:sz w:val="24"/>
          <w:szCs w:val="24"/>
        </w:rPr>
        <w:t>Indien een bestuur meer outside directors</w:t>
      </w:r>
      <w:r w:rsidR="00AC6A1A">
        <w:rPr>
          <w:rStyle w:val="Voetnootmarkering"/>
          <w:sz w:val="24"/>
          <w:szCs w:val="24"/>
        </w:rPr>
        <w:footnoteReference w:id="16"/>
      </w:r>
      <w:r w:rsidR="00BC4D14">
        <w:rPr>
          <w:sz w:val="24"/>
          <w:szCs w:val="24"/>
        </w:rPr>
        <w:t xml:space="preserve"> he</w:t>
      </w:r>
      <w:r w:rsidR="00AC6A1A">
        <w:rPr>
          <w:sz w:val="24"/>
          <w:szCs w:val="24"/>
        </w:rPr>
        <w:t>eft</w:t>
      </w:r>
      <w:r w:rsidR="00A53113">
        <w:rPr>
          <w:sz w:val="24"/>
          <w:szCs w:val="24"/>
        </w:rPr>
        <w:t>, dan rapporteert de onderneming een hogere winstkwaliteit (Dechow et al., 1996).</w:t>
      </w:r>
      <w:r w:rsidR="00881140">
        <w:rPr>
          <w:sz w:val="24"/>
          <w:szCs w:val="24"/>
        </w:rPr>
        <w:t xml:space="preserve"> Uiteindelijk wordt alles berekend aan de hand van een latente klasse model. Er wordt gebruik gemaakt van latente variabelen die de onderlinge samenhang </w:t>
      </w:r>
      <w:r w:rsidR="00EE6D9E">
        <w:rPr>
          <w:sz w:val="24"/>
          <w:szCs w:val="24"/>
        </w:rPr>
        <w:t xml:space="preserve">van de variabelen </w:t>
      </w:r>
      <w:r w:rsidR="00881140">
        <w:rPr>
          <w:sz w:val="24"/>
          <w:szCs w:val="24"/>
        </w:rPr>
        <w:t>weergeven.</w:t>
      </w:r>
      <w:r w:rsidR="006B7C88">
        <w:rPr>
          <w:sz w:val="24"/>
          <w:szCs w:val="24"/>
        </w:rPr>
        <w:t xml:space="preserve"> </w:t>
      </w:r>
    </w:p>
    <w:p w:rsidR="001B56AD" w:rsidRPr="00AD6A6D" w:rsidRDefault="00B4554A" w:rsidP="004A093C">
      <w:pPr>
        <w:spacing w:line="360" w:lineRule="auto"/>
        <w:rPr>
          <w:highlight w:val="magenta"/>
        </w:rPr>
      </w:pPr>
      <w:r>
        <w:rPr>
          <w:sz w:val="24"/>
          <w:szCs w:val="24"/>
          <w:u w:val="single"/>
        </w:rPr>
        <w:t>Conclusie</w:t>
      </w:r>
      <w:r w:rsidR="00AB7DFF">
        <w:rPr>
          <w:sz w:val="24"/>
          <w:szCs w:val="24"/>
          <w:u w:val="single"/>
        </w:rPr>
        <w:br/>
      </w:r>
      <w:r w:rsidR="009E667F">
        <w:rPr>
          <w:sz w:val="24"/>
          <w:szCs w:val="24"/>
        </w:rPr>
        <w:t>Uit het onderzoek blijkt dat er een substantiële correlatie is tussen NONAUDFEE en TOTFEE. De resultaten voor deze twee variabelen zijn dus ook vrijwel hetzelfde.</w:t>
      </w:r>
      <w:r w:rsidR="00E13643">
        <w:rPr>
          <w:sz w:val="24"/>
          <w:szCs w:val="24"/>
        </w:rPr>
        <w:t xml:space="preserve"> Er is geen significant positieve relatie tussen de provisies die betaald zijn aan accountants en de</w:t>
      </w:r>
      <w:r w:rsidR="00387716">
        <w:rPr>
          <w:sz w:val="24"/>
          <w:szCs w:val="24"/>
        </w:rPr>
        <w:t xml:space="preserve"> discretionaire</w:t>
      </w:r>
      <w:r w:rsidR="00E13643">
        <w:rPr>
          <w:sz w:val="24"/>
          <w:szCs w:val="24"/>
        </w:rPr>
        <w:t xml:space="preserve"> accruals.</w:t>
      </w:r>
      <w:r w:rsidR="00A93E1F">
        <w:rPr>
          <w:sz w:val="24"/>
          <w:szCs w:val="24"/>
        </w:rPr>
        <w:t xml:space="preserve"> Dit is anders wanneer de ratio van provisies voor niet-auditdiensten gedeeld door totale provisies </w:t>
      </w:r>
      <w:r w:rsidR="00BD0DC4">
        <w:rPr>
          <w:sz w:val="24"/>
          <w:szCs w:val="24"/>
        </w:rPr>
        <w:t xml:space="preserve">wordt gebruikt </w:t>
      </w:r>
      <w:r w:rsidR="00A93E1F">
        <w:rPr>
          <w:sz w:val="24"/>
          <w:szCs w:val="24"/>
        </w:rPr>
        <w:t>(de FEERATIO van Frankel et al.)</w:t>
      </w:r>
      <w:r w:rsidR="005D1C97">
        <w:rPr>
          <w:sz w:val="24"/>
          <w:szCs w:val="24"/>
        </w:rPr>
        <w:t xml:space="preserve"> In dat geval is er wel een significant positieve relatie.</w:t>
      </w:r>
      <w:r w:rsidR="00BD0DC4">
        <w:rPr>
          <w:sz w:val="24"/>
          <w:szCs w:val="24"/>
        </w:rPr>
        <w:br/>
      </w:r>
      <w:r w:rsidR="00BD0DC4">
        <w:rPr>
          <w:sz w:val="24"/>
          <w:szCs w:val="24"/>
        </w:rPr>
        <w:br/>
      </w:r>
      <w:r w:rsidR="00270808">
        <w:rPr>
          <w:sz w:val="24"/>
          <w:szCs w:val="24"/>
        </w:rPr>
        <w:t>Uit het latente klasse model blijkt dat er wel een significant positieve relatie</w:t>
      </w:r>
      <w:r w:rsidR="00030261">
        <w:rPr>
          <w:sz w:val="24"/>
          <w:szCs w:val="24"/>
        </w:rPr>
        <w:t xml:space="preserve"> te vinden</w:t>
      </w:r>
      <w:r w:rsidR="00270808">
        <w:rPr>
          <w:sz w:val="24"/>
          <w:szCs w:val="24"/>
        </w:rPr>
        <w:t xml:space="preserve"> </w:t>
      </w:r>
      <w:r w:rsidR="00BD0DC4">
        <w:rPr>
          <w:sz w:val="24"/>
          <w:szCs w:val="24"/>
        </w:rPr>
        <w:t xml:space="preserve">is voor </w:t>
      </w:r>
      <w:r w:rsidR="00C70A6C">
        <w:rPr>
          <w:sz w:val="24"/>
          <w:szCs w:val="24"/>
        </w:rPr>
        <w:t xml:space="preserve">een kleine groep ondernemingen. Ze zijn </w:t>
      </w:r>
      <w:r w:rsidR="00103890">
        <w:rPr>
          <w:sz w:val="24"/>
          <w:szCs w:val="24"/>
        </w:rPr>
        <w:t xml:space="preserve">echter </w:t>
      </w:r>
      <w:r w:rsidR="00C70A6C">
        <w:rPr>
          <w:sz w:val="24"/>
          <w:szCs w:val="24"/>
        </w:rPr>
        <w:t>slechts</w:t>
      </w:r>
      <w:r w:rsidR="003842E1">
        <w:rPr>
          <w:sz w:val="24"/>
          <w:szCs w:val="24"/>
        </w:rPr>
        <w:t xml:space="preserve"> ongeveer</w:t>
      </w:r>
      <w:r w:rsidR="00C70A6C">
        <w:rPr>
          <w:sz w:val="24"/>
          <w:szCs w:val="24"/>
        </w:rPr>
        <w:t xml:space="preserve"> </w:t>
      </w:r>
      <w:r w:rsidR="00863BEF">
        <w:rPr>
          <w:sz w:val="24"/>
          <w:szCs w:val="24"/>
        </w:rPr>
        <w:t>8</w:t>
      </w:r>
      <w:r w:rsidR="00C70A6C">
        <w:rPr>
          <w:sz w:val="24"/>
          <w:szCs w:val="24"/>
        </w:rPr>
        <w:t>,5% van de totale ondernemingen</w:t>
      </w:r>
      <w:r w:rsidR="0006577B">
        <w:rPr>
          <w:sz w:val="24"/>
          <w:szCs w:val="24"/>
        </w:rPr>
        <w:t xml:space="preserve"> en hebben dezelfde kenmerken. </w:t>
      </w:r>
      <w:r w:rsidR="00637E03">
        <w:rPr>
          <w:sz w:val="24"/>
          <w:szCs w:val="24"/>
        </w:rPr>
        <w:t>Vergeleken met de andere clusters hebben ze een kleine beurswaarde, lagere book-to-</w:t>
      </w:r>
      <w:r w:rsidR="002C63E5">
        <w:rPr>
          <w:sz w:val="24"/>
          <w:szCs w:val="24"/>
        </w:rPr>
        <w:t xml:space="preserve">market ratio en minder aandelen in handen van instituten. Bij dergelijke ondernemingen speelt corporate governance </w:t>
      </w:r>
      <w:r w:rsidR="0063170C">
        <w:rPr>
          <w:sz w:val="24"/>
          <w:szCs w:val="24"/>
        </w:rPr>
        <w:t xml:space="preserve">ook </w:t>
      </w:r>
      <w:r w:rsidR="002C63E5">
        <w:rPr>
          <w:sz w:val="24"/>
          <w:szCs w:val="24"/>
        </w:rPr>
        <w:t xml:space="preserve">een rol </w:t>
      </w:r>
      <w:r w:rsidR="008F0F76">
        <w:rPr>
          <w:sz w:val="24"/>
          <w:szCs w:val="24"/>
        </w:rPr>
        <w:t xml:space="preserve">bij het bepalen </w:t>
      </w:r>
      <w:r w:rsidR="004D5C36">
        <w:rPr>
          <w:sz w:val="24"/>
          <w:szCs w:val="24"/>
        </w:rPr>
        <w:t>van de discretionaire accruals</w:t>
      </w:r>
      <w:r w:rsidR="005C72DB">
        <w:rPr>
          <w:sz w:val="24"/>
          <w:szCs w:val="24"/>
        </w:rPr>
        <w:t xml:space="preserve">. </w:t>
      </w:r>
      <w:r w:rsidR="004A093C">
        <w:rPr>
          <w:sz w:val="24"/>
          <w:szCs w:val="24"/>
        </w:rPr>
        <w:t xml:space="preserve">Ze kunnen bijvoorbeeld hogere discretionaire accruals op de jaarrekening laten zien, omdat niemand van het bestuur daar bezwaren mee heeft. </w:t>
      </w:r>
    </w:p>
    <w:p w:rsidR="00522A26" w:rsidRDefault="00F828CC" w:rsidP="00F828CC">
      <w:pPr>
        <w:pStyle w:val="Kop3"/>
      </w:pPr>
      <w:bookmarkStart w:id="26" w:name="_Toc360661898"/>
      <w:r w:rsidRPr="004A2168">
        <w:t>6</w:t>
      </w:r>
      <w:r w:rsidR="007F1B1C" w:rsidRPr="004A2168">
        <w:t>.</w:t>
      </w:r>
      <w:r w:rsidR="00523BC1">
        <w:t>3</w:t>
      </w:r>
      <w:r w:rsidRPr="004A2168">
        <w:t>.</w:t>
      </w:r>
      <w:r w:rsidR="007F1B1C" w:rsidRPr="004A2168">
        <w:t>4</w:t>
      </w:r>
      <w:r w:rsidR="00522A26" w:rsidRPr="004A2168">
        <w:t xml:space="preserve"> </w:t>
      </w:r>
      <w:r w:rsidR="007F1B1C" w:rsidRPr="004A2168">
        <w:t>Mitra, S. (2007</w:t>
      </w:r>
      <w:r w:rsidR="00522A26" w:rsidRPr="004A2168">
        <w:t>)</w:t>
      </w:r>
      <w:bookmarkEnd w:id="26"/>
    </w:p>
    <w:p w:rsidR="00B2732E" w:rsidRPr="00E853F3" w:rsidRDefault="00B4554A" w:rsidP="00B2732E">
      <w:pPr>
        <w:spacing w:line="360" w:lineRule="auto"/>
        <w:rPr>
          <w:sz w:val="24"/>
          <w:szCs w:val="24"/>
        </w:rPr>
      </w:pPr>
      <w:r w:rsidRPr="00E20D62">
        <w:rPr>
          <w:sz w:val="24"/>
          <w:szCs w:val="24"/>
          <w:u w:val="single"/>
        </w:rPr>
        <w:t>Achtergrond</w:t>
      </w:r>
      <w:r w:rsidR="004A093C">
        <w:rPr>
          <w:sz w:val="24"/>
          <w:szCs w:val="24"/>
          <w:u w:val="single"/>
        </w:rPr>
        <w:br/>
      </w:r>
      <w:r w:rsidR="00EE0C81">
        <w:rPr>
          <w:sz w:val="24"/>
          <w:szCs w:val="24"/>
        </w:rPr>
        <w:t>Dit artikel behandelt de vraag over onafhankelijkheid van de accountant in de olie en gas industrie.</w:t>
      </w:r>
      <w:r w:rsidR="006A09EA">
        <w:rPr>
          <w:sz w:val="24"/>
          <w:szCs w:val="24"/>
        </w:rPr>
        <w:t xml:space="preserve"> Er is voor slechts één industrie gekozen zodat industrie gerelateerde effecten geen </w:t>
      </w:r>
      <w:r w:rsidR="006A09EA">
        <w:rPr>
          <w:sz w:val="24"/>
          <w:szCs w:val="24"/>
        </w:rPr>
        <w:lastRenderedPageBreak/>
        <w:t>invloed hebben op de resultaten.</w:t>
      </w:r>
      <w:r w:rsidR="00E94880">
        <w:rPr>
          <w:sz w:val="24"/>
          <w:szCs w:val="24"/>
        </w:rPr>
        <w:t xml:space="preserve"> In eerdere onderzoeken zijn meestal alle on</w:t>
      </w:r>
      <w:r w:rsidR="00AF1C26">
        <w:rPr>
          <w:sz w:val="24"/>
          <w:szCs w:val="24"/>
        </w:rPr>
        <w:t xml:space="preserve">dernemingen op een hoop gegooid, zie bijvoorbeeld de </w:t>
      </w:r>
      <w:r w:rsidR="001F7993">
        <w:rPr>
          <w:sz w:val="24"/>
          <w:szCs w:val="24"/>
        </w:rPr>
        <w:t xml:space="preserve">bovengenoemde </w:t>
      </w:r>
      <w:r w:rsidR="00AF1C26">
        <w:rPr>
          <w:sz w:val="24"/>
          <w:szCs w:val="24"/>
        </w:rPr>
        <w:t>onderzoeken in deze scriptie.</w:t>
      </w:r>
      <w:r w:rsidR="00776B36">
        <w:rPr>
          <w:sz w:val="24"/>
          <w:szCs w:val="24"/>
        </w:rPr>
        <w:t xml:space="preserve"> </w:t>
      </w:r>
      <w:r w:rsidR="00565EFF">
        <w:rPr>
          <w:sz w:val="24"/>
          <w:szCs w:val="24"/>
        </w:rPr>
        <w:t>Verder is voor de olie en gas industrie gekozen, omdat heel veel dingen onzeker zijn in deze industrie. Er zijn veel risico</w:t>
      </w:r>
      <w:r w:rsidR="00792E1A">
        <w:rPr>
          <w:sz w:val="24"/>
          <w:szCs w:val="24"/>
        </w:rPr>
        <w:t>’</w:t>
      </w:r>
      <w:r w:rsidR="00565EFF">
        <w:rPr>
          <w:sz w:val="24"/>
          <w:szCs w:val="24"/>
        </w:rPr>
        <w:t xml:space="preserve">s </w:t>
      </w:r>
      <w:r w:rsidR="00792E1A">
        <w:rPr>
          <w:sz w:val="24"/>
          <w:szCs w:val="24"/>
        </w:rPr>
        <w:t>over mogelijke</w:t>
      </w:r>
      <w:r w:rsidR="00565EFF">
        <w:rPr>
          <w:sz w:val="24"/>
          <w:szCs w:val="24"/>
        </w:rPr>
        <w:t xml:space="preserve"> olievondsten en</w:t>
      </w:r>
      <w:r w:rsidR="00C057FA">
        <w:rPr>
          <w:sz w:val="24"/>
          <w:szCs w:val="24"/>
        </w:rPr>
        <w:t xml:space="preserve"> de</w:t>
      </w:r>
      <w:r w:rsidR="00565EFF">
        <w:rPr>
          <w:sz w:val="24"/>
          <w:szCs w:val="24"/>
        </w:rPr>
        <w:t xml:space="preserve"> </w:t>
      </w:r>
      <w:r w:rsidR="00BB70C9">
        <w:rPr>
          <w:sz w:val="24"/>
          <w:szCs w:val="24"/>
        </w:rPr>
        <w:t>volatiele</w:t>
      </w:r>
      <w:r w:rsidR="00565EFF">
        <w:rPr>
          <w:sz w:val="24"/>
          <w:szCs w:val="24"/>
        </w:rPr>
        <w:t xml:space="preserve"> </w:t>
      </w:r>
      <w:r w:rsidR="00C057FA">
        <w:rPr>
          <w:sz w:val="24"/>
          <w:szCs w:val="24"/>
        </w:rPr>
        <w:t xml:space="preserve">olieprijzen kunnen onverwachts </w:t>
      </w:r>
      <w:r w:rsidR="00FB6C68">
        <w:rPr>
          <w:sz w:val="24"/>
          <w:szCs w:val="24"/>
        </w:rPr>
        <w:t>een piek laten zien.</w:t>
      </w:r>
      <w:r w:rsidR="00D152D1">
        <w:rPr>
          <w:sz w:val="24"/>
          <w:szCs w:val="24"/>
        </w:rPr>
        <w:br/>
      </w:r>
      <w:r w:rsidR="00D152D1">
        <w:rPr>
          <w:sz w:val="24"/>
          <w:szCs w:val="24"/>
        </w:rPr>
        <w:br/>
      </w:r>
      <w:r w:rsidR="00E55436">
        <w:rPr>
          <w:sz w:val="24"/>
          <w:szCs w:val="24"/>
        </w:rPr>
        <w:t xml:space="preserve">Aangezien de gas en olie industrie zo uniek is, </w:t>
      </w:r>
      <w:r w:rsidR="00D4562C">
        <w:rPr>
          <w:sz w:val="24"/>
          <w:szCs w:val="24"/>
        </w:rPr>
        <w:t>worden</w:t>
      </w:r>
      <w:r w:rsidR="00E55436">
        <w:rPr>
          <w:sz w:val="24"/>
          <w:szCs w:val="24"/>
        </w:rPr>
        <w:t xml:space="preserve"> accountants soms </w:t>
      </w:r>
      <w:r w:rsidR="00D4562C">
        <w:rPr>
          <w:sz w:val="24"/>
          <w:szCs w:val="24"/>
        </w:rPr>
        <w:t xml:space="preserve">voor </w:t>
      </w:r>
      <w:r w:rsidR="00E55436">
        <w:rPr>
          <w:sz w:val="24"/>
          <w:szCs w:val="24"/>
        </w:rPr>
        <w:t xml:space="preserve">extra hulpverlening </w:t>
      </w:r>
      <w:r w:rsidR="00D4562C">
        <w:rPr>
          <w:sz w:val="24"/>
          <w:szCs w:val="24"/>
        </w:rPr>
        <w:t>gevraagd</w:t>
      </w:r>
      <w:r w:rsidR="00E55436">
        <w:rPr>
          <w:sz w:val="24"/>
          <w:szCs w:val="24"/>
        </w:rPr>
        <w:t>.</w:t>
      </w:r>
      <w:r w:rsidR="008E32D8">
        <w:rPr>
          <w:sz w:val="24"/>
          <w:szCs w:val="24"/>
        </w:rPr>
        <w:t xml:space="preserve"> Accountants</w:t>
      </w:r>
      <w:r w:rsidR="001B2D67">
        <w:rPr>
          <w:sz w:val="24"/>
          <w:szCs w:val="24"/>
        </w:rPr>
        <w:t xml:space="preserve"> kunnen hun specifieke kennis over deze industrie</w:t>
      </w:r>
      <w:r w:rsidR="00B47EB7">
        <w:rPr>
          <w:sz w:val="24"/>
          <w:szCs w:val="24"/>
        </w:rPr>
        <w:t xml:space="preserve"> dan</w:t>
      </w:r>
      <w:r w:rsidR="001B2D67">
        <w:rPr>
          <w:sz w:val="24"/>
          <w:szCs w:val="24"/>
        </w:rPr>
        <w:t xml:space="preserve"> gebruiken om hun cliënt te helpen.</w:t>
      </w:r>
      <w:r w:rsidR="00DE11AC">
        <w:rPr>
          <w:sz w:val="24"/>
          <w:szCs w:val="24"/>
        </w:rPr>
        <w:t xml:space="preserve"> In zulke gevallen hoeven niet-auditdiensten niet altijd te leiden tot een lagere onafhankelijkheid van de accountant.</w:t>
      </w:r>
      <w:r w:rsidR="002723DF">
        <w:rPr>
          <w:sz w:val="24"/>
          <w:szCs w:val="24"/>
        </w:rPr>
        <w:t xml:space="preserve"> </w:t>
      </w:r>
      <w:r w:rsidR="008E32D8">
        <w:rPr>
          <w:sz w:val="24"/>
          <w:szCs w:val="24"/>
        </w:rPr>
        <w:t>Het is vanuit een praktisch belang dat de accountant haar kennis over de industrie kan toepassen en niet uit een economisch belang.</w:t>
      </w:r>
      <w:r w:rsidR="003F5973">
        <w:rPr>
          <w:sz w:val="24"/>
          <w:szCs w:val="24"/>
        </w:rPr>
        <w:t xml:space="preserve"> Het gevaar blijft nog echter bestaan d</w:t>
      </w:r>
      <w:r w:rsidR="00AF37B9">
        <w:rPr>
          <w:sz w:val="24"/>
          <w:szCs w:val="24"/>
        </w:rPr>
        <w:t>at de accountant meer geneigd is om een oog dicht te doen ti</w:t>
      </w:r>
      <w:r w:rsidR="00801D40">
        <w:rPr>
          <w:sz w:val="24"/>
          <w:szCs w:val="24"/>
        </w:rPr>
        <w:t xml:space="preserve">jdens het auditproces, omdat ze hun provisies voor de niet-auditdiensten niet </w:t>
      </w:r>
      <w:r w:rsidR="00934843">
        <w:rPr>
          <w:sz w:val="24"/>
          <w:szCs w:val="24"/>
        </w:rPr>
        <w:t>kwijt willen raken.</w:t>
      </w:r>
      <w:r w:rsidR="00E853F3">
        <w:rPr>
          <w:sz w:val="24"/>
          <w:szCs w:val="24"/>
        </w:rPr>
        <w:br/>
      </w:r>
      <w:r w:rsidR="00171B0D">
        <w:rPr>
          <w:sz w:val="24"/>
          <w:szCs w:val="24"/>
        </w:rPr>
        <w:br/>
      </w:r>
      <w:r w:rsidRPr="00E20D62">
        <w:rPr>
          <w:sz w:val="24"/>
          <w:szCs w:val="24"/>
          <w:u w:val="single"/>
        </w:rPr>
        <w:t>Werkwijze</w:t>
      </w:r>
      <w:r w:rsidR="00E853F3">
        <w:rPr>
          <w:sz w:val="24"/>
          <w:szCs w:val="24"/>
          <w:u w:val="single"/>
        </w:rPr>
        <w:br/>
      </w:r>
      <w:r w:rsidR="00B2732E">
        <w:rPr>
          <w:sz w:val="24"/>
          <w:szCs w:val="24"/>
        </w:rPr>
        <w:t>Er zijn in totaal 71 gas e</w:t>
      </w:r>
      <w:r w:rsidR="009B0CE2">
        <w:rPr>
          <w:sz w:val="24"/>
          <w:szCs w:val="24"/>
        </w:rPr>
        <w:t>n olie ondernemingen onderzocht.</w:t>
      </w:r>
      <w:r w:rsidR="00B2732E">
        <w:rPr>
          <w:sz w:val="24"/>
          <w:szCs w:val="24"/>
        </w:rPr>
        <w:t xml:space="preserve"> </w:t>
      </w:r>
      <w:r w:rsidR="009B0CE2">
        <w:rPr>
          <w:sz w:val="24"/>
          <w:szCs w:val="24"/>
        </w:rPr>
        <w:t>Z</w:t>
      </w:r>
      <w:r w:rsidR="00B2732E">
        <w:rPr>
          <w:sz w:val="24"/>
          <w:szCs w:val="24"/>
        </w:rPr>
        <w:t xml:space="preserve">e waren allemaal cliënten van de Big Five accountantskantoren. Aan de hand van de proxy statements zijn de gegevens over de provisies verkregen. </w:t>
      </w:r>
      <w:r w:rsidR="005B4E68">
        <w:rPr>
          <w:sz w:val="24"/>
          <w:szCs w:val="24"/>
        </w:rPr>
        <w:t>De gegevens worden in een cross-sectie regressie model gestopt.</w:t>
      </w:r>
    </w:p>
    <w:p w:rsidR="00B4554A" w:rsidRPr="00E61699" w:rsidRDefault="00A65C13" w:rsidP="00C50CD8">
      <w:pPr>
        <w:spacing w:line="360" w:lineRule="auto"/>
      </w:pPr>
      <w:r>
        <w:rPr>
          <w:sz w:val="24"/>
          <w:szCs w:val="24"/>
        </w:rPr>
        <w:t>Net zoals in het onderzoek van Larcker en Richardson (2004)</w:t>
      </w:r>
      <w:r w:rsidR="00A8258A">
        <w:rPr>
          <w:sz w:val="24"/>
          <w:szCs w:val="24"/>
        </w:rPr>
        <w:t xml:space="preserve"> wordt hier gekeken naar de mate van belangrijkheid </w:t>
      </w:r>
      <w:r w:rsidR="00346852">
        <w:rPr>
          <w:sz w:val="24"/>
          <w:szCs w:val="24"/>
        </w:rPr>
        <w:t>van de cliënt voor het accountantskantoor.</w:t>
      </w:r>
      <w:r w:rsidR="00506513">
        <w:rPr>
          <w:sz w:val="24"/>
          <w:szCs w:val="24"/>
        </w:rPr>
        <w:t xml:space="preserve"> Daarnaast worden de ab</w:t>
      </w:r>
      <w:r w:rsidR="007B460B">
        <w:rPr>
          <w:sz w:val="24"/>
          <w:szCs w:val="24"/>
        </w:rPr>
        <w:t xml:space="preserve">normale accruals </w:t>
      </w:r>
      <w:r w:rsidR="00D762F3">
        <w:rPr>
          <w:sz w:val="24"/>
          <w:szCs w:val="24"/>
        </w:rPr>
        <w:t xml:space="preserve">genomen als een maatstaf voor </w:t>
      </w:r>
      <w:r w:rsidR="006859F6">
        <w:rPr>
          <w:sz w:val="24"/>
          <w:szCs w:val="24"/>
        </w:rPr>
        <w:t>het verlies van onafhankelijkheid.</w:t>
      </w:r>
      <w:r w:rsidR="004819E2">
        <w:rPr>
          <w:sz w:val="24"/>
          <w:szCs w:val="24"/>
        </w:rPr>
        <w:t xml:space="preserve"> In dit artikel wordt </w:t>
      </w:r>
      <w:r w:rsidR="00A355F4">
        <w:rPr>
          <w:sz w:val="24"/>
          <w:szCs w:val="24"/>
        </w:rPr>
        <w:t>het</w:t>
      </w:r>
      <w:r w:rsidR="004819E2">
        <w:rPr>
          <w:sz w:val="24"/>
          <w:szCs w:val="24"/>
        </w:rPr>
        <w:t xml:space="preserve"> gemodificeerde Jones model van</w:t>
      </w:r>
      <w:r w:rsidR="004819E2" w:rsidRPr="004819E2">
        <w:rPr>
          <w:sz w:val="24"/>
          <w:szCs w:val="24"/>
        </w:rPr>
        <w:t xml:space="preserve"> </w:t>
      </w:r>
      <w:r w:rsidR="004819E2">
        <w:rPr>
          <w:sz w:val="24"/>
          <w:szCs w:val="24"/>
        </w:rPr>
        <w:t>DeFond en Subramanyam in 1998 gebruikt. Ook dit sluit aan bij het onderzoek van Larcker en Richardson (2004).</w:t>
      </w:r>
      <w:r w:rsidR="00F54070">
        <w:rPr>
          <w:sz w:val="24"/>
          <w:szCs w:val="24"/>
        </w:rPr>
        <w:t xml:space="preserve"> </w:t>
      </w:r>
      <w:r w:rsidR="00CC61F4">
        <w:rPr>
          <w:sz w:val="24"/>
          <w:szCs w:val="24"/>
        </w:rPr>
        <w:t>Er</w:t>
      </w:r>
      <w:r w:rsidR="00BA5C41">
        <w:rPr>
          <w:sz w:val="24"/>
          <w:szCs w:val="24"/>
        </w:rPr>
        <w:t xml:space="preserve"> zijn enkele aanpassingen gemaakt, zo</w:t>
      </w:r>
      <w:r w:rsidR="00CC61F4">
        <w:rPr>
          <w:sz w:val="24"/>
          <w:szCs w:val="24"/>
        </w:rPr>
        <w:t xml:space="preserve"> is</w:t>
      </w:r>
      <w:r w:rsidR="00BA5C41">
        <w:rPr>
          <w:sz w:val="24"/>
          <w:szCs w:val="24"/>
        </w:rPr>
        <w:t xml:space="preserve"> er</w:t>
      </w:r>
      <w:r w:rsidR="00CC61F4">
        <w:rPr>
          <w:sz w:val="24"/>
          <w:szCs w:val="24"/>
        </w:rPr>
        <w:t xml:space="preserve"> bijvoorbeeld </w:t>
      </w:r>
      <w:r w:rsidR="00EC372F">
        <w:rPr>
          <w:sz w:val="24"/>
          <w:szCs w:val="24"/>
        </w:rPr>
        <w:t>een variabele voor de inverse relatie tussen het gebruik van abnormale accruals en financiële derivaten.</w:t>
      </w:r>
      <w:r w:rsidR="00F348B3">
        <w:rPr>
          <w:sz w:val="24"/>
          <w:szCs w:val="24"/>
        </w:rPr>
        <w:t xml:space="preserve"> </w:t>
      </w:r>
      <w:r w:rsidR="00B2732E">
        <w:rPr>
          <w:sz w:val="24"/>
          <w:szCs w:val="24"/>
        </w:rPr>
        <w:br/>
      </w:r>
      <w:r w:rsidR="009436A9">
        <w:rPr>
          <w:sz w:val="24"/>
          <w:szCs w:val="24"/>
        </w:rPr>
        <w:br/>
      </w:r>
      <w:r w:rsidR="00B4554A">
        <w:rPr>
          <w:sz w:val="24"/>
          <w:szCs w:val="24"/>
          <w:u w:val="single"/>
        </w:rPr>
        <w:t>Conclusie</w:t>
      </w:r>
      <w:r w:rsidR="00B2732E">
        <w:rPr>
          <w:sz w:val="24"/>
          <w:szCs w:val="24"/>
          <w:u w:val="single"/>
        </w:rPr>
        <w:br/>
      </w:r>
      <w:r w:rsidR="00B76CF2">
        <w:rPr>
          <w:sz w:val="24"/>
          <w:szCs w:val="24"/>
        </w:rPr>
        <w:t>De grootte van de abnormale accruals is niet</w:t>
      </w:r>
      <w:r w:rsidR="009B2352">
        <w:rPr>
          <w:sz w:val="24"/>
          <w:szCs w:val="24"/>
        </w:rPr>
        <w:t xml:space="preserve"> significant</w:t>
      </w:r>
      <w:r w:rsidR="00B76CF2">
        <w:rPr>
          <w:sz w:val="24"/>
          <w:szCs w:val="24"/>
        </w:rPr>
        <w:t xml:space="preserve"> geassocieerd met de provisies voor niet-auditdiensten</w:t>
      </w:r>
      <w:r w:rsidR="00F61ABE">
        <w:rPr>
          <w:sz w:val="24"/>
          <w:szCs w:val="24"/>
        </w:rPr>
        <w:t xml:space="preserve"> in de gas en olie industrie</w:t>
      </w:r>
      <w:r w:rsidR="00B76CF2">
        <w:rPr>
          <w:sz w:val="24"/>
          <w:szCs w:val="24"/>
        </w:rPr>
        <w:t>.</w:t>
      </w:r>
      <w:r w:rsidR="00F61ABE">
        <w:rPr>
          <w:sz w:val="24"/>
          <w:szCs w:val="24"/>
        </w:rPr>
        <w:t xml:space="preserve"> </w:t>
      </w:r>
      <w:r w:rsidR="00A75BBC">
        <w:rPr>
          <w:sz w:val="24"/>
          <w:szCs w:val="24"/>
        </w:rPr>
        <w:t xml:space="preserve">In dit onderzoek </w:t>
      </w:r>
      <w:r w:rsidR="002505A9">
        <w:rPr>
          <w:sz w:val="24"/>
          <w:szCs w:val="24"/>
        </w:rPr>
        <w:t>betekent deze conclusie</w:t>
      </w:r>
      <w:r w:rsidR="00A75BBC">
        <w:rPr>
          <w:sz w:val="24"/>
          <w:szCs w:val="24"/>
        </w:rPr>
        <w:t xml:space="preserve"> dat accountants van de onderzochte ondernemingen in de gas en olie industrie niet minder </w:t>
      </w:r>
      <w:r w:rsidR="00A75BBC">
        <w:rPr>
          <w:sz w:val="24"/>
          <w:szCs w:val="24"/>
        </w:rPr>
        <w:lastRenderedPageBreak/>
        <w:t xml:space="preserve">onafhankelijk worden </w:t>
      </w:r>
      <w:r w:rsidR="002505A9">
        <w:rPr>
          <w:sz w:val="24"/>
          <w:szCs w:val="24"/>
        </w:rPr>
        <w:t>bij</w:t>
      </w:r>
      <w:r w:rsidR="00324142">
        <w:rPr>
          <w:sz w:val="24"/>
          <w:szCs w:val="24"/>
        </w:rPr>
        <w:t xml:space="preserve"> relatief</w:t>
      </w:r>
      <w:r w:rsidR="002505A9">
        <w:rPr>
          <w:sz w:val="24"/>
          <w:szCs w:val="24"/>
        </w:rPr>
        <w:t xml:space="preserve"> </w:t>
      </w:r>
      <w:r w:rsidR="00560FD1">
        <w:rPr>
          <w:sz w:val="24"/>
          <w:szCs w:val="24"/>
        </w:rPr>
        <w:t xml:space="preserve">hoge </w:t>
      </w:r>
      <w:r w:rsidR="00244F3A">
        <w:rPr>
          <w:sz w:val="24"/>
          <w:szCs w:val="24"/>
        </w:rPr>
        <w:t>provisies voor niet-auditdiensten.</w:t>
      </w:r>
      <w:r w:rsidR="006D2D6F">
        <w:rPr>
          <w:sz w:val="24"/>
          <w:szCs w:val="24"/>
        </w:rPr>
        <w:t xml:space="preserve"> </w:t>
      </w:r>
      <w:r w:rsidR="006D2D6F">
        <w:rPr>
          <w:sz w:val="24"/>
          <w:szCs w:val="24"/>
        </w:rPr>
        <w:br/>
      </w:r>
      <w:r w:rsidR="006D2D6F">
        <w:rPr>
          <w:sz w:val="24"/>
          <w:szCs w:val="24"/>
        </w:rPr>
        <w:br/>
        <w:t xml:space="preserve">Mitra meent dat reputatieschade of risico op een rechtszaak </w:t>
      </w:r>
      <w:r w:rsidR="002C03A9">
        <w:rPr>
          <w:sz w:val="24"/>
          <w:szCs w:val="24"/>
        </w:rPr>
        <w:t xml:space="preserve">behoren tot </w:t>
      </w:r>
      <w:r w:rsidR="006D2D6F">
        <w:rPr>
          <w:sz w:val="24"/>
          <w:szCs w:val="24"/>
        </w:rPr>
        <w:t>een van de belangrijkste redenen waarom de onafhankelijkheid niet wordt aangetast.</w:t>
      </w:r>
      <w:r w:rsidR="0030016B">
        <w:rPr>
          <w:sz w:val="24"/>
          <w:szCs w:val="24"/>
        </w:rPr>
        <w:t xml:space="preserve">  De verklaringskracht van het model is relatief hoog met een R</w:t>
      </w:r>
      <w:r w:rsidR="0030016B">
        <w:rPr>
          <w:sz w:val="24"/>
          <w:szCs w:val="24"/>
          <w:vertAlign w:val="superscript"/>
        </w:rPr>
        <w:t>2</w:t>
      </w:r>
      <w:r w:rsidR="0030016B">
        <w:rPr>
          <w:sz w:val="24"/>
          <w:szCs w:val="24"/>
        </w:rPr>
        <w:t xml:space="preserve"> tussen de 55 en 57 procent.</w:t>
      </w:r>
      <w:r w:rsidR="006D2D6F">
        <w:rPr>
          <w:sz w:val="24"/>
          <w:szCs w:val="24"/>
        </w:rPr>
        <w:t xml:space="preserve"> </w:t>
      </w:r>
      <w:r w:rsidR="00B13123">
        <w:rPr>
          <w:sz w:val="24"/>
          <w:szCs w:val="24"/>
        </w:rPr>
        <w:t xml:space="preserve">Dit onderzoek is uniek in de zin dat er op een specifieke bedrijfstak is </w:t>
      </w:r>
      <w:r w:rsidR="002840DA">
        <w:rPr>
          <w:sz w:val="24"/>
          <w:szCs w:val="24"/>
        </w:rPr>
        <w:t>gefocust</w:t>
      </w:r>
      <w:r w:rsidR="00210208">
        <w:rPr>
          <w:sz w:val="24"/>
          <w:szCs w:val="24"/>
        </w:rPr>
        <w:t>.</w:t>
      </w:r>
      <w:r w:rsidR="00B13123">
        <w:rPr>
          <w:sz w:val="24"/>
          <w:szCs w:val="24"/>
        </w:rPr>
        <w:t xml:space="preserve"> </w:t>
      </w:r>
      <w:r w:rsidR="002B1EEC">
        <w:rPr>
          <w:sz w:val="24"/>
          <w:szCs w:val="24"/>
        </w:rPr>
        <w:t xml:space="preserve">Hiermee </w:t>
      </w:r>
      <w:r w:rsidR="00B13123">
        <w:rPr>
          <w:sz w:val="24"/>
          <w:szCs w:val="24"/>
        </w:rPr>
        <w:t xml:space="preserve">is </w:t>
      </w:r>
      <w:r w:rsidR="002840DA">
        <w:rPr>
          <w:sz w:val="24"/>
          <w:szCs w:val="24"/>
        </w:rPr>
        <w:t>aan</w:t>
      </w:r>
      <w:r w:rsidR="00B13123">
        <w:rPr>
          <w:sz w:val="24"/>
          <w:szCs w:val="24"/>
        </w:rPr>
        <w:t xml:space="preserve">getoond dat </w:t>
      </w:r>
      <w:r w:rsidR="00210208">
        <w:rPr>
          <w:sz w:val="24"/>
          <w:szCs w:val="24"/>
        </w:rPr>
        <w:t xml:space="preserve">zelfs na </w:t>
      </w:r>
      <w:r w:rsidR="002B1EEC">
        <w:rPr>
          <w:sz w:val="24"/>
          <w:szCs w:val="24"/>
        </w:rPr>
        <w:t>het elimineren van</w:t>
      </w:r>
      <w:r w:rsidR="00B021C0">
        <w:rPr>
          <w:sz w:val="24"/>
          <w:szCs w:val="24"/>
        </w:rPr>
        <w:t xml:space="preserve"> industrie gerelateerde</w:t>
      </w:r>
      <w:r w:rsidR="002B1EEC">
        <w:rPr>
          <w:sz w:val="24"/>
          <w:szCs w:val="24"/>
        </w:rPr>
        <w:t xml:space="preserve"> </w:t>
      </w:r>
      <w:r w:rsidR="00B021C0">
        <w:rPr>
          <w:sz w:val="24"/>
          <w:szCs w:val="24"/>
        </w:rPr>
        <w:t xml:space="preserve">effecten er statistisch </w:t>
      </w:r>
      <w:r w:rsidR="005A0D29">
        <w:rPr>
          <w:sz w:val="24"/>
          <w:szCs w:val="24"/>
        </w:rPr>
        <w:t>significante bewijs is die resultaten uit eerdere onderzoeken bevestigen.</w:t>
      </w:r>
    </w:p>
    <w:p w:rsidR="00522A26" w:rsidRDefault="00F828CC" w:rsidP="00F828CC">
      <w:pPr>
        <w:pStyle w:val="Kop3"/>
      </w:pPr>
      <w:bookmarkStart w:id="27" w:name="_Toc360661899"/>
      <w:r w:rsidRPr="00AA71A2">
        <w:t>6</w:t>
      </w:r>
      <w:r w:rsidR="007F1B1C" w:rsidRPr="00AA71A2">
        <w:t>.</w:t>
      </w:r>
      <w:r w:rsidR="00523BC1">
        <w:t>3</w:t>
      </w:r>
      <w:r w:rsidRPr="00AA71A2">
        <w:t>.</w:t>
      </w:r>
      <w:r w:rsidR="007F1B1C" w:rsidRPr="00AA71A2">
        <w:t>5 Svanström, T. (2012)</w:t>
      </w:r>
      <w:bookmarkEnd w:id="27"/>
    </w:p>
    <w:p w:rsidR="00B4554A" w:rsidRPr="003E08CA" w:rsidRDefault="00B4554A" w:rsidP="00B4554A">
      <w:pPr>
        <w:spacing w:line="360" w:lineRule="auto"/>
        <w:rPr>
          <w:sz w:val="24"/>
          <w:szCs w:val="24"/>
        </w:rPr>
      </w:pPr>
      <w:r w:rsidRPr="00E20D62">
        <w:rPr>
          <w:sz w:val="24"/>
          <w:szCs w:val="24"/>
          <w:u w:val="single"/>
        </w:rPr>
        <w:t>Achtergrond</w:t>
      </w:r>
      <w:r w:rsidR="003E08CA">
        <w:rPr>
          <w:sz w:val="24"/>
          <w:szCs w:val="24"/>
          <w:u w:val="single"/>
        </w:rPr>
        <w:br/>
      </w:r>
      <w:r w:rsidR="00834CF3">
        <w:rPr>
          <w:sz w:val="24"/>
          <w:szCs w:val="24"/>
        </w:rPr>
        <w:t>Zoals in hoofdstuk 6 te zien is</w:t>
      </w:r>
      <w:r w:rsidR="00E75207">
        <w:rPr>
          <w:sz w:val="24"/>
          <w:szCs w:val="24"/>
        </w:rPr>
        <w:t>,</w:t>
      </w:r>
      <w:r w:rsidR="00834CF3">
        <w:rPr>
          <w:sz w:val="24"/>
          <w:szCs w:val="24"/>
        </w:rPr>
        <w:t xml:space="preserve"> zijn in voorgaande literatuur veelal publieke ondernemingen als doelgroep genomen. Dit artikel onderzoekt de vraag of provisies voor niet-auditdiensten </w:t>
      </w:r>
      <w:r w:rsidR="00FA7524">
        <w:rPr>
          <w:sz w:val="24"/>
          <w:szCs w:val="24"/>
        </w:rPr>
        <w:t>invloed hebben op de onafhankelijkheid van de acco</w:t>
      </w:r>
      <w:r w:rsidR="00784618">
        <w:rPr>
          <w:sz w:val="24"/>
          <w:szCs w:val="24"/>
        </w:rPr>
        <w:t>untant in private ondernemingen van Zweden.</w:t>
      </w:r>
      <w:r w:rsidR="0006723C">
        <w:rPr>
          <w:sz w:val="24"/>
          <w:szCs w:val="24"/>
        </w:rPr>
        <w:t xml:space="preserve"> </w:t>
      </w:r>
      <w:r w:rsidR="009600A9">
        <w:rPr>
          <w:sz w:val="24"/>
          <w:szCs w:val="24"/>
        </w:rPr>
        <w:br/>
      </w:r>
      <w:r w:rsidR="009600A9">
        <w:rPr>
          <w:sz w:val="24"/>
          <w:szCs w:val="24"/>
        </w:rPr>
        <w:br/>
      </w:r>
      <w:r w:rsidR="00CE68A5">
        <w:rPr>
          <w:sz w:val="24"/>
          <w:szCs w:val="24"/>
        </w:rPr>
        <w:t>Private ondernemingen behoren meestal tot de kleine en middel</w:t>
      </w:r>
      <w:r w:rsidR="00B57BF0">
        <w:rPr>
          <w:sz w:val="24"/>
          <w:szCs w:val="24"/>
        </w:rPr>
        <w:t>grote ondernemingen</w:t>
      </w:r>
      <w:r w:rsidR="00016368">
        <w:rPr>
          <w:sz w:val="24"/>
          <w:szCs w:val="24"/>
        </w:rPr>
        <w:t xml:space="preserve">, maar dit neemt niet weg dat ze wel degelijk een economische betekenis spelen in de wereldeconomie. </w:t>
      </w:r>
      <w:r w:rsidR="00A17B8A">
        <w:rPr>
          <w:sz w:val="24"/>
          <w:szCs w:val="24"/>
        </w:rPr>
        <w:t xml:space="preserve">In de literatuur is echter weinig </w:t>
      </w:r>
      <w:r w:rsidR="00016368">
        <w:rPr>
          <w:sz w:val="24"/>
          <w:szCs w:val="24"/>
        </w:rPr>
        <w:t>onderzoek</w:t>
      </w:r>
      <w:r w:rsidR="00A17B8A">
        <w:rPr>
          <w:sz w:val="24"/>
          <w:szCs w:val="24"/>
        </w:rPr>
        <w:t>en te vinden over</w:t>
      </w:r>
      <w:r w:rsidR="00016368">
        <w:rPr>
          <w:sz w:val="24"/>
          <w:szCs w:val="24"/>
        </w:rPr>
        <w:t xml:space="preserve"> deze private ondernemingen. </w:t>
      </w:r>
      <w:r w:rsidR="00A17B8A">
        <w:rPr>
          <w:sz w:val="24"/>
          <w:szCs w:val="24"/>
        </w:rPr>
        <w:t xml:space="preserve">Een van de weinige onderzoeken is die van Hope en Langli. Zij hebben private ondernemingen onderzocht in Noorwegen. </w:t>
      </w:r>
      <w:r w:rsidR="00D84544">
        <w:rPr>
          <w:sz w:val="24"/>
          <w:szCs w:val="24"/>
        </w:rPr>
        <w:t xml:space="preserve">Ze constateren dat er geen associatie bestaat tussen provisies voor accountants en de geneigdheid om een </w:t>
      </w:r>
      <w:r w:rsidR="000B56A5">
        <w:rPr>
          <w:sz w:val="24"/>
          <w:szCs w:val="24"/>
        </w:rPr>
        <w:t>‘</w:t>
      </w:r>
      <w:r w:rsidR="00D84544">
        <w:rPr>
          <w:sz w:val="24"/>
          <w:szCs w:val="24"/>
        </w:rPr>
        <w:t>going concern</w:t>
      </w:r>
      <w:r w:rsidR="000B56A5">
        <w:rPr>
          <w:sz w:val="24"/>
          <w:szCs w:val="24"/>
        </w:rPr>
        <w:t>’</w:t>
      </w:r>
      <w:r w:rsidR="00D84544">
        <w:rPr>
          <w:sz w:val="24"/>
          <w:szCs w:val="24"/>
        </w:rPr>
        <w:t xml:space="preserve"> verklaring te geven</w:t>
      </w:r>
      <w:r w:rsidR="00A522BC">
        <w:rPr>
          <w:sz w:val="24"/>
          <w:szCs w:val="24"/>
        </w:rPr>
        <w:t xml:space="preserve"> (Hope en Langli, 2010)</w:t>
      </w:r>
      <w:r w:rsidR="00D84544">
        <w:rPr>
          <w:sz w:val="24"/>
          <w:szCs w:val="24"/>
        </w:rPr>
        <w:t>.</w:t>
      </w:r>
      <w:r w:rsidR="001A32E2">
        <w:rPr>
          <w:sz w:val="24"/>
          <w:szCs w:val="24"/>
        </w:rPr>
        <w:br/>
      </w:r>
      <w:r w:rsidR="001A32E2">
        <w:rPr>
          <w:sz w:val="24"/>
          <w:szCs w:val="24"/>
        </w:rPr>
        <w:br/>
        <w:t>Er is een belangrijk verschil tussen publieke en private ondernemingen. Managers in private ondernemingen hebben vrijwel weinig kennis over accounting en boekhouden.</w:t>
      </w:r>
      <w:r w:rsidR="005527C5">
        <w:rPr>
          <w:sz w:val="24"/>
          <w:szCs w:val="24"/>
        </w:rPr>
        <w:t xml:space="preserve"> Zij zullen dus vaker hulp vragen </w:t>
      </w:r>
      <w:r w:rsidR="00E75207">
        <w:rPr>
          <w:sz w:val="24"/>
          <w:szCs w:val="24"/>
        </w:rPr>
        <w:t>aan</w:t>
      </w:r>
      <w:r w:rsidR="005527C5">
        <w:rPr>
          <w:sz w:val="24"/>
          <w:szCs w:val="24"/>
        </w:rPr>
        <w:t xml:space="preserve"> hun externe accountant.</w:t>
      </w:r>
      <w:r w:rsidR="000818EB">
        <w:rPr>
          <w:sz w:val="24"/>
          <w:szCs w:val="24"/>
        </w:rPr>
        <w:t xml:space="preserve"> Accountants kunnen in dit geval hun kennis toepassen op de verschillende diensten die ze moeten verrichten voor de cliënt, hierdoor wordt de efficiency verhoogd. Aan de andere kant staan de accountants in private ondernemingen dichter bij hun cli</w:t>
      </w:r>
      <w:r w:rsidR="008E3B6C">
        <w:rPr>
          <w:sz w:val="24"/>
          <w:szCs w:val="24"/>
        </w:rPr>
        <w:t xml:space="preserve">ënt. Ze kunnen hierdoor </w:t>
      </w:r>
      <w:r w:rsidR="0013348B">
        <w:rPr>
          <w:sz w:val="24"/>
          <w:szCs w:val="24"/>
        </w:rPr>
        <w:t>dusdanig gehecht raken dat hun onafhankelijkheid wordt geschaad.</w:t>
      </w:r>
    </w:p>
    <w:p w:rsidR="00B4554A" w:rsidRPr="000E7C32" w:rsidRDefault="00B4554A" w:rsidP="00B4554A">
      <w:pPr>
        <w:spacing w:line="360" w:lineRule="auto"/>
        <w:rPr>
          <w:sz w:val="24"/>
          <w:szCs w:val="24"/>
        </w:rPr>
      </w:pPr>
      <w:r w:rsidRPr="00E20D62">
        <w:rPr>
          <w:sz w:val="24"/>
          <w:szCs w:val="24"/>
          <w:u w:val="single"/>
        </w:rPr>
        <w:lastRenderedPageBreak/>
        <w:t>Werkwijze</w:t>
      </w:r>
      <w:r w:rsidR="000E7C32">
        <w:rPr>
          <w:sz w:val="24"/>
          <w:szCs w:val="24"/>
          <w:u w:val="single"/>
        </w:rPr>
        <w:br/>
      </w:r>
      <w:r w:rsidR="00CF6245">
        <w:rPr>
          <w:sz w:val="24"/>
          <w:szCs w:val="24"/>
        </w:rPr>
        <w:t xml:space="preserve">De onderzoeker heeft naast de gebruikelijke abnormale accruals ook de mening van de manager over de auditkwaliteit meegenomen. Aangezien deze scriptie alleen kijkt naar de abnormale accruals wordt </w:t>
      </w:r>
      <w:r w:rsidR="00ED72A7">
        <w:rPr>
          <w:sz w:val="24"/>
          <w:szCs w:val="24"/>
        </w:rPr>
        <w:t xml:space="preserve">de </w:t>
      </w:r>
      <w:r w:rsidR="001C02E3">
        <w:rPr>
          <w:sz w:val="24"/>
          <w:szCs w:val="24"/>
        </w:rPr>
        <w:t xml:space="preserve">manager’s mening </w:t>
      </w:r>
      <w:r w:rsidR="00CF6245">
        <w:rPr>
          <w:sz w:val="24"/>
          <w:szCs w:val="24"/>
        </w:rPr>
        <w:t xml:space="preserve">niet </w:t>
      </w:r>
      <w:r w:rsidR="00ED72A7">
        <w:rPr>
          <w:sz w:val="24"/>
          <w:szCs w:val="24"/>
        </w:rPr>
        <w:t>verder</w:t>
      </w:r>
      <w:r w:rsidR="00CF6245">
        <w:rPr>
          <w:sz w:val="24"/>
          <w:szCs w:val="24"/>
        </w:rPr>
        <w:t xml:space="preserve"> </w:t>
      </w:r>
      <w:r w:rsidR="001C02E3">
        <w:rPr>
          <w:sz w:val="24"/>
          <w:szCs w:val="24"/>
        </w:rPr>
        <w:t>behandeld.</w:t>
      </w:r>
      <w:r w:rsidR="0050778B">
        <w:rPr>
          <w:sz w:val="24"/>
          <w:szCs w:val="24"/>
        </w:rPr>
        <w:t xml:space="preserve"> </w:t>
      </w:r>
      <w:r w:rsidR="0050778B">
        <w:rPr>
          <w:sz w:val="24"/>
          <w:szCs w:val="24"/>
        </w:rPr>
        <w:br/>
      </w:r>
      <w:r w:rsidR="0050778B">
        <w:rPr>
          <w:sz w:val="24"/>
          <w:szCs w:val="24"/>
        </w:rPr>
        <w:br/>
        <w:t xml:space="preserve">De gegevens zijn genomen uit een nationale </w:t>
      </w:r>
      <w:r w:rsidR="00DF04EC">
        <w:rPr>
          <w:sz w:val="24"/>
          <w:szCs w:val="24"/>
        </w:rPr>
        <w:t>survey</w:t>
      </w:r>
      <w:r w:rsidR="0050778B">
        <w:rPr>
          <w:sz w:val="24"/>
          <w:szCs w:val="24"/>
        </w:rPr>
        <w:t xml:space="preserve"> voor kleine en middelgrote ondernemingen in </w:t>
      </w:r>
      <w:r w:rsidR="008B1371">
        <w:rPr>
          <w:sz w:val="24"/>
          <w:szCs w:val="24"/>
        </w:rPr>
        <w:t>Z</w:t>
      </w:r>
      <w:r w:rsidR="0050778B">
        <w:rPr>
          <w:sz w:val="24"/>
          <w:szCs w:val="24"/>
        </w:rPr>
        <w:t xml:space="preserve">weden. </w:t>
      </w:r>
      <w:r w:rsidR="00F900FF">
        <w:rPr>
          <w:sz w:val="24"/>
          <w:szCs w:val="24"/>
        </w:rPr>
        <w:t>Het zijn allemaal ondernemingen die niet op de beurs staan en ze worden allemaal door een accountant gecontroleerd.</w:t>
      </w:r>
      <w:r w:rsidR="00DB42CC">
        <w:rPr>
          <w:sz w:val="24"/>
          <w:szCs w:val="24"/>
        </w:rPr>
        <w:t xml:space="preserve"> De grote groep respondenten is onderverdeeld naar drie categorieën: </w:t>
      </w:r>
      <w:r w:rsidR="002311E1">
        <w:rPr>
          <w:sz w:val="24"/>
          <w:szCs w:val="24"/>
        </w:rPr>
        <w:t xml:space="preserve">ondernemingen met 1-9 werknemers, ondernemingen met 10-49 werknemers en ondernemingen met 50-249 werknemers. </w:t>
      </w:r>
      <w:r w:rsidR="00B7708B">
        <w:rPr>
          <w:sz w:val="24"/>
          <w:szCs w:val="24"/>
        </w:rPr>
        <w:t xml:space="preserve">Met behulp van een multiple regressiemodel </w:t>
      </w:r>
      <w:r w:rsidR="002D7FFA">
        <w:rPr>
          <w:sz w:val="24"/>
          <w:szCs w:val="24"/>
        </w:rPr>
        <w:t xml:space="preserve">zijn de gegevens geanalyseerd. </w:t>
      </w:r>
    </w:p>
    <w:p w:rsidR="00644F16" w:rsidRDefault="00B4554A" w:rsidP="007E294F">
      <w:pPr>
        <w:spacing w:line="360" w:lineRule="auto"/>
      </w:pPr>
      <w:r>
        <w:rPr>
          <w:sz w:val="24"/>
          <w:szCs w:val="24"/>
          <w:u w:val="single"/>
        </w:rPr>
        <w:t>Conclusie</w:t>
      </w:r>
      <w:r w:rsidR="000C057B">
        <w:rPr>
          <w:sz w:val="24"/>
          <w:szCs w:val="24"/>
          <w:u w:val="single"/>
        </w:rPr>
        <w:br/>
      </w:r>
      <w:r w:rsidR="00741F3C">
        <w:rPr>
          <w:sz w:val="24"/>
          <w:szCs w:val="24"/>
        </w:rPr>
        <w:t xml:space="preserve">Uit de gegevens blijkt dat slechts 40% van de ondernemingen </w:t>
      </w:r>
      <w:r w:rsidR="00CB6CE6">
        <w:rPr>
          <w:sz w:val="24"/>
          <w:szCs w:val="24"/>
        </w:rPr>
        <w:t>een accountant inhuren puur voor het a</w:t>
      </w:r>
      <w:r w:rsidR="00F160F8">
        <w:rPr>
          <w:sz w:val="24"/>
          <w:szCs w:val="24"/>
        </w:rPr>
        <w:t>uditproces. 49% van de ondernemingen schaffen ook belastingadviezen aan van hun accountant.</w:t>
      </w:r>
      <w:r w:rsidR="00AC6BBF">
        <w:rPr>
          <w:sz w:val="24"/>
          <w:szCs w:val="24"/>
        </w:rPr>
        <w:t xml:space="preserve"> Dit is in lijn met de eerder veronderstelde afhankelijkheid van managers in kleine en middelgrote ondernemingen vanwege hun gebrek aan kennis.</w:t>
      </w:r>
      <w:r w:rsidR="00DD7525">
        <w:rPr>
          <w:sz w:val="24"/>
          <w:szCs w:val="24"/>
        </w:rPr>
        <w:br/>
      </w:r>
      <w:r w:rsidR="00DD7525">
        <w:rPr>
          <w:sz w:val="24"/>
          <w:szCs w:val="24"/>
        </w:rPr>
        <w:br/>
      </w:r>
      <w:r w:rsidR="0041016A">
        <w:rPr>
          <w:sz w:val="24"/>
          <w:szCs w:val="24"/>
        </w:rPr>
        <w:t xml:space="preserve">Verder is er geen significant positieve verband tussen provisies voor niet-auditdiensten en </w:t>
      </w:r>
      <w:r w:rsidR="00A5000E">
        <w:rPr>
          <w:sz w:val="24"/>
          <w:szCs w:val="24"/>
        </w:rPr>
        <w:t>earnings management, in de vorm van discretionaire accruals.</w:t>
      </w:r>
      <w:r w:rsidR="005666D6">
        <w:rPr>
          <w:sz w:val="24"/>
          <w:szCs w:val="24"/>
        </w:rPr>
        <w:t xml:space="preserve"> De auditkwaliteit is dus niet aangetast volgens dit onderzoek.</w:t>
      </w:r>
      <w:r w:rsidR="00853744">
        <w:rPr>
          <w:sz w:val="24"/>
          <w:szCs w:val="24"/>
        </w:rPr>
        <w:t xml:space="preserve"> Bij sommige types niet-auditdiensten blijkt dat het zelfs een positieve invloed heeft op de auditkwaliteit (dus minder earnings management).</w:t>
      </w:r>
      <w:r w:rsidR="0088286A">
        <w:rPr>
          <w:sz w:val="24"/>
          <w:szCs w:val="24"/>
        </w:rPr>
        <w:t xml:space="preserve"> Hierbij hoort onder andere de belastingadviesdiensten.</w:t>
      </w:r>
    </w:p>
    <w:p w:rsidR="00D108EE" w:rsidRDefault="0073782F" w:rsidP="001816F9">
      <w:pPr>
        <w:pStyle w:val="Kop1"/>
        <w:spacing w:line="360" w:lineRule="auto"/>
      </w:pPr>
      <w:bookmarkStart w:id="28" w:name="_Toc360661900"/>
      <w:r>
        <w:lastRenderedPageBreak/>
        <w:t>7</w:t>
      </w:r>
      <w:r w:rsidR="00821A00">
        <w:t>. Conclusie</w:t>
      </w:r>
      <w:bookmarkEnd w:id="28"/>
      <w:r w:rsidR="007E1293">
        <w:br/>
      </w:r>
      <w:r w:rsidR="008B1371" w:rsidRPr="00C8549B">
        <w:rPr>
          <w:rStyle w:val="GeenafstandChar"/>
          <w:b w:val="0"/>
        </w:rPr>
        <w:t>De hoofdvraag in deze scriptie is: ‘In hoeverre wordt de onafhankelijkheid van de externe accountant negatief beïnvloed door het verlenen van niet-audit diensten aan eenzelfde opdrachtgever?’</w:t>
      </w:r>
      <w:r w:rsidR="008B1371" w:rsidRPr="00C8549B">
        <w:rPr>
          <w:rStyle w:val="GeenafstandChar"/>
          <w:b w:val="0"/>
        </w:rPr>
        <w:br/>
      </w:r>
      <w:r w:rsidR="008B1371" w:rsidRPr="00C8549B">
        <w:rPr>
          <w:rStyle w:val="GeenafstandChar"/>
          <w:b w:val="0"/>
        </w:rPr>
        <w:br/>
        <w:t xml:space="preserve">Bij de beantwoording van deze vraag </w:t>
      </w:r>
      <w:r w:rsidR="00426358" w:rsidRPr="00C8549B">
        <w:rPr>
          <w:rStyle w:val="GeenafstandChar"/>
          <w:b w:val="0"/>
        </w:rPr>
        <w:t xml:space="preserve">is een literatuuronderzoek verricht waarbij de voor- en tegenstanders allebei werden onderzocht aan de hand van een aantal criteria. </w:t>
      </w:r>
      <w:r w:rsidR="004C077F">
        <w:rPr>
          <w:rStyle w:val="GeenafstandChar"/>
          <w:b w:val="0"/>
        </w:rPr>
        <w:br/>
      </w:r>
      <w:r w:rsidR="00426358" w:rsidRPr="00C8549B">
        <w:rPr>
          <w:rStyle w:val="GeenafstandChar"/>
          <w:b w:val="0"/>
        </w:rPr>
        <w:t>Alvorens dit te kunnen doen</w:t>
      </w:r>
      <w:r w:rsidR="00E75207">
        <w:rPr>
          <w:rStyle w:val="GeenafstandChar"/>
          <w:b w:val="0"/>
        </w:rPr>
        <w:t>,</w:t>
      </w:r>
      <w:r w:rsidR="00426358" w:rsidRPr="00C8549B">
        <w:rPr>
          <w:rStyle w:val="GeenafstandChar"/>
          <w:b w:val="0"/>
        </w:rPr>
        <w:t xml:space="preserve"> </w:t>
      </w:r>
      <w:r w:rsidR="00156285" w:rsidRPr="00C8549B">
        <w:rPr>
          <w:rStyle w:val="GeenafstandChar"/>
          <w:b w:val="0"/>
        </w:rPr>
        <w:t>zijn</w:t>
      </w:r>
      <w:r w:rsidR="00426358" w:rsidRPr="00C8549B">
        <w:rPr>
          <w:rStyle w:val="GeenafstandChar"/>
          <w:b w:val="0"/>
        </w:rPr>
        <w:t xml:space="preserve"> enkele begrippen toegelicht</w:t>
      </w:r>
      <w:r w:rsidR="00156285" w:rsidRPr="00C8549B">
        <w:rPr>
          <w:rStyle w:val="GeenafstandChar"/>
          <w:b w:val="0"/>
        </w:rPr>
        <w:t xml:space="preserve"> in hoofdstuk 3 en 4</w:t>
      </w:r>
      <w:r w:rsidR="00426358" w:rsidRPr="00C8549B">
        <w:rPr>
          <w:rStyle w:val="GeenafstandChar"/>
          <w:b w:val="0"/>
        </w:rPr>
        <w:t xml:space="preserve">. </w:t>
      </w:r>
      <w:r w:rsidR="00156285" w:rsidRPr="00C8549B">
        <w:rPr>
          <w:rStyle w:val="GeenafstandChar"/>
          <w:b w:val="0"/>
        </w:rPr>
        <w:t xml:space="preserve">In hoofdstuk 3 is uiteengezet dat in deze scriptie de accountant gelijk is gesteld aan de RA. Daarnaast zijn de accountantsdiensten behandeld en daaruit is de tweedeling naar auditdiensten en niet-auditdiensten gemaakt. Hoofdstuk 4 laat zien dat </w:t>
      </w:r>
      <w:r w:rsidR="00E75207">
        <w:rPr>
          <w:rStyle w:val="GeenafstandChar"/>
          <w:b w:val="0"/>
        </w:rPr>
        <w:t xml:space="preserve">de </w:t>
      </w:r>
      <w:r w:rsidR="00156285" w:rsidRPr="00C8549B">
        <w:rPr>
          <w:rStyle w:val="GeenafstandChar"/>
          <w:b w:val="0"/>
        </w:rPr>
        <w:t xml:space="preserve">onafhankelijkheid van de accountant ook in twee delen kan </w:t>
      </w:r>
      <w:r w:rsidR="00E75207">
        <w:rPr>
          <w:rStyle w:val="GeenafstandChar"/>
          <w:b w:val="0"/>
        </w:rPr>
        <w:t xml:space="preserve">worden </w:t>
      </w:r>
      <w:r w:rsidR="00156285" w:rsidRPr="00C8549B">
        <w:rPr>
          <w:rStyle w:val="GeenafstandChar"/>
          <w:b w:val="0"/>
        </w:rPr>
        <w:t>gesplitst, dit zijn de onafhankelijkheid in wezen en onafhankelijkheid in optreden.</w:t>
      </w:r>
      <w:r w:rsidR="00786460" w:rsidRPr="00C8549B">
        <w:rPr>
          <w:rStyle w:val="GeenafstandChar"/>
          <w:b w:val="0"/>
        </w:rPr>
        <w:br/>
      </w:r>
      <w:r w:rsidR="00786460" w:rsidRPr="00C8549B">
        <w:rPr>
          <w:rStyle w:val="GeenafstandChar"/>
          <w:b w:val="0"/>
        </w:rPr>
        <w:br/>
        <w:t>Hoofdstuk 6 presenteert het literatuuronderzoek. Accountants die veel provisies krijgen voor hun niet-auditdiensten zouden meer prikkels hebben om bepaalde dingen door de vingers te zien. Dit komt vervolgens tot uiting in de winst kwaliteit van een onderneming. De winst kwaliteit wordt gemeten aan de hand</w:t>
      </w:r>
      <w:r w:rsidR="0091654B" w:rsidRPr="00C8549B">
        <w:rPr>
          <w:rStyle w:val="GeenafstandChar"/>
          <w:b w:val="0"/>
        </w:rPr>
        <w:t xml:space="preserve"> van de discretionaire accruals, ook wel abnormale accruals.</w:t>
      </w:r>
      <w:r w:rsidR="00457A16" w:rsidRPr="00C8549B">
        <w:rPr>
          <w:rStyle w:val="GeenafstandChar"/>
          <w:b w:val="0"/>
        </w:rPr>
        <w:br/>
      </w:r>
      <w:r w:rsidR="00786460" w:rsidRPr="00C8549B">
        <w:rPr>
          <w:rStyle w:val="GeenafstandChar"/>
          <w:b w:val="0"/>
        </w:rPr>
        <w:br/>
        <w:t xml:space="preserve">In paragraaf 6.1 zijn de </w:t>
      </w:r>
      <w:r w:rsidR="00457A16" w:rsidRPr="00C8549B">
        <w:rPr>
          <w:rStyle w:val="GeenafstandChar"/>
          <w:b w:val="0"/>
        </w:rPr>
        <w:t>voorstanders van de scheiding van auditdiensten</w:t>
      </w:r>
      <w:r w:rsidR="00937C08" w:rsidRPr="00C8549B">
        <w:rPr>
          <w:rStyle w:val="GeenafstandChar"/>
          <w:b w:val="0"/>
        </w:rPr>
        <w:t xml:space="preserve"> en niet-auditdiensten behandeld.</w:t>
      </w:r>
      <w:r w:rsidR="0091654B" w:rsidRPr="00C8549B">
        <w:rPr>
          <w:rStyle w:val="GeenafstandChar"/>
          <w:b w:val="0"/>
        </w:rPr>
        <w:t xml:space="preserve"> </w:t>
      </w:r>
      <w:r w:rsidR="00C8549B" w:rsidRPr="00C8549B">
        <w:rPr>
          <w:rStyle w:val="GeenafstandChar"/>
          <w:b w:val="0"/>
        </w:rPr>
        <w:t>Voor de conclusies van de artikelen wordt verwezen na</w:t>
      </w:r>
      <w:r w:rsidR="00074B6D">
        <w:rPr>
          <w:rStyle w:val="GeenafstandChar"/>
          <w:b w:val="0"/>
        </w:rPr>
        <w:t>ar de relevante paragrafen. Het argument van de voorstanders is dat de onafhankelijkheid van de accountant door provisies voor niet-auditdiensten wordt aangetast.  Er kan een economische bon</w:t>
      </w:r>
      <w:r w:rsidR="005263DA">
        <w:rPr>
          <w:rStyle w:val="GeenafstandChar"/>
          <w:b w:val="0"/>
        </w:rPr>
        <w:t>d worden gevormd met de cliënt. Hierdoor hebben</w:t>
      </w:r>
      <w:r w:rsidR="00074B6D">
        <w:rPr>
          <w:rStyle w:val="GeenafstandChar"/>
          <w:b w:val="0"/>
        </w:rPr>
        <w:t xml:space="preserve"> ze meer prikkels om bepaalde dingen door de vingers te zien. De</w:t>
      </w:r>
      <w:r w:rsidR="005263DA">
        <w:rPr>
          <w:rStyle w:val="GeenafstandChar"/>
          <w:b w:val="0"/>
        </w:rPr>
        <w:t xml:space="preserve"> ondernemingen zouden dan significant meer discretionaire accruals in hun jaarrekeningen zetten.</w:t>
      </w:r>
      <w:r w:rsidR="00EE2763">
        <w:rPr>
          <w:rStyle w:val="GeenafstandChar"/>
          <w:b w:val="0"/>
        </w:rPr>
        <w:br/>
      </w:r>
      <w:r w:rsidR="00EE2763">
        <w:rPr>
          <w:rStyle w:val="GeenafstandChar"/>
          <w:b w:val="0"/>
        </w:rPr>
        <w:br/>
        <w:t xml:space="preserve">De tegenstanders van de scheiding van auditdiensten en niet-auditdiensten zijn in paragraaf 6.2 uiteengezet. </w:t>
      </w:r>
      <w:r w:rsidR="000C4286">
        <w:rPr>
          <w:rStyle w:val="GeenafstandChar"/>
          <w:b w:val="0"/>
        </w:rPr>
        <w:t>Deze onderzoekers zijn van mening dat de onafhankelijkheid van de accountant niet wordt geschaad door het</w:t>
      </w:r>
      <w:r w:rsidR="00961545">
        <w:rPr>
          <w:rStyle w:val="GeenafstandChar"/>
          <w:b w:val="0"/>
        </w:rPr>
        <w:t xml:space="preserve"> leveren van niet-auditdiensten.</w:t>
      </w:r>
      <w:r w:rsidR="00521DC2">
        <w:rPr>
          <w:rStyle w:val="GeenafstandChar"/>
          <w:b w:val="0"/>
        </w:rPr>
        <w:t xml:space="preserve"> Zij verdedigen dit standpunt met het argument dat accountants vrezen voor de maatschappelijke druk en </w:t>
      </w:r>
      <w:r w:rsidR="00521DC2">
        <w:rPr>
          <w:rStyle w:val="GeenafstandChar"/>
          <w:b w:val="0"/>
        </w:rPr>
        <w:lastRenderedPageBreak/>
        <w:t>juridische consequenties. In sommige onderzoeken is zelfs een negatief verband te zien tussen niet-auditdiensten en de discretionaire accruals. Dit duidt op</w:t>
      </w:r>
      <w:r w:rsidR="00E75207">
        <w:rPr>
          <w:rStyle w:val="GeenafstandChar"/>
          <w:b w:val="0"/>
        </w:rPr>
        <w:t xml:space="preserve"> de</w:t>
      </w:r>
      <w:r w:rsidR="00521DC2">
        <w:rPr>
          <w:rStyle w:val="GeenafstandChar"/>
          <w:b w:val="0"/>
        </w:rPr>
        <w:t xml:space="preserve"> </w:t>
      </w:r>
      <w:r w:rsidR="0001518B">
        <w:rPr>
          <w:rStyle w:val="GeenafstandChar"/>
          <w:b w:val="0"/>
        </w:rPr>
        <w:t xml:space="preserve">effecten van knowledge spillover. Accountants hebben </w:t>
      </w:r>
      <w:r w:rsidR="000E744C">
        <w:rPr>
          <w:rStyle w:val="GeenafstandChar"/>
          <w:b w:val="0"/>
        </w:rPr>
        <w:t xml:space="preserve">vaak </w:t>
      </w:r>
      <w:r w:rsidR="0001518B">
        <w:rPr>
          <w:rStyle w:val="GeenafstandChar"/>
          <w:b w:val="0"/>
        </w:rPr>
        <w:t>kennis over een specifieke bedrijfstak, deze kennis kan worden gebruikt om systemen van de cliënt te verbeteren.</w:t>
      </w:r>
      <w:r w:rsidR="00074B6D">
        <w:rPr>
          <w:rStyle w:val="GeenafstandChar"/>
          <w:b w:val="0"/>
        </w:rPr>
        <w:br/>
      </w:r>
      <w:r w:rsidR="00074B6D">
        <w:rPr>
          <w:rStyle w:val="GeenafstandChar"/>
          <w:b w:val="0"/>
        </w:rPr>
        <w:br/>
      </w:r>
      <w:bookmarkStart w:id="29" w:name="_Toc360661901"/>
      <w:r>
        <w:t>8</w:t>
      </w:r>
      <w:r w:rsidR="00D108EE">
        <w:t xml:space="preserve">. </w:t>
      </w:r>
      <w:r w:rsidR="00361EEF">
        <w:t>Discussie</w:t>
      </w:r>
      <w:bookmarkEnd w:id="29"/>
    </w:p>
    <w:p w:rsidR="00D10F20" w:rsidRDefault="009C1B52" w:rsidP="00107F84">
      <w:pPr>
        <w:spacing w:line="360" w:lineRule="auto"/>
        <w:rPr>
          <w:sz w:val="24"/>
        </w:rPr>
      </w:pPr>
      <w:r>
        <w:rPr>
          <w:sz w:val="24"/>
        </w:rPr>
        <w:t>Over d</w:t>
      </w:r>
      <w:r w:rsidR="0067009F">
        <w:rPr>
          <w:sz w:val="24"/>
        </w:rPr>
        <w:t xml:space="preserve">eze scriptie </w:t>
      </w:r>
      <w:r>
        <w:rPr>
          <w:sz w:val="24"/>
        </w:rPr>
        <w:t>zijn</w:t>
      </w:r>
      <w:r w:rsidR="0067009F">
        <w:rPr>
          <w:sz w:val="24"/>
        </w:rPr>
        <w:t xml:space="preserve"> e</w:t>
      </w:r>
      <w:r>
        <w:rPr>
          <w:sz w:val="24"/>
        </w:rPr>
        <w:t xml:space="preserve">nkele tekortkomingen te vermelden. Om de onafhankelijkheid van de accountant te kunnen meten is gekozen voor de discretionaire accruals. </w:t>
      </w:r>
      <w:r w:rsidR="008056D2">
        <w:rPr>
          <w:sz w:val="24"/>
        </w:rPr>
        <w:t xml:space="preserve">Dit betekent dat er alleen gekeken is naar de onafhankelijkheid in wezen. Onafhankelijkheid in schijn is dus niet behandeld in de scriptie. </w:t>
      </w:r>
      <w:r w:rsidR="008056D2">
        <w:rPr>
          <w:sz w:val="24"/>
        </w:rPr>
        <w:br/>
      </w:r>
      <w:r w:rsidR="008056D2">
        <w:rPr>
          <w:sz w:val="24"/>
        </w:rPr>
        <w:br/>
        <w:t>Daarnaast heeft de keuze voor discretionaire accruals ook haar eigen nadelen. Discretionaire accruals zijn niet zomaar ergens te vinden; ze moeten worden geschat. Onderzoekers hebben verschillende methoden gehanteerd om dit te bereiken, een daarvan is bijvoorbeeld de Jones model in 1991.</w:t>
      </w:r>
      <w:r w:rsidR="001267E3">
        <w:rPr>
          <w:sz w:val="24"/>
        </w:rPr>
        <w:t xml:space="preserve"> Deze modellen hebben echter haar eigen beperkingen en nadelen.</w:t>
      </w:r>
      <w:r w:rsidR="009F2810">
        <w:rPr>
          <w:sz w:val="24"/>
        </w:rPr>
        <w:t xml:space="preserve"> De resultaten van de onderzoekers hangen dus ook mede af van de kwaliteit van het model om de discretionaire accruals te kijken.</w:t>
      </w:r>
      <w:r w:rsidR="005F5B97">
        <w:rPr>
          <w:sz w:val="24"/>
        </w:rPr>
        <w:br/>
      </w:r>
      <w:r w:rsidR="005F5B97">
        <w:rPr>
          <w:sz w:val="24"/>
        </w:rPr>
        <w:br/>
        <w:t>Verder is aangenomen dat discretionaire accruals bijvoorbeeld zijn afgenomen, omdat er minder niet-auditdiensten zijn verricht of minder is betaald voor niet-auditdiensten. Dit veronde</w:t>
      </w:r>
      <w:r w:rsidR="007E25E5">
        <w:rPr>
          <w:sz w:val="24"/>
        </w:rPr>
        <w:t>rstelt een zeker</w:t>
      </w:r>
      <w:r w:rsidR="005F5B97">
        <w:rPr>
          <w:sz w:val="24"/>
        </w:rPr>
        <w:t xml:space="preserve"> causale verband tussen deze twee verschijnselen. De mogelijkheid dat de managers uit zichzelf minder earnings management zijn gaan toepassen is dus niet meegenomen.</w:t>
      </w:r>
    </w:p>
    <w:p w:rsidR="00D10F20" w:rsidRDefault="00D10F20" w:rsidP="00107F84">
      <w:pPr>
        <w:spacing w:line="360" w:lineRule="auto"/>
        <w:rPr>
          <w:sz w:val="24"/>
        </w:rPr>
      </w:pPr>
    </w:p>
    <w:p w:rsidR="00D10F20" w:rsidRDefault="00D10F20" w:rsidP="00107F84">
      <w:pPr>
        <w:spacing w:line="360" w:lineRule="auto"/>
        <w:rPr>
          <w:sz w:val="24"/>
        </w:rPr>
      </w:pPr>
    </w:p>
    <w:p w:rsidR="00D10F20" w:rsidRDefault="00D10F20" w:rsidP="00107F84">
      <w:pPr>
        <w:spacing w:line="360" w:lineRule="auto"/>
        <w:rPr>
          <w:sz w:val="24"/>
        </w:rPr>
      </w:pPr>
    </w:p>
    <w:p w:rsidR="00D10F20" w:rsidRDefault="00D10F20" w:rsidP="00107F84">
      <w:pPr>
        <w:spacing w:line="360" w:lineRule="auto"/>
        <w:rPr>
          <w:sz w:val="24"/>
        </w:rPr>
      </w:pPr>
    </w:p>
    <w:p w:rsidR="00D10F20" w:rsidRDefault="00D10F20" w:rsidP="00107F84">
      <w:pPr>
        <w:spacing w:line="360" w:lineRule="auto"/>
        <w:rPr>
          <w:sz w:val="24"/>
        </w:rPr>
      </w:pPr>
    </w:p>
    <w:p w:rsidR="00D10F20" w:rsidRDefault="00D10F20" w:rsidP="00107F84">
      <w:pPr>
        <w:spacing w:line="360" w:lineRule="auto"/>
        <w:rPr>
          <w:sz w:val="24"/>
        </w:rPr>
      </w:pPr>
    </w:p>
    <w:p w:rsidR="00C36409" w:rsidRPr="00107F84" w:rsidRDefault="00BD3DEE" w:rsidP="00107F84">
      <w:pPr>
        <w:spacing w:line="360" w:lineRule="auto"/>
        <w:rPr>
          <w:rFonts w:cstheme="minorHAnsi"/>
          <w:sz w:val="24"/>
          <w:szCs w:val="24"/>
        </w:rPr>
      </w:pPr>
      <w:r w:rsidRPr="009A3613">
        <w:rPr>
          <w:b/>
          <w:sz w:val="28"/>
        </w:rPr>
        <w:lastRenderedPageBreak/>
        <w:t>Bibliografie</w:t>
      </w:r>
      <w:r w:rsidRPr="009A3613">
        <w:rPr>
          <w:b/>
          <w:sz w:val="28"/>
        </w:rPr>
        <w:br/>
      </w:r>
      <w:r w:rsidRPr="008C5EDB">
        <w:rPr>
          <w:color w:val="000000" w:themeColor="text1"/>
          <w:sz w:val="24"/>
          <w:szCs w:val="24"/>
        </w:rPr>
        <w:t>Accou</w:t>
      </w:r>
      <w:r w:rsidR="008B654E" w:rsidRPr="008C5EDB">
        <w:rPr>
          <w:color w:val="000000" w:themeColor="text1"/>
          <w:sz w:val="24"/>
          <w:szCs w:val="24"/>
        </w:rPr>
        <w:t>ntancynieuws, 2013, Nr. 7.</w:t>
      </w:r>
      <w:r w:rsidRPr="008C5EDB">
        <w:rPr>
          <w:color w:val="000000" w:themeColor="text1"/>
          <w:sz w:val="24"/>
          <w:szCs w:val="24"/>
        </w:rPr>
        <w:t xml:space="preserve"> ‘</w:t>
      </w:r>
      <w:r w:rsidRPr="008C5EDB">
        <w:rPr>
          <w:i/>
          <w:color w:val="000000" w:themeColor="text1"/>
          <w:sz w:val="24"/>
          <w:szCs w:val="24"/>
        </w:rPr>
        <w:t>AFM niet blij met Big Fours invulling van scheiding audit en advies</w:t>
      </w:r>
      <w:r w:rsidR="008B654E" w:rsidRPr="008C5EDB">
        <w:rPr>
          <w:color w:val="000000" w:themeColor="text1"/>
          <w:sz w:val="24"/>
          <w:szCs w:val="24"/>
        </w:rPr>
        <w:t>’, 12 april</w:t>
      </w:r>
      <w:r w:rsidR="008C5EDB">
        <w:rPr>
          <w:color w:val="000000" w:themeColor="text1"/>
          <w:sz w:val="24"/>
          <w:szCs w:val="24"/>
        </w:rPr>
        <w:br/>
      </w:r>
      <w:r w:rsidR="008C5EDB">
        <w:rPr>
          <w:color w:val="000000" w:themeColor="text1"/>
        </w:rPr>
        <w:br/>
      </w:r>
      <w:r w:rsidR="008B654E" w:rsidRPr="008C5EDB">
        <w:rPr>
          <w:color w:val="000000" w:themeColor="text1"/>
          <w:sz w:val="24"/>
          <w:szCs w:val="24"/>
        </w:rPr>
        <w:t>Accountancynieuws, 2013, Nr. 11. ‘</w:t>
      </w:r>
      <w:r w:rsidR="008B654E" w:rsidRPr="008C5EDB">
        <w:rPr>
          <w:i/>
          <w:color w:val="000000" w:themeColor="text1"/>
          <w:sz w:val="24"/>
          <w:szCs w:val="24"/>
        </w:rPr>
        <w:t>Nog geen Europese eenheid over accountantsregels</w:t>
      </w:r>
      <w:r w:rsidR="008B654E" w:rsidRPr="008C5EDB">
        <w:rPr>
          <w:color w:val="000000" w:themeColor="text1"/>
          <w:sz w:val="24"/>
          <w:szCs w:val="24"/>
        </w:rPr>
        <w:t>’, 7 juni</w:t>
      </w:r>
      <w:r w:rsidR="00D0110A">
        <w:rPr>
          <w:color w:val="000000" w:themeColor="text1"/>
          <w:sz w:val="24"/>
          <w:szCs w:val="24"/>
        </w:rPr>
        <w:br/>
      </w:r>
      <w:r w:rsidR="00D0110A">
        <w:rPr>
          <w:color w:val="000000" w:themeColor="text1"/>
          <w:sz w:val="24"/>
          <w:szCs w:val="24"/>
        </w:rPr>
        <w:br/>
      </w:r>
      <w:r w:rsidRPr="00D0110A">
        <w:rPr>
          <w:color w:val="000000" w:themeColor="text1"/>
          <w:sz w:val="24"/>
          <w:szCs w:val="24"/>
        </w:rPr>
        <w:t>AFM, 2013. ‘</w:t>
      </w:r>
      <w:r w:rsidRPr="00D0110A">
        <w:rPr>
          <w:i/>
          <w:color w:val="000000" w:themeColor="text1"/>
          <w:sz w:val="24"/>
          <w:szCs w:val="24"/>
        </w:rPr>
        <w:t>Naleving overgangsregeling scheiding controle en advies</w:t>
      </w:r>
      <w:r w:rsidRPr="00D0110A">
        <w:rPr>
          <w:color w:val="000000" w:themeColor="text1"/>
          <w:sz w:val="24"/>
          <w:szCs w:val="24"/>
        </w:rPr>
        <w:t>’, 27 maart</w:t>
      </w:r>
      <w:r w:rsidR="00D0110A" w:rsidRPr="00D0110A">
        <w:rPr>
          <w:color w:val="000000" w:themeColor="text1"/>
          <w:sz w:val="24"/>
          <w:szCs w:val="24"/>
        </w:rPr>
        <w:br/>
      </w:r>
      <w:r w:rsidR="00B17215">
        <w:rPr>
          <w:rFonts w:cstheme="minorHAnsi"/>
        </w:rPr>
        <w:br/>
      </w:r>
      <w:r w:rsidR="007801FD" w:rsidRPr="00B17215">
        <w:rPr>
          <w:rFonts w:cstheme="minorHAnsi"/>
          <w:sz w:val="24"/>
          <w:szCs w:val="24"/>
        </w:rPr>
        <w:t>Amtenbrink, F., H.H.B. Vedder,</w:t>
      </w:r>
      <w:r w:rsidR="008A03E4" w:rsidRPr="00B17215">
        <w:rPr>
          <w:rFonts w:cstheme="minorHAnsi"/>
          <w:sz w:val="24"/>
          <w:szCs w:val="24"/>
        </w:rPr>
        <w:t xml:space="preserve"> 2010.</w:t>
      </w:r>
      <w:r w:rsidR="007801FD" w:rsidRPr="00B17215">
        <w:rPr>
          <w:rFonts w:cstheme="minorHAnsi"/>
          <w:sz w:val="24"/>
          <w:szCs w:val="24"/>
        </w:rPr>
        <w:t xml:space="preserve"> ‘</w:t>
      </w:r>
      <w:r w:rsidR="007801FD" w:rsidRPr="00B17215">
        <w:rPr>
          <w:rFonts w:cstheme="minorHAnsi"/>
          <w:i/>
          <w:sz w:val="24"/>
          <w:szCs w:val="24"/>
        </w:rPr>
        <w:t>Recht van de Europese Unie</w:t>
      </w:r>
      <w:r w:rsidR="007801FD" w:rsidRPr="00B17215">
        <w:rPr>
          <w:rFonts w:cstheme="minorHAnsi"/>
          <w:sz w:val="24"/>
          <w:szCs w:val="24"/>
        </w:rPr>
        <w:t>’, 4e druk, Boom Juridische U</w:t>
      </w:r>
      <w:r w:rsidR="00287866" w:rsidRPr="00B17215">
        <w:rPr>
          <w:rFonts w:cstheme="minorHAnsi"/>
          <w:sz w:val="24"/>
          <w:szCs w:val="24"/>
        </w:rPr>
        <w:t>itgevers, Den Haag,</w:t>
      </w:r>
      <w:r w:rsidR="008A03E4" w:rsidRPr="00B17215">
        <w:rPr>
          <w:rFonts w:cstheme="minorHAnsi"/>
          <w:sz w:val="24"/>
          <w:szCs w:val="24"/>
        </w:rPr>
        <w:t xml:space="preserve"> (A&amp;V)</w:t>
      </w:r>
      <w:r w:rsidR="00680B46">
        <w:rPr>
          <w:rFonts w:cstheme="minorHAnsi"/>
          <w:sz w:val="24"/>
          <w:szCs w:val="24"/>
        </w:rPr>
        <w:br/>
      </w:r>
    </w:p>
    <w:p w:rsidR="00C36409" w:rsidRPr="00C36409" w:rsidRDefault="00C36409" w:rsidP="001816F9">
      <w:pPr>
        <w:pStyle w:val="Geenafstand"/>
        <w:spacing w:line="360" w:lineRule="auto"/>
        <w:rPr>
          <w:rFonts w:asciiTheme="minorHAnsi" w:hAnsiTheme="minorHAnsi" w:cstheme="minorHAnsi"/>
          <w:lang w:val="en-US"/>
        </w:rPr>
      </w:pPr>
      <w:r w:rsidRPr="00C36409">
        <w:rPr>
          <w:rFonts w:asciiTheme="minorHAnsi" w:hAnsiTheme="minorHAnsi" w:cstheme="minorHAnsi"/>
          <w:lang w:val="en-US"/>
        </w:rPr>
        <w:t xml:space="preserve">Antle, Rick, Gordon, Elizabeth A., Narayanamoorthy, Ganapathi S. </w:t>
      </w:r>
      <w:r w:rsidR="00EA667B">
        <w:rPr>
          <w:rFonts w:asciiTheme="minorHAnsi" w:hAnsiTheme="minorHAnsi" w:cstheme="minorHAnsi"/>
          <w:lang w:val="en-US"/>
        </w:rPr>
        <w:t xml:space="preserve">en </w:t>
      </w:r>
      <w:r w:rsidRPr="00C36409">
        <w:rPr>
          <w:rFonts w:asciiTheme="minorHAnsi" w:hAnsiTheme="minorHAnsi" w:cstheme="minorHAnsi"/>
          <w:lang w:val="en-US"/>
        </w:rPr>
        <w:t xml:space="preserve">Zhou, Ling, </w:t>
      </w:r>
      <w:r>
        <w:rPr>
          <w:rFonts w:asciiTheme="minorHAnsi" w:hAnsiTheme="minorHAnsi" w:cstheme="minorHAnsi"/>
          <w:lang w:val="en-US"/>
        </w:rPr>
        <w:t>2004. ‘</w:t>
      </w:r>
      <w:r w:rsidRPr="00086967">
        <w:rPr>
          <w:rFonts w:asciiTheme="minorHAnsi" w:hAnsiTheme="minorHAnsi" w:cstheme="minorHAnsi"/>
          <w:i/>
          <w:lang w:val="en-US"/>
        </w:rPr>
        <w:t>The Joint Determination of Audit Fees, Non-Audit Fees, and Abnormal Accruals</w:t>
      </w:r>
      <w:r>
        <w:rPr>
          <w:rFonts w:asciiTheme="minorHAnsi" w:hAnsiTheme="minorHAnsi" w:cstheme="minorHAnsi"/>
          <w:lang w:val="en-US"/>
        </w:rPr>
        <w:t>’,</w:t>
      </w:r>
      <w:r w:rsidRPr="00C36409">
        <w:rPr>
          <w:rFonts w:asciiTheme="minorHAnsi" w:hAnsiTheme="minorHAnsi" w:cstheme="minorHAnsi"/>
          <w:lang w:val="en-US"/>
        </w:rPr>
        <w:t xml:space="preserve"> Yale ICF Working Paper No. </w:t>
      </w:r>
      <w:r w:rsidR="00680B46">
        <w:rPr>
          <w:rFonts w:asciiTheme="minorHAnsi" w:hAnsiTheme="minorHAnsi" w:cstheme="minorHAnsi"/>
          <w:lang w:val="en-US"/>
        </w:rPr>
        <w:t>02-21; Yale SOM Working Paper Nr</w:t>
      </w:r>
      <w:r w:rsidRPr="00C36409">
        <w:rPr>
          <w:rFonts w:asciiTheme="minorHAnsi" w:hAnsiTheme="minorHAnsi" w:cstheme="minorHAnsi"/>
          <w:lang w:val="en-US"/>
        </w:rPr>
        <w:t xml:space="preserve">. AC-15. </w:t>
      </w:r>
    </w:p>
    <w:p w:rsidR="007801FD" w:rsidRPr="00C36409" w:rsidRDefault="007801FD" w:rsidP="001816F9">
      <w:pPr>
        <w:pStyle w:val="Geenafstand"/>
        <w:spacing w:line="360" w:lineRule="auto"/>
        <w:rPr>
          <w:rFonts w:asciiTheme="minorHAnsi" w:hAnsiTheme="minorHAnsi" w:cstheme="minorHAnsi"/>
          <w:lang w:val="en-US"/>
        </w:rPr>
      </w:pPr>
    </w:p>
    <w:p w:rsidR="00101B91" w:rsidRDefault="00101B91" w:rsidP="001816F9">
      <w:pPr>
        <w:pStyle w:val="Geenafstand"/>
        <w:spacing w:line="360" w:lineRule="auto"/>
        <w:rPr>
          <w:rFonts w:asciiTheme="minorHAnsi" w:hAnsiTheme="minorHAnsi" w:cstheme="minorHAnsi"/>
          <w:lang w:val="en-US"/>
        </w:rPr>
      </w:pPr>
      <w:r w:rsidRPr="00101B91">
        <w:rPr>
          <w:rFonts w:asciiTheme="minorHAnsi" w:hAnsiTheme="minorHAnsi" w:cstheme="minorHAnsi"/>
          <w:lang w:val="en-US"/>
        </w:rPr>
        <w:t>Arens</w:t>
      </w:r>
      <w:r w:rsidR="00EA667B">
        <w:rPr>
          <w:rFonts w:asciiTheme="minorHAnsi" w:hAnsiTheme="minorHAnsi" w:cstheme="minorHAnsi"/>
          <w:lang w:val="en-US"/>
        </w:rPr>
        <w:t>, A.A., Elder, R.J. en</w:t>
      </w:r>
      <w:r w:rsidRPr="00101B91">
        <w:rPr>
          <w:rFonts w:asciiTheme="minorHAnsi" w:hAnsiTheme="minorHAnsi" w:cstheme="minorHAnsi"/>
          <w:lang w:val="en-US"/>
        </w:rPr>
        <w:t xml:space="preserve"> Beasley, M.S. (2012). </w:t>
      </w:r>
      <w:r w:rsidR="004C32A5">
        <w:rPr>
          <w:rFonts w:asciiTheme="minorHAnsi" w:hAnsiTheme="minorHAnsi" w:cstheme="minorHAnsi"/>
          <w:lang w:val="en-US"/>
        </w:rPr>
        <w:t>‘</w:t>
      </w:r>
      <w:r w:rsidRPr="00101B91">
        <w:rPr>
          <w:rFonts w:asciiTheme="minorHAnsi" w:hAnsiTheme="minorHAnsi" w:cstheme="minorHAnsi"/>
          <w:i/>
          <w:lang w:val="en-US"/>
        </w:rPr>
        <w:t>Auditing and Assurance Services, An Integrated Approach</w:t>
      </w:r>
      <w:r w:rsidR="004C32A5">
        <w:rPr>
          <w:rFonts w:asciiTheme="minorHAnsi" w:hAnsiTheme="minorHAnsi" w:cstheme="minorHAnsi"/>
          <w:i/>
          <w:lang w:val="en-US"/>
        </w:rPr>
        <w:t>’,</w:t>
      </w:r>
      <w:r w:rsidRPr="00101B91">
        <w:rPr>
          <w:rFonts w:asciiTheme="minorHAnsi" w:hAnsiTheme="minorHAnsi" w:cstheme="minorHAnsi"/>
          <w:i/>
          <w:lang w:val="en-US"/>
        </w:rPr>
        <w:t xml:space="preserve"> </w:t>
      </w:r>
      <w:r w:rsidRPr="00101B91">
        <w:rPr>
          <w:rFonts w:asciiTheme="minorHAnsi" w:hAnsiTheme="minorHAnsi" w:cstheme="minorHAnsi"/>
          <w:lang w:val="en-US"/>
        </w:rPr>
        <w:t>Harlow: Pearson.</w:t>
      </w:r>
    </w:p>
    <w:p w:rsidR="00AA71A2" w:rsidRDefault="00AA71A2" w:rsidP="001816F9">
      <w:pPr>
        <w:pStyle w:val="Geenafstand"/>
        <w:spacing w:line="360" w:lineRule="auto"/>
        <w:rPr>
          <w:rFonts w:asciiTheme="minorHAnsi" w:hAnsiTheme="minorHAnsi" w:cstheme="minorHAnsi"/>
          <w:lang w:val="en-US"/>
        </w:rPr>
      </w:pPr>
    </w:p>
    <w:p w:rsidR="00AA71A2" w:rsidRPr="004C32A5" w:rsidRDefault="00AA71A2" w:rsidP="00AA71A2">
      <w:pPr>
        <w:pStyle w:val="Geenafstand"/>
        <w:spacing w:line="360" w:lineRule="auto"/>
        <w:rPr>
          <w:rFonts w:asciiTheme="minorHAnsi" w:hAnsiTheme="minorHAnsi" w:cstheme="minorHAnsi"/>
          <w:color w:val="000000" w:themeColor="text1"/>
          <w:lang w:val="en-US"/>
        </w:rPr>
      </w:pPr>
      <w:r w:rsidRPr="00AA71A2">
        <w:rPr>
          <w:rFonts w:asciiTheme="minorHAnsi" w:hAnsiTheme="minorHAnsi" w:cstheme="minorHAnsi"/>
          <w:color w:val="000000" w:themeColor="text1"/>
          <w:lang w:val="en-US"/>
        </w:rPr>
        <w:t>Ashbaugh, H., LaFond, R.</w:t>
      </w:r>
      <w:r w:rsidR="00EA667B">
        <w:rPr>
          <w:rFonts w:asciiTheme="minorHAnsi" w:hAnsiTheme="minorHAnsi" w:cstheme="minorHAnsi"/>
          <w:color w:val="000000" w:themeColor="text1"/>
          <w:lang w:val="en-US"/>
        </w:rPr>
        <w:t xml:space="preserve"> en</w:t>
      </w:r>
      <w:r w:rsidRPr="00AA71A2">
        <w:rPr>
          <w:rFonts w:asciiTheme="minorHAnsi" w:hAnsiTheme="minorHAnsi" w:cstheme="minorHAnsi"/>
          <w:color w:val="000000" w:themeColor="text1"/>
          <w:lang w:val="en-US"/>
        </w:rPr>
        <w:t xml:space="preserve"> Mayhew, B., 2003. </w:t>
      </w:r>
      <w:r>
        <w:rPr>
          <w:rFonts w:asciiTheme="minorHAnsi" w:hAnsiTheme="minorHAnsi" w:cstheme="minorHAnsi"/>
          <w:color w:val="000000" w:themeColor="text1"/>
          <w:lang w:val="en-US"/>
        </w:rPr>
        <w:t>‘</w:t>
      </w:r>
      <w:r w:rsidRPr="003554BA">
        <w:rPr>
          <w:rFonts w:asciiTheme="minorHAnsi" w:hAnsiTheme="minorHAnsi" w:cstheme="minorHAnsi"/>
          <w:i/>
          <w:color w:val="000000" w:themeColor="text1"/>
          <w:lang w:val="en-US"/>
        </w:rPr>
        <w:t>Do nonaudit services compromise auditor independence? Further evidence’</w:t>
      </w:r>
      <w:r w:rsidRPr="00AA71A2">
        <w:rPr>
          <w:rFonts w:asciiTheme="minorHAnsi" w:hAnsiTheme="minorHAnsi" w:cstheme="minorHAnsi"/>
          <w:color w:val="000000" w:themeColor="text1"/>
          <w:lang w:val="en-US"/>
        </w:rPr>
        <w:t>. The</w:t>
      </w:r>
      <w:r>
        <w:rPr>
          <w:rFonts w:asciiTheme="minorHAnsi" w:hAnsiTheme="minorHAnsi" w:cstheme="minorHAnsi"/>
          <w:color w:val="000000" w:themeColor="text1"/>
          <w:lang w:val="en-US"/>
        </w:rPr>
        <w:t xml:space="preserve"> </w:t>
      </w:r>
      <w:r w:rsidRPr="00AA71A2">
        <w:rPr>
          <w:rFonts w:asciiTheme="minorHAnsi" w:hAnsiTheme="minorHAnsi" w:cstheme="minorHAnsi"/>
          <w:color w:val="000000" w:themeColor="text1"/>
          <w:lang w:val="en-US"/>
        </w:rPr>
        <w:t xml:space="preserve">Accounting Review </w:t>
      </w:r>
      <w:r w:rsidR="00EE7D0B">
        <w:rPr>
          <w:rFonts w:asciiTheme="minorHAnsi" w:hAnsiTheme="minorHAnsi" w:cstheme="minorHAnsi"/>
          <w:color w:val="000000" w:themeColor="text1"/>
          <w:lang w:val="en-US"/>
        </w:rPr>
        <w:t xml:space="preserve">Volume </w:t>
      </w:r>
      <w:r w:rsidRPr="00AA71A2">
        <w:rPr>
          <w:rFonts w:asciiTheme="minorHAnsi" w:hAnsiTheme="minorHAnsi" w:cstheme="minorHAnsi"/>
          <w:color w:val="000000" w:themeColor="text1"/>
          <w:lang w:val="en-US"/>
        </w:rPr>
        <w:t>78,</w:t>
      </w:r>
      <w:r w:rsidR="00EE7D0B">
        <w:rPr>
          <w:rFonts w:asciiTheme="minorHAnsi" w:hAnsiTheme="minorHAnsi" w:cstheme="minorHAnsi"/>
          <w:color w:val="000000" w:themeColor="text1"/>
          <w:lang w:val="en-US"/>
        </w:rPr>
        <w:t xml:space="preserve"> nr 3.</w:t>
      </w:r>
      <w:r w:rsidRPr="00AA71A2">
        <w:rPr>
          <w:rFonts w:asciiTheme="minorHAnsi" w:hAnsiTheme="minorHAnsi" w:cstheme="minorHAnsi"/>
          <w:color w:val="000000" w:themeColor="text1"/>
          <w:lang w:val="en-US"/>
        </w:rPr>
        <w:t xml:space="preserve"> </w:t>
      </w:r>
      <w:r w:rsidR="002C5273">
        <w:rPr>
          <w:rFonts w:asciiTheme="minorHAnsi" w:hAnsiTheme="minorHAnsi" w:cstheme="minorHAnsi"/>
          <w:color w:val="000000" w:themeColor="text1"/>
          <w:lang w:val="en-US"/>
        </w:rPr>
        <w:t xml:space="preserve">Pagina </w:t>
      </w:r>
      <w:r w:rsidRPr="00AA71A2">
        <w:rPr>
          <w:rFonts w:asciiTheme="minorHAnsi" w:hAnsiTheme="minorHAnsi" w:cstheme="minorHAnsi"/>
          <w:color w:val="000000" w:themeColor="text1"/>
          <w:lang w:val="en-US"/>
        </w:rPr>
        <w:t>611–639.</w:t>
      </w:r>
    </w:p>
    <w:p w:rsidR="00B1647B" w:rsidRDefault="00B1647B" w:rsidP="001816F9">
      <w:pPr>
        <w:pStyle w:val="Geenafstand"/>
        <w:spacing w:line="360" w:lineRule="auto"/>
        <w:rPr>
          <w:color w:val="000000" w:themeColor="text1"/>
          <w:lang w:val="en-US"/>
        </w:rPr>
      </w:pPr>
      <w:r w:rsidRPr="004C32A5">
        <w:rPr>
          <w:color w:val="000000" w:themeColor="text1"/>
          <w:lang w:val="en-US"/>
        </w:rPr>
        <w:br/>
      </w:r>
      <w:r w:rsidRPr="00B1647B">
        <w:rPr>
          <w:color w:val="000000" w:themeColor="text1"/>
          <w:lang w:val="en-US"/>
        </w:rPr>
        <w:t>Bazerman, Max H., Kimberly P.,</w:t>
      </w:r>
      <w:r w:rsidR="00EA667B">
        <w:rPr>
          <w:color w:val="000000" w:themeColor="text1"/>
          <w:lang w:val="en-US"/>
        </w:rPr>
        <w:t xml:space="preserve"> Morgan en </w:t>
      </w:r>
      <w:r>
        <w:rPr>
          <w:color w:val="000000" w:themeColor="text1"/>
          <w:lang w:val="en-US"/>
        </w:rPr>
        <w:t xml:space="preserve">George Loewenstein, 1997. </w:t>
      </w:r>
      <w:r>
        <w:rPr>
          <w:i/>
          <w:color w:val="000000" w:themeColor="text1"/>
          <w:lang w:val="en-US"/>
        </w:rPr>
        <w:t>‘</w:t>
      </w:r>
      <w:r w:rsidRPr="00B1647B">
        <w:rPr>
          <w:i/>
          <w:color w:val="000000" w:themeColor="text1"/>
          <w:lang w:val="en-US"/>
        </w:rPr>
        <w:t>The Impossibility of Auditor Independence</w:t>
      </w:r>
      <w:r>
        <w:rPr>
          <w:i/>
          <w:color w:val="000000" w:themeColor="text1"/>
          <w:lang w:val="en-US"/>
        </w:rPr>
        <w:t>’.</w:t>
      </w:r>
      <w:r>
        <w:rPr>
          <w:color w:val="000000" w:themeColor="text1"/>
          <w:lang w:val="en-US"/>
        </w:rPr>
        <w:t xml:space="preserve"> Sloan management review, volume 38 nr 4. Pagina 89-94</w:t>
      </w:r>
    </w:p>
    <w:p w:rsidR="00E72513" w:rsidRDefault="00E72513" w:rsidP="001816F9">
      <w:pPr>
        <w:pStyle w:val="Geenafstand"/>
        <w:spacing w:line="360" w:lineRule="auto"/>
        <w:rPr>
          <w:color w:val="000000" w:themeColor="text1"/>
          <w:lang w:val="en-US"/>
        </w:rPr>
      </w:pPr>
    </w:p>
    <w:p w:rsidR="0029210C" w:rsidRPr="00142F8E" w:rsidRDefault="00E72513" w:rsidP="001816F9">
      <w:pPr>
        <w:pStyle w:val="Geenafstand"/>
        <w:spacing w:line="360" w:lineRule="auto"/>
        <w:rPr>
          <w:rFonts w:asciiTheme="minorHAnsi" w:hAnsiTheme="minorHAnsi"/>
          <w:color w:val="000000" w:themeColor="text1"/>
          <w:szCs w:val="24"/>
          <w:lang w:val="en-US"/>
        </w:rPr>
      </w:pPr>
      <w:r w:rsidRPr="00142F8E">
        <w:rPr>
          <w:rFonts w:asciiTheme="minorHAnsi" w:hAnsiTheme="minorHAnsi"/>
          <w:color w:val="000000" w:themeColor="text1"/>
          <w:szCs w:val="24"/>
          <w:lang w:val="en-US"/>
        </w:rPr>
        <w:t>B</w:t>
      </w:r>
      <w:r w:rsidR="00680B46">
        <w:rPr>
          <w:rFonts w:asciiTheme="minorHAnsi" w:hAnsiTheme="minorHAnsi"/>
          <w:color w:val="000000" w:themeColor="text1"/>
          <w:szCs w:val="24"/>
          <w:lang w:val="en-US"/>
        </w:rPr>
        <w:t xml:space="preserve">ecker, Connie L, Defond, Mark L, </w:t>
      </w:r>
      <w:r w:rsidRPr="00142F8E">
        <w:rPr>
          <w:rFonts w:asciiTheme="minorHAnsi" w:hAnsiTheme="minorHAnsi"/>
          <w:color w:val="000000" w:themeColor="text1"/>
          <w:szCs w:val="24"/>
          <w:lang w:val="en-US"/>
        </w:rPr>
        <w:t>Jiamb</w:t>
      </w:r>
      <w:r w:rsidR="00680B46">
        <w:rPr>
          <w:rFonts w:asciiTheme="minorHAnsi" w:hAnsiTheme="minorHAnsi"/>
          <w:color w:val="000000" w:themeColor="text1"/>
          <w:szCs w:val="24"/>
          <w:lang w:val="en-US"/>
        </w:rPr>
        <w:t>alvo, James en Subramanyam</w:t>
      </w:r>
      <w:r w:rsidRPr="00142F8E">
        <w:rPr>
          <w:rFonts w:asciiTheme="minorHAnsi" w:hAnsiTheme="minorHAnsi"/>
          <w:color w:val="000000" w:themeColor="text1"/>
          <w:szCs w:val="24"/>
          <w:lang w:val="en-US"/>
        </w:rPr>
        <w:t>,</w:t>
      </w:r>
      <w:r w:rsidR="00680B46">
        <w:rPr>
          <w:rFonts w:asciiTheme="minorHAnsi" w:hAnsiTheme="minorHAnsi"/>
          <w:color w:val="000000" w:themeColor="text1"/>
          <w:szCs w:val="24"/>
          <w:lang w:val="en-US"/>
        </w:rPr>
        <w:t xml:space="preserve"> K R.</w:t>
      </w:r>
      <w:r w:rsidRPr="00142F8E">
        <w:rPr>
          <w:rFonts w:asciiTheme="minorHAnsi" w:hAnsiTheme="minorHAnsi"/>
          <w:color w:val="000000" w:themeColor="text1"/>
          <w:szCs w:val="24"/>
          <w:lang w:val="en-US"/>
        </w:rPr>
        <w:t xml:space="preserve"> 1998. ‘</w:t>
      </w:r>
      <w:r w:rsidRPr="000C1E9C">
        <w:rPr>
          <w:rFonts w:asciiTheme="minorHAnsi" w:hAnsiTheme="minorHAnsi" w:cs="ArialMT"/>
          <w:szCs w:val="24"/>
          <w:lang w:val="en-US"/>
        </w:rPr>
        <w:t>Contemporary Accounting Research’  15.1 (Spring 1998): Pagina 1-24</w:t>
      </w:r>
    </w:p>
    <w:p w:rsidR="00E72513" w:rsidRDefault="00E72513" w:rsidP="001816F9">
      <w:pPr>
        <w:pStyle w:val="Geenafstand"/>
        <w:spacing w:line="360" w:lineRule="auto"/>
        <w:rPr>
          <w:color w:val="000000" w:themeColor="text1"/>
          <w:lang w:val="en-US"/>
        </w:rPr>
      </w:pPr>
    </w:p>
    <w:p w:rsidR="00425FB0" w:rsidRDefault="00425FB0" w:rsidP="001816F9">
      <w:pPr>
        <w:pStyle w:val="Geenafstand"/>
        <w:spacing w:line="360" w:lineRule="auto"/>
        <w:rPr>
          <w:color w:val="000000" w:themeColor="text1"/>
          <w:lang w:val="en-US"/>
        </w:rPr>
      </w:pPr>
      <w:r w:rsidRPr="00425FB0">
        <w:rPr>
          <w:color w:val="000000" w:themeColor="text1"/>
          <w:lang w:val="en-US"/>
        </w:rPr>
        <w:t xml:space="preserve">Dee, Carol Callaway, Lulseged, Ayalew A. </w:t>
      </w:r>
      <w:r w:rsidR="00680B46">
        <w:rPr>
          <w:color w:val="000000" w:themeColor="text1"/>
          <w:lang w:val="en-US"/>
        </w:rPr>
        <w:t>en</w:t>
      </w:r>
      <w:r w:rsidRPr="00425FB0">
        <w:rPr>
          <w:color w:val="000000" w:themeColor="text1"/>
          <w:lang w:val="en-US"/>
        </w:rPr>
        <w:t xml:space="preserve"> Nowlin, Tanya S.,</w:t>
      </w:r>
      <w:r>
        <w:rPr>
          <w:color w:val="000000" w:themeColor="text1"/>
          <w:lang w:val="en-US"/>
        </w:rPr>
        <w:t xml:space="preserve"> 2002. ‘</w:t>
      </w:r>
      <w:r w:rsidRPr="00086967">
        <w:rPr>
          <w:i/>
          <w:color w:val="000000" w:themeColor="text1"/>
          <w:lang w:val="en-US"/>
        </w:rPr>
        <w:t>Earnings Quality and Auditor Independence: An Examination Using Non-audit Fee Data’</w:t>
      </w:r>
      <w:r w:rsidR="00680B46">
        <w:rPr>
          <w:color w:val="000000" w:themeColor="text1"/>
          <w:lang w:val="en-US"/>
        </w:rPr>
        <w:t>, Working paper, januari</w:t>
      </w:r>
      <w:r w:rsidR="00142F8E">
        <w:rPr>
          <w:color w:val="000000" w:themeColor="text1"/>
          <w:lang w:val="en-US"/>
        </w:rPr>
        <w:t xml:space="preserve"> 28, 2002</w:t>
      </w:r>
    </w:p>
    <w:p w:rsidR="00425FB0" w:rsidRDefault="00FC4030" w:rsidP="00FC4030">
      <w:pPr>
        <w:pStyle w:val="Geenafstand"/>
        <w:spacing w:line="360" w:lineRule="auto"/>
        <w:rPr>
          <w:color w:val="000000" w:themeColor="text1"/>
          <w:lang w:val="en-US"/>
        </w:rPr>
      </w:pPr>
      <w:r w:rsidRPr="00AD6A6D">
        <w:rPr>
          <w:color w:val="000000" w:themeColor="text1"/>
        </w:rPr>
        <w:lastRenderedPageBreak/>
        <w:br/>
      </w:r>
      <w:r w:rsidR="00420E7B" w:rsidRPr="00AD6A6D">
        <w:rPr>
          <w:color w:val="000000" w:themeColor="text1"/>
        </w:rPr>
        <w:t>DeFond, M. L., en K.R. Subramanyam, 1998.</w:t>
      </w:r>
      <w:r w:rsidRPr="00AD6A6D">
        <w:rPr>
          <w:color w:val="000000" w:themeColor="text1"/>
        </w:rPr>
        <w:t xml:space="preserve"> </w:t>
      </w:r>
      <w:r w:rsidRPr="00FC4030">
        <w:rPr>
          <w:color w:val="000000" w:themeColor="text1"/>
          <w:lang w:val="en-US"/>
        </w:rPr>
        <w:t>“</w:t>
      </w:r>
      <w:r w:rsidRPr="00420E7B">
        <w:rPr>
          <w:i/>
          <w:color w:val="000000" w:themeColor="text1"/>
          <w:lang w:val="en-US"/>
        </w:rPr>
        <w:t>Auditor Changes and Discretionary Accruals</w:t>
      </w:r>
      <w:r w:rsidRPr="00FC4030">
        <w:rPr>
          <w:color w:val="000000" w:themeColor="text1"/>
          <w:lang w:val="en-US"/>
        </w:rPr>
        <w:t>.” Journal</w:t>
      </w:r>
      <w:r w:rsidR="00420E7B">
        <w:rPr>
          <w:color w:val="000000" w:themeColor="text1"/>
          <w:lang w:val="en-US"/>
        </w:rPr>
        <w:t xml:space="preserve"> </w:t>
      </w:r>
      <w:r w:rsidRPr="00FC4030">
        <w:rPr>
          <w:color w:val="000000" w:themeColor="text1"/>
          <w:lang w:val="en-US"/>
        </w:rPr>
        <w:t>of Accounting and Economics</w:t>
      </w:r>
      <w:r w:rsidR="00420E7B">
        <w:rPr>
          <w:color w:val="000000" w:themeColor="text1"/>
          <w:lang w:val="en-US"/>
        </w:rPr>
        <w:t>,</w:t>
      </w:r>
      <w:r w:rsidRPr="00FC4030">
        <w:rPr>
          <w:color w:val="000000" w:themeColor="text1"/>
          <w:lang w:val="en-US"/>
        </w:rPr>
        <w:t xml:space="preserve"> </w:t>
      </w:r>
      <w:r>
        <w:rPr>
          <w:color w:val="000000" w:themeColor="text1"/>
          <w:lang w:val="en-US"/>
        </w:rPr>
        <w:t xml:space="preserve">Volume </w:t>
      </w:r>
      <w:r w:rsidRPr="00FC4030">
        <w:rPr>
          <w:color w:val="000000" w:themeColor="text1"/>
          <w:lang w:val="en-US"/>
        </w:rPr>
        <w:t xml:space="preserve">25 (1998): </w:t>
      </w:r>
      <w:r>
        <w:rPr>
          <w:color w:val="000000" w:themeColor="text1"/>
          <w:lang w:val="en-US"/>
        </w:rPr>
        <w:t xml:space="preserve">Pagina </w:t>
      </w:r>
      <w:r w:rsidR="00420E7B">
        <w:rPr>
          <w:color w:val="000000" w:themeColor="text1"/>
          <w:lang w:val="en-US"/>
        </w:rPr>
        <w:t>35–67</w:t>
      </w:r>
    </w:p>
    <w:p w:rsidR="00FC4030" w:rsidRDefault="00FC4030" w:rsidP="00FC4030">
      <w:pPr>
        <w:pStyle w:val="Geenafstand"/>
        <w:spacing w:line="360" w:lineRule="auto"/>
        <w:rPr>
          <w:color w:val="000000" w:themeColor="text1"/>
          <w:lang w:val="en-US"/>
        </w:rPr>
      </w:pPr>
    </w:p>
    <w:p w:rsidR="00767B1A" w:rsidRPr="00767B1A" w:rsidRDefault="00767B1A" w:rsidP="00767B1A">
      <w:pPr>
        <w:pStyle w:val="Geenafstand"/>
        <w:spacing w:line="360" w:lineRule="auto"/>
        <w:rPr>
          <w:i/>
          <w:color w:val="000000" w:themeColor="text1"/>
          <w:lang w:val="en-US"/>
        </w:rPr>
      </w:pPr>
      <w:r>
        <w:rPr>
          <w:color w:val="000000" w:themeColor="text1"/>
          <w:lang w:val="en-US"/>
        </w:rPr>
        <w:t>Dechow, P. M., R.G. Sloan en A.P. Sweeney, 1996.</w:t>
      </w:r>
      <w:r w:rsidRPr="00767B1A">
        <w:rPr>
          <w:color w:val="000000" w:themeColor="text1"/>
          <w:lang w:val="en-US"/>
        </w:rPr>
        <w:t xml:space="preserve"> “</w:t>
      </w:r>
      <w:r w:rsidRPr="00767B1A">
        <w:rPr>
          <w:i/>
          <w:color w:val="000000" w:themeColor="text1"/>
          <w:lang w:val="en-US"/>
        </w:rPr>
        <w:t>Causes and Consequences of Earnings</w:t>
      </w:r>
    </w:p>
    <w:p w:rsidR="00767B1A" w:rsidRDefault="00767B1A" w:rsidP="00767B1A">
      <w:pPr>
        <w:pStyle w:val="Geenafstand"/>
        <w:spacing w:line="360" w:lineRule="auto"/>
        <w:rPr>
          <w:color w:val="000000" w:themeColor="text1"/>
          <w:lang w:val="en-US"/>
        </w:rPr>
      </w:pPr>
      <w:r w:rsidRPr="00767B1A">
        <w:rPr>
          <w:i/>
          <w:color w:val="000000" w:themeColor="text1"/>
          <w:lang w:val="en-US"/>
        </w:rPr>
        <w:t>Manipulation: An Analysis of Firms Subject to Enforcement Actions by the SEC</w:t>
      </w:r>
      <w:r w:rsidRPr="00767B1A">
        <w:rPr>
          <w:color w:val="000000" w:themeColor="text1"/>
          <w:lang w:val="en-US"/>
        </w:rPr>
        <w:t>.” Contemporary</w:t>
      </w:r>
      <w:r>
        <w:rPr>
          <w:color w:val="000000" w:themeColor="text1"/>
          <w:lang w:val="en-US"/>
        </w:rPr>
        <w:t xml:space="preserve"> </w:t>
      </w:r>
      <w:r w:rsidRPr="00767B1A">
        <w:rPr>
          <w:color w:val="000000" w:themeColor="text1"/>
          <w:lang w:val="en-US"/>
        </w:rPr>
        <w:t>Acco</w:t>
      </w:r>
      <w:r>
        <w:rPr>
          <w:color w:val="000000" w:themeColor="text1"/>
          <w:lang w:val="en-US"/>
        </w:rPr>
        <w:t>unting Research</w:t>
      </w:r>
      <w:r w:rsidR="00F61434">
        <w:rPr>
          <w:color w:val="000000" w:themeColor="text1"/>
          <w:lang w:val="en-US"/>
        </w:rPr>
        <w:t>,</w:t>
      </w:r>
      <w:r>
        <w:rPr>
          <w:color w:val="000000" w:themeColor="text1"/>
          <w:lang w:val="en-US"/>
        </w:rPr>
        <w:t xml:space="preserve"> Volume 13, Pagina 1–36</w:t>
      </w:r>
    </w:p>
    <w:p w:rsidR="00767B1A" w:rsidRDefault="00767B1A" w:rsidP="00767B1A">
      <w:pPr>
        <w:pStyle w:val="Geenafstand"/>
        <w:spacing w:line="360" w:lineRule="auto"/>
        <w:rPr>
          <w:color w:val="000000" w:themeColor="text1"/>
          <w:lang w:val="en-US"/>
        </w:rPr>
      </w:pPr>
    </w:p>
    <w:p w:rsidR="008B0262" w:rsidRDefault="008B0262" w:rsidP="008B0262">
      <w:pPr>
        <w:pStyle w:val="Geenafstand"/>
        <w:spacing w:line="360" w:lineRule="auto"/>
        <w:rPr>
          <w:color w:val="000000" w:themeColor="text1"/>
          <w:lang w:val="en-US"/>
        </w:rPr>
      </w:pPr>
      <w:r>
        <w:rPr>
          <w:color w:val="000000" w:themeColor="text1"/>
          <w:lang w:val="en-US"/>
        </w:rPr>
        <w:t xml:space="preserve">Francis, J. R., </w:t>
      </w:r>
      <w:r w:rsidR="00680B46">
        <w:rPr>
          <w:color w:val="000000" w:themeColor="text1"/>
          <w:lang w:val="en-US"/>
        </w:rPr>
        <w:t>en</w:t>
      </w:r>
      <w:r>
        <w:rPr>
          <w:color w:val="000000" w:themeColor="text1"/>
          <w:lang w:val="en-US"/>
        </w:rPr>
        <w:t xml:space="preserve"> Ke, B., </w:t>
      </w:r>
      <w:r w:rsidRPr="008B0262">
        <w:rPr>
          <w:color w:val="000000" w:themeColor="text1"/>
          <w:lang w:val="en-US"/>
        </w:rPr>
        <w:t xml:space="preserve">2006. </w:t>
      </w:r>
      <w:r>
        <w:rPr>
          <w:color w:val="000000" w:themeColor="text1"/>
          <w:lang w:val="en-US"/>
        </w:rPr>
        <w:t>‘</w:t>
      </w:r>
      <w:r w:rsidRPr="00DF06FC">
        <w:rPr>
          <w:i/>
          <w:color w:val="000000" w:themeColor="text1"/>
          <w:lang w:val="en-US"/>
        </w:rPr>
        <w:t>Disclosure of fees paid to auditors and the market valuation of earnings surprises</w:t>
      </w:r>
      <w:r>
        <w:rPr>
          <w:color w:val="000000" w:themeColor="text1"/>
          <w:lang w:val="en-US"/>
        </w:rPr>
        <w:t>’</w:t>
      </w:r>
      <w:r w:rsidRPr="008B0262">
        <w:rPr>
          <w:color w:val="000000" w:themeColor="text1"/>
          <w:lang w:val="en-US"/>
        </w:rPr>
        <w:t>. Review of Accounting Studies,</w:t>
      </w:r>
      <w:r>
        <w:rPr>
          <w:color w:val="000000" w:themeColor="text1"/>
          <w:lang w:val="en-US"/>
        </w:rPr>
        <w:t xml:space="preserve"> </w:t>
      </w:r>
      <w:r w:rsidR="00A16C30">
        <w:rPr>
          <w:color w:val="000000" w:themeColor="text1"/>
          <w:lang w:val="en-US"/>
        </w:rPr>
        <w:t xml:space="preserve">Volume </w:t>
      </w:r>
      <w:r w:rsidRPr="008B0262">
        <w:rPr>
          <w:color w:val="000000" w:themeColor="text1"/>
          <w:lang w:val="en-US"/>
        </w:rPr>
        <w:t>11</w:t>
      </w:r>
      <w:r w:rsidR="00A16C30">
        <w:rPr>
          <w:color w:val="000000" w:themeColor="text1"/>
          <w:lang w:val="en-US"/>
        </w:rPr>
        <w:t xml:space="preserve">, Nr. </w:t>
      </w:r>
      <w:r w:rsidRPr="008B0262">
        <w:rPr>
          <w:color w:val="000000" w:themeColor="text1"/>
          <w:lang w:val="en-US"/>
        </w:rPr>
        <w:t xml:space="preserve">4, </w:t>
      </w:r>
      <w:r>
        <w:rPr>
          <w:color w:val="000000" w:themeColor="text1"/>
          <w:lang w:val="en-US"/>
        </w:rPr>
        <w:t xml:space="preserve">Pagina </w:t>
      </w:r>
      <w:r w:rsidR="00680B46">
        <w:rPr>
          <w:color w:val="000000" w:themeColor="text1"/>
          <w:lang w:val="en-US"/>
        </w:rPr>
        <w:t>495–523</w:t>
      </w:r>
    </w:p>
    <w:p w:rsidR="008B0262" w:rsidRPr="00425FB0" w:rsidRDefault="008B0262" w:rsidP="008B0262">
      <w:pPr>
        <w:pStyle w:val="Geenafstand"/>
        <w:spacing w:line="360" w:lineRule="auto"/>
        <w:rPr>
          <w:color w:val="000000" w:themeColor="text1"/>
          <w:lang w:val="en-US"/>
        </w:rPr>
      </w:pPr>
    </w:p>
    <w:p w:rsidR="00B1647B" w:rsidRDefault="0029210C" w:rsidP="0029210C">
      <w:pPr>
        <w:pStyle w:val="Geenafstand"/>
        <w:spacing w:line="360" w:lineRule="auto"/>
        <w:rPr>
          <w:color w:val="000000" w:themeColor="text1"/>
          <w:lang w:val="en-US"/>
        </w:rPr>
      </w:pPr>
      <w:r w:rsidRPr="0029210C">
        <w:rPr>
          <w:color w:val="000000" w:themeColor="text1"/>
          <w:lang w:val="en-US"/>
        </w:rPr>
        <w:t>Frankel, R. M., J</w:t>
      </w:r>
      <w:r w:rsidR="00680B46">
        <w:rPr>
          <w:color w:val="000000" w:themeColor="text1"/>
          <w:lang w:val="en-US"/>
        </w:rPr>
        <w:t>ohnson, M. F., en</w:t>
      </w:r>
      <w:r w:rsidR="00086967">
        <w:rPr>
          <w:color w:val="000000" w:themeColor="text1"/>
          <w:lang w:val="en-US"/>
        </w:rPr>
        <w:t xml:space="preserve"> Nelson, K. K., 2002</w:t>
      </w:r>
      <w:r w:rsidRPr="0029210C">
        <w:rPr>
          <w:color w:val="000000" w:themeColor="text1"/>
          <w:lang w:val="en-US"/>
        </w:rPr>
        <w:t xml:space="preserve">. </w:t>
      </w:r>
      <w:r w:rsidR="00086967">
        <w:rPr>
          <w:color w:val="000000" w:themeColor="text1"/>
          <w:lang w:val="en-US"/>
        </w:rPr>
        <w:t>‘</w:t>
      </w:r>
      <w:r w:rsidRPr="00086967">
        <w:rPr>
          <w:i/>
          <w:color w:val="000000" w:themeColor="text1"/>
          <w:lang w:val="en-US"/>
        </w:rPr>
        <w:t>The relation between auditors’ fees for non-audit services and earnings management</w:t>
      </w:r>
      <w:r w:rsidR="00086967">
        <w:rPr>
          <w:color w:val="000000" w:themeColor="text1"/>
          <w:lang w:val="en-US"/>
        </w:rPr>
        <w:t>’</w:t>
      </w:r>
      <w:r w:rsidRPr="0029210C">
        <w:rPr>
          <w:color w:val="000000" w:themeColor="text1"/>
          <w:lang w:val="en-US"/>
        </w:rPr>
        <w:t>. The</w:t>
      </w:r>
      <w:r>
        <w:rPr>
          <w:color w:val="000000" w:themeColor="text1"/>
          <w:lang w:val="en-US"/>
        </w:rPr>
        <w:t xml:space="preserve"> </w:t>
      </w:r>
      <w:r w:rsidRPr="0029210C">
        <w:rPr>
          <w:color w:val="000000" w:themeColor="text1"/>
          <w:lang w:val="en-US"/>
        </w:rPr>
        <w:t xml:space="preserve">Accounting Review, 77(Supplement), </w:t>
      </w:r>
      <w:r w:rsidR="00F63057">
        <w:rPr>
          <w:color w:val="000000" w:themeColor="text1"/>
          <w:lang w:val="en-US"/>
        </w:rPr>
        <w:t xml:space="preserve">Pagina </w:t>
      </w:r>
      <w:r w:rsidRPr="0029210C">
        <w:rPr>
          <w:color w:val="000000" w:themeColor="text1"/>
          <w:lang w:val="en-US"/>
        </w:rPr>
        <w:t>71–105</w:t>
      </w:r>
    </w:p>
    <w:p w:rsidR="0029210C" w:rsidRPr="00B1647B" w:rsidRDefault="0029210C" w:rsidP="0029210C">
      <w:pPr>
        <w:pStyle w:val="Geenafstand"/>
        <w:spacing w:line="360" w:lineRule="auto"/>
        <w:rPr>
          <w:color w:val="000000" w:themeColor="text1"/>
          <w:lang w:val="en-US"/>
        </w:rPr>
      </w:pPr>
    </w:p>
    <w:p w:rsidR="00BD3DEE" w:rsidRPr="0058702F" w:rsidRDefault="00BD3DEE" w:rsidP="001816F9">
      <w:pPr>
        <w:pStyle w:val="Geenafstand"/>
        <w:spacing w:line="360" w:lineRule="auto"/>
        <w:rPr>
          <w:color w:val="000000" w:themeColor="text1"/>
          <w:lang w:val="en-US"/>
        </w:rPr>
      </w:pPr>
      <w:r w:rsidRPr="0032312A">
        <w:rPr>
          <w:color w:val="000000" w:themeColor="text1"/>
          <w:lang w:val="en-US"/>
        </w:rPr>
        <w:t xml:space="preserve">Ghosh, A., S. Kallapur en D. Moon, 2009. </w:t>
      </w:r>
      <w:r w:rsidRPr="0058702F">
        <w:rPr>
          <w:color w:val="000000" w:themeColor="text1"/>
          <w:lang w:val="en-US"/>
        </w:rPr>
        <w:t>‘</w:t>
      </w:r>
      <w:r w:rsidRPr="0058702F">
        <w:rPr>
          <w:i/>
          <w:color w:val="000000" w:themeColor="text1"/>
          <w:lang w:val="en-US"/>
        </w:rPr>
        <w:t>Audit and non-audit fees and capital market</w:t>
      </w:r>
      <w:r w:rsidRPr="0058702F">
        <w:rPr>
          <w:color w:val="000000" w:themeColor="text1"/>
          <w:lang w:val="en-US"/>
        </w:rPr>
        <w:t>’. J. Account. Public Policy nr. 28, p</w:t>
      </w:r>
      <w:r w:rsidR="00680B46">
        <w:rPr>
          <w:color w:val="000000" w:themeColor="text1"/>
          <w:lang w:val="en-US"/>
        </w:rPr>
        <w:t>a</w:t>
      </w:r>
      <w:r w:rsidRPr="0058702F">
        <w:rPr>
          <w:color w:val="000000" w:themeColor="text1"/>
          <w:lang w:val="en-US"/>
        </w:rPr>
        <w:t>g</w:t>
      </w:r>
      <w:r w:rsidR="00680B46">
        <w:rPr>
          <w:color w:val="000000" w:themeColor="text1"/>
          <w:lang w:val="en-US"/>
        </w:rPr>
        <w:t>ina</w:t>
      </w:r>
      <w:r w:rsidRPr="0058702F">
        <w:rPr>
          <w:color w:val="000000" w:themeColor="text1"/>
          <w:lang w:val="en-US"/>
        </w:rPr>
        <w:t xml:space="preserve"> 369–385, Elsevier</w:t>
      </w:r>
    </w:p>
    <w:p w:rsidR="00BD3DEE" w:rsidRDefault="00BD3DEE" w:rsidP="001816F9">
      <w:pPr>
        <w:pStyle w:val="Geenafstand"/>
        <w:spacing w:line="360" w:lineRule="auto"/>
        <w:rPr>
          <w:color w:val="000000" w:themeColor="text1"/>
          <w:lang w:val="en-US"/>
        </w:rPr>
      </w:pPr>
    </w:p>
    <w:p w:rsidR="00A1688D" w:rsidRDefault="00A1688D" w:rsidP="00A1688D">
      <w:pPr>
        <w:pStyle w:val="Geenafstand"/>
        <w:spacing w:line="360" w:lineRule="auto"/>
        <w:rPr>
          <w:color w:val="000000" w:themeColor="text1"/>
          <w:lang w:val="en-US"/>
        </w:rPr>
      </w:pPr>
      <w:r>
        <w:rPr>
          <w:color w:val="000000" w:themeColor="text1"/>
          <w:lang w:val="en-US"/>
        </w:rPr>
        <w:t xml:space="preserve">Hope, O. K. </w:t>
      </w:r>
      <w:r w:rsidR="00680B46">
        <w:rPr>
          <w:color w:val="000000" w:themeColor="text1"/>
          <w:lang w:val="en-US"/>
        </w:rPr>
        <w:t>en</w:t>
      </w:r>
      <w:r>
        <w:rPr>
          <w:color w:val="000000" w:themeColor="text1"/>
          <w:lang w:val="en-US"/>
        </w:rPr>
        <w:t xml:space="preserve"> Langli, J. C. , </w:t>
      </w:r>
      <w:r w:rsidRPr="00A1688D">
        <w:rPr>
          <w:color w:val="000000" w:themeColor="text1"/>
          <w:lang w:val="en-US"/>
        </w:rPr>
        <w:t>2010</w:t>
      </w:r>
      <w:r>
        <w:rPr>
          <w:color w:val="000000" w:themeColor="text1"/>
          <w:lang w:val="en-US"/>
        </w:rPr>
        <w:t>. ‘</w:t>
      </w:r>
      <w:r w:rsidRPr="00A1688D">
        <w:rPr>
          <w:i/>
          <w:color w:val="000000" w:themeColor="text1"/>
          <w:lang w:val="en-US"/>
        </w:rPr>
        <w:t>Auditor independence in a private firm and low litigation risk setting</w:t>
      </w:r>
      <w:r>
        <w:rPr>
          <w:color w:val="000000" w:themeColor="text1"/>
          <w:lang w:val="en-US"/>
        </w:rPr>
        <w:t>’</w:t>
      </w:r>
      <w:r w:rsidR="00E83E61">
        <w:rPr>
          <w:color w:val="000000" w:themeColor="text1"/>
          <w:lang w:val="en-US"/>
        </w:rPr>
        <w:t>.</w:t>
      </w:r>
      <w:r w:rsidRPr="00A1688D">
        <w:rPr>
          <w:color w:val="000000" w:themeColor="text1"/>
          <w:lang w:val="en-US"/>
        </w:rPr>
        <w:t xml:space="preserve"> Accoun</w:t>
      </w:r>
      <w:r>
        <w:rPr>
          <w:color w:val="000000" w:themeColor="text1"/>
          <w:lang w:val="en-US"/>
        </w:rPr>
        <w:t>ting Review, Volume 85, Nr. 2, Pagina 573–605</w:t>
      </w:r>
    </w:p>
    <w:p w:rsidR="00A1688D" w:rsidRDefault="00A1688D" w:rsidP="00A1688D">
      <w:pPr>
        <w:pStyle w:val="Geenafstand"/>
        <w:spacing w:line="360" w:lineRule="auto"/>
        <w:rPr>
          <w:color w:val="000000" w:themeColor="text1"/>
          <w:lang w:val="en-US"/>
        </w:rPr>
      </w:pPr>
    </w:p>
    <w:p w:rsidR="00FB2988" w:rsidRDefault="00FB2988" w:rsidP="001816F9">
      <w:pPr>
        <w:pStyle w:val="Geenafstand"/>
        <w:spacing w:line="360" w:lineRule="auto"/>
        <w:rPr>
          <w:color w:val="000000" w:themeColor="text1"/>
          <w:lang w:val="en-US"/>
        </w:rPr>
      </w:pPr>
      <w:r>
        <w:rPr>
          <w:color w:val="000000" w:themeColor="text1"/>
          <w:lang w:val="en-US"/>
        </w:rPr>
        <w:t xml:space="preserve">Jones, J. J., </w:t>
      </w:r>
      <w:r w:rsidRPr="00FB2988">
        <w:rPr>
          <w:color w:val="000000" w:themeColor="text1"/>
          <w:lang w:val="en-US"/>
        </w:rPr>
        <w:t xml:space="preserve">1991. </w:t>
      </w:r>
      <w:r>
        <w:rPr>
          <w:color w:val="000000" w:themeColor="text1"/>
          <w:lang w:val="en-US"/>
        </w:rPr>
        <w:t>‘</w:t>
      </w:r>
      <w:r w:rsidRPr="00FB2988">
        <w:rPr>
          <w:color w:val="000000" w:themeColor="text1"/>
          <w:lang w:val="en-US"/>
        </w:rPr>
        <w:t>Earnings management during import relief investigations</w:t>
      </w:r>
      <w:r>
        <w:rPr>
          <w:color w:val="000000" w:themeColor="text1"/>
          <w:lang w:val="en-US"/>
        </w:rPr>
        <w:t>’</w:t>
      </w:r>
      <w:r w:rsidRPr="00FB2988">
        <w:rPr>
          <w:color w:val="000000" w:themeColor="text1"/>
          <w:lang w:val="en-US"/>
        </w:rPr>
        <w:t>. Journal of acco</w:t>
      </w:r>
      <w:r w:rsidR="000B327A">
        <w:rPr>
          <w:color w:val="000000" w:themeColor="text1"/>
          <w:lang w:val="en-US"/>
        </w:rPr>
        <w:t>unting research</w:t>
      </w:r>
      <w:r w:rsidR="00FE2AF4">
        <w:rPr>
          <w:color w:val="000000" w:themeColor="text1"/>
          <w:lang w:val="en-US"/>
        </w:rPr>
        <w:t>,</w:t>
      </w:r>
      <w:r>
        <w:rPr>
          <w:color w:val="000000" w:themeColor="text1"/>
          <w:lang w:val="en-US"/>
        </w:rPr>
        <w:t xml:space="preserve"> Volume 29, Nr. 2, Pagina 193-228</w:t>
      </w:r>
    </w:p>
    <w:p w:rsidR="00FB2988" w:rsidRDefault="00FB2988" w:rsidP="001816F9">
      <w:pPr>
        <w:pStyle w:val="Geenafstand"/>
        <w:spacing w:line="360" w:lineRule="auto"/>
        <w:rPr>
          <w:color w:val="000000" w:themeColor="text1"/>
          <w:lang w:val="en-US"/>
        </w:rPr>
      </w:pPr>
    </w:p>
    <w:p w:rsidR="000E3E3B" w:rsidRPr="0058702F" w:rsidRDefault="000E3E3B" w:rsidP="000E3E3B">
      <w:pPr>
        <w:pStyle w:val="Geenafstand"/>
        <w:spacing w:line="360" w:lineRule="auto"/>
        <w:rPr>
          <w:color w:val="000000" w:themeColor="text1"/>
          <w:lang w:val="en-US"/>
        </w:rPr>
      </w:pPr>
      <w:r w:rsidRPr="00AD6A6D">
        <w:rPr>
          <w:color w:val="000000" w:themeColor="text1"/>
          <w:lang w:val="en-US"/>
        </w:rPr>
        <w:t xml:space="preserve">Kothari, S., A. Leone, en C. Wasley, 2002. </w:t>
      </w:r>
      <w:r w:rsidRPr="000E3E3B">
        <w:rPr>
          <w:color w:val="000000" w:themeColor="text1"/>
          <w:lang w:val="en-US"/>
        </w:rPr>
        <w:t>‘</w:t>
      </w:r>
      <w:r w:rsidRPr="000E3E3B">
        <w:rPr>
          <w:i/>
          <w:color w:val="000000" w:themeColor="text1"/>
          <w:lang w:val="en-US"/>
        </w:rPr>
        <w:t>Performance matched discretionary accrual measures</w:t>
      </w:r>
      <w:r>
        <w:rPr>
          <w:color w:val="000000" w:themeColor="text1"/>
          <w:lang w:val="en-US"/>
        </w:rPr>
        <w:t>’</w:t>
      </w:r>
      <w:r w:rsidRPr="000E3E3B">
        <w:rPr>
          <w:color w:val="000000" w:themeColor="text1"/>
          <w:lang w:val="en-US"/>
        </w:rPr>
        <w:t>.</w:t>
      </w:r>
      <w:r>
        <w:rPr>
          <w:color w:val="000000" w:themeColor="text1"/>
          <w:lang w:val="en-US"/>
        </w:rPr>
        <w:t xml:space="preserve"> </w:t>
      </w:r>
      <w:r w:rsidRPr="000E3E3B">
        <w:rPr>
          <w:color w:val="000000" w:themeColor="text1"/>
          <w:lang w:val="en-US"/>
        </w:rPr>
        <w:t>Working paper, University of Rochester</w:t>
      </w:r>
      <w:r>
        <w:rPr>
          <w:color w:val="000000" w:themeColor="text1"/>
          <w:lang w:val="en-US"/>
        </w:rPr>
        <w:br/>
      </w:r>
    </w:p>
    <w:p w:rsidR="00BD3DEE" w:rsidRPr="0058702F" w:rsidRDefault="00BD3DEE" w:rsidP="001816F9">
      <w:pPr>
        <w:pStyle w:val="Geenafstand"/>
        <w:spacing w:line="360" w:lineRule="auto"/>
        <w:rPr>
          <w:i/>
          <w:color w:val="000000" w:themeColor="text1"/>
          <w:lang w:val="en-US"/>
        </w:rPr>
      </w:pPr>
      <w:r w:rsidRPr="00FD1C18">
        <w:rPr>
          <w:color w:val="000000" w:themeColor="text1"/>
          <w:lang w:val="en-US"/>
        </w:rPr>
        <w:t xml:space="preserve">Krishnan, J., L.N. Su en Y. Zhang, 2011. </w:t>
      </w:r>
      <w:r w:rsidRPr="0058702F">
        <w:rPr>
          <w:color w:val="000000" w:themeColor="text1"/>
          <w:lang w:val="en-US"/>
        </w:rPr>
        <w:t>‘</w:t>
      </w:r>
      <w:r w:rsidRPr="0058702F">
        <w:rPr>
          <w:i/>
          <w:color w:val="000000" w:themeColor="text1"/>
          <w:lang w:val="en-US"/>
        </w:rPr>
        <w:t xml:space="preserve">Nonaudit services and earnings management in </w:t>
      </w:r>
    </w:p>
    <w:p w:rsidR="00BD3DEE" w:rsidRPr="0058702F" w:rsidRDefault="00BD3DEE" w:rsidP="001816F9">
      <w:pPr>
        <w:pStyle w:val="Geenafstand"/>
        <w:spacing w:line="360" w:lineRule="auto"/>
        <w:rPr>
          <w:color w:val="000000" w:themeColor="text1"/>
          <w:lang w:val="en-US"/>
        </w:rPr>
      </w:pPr>
      <w:r w:rsidRPr="0058702F">
        <w:rPr>
          <w:i/>
          <w:color w:val="000000" w:themeColor="text1"/>
          <w:lang w:val="en-US"/>
        </w:rPr>
        <w:t>the pre-SOX and post-SOX eras’</w:t>
      </w:r>
      <w:r w:rsidRPr="0058702F">
        <w:rPr>
          <w:color w:val="000000" w:themeColor="text1"/>
          <w:lang w:val="en-US"/>
        </w:rPr>
        <w:t>. Auditing: A journal of practice &amp; theory, nr. 30</w:t>
      </w:r>
    </w:p>
    <w:p w:rsidR="00BD3DEE" w:rsidRDefault="00BD3DEE" w:rsidP="001816F9">
      <w:pPr>
        <w:pStyle w:val="Geenafstand"/>
        <w:spacing w:line="360" w:lineRule="auto"/>
        <w:rPr>
          <w:color w:val="000000" w:themeColor="text1"/>
          <w:lang w:val="en-US"/>
        </w:rPr>
      </w:pPr>
    </w:p>
    <w:p w:rsidR="00C07CF9" w:rsidRDefault="00C07CF9" w:rsidP="001816F9">
      <w:pPr>
        <w:pStyle w:val="Geenafstand"/>
        <w:spacing w:line="360" w:lineRule="auto"/>
        <w:rPr>
          <w:color w:val="000000" w:themeColor="text1"/>
          <w:lang w:val="en-US"/>
        </w:rPr>
      </w:pPr>
      <w:r>
        <w:rPr>
          <w:color w:val="000000" w:themeColor="text1"/>
          <w:lang w:val="en-US"/>
        </w:rPr>
        <w:t>Larcker, D F, Richardson, S, 2004. ‘</w:t>
      </w:r>
      <w:r w:rsidRPr="00FA723C">
        <w:rPr>
          <w:i/>
          <w:color w:val="000000" w:themeColor="text1"/>
          <w:lang w:val="en-US"/>
        </w:rPr>
        <w:t>Fees paid to audit firms, accrual choices and corporate governance</w:t>
      </w:r>
      <w:r>
        <w:rPr>
          <w:color w:val="000000" w:themeColor="text1"/>
          <w:lang w:val="en-US"/>
        </w:rPr>
        <w:t>’, Journal o</w:t>
      </w:r>
      <w:r w:rsidR="00680B46">
        <w:rPr>
          <w:color w:val="000000" w:themeColor="text1"/>
          <w:lang w:val="en-US"/>
        </w:rPr>
        <w:t>f Accounting Research Volume 42, Nr. 3 Juni</w:t>
      </w:r>
    </w:p>
    <w:p w:rsidR="00C07CF9" w:rsidRDefault="00C07CF9" w:rsidP="001816F9">
      <w:pPr>
        <w:pStyle w:val="Geenafstand"/>
        <w:spacing w:line="360" w:lineRule="auto"/>
        <w:rPr>
          <w:color w:val="000000" w:themeColor="text1"/>
          <w:lang w:val="en-US"/>
        </w:rPr>
      </w:pPr>
    </w:p>
    <w:p w:rsidR="009731A8" w:rsidRDefault="003F32E7" w:rsidP="001816F9">
      <w:pPr>
        <w:pStyle w:val="Geenafstand"/>
        <w:spacing w:line="360" w:lineRule="auto"/>
        <w:rPr>
          <w:color w:val="000000" w:themeColor="text1"/>
          <w:lang w:val="en-US"/>
        </w:rPr>
      </w:pPr>
      <w:r>
        <w:rPr>
          <w:color w:val="000000" w:themeColor="text1"/>
          <w:lang w:val="en-US"/>
        </w:rPr>
        <w:t>Limperg Institute, 1985. ‘</w:t>
      </w:r>
      <w:r w:rsidR="009731A8" w:rsidRPr="003F32E7">
        <w:rPr>
          <w:i/>
          <w:color w:val="000000" w:themeColor="text1"/>
          <w:lang w:val="en-US"/>
        </w:rPr>
        <w:t>The social responsibility of the auditor. A basic theory on the auditor's function</w:t>
      </w:r>
      <w:r>
        <w:rPr>
          <w:color w:val="000000" w:themeColor="text1"/>
          <w:lang w:val="en-US"/>
        </w:rPr>
        <w:t>’</w:t>
      </w:r>
      <w:r w:rsidR="009731A8" w:rsidRPr="009731A8">
        <w:rPr>
          <w:color w:val="000000" w:themeColor="text1"/>
          <w:lang w:val="en-US"/>
        </w:rPr>
        <w:t xml:space="preserve">, </w:t>
      </w:r>
      <w:r w:rsidR="00F60FF3">
        <w:rPr>
          <w:color w:val="000000" w:themeColor="text1"/>
          <w:lang w:val="en-US"/>
        </w:rPr>
        <w:t>Universiteit van Amsterdam, Amsterdam</w:t>
      </w:r>
    </w:p>
    <w:p w:rsidR="00F60FF3" w:rsidRDefault="00F60FF3" w:rsidP="001816F9">
      <w:pPr>
        <w:pStyle w:val="Geenafstand"/>
        <w:spacing w:line="360" w:lineRule="auto"/>
        <w:rPr>
          <w:color w:val="000000" w:themeColor="text1"/>
          <w:lang w:val="en-US"/>
        </w:rPr>
      </w:pPr>
    </w:p>
    <w:p w:rsidR="00F7590A" w:rsidRPr="000E381C" w:rsidRDefault="00F7590A" w:rsidP="00F7590A">
      <w:pPr>
        <w:pStyle w:val="Geenafstand"/>
        <w:spacing w:line="360" w:lineRule="auto"/>
        <w:rPr>
          <w:i/>
          <w:color w:val="000000" w:themeColor="text1"/>
          <w:lang w:val="en-US"/>
        </w:rPr>
      </w:pPr>
      <w:r>
        <w:rPr>
          <w:color w:val="000000" w:themeColor="text1"/>
          <w:lang w:val="en-US"/>
        </w:rPr>
        <w:t>Mitra, S., 2007. ‘</w:t>
      </w:r>
      <w:r w:rsidRPr="000E381C">
        <w:rPr>
          <w:i/>
          <w:color w:val="000000" w:themeColor="text1"/>
          <w:lang w:val="en-US"/>
        </w:rPr>
        <w:t>Nonaudit Service Fees and Auditor Independence: Empirical Evidence</w:t>
      </w:r>
    </w:p>
    <w:p w:rsidR="00F7590A" w:rsidRDefault="00F7590A" w:rsidP="001816F9">
      <w:pPr>
        <w:pStyle w:val="Geenafstand"/>
        <w:spacing w:line="360" w:lineRule="auto"/>
        <w:rPr>
          <w:color w:val="000000" w:themeColor="text1"/>
          <w:lang w:val="en-US"/>
        </w:rPr>
      </w:pPr>
      <w:r w:rsidRPr="000E381C">
        <w:rPr>
          <w:i/>
          <w:color w:val="000000" w:themeColor="text1"/>
          <w:lang w:val="en-US"/>
        </w:rPr>
        <w:t>from the Oil and Gas Industry</w:t>
      </w:r>
      <w:r>
        <w:rPr>
          <w:color w:val="000000" w:themeColor="text1"/>
          <w:lang w:val="en-US"/>
        </w:rPr>
        <w:t>’, Journal of Accounting, Auditing &amp; Finance,</w:t>
      </w:r>
      <w:r w:rsidR="005D0C41">
        <w:rPr>
          <w:color w:val="000000" w:themeColor="text1"/>
          <w:lang w:val="en-US"/>
        </w:rPr>
        <w:t xml:space="preserve"> Volume </w:t>
      </w:r>
      <w:r w:rsidR="00A84397">
        <w:rPr>
          <w:color w:val="000000" w:themeColor="text1"/>
          <w:lang w:val="en-US"/>
        </w:rPr>
        <w:t>22</w:t>
      </w:r>
      <w:r w:rsidR="005D0C41">
        <w:rPr>
          <w:color w:val="000000" w:themeColor="text1"/>
          <w:lang w:val="en-US"/>
        </w:rPr>
        <w:t>, nr</w:t>
      </w:r>
      <w:r w:rsidR="00A84397">
        <w:rPr>
          <w:color w:val="000000" w:themeColor="text1"/>
          <w:lang w:val="en-US"/>
        </w:rPr>
        <w:t xml:space="preserve">. 1, Pagina </w:t>
      </w:r>
      <w:r w:rsidR="00A84397" w:rsidRPr="00A84397">
        <w:rPr>
          <w:color w:val="000000" w:themeColor="text1"/>
          <w:lang w:val="en-US"/>
        </w:rPr>
        <w:t>85-107</w:t>
      </w:r>
    </w:p>
    <w:p w:rsidR="00F7590A" w:rsidRPr="009731A8" w:rsidRDefault="00F7590A" w:rsidP="001816F9">
      <w:pPr>
        <w:pStyle w:val="Geenafstand"/>
        <w:spacing w:line="360" w:lineRule="auto"/>
        <w:rPr>
          <w:color w:val="000000" w:themeColor="text1"/>
          <w:lang w:val="en-US"/>
        </w:rPr>
      </w:pPr>
    </w:p>
    <w:p w:rsidR="00BD3DEE" w:rsidRPr="000C1E9C" w:rsidRDefault="00BD3DEE" w:rsidP="001816F9">
      <w:pPr>
        <w:pStyle w:val="Geenafstand"/>
        <w:spacing w:line="360" w:lineRule="auto"/>
        <w:rPr>
          <w:color w:val="000000" w:themeColor="text1"/>
        </w:rPr>
      </w:pPr>
      <w:r w:rsidRPr="000C1E9C">
        <w:rPr>
          <w:color w:val="000000" w:themeColor="text1"/>
        </w:rPr>
        <w:t>NBA, 2009. ‘Handleiding Regelgeving Accountancy’. Verordening gedragscode (RA’s), januari</w:t>
      </w:r>
    </w:p>
    <w:p w:rsidR="00BD3DEE" w:rsidRPr="000C1E9C" w:rsidRDefault="00BD3DEE" w:rsidP="001816F9">
      <w:pPr>
        <w:pStyle w:val="Geenafstand"/>
        <w:spacing w:line="360" w:lineRule="auto"/>
        <w:rPr>
          <w:color w:val="000000" w:themeColor="text1"/>
        </w:rPr>
      </w:pPr>
    </w:p>
    <w:p w:rsidR="00BD3DEE" w:rsidRDefault="00BD3DEE" w:rsidP="001816F9">
      <w:pPr>
        <w:pStyle w:val="Geenafstand"/>
        <w:spacing w:line="360" w:lineRule="auto"/>
        <w:rPr>
          <w:color w:val="000000" w:themeColor="text1"/>
        </w:rPr>
      </w:pPr>
      <w:r w:rsidRPr="000C1E9C">
        <w:rPr>
          <w:color w:val="000000" w:themeColor="text1"/>
        </w:rPr>
        <w:t xml:space="preserve">NBA, 2012. </w:t>
      </w:r>
      <w:r>
        <w:rPr>
          <w:color w:val="000000" w:themeColor="text1"/>
        </w:rPr>
        <w:t>‘</w:t>
      </w:r>
      <w:r w:rsidRPr="00F573F1">
        <w:rPr>
          <w:i/>
          <w:color w:val="000000" w:themeColor="text1"/>
        </w:rPr>
        <w:t>Scheiding controlediensten &amp; andere werkzaamheden en verplichte kantoorroulatie</w:t>
      </w:r>
      <w:r>
        <w:rPr>
          <w:color w:val="000000" w:themeColor="text1"/>
        </w:rPr>
        <w:t>’, December</w:t>
      </w:r>
      <w:r w:rsidR="00FE6ECC">
        <w:rPr>
          <w:color w:val="000000" w:themeColor="text1"/>
        </w:rPr>
        <w:br/>
      </w:r>
    </w:p>
    <w:p w:rsidR="009F0E45" w:rsidRDefault="009F0E45" w:rsidP="001816F9">
      <w:pPr>
        <w:pStyle w:val="Geenafstand"/>
        <w:spacing w:line="360" w:lineRule="auto"/>
      </w:pPr>
      <w:r>
        <w:rPr>
          <w:color w:val="000000" w:themeColor="text1"/>
        </w:rPr>
        <w:t xml:space="preserve">NBA, 2013. </w:t>
      </w:r>
      <w:hyperlink r:id="rId14" w:history="1">
        <w:r>
          <w:rPr>
            <w:rStyle w:val="Hyperlink"/>
          </w:rPr>
          <w:t>http://www.nba.nl/Studie-en-Opleiding/De-Accountant/Accountant-worden/</w:t>
        </w:r>
      </w:hyperlink>
      <w:r w:rsidR="0000746D">
        <w:t xml:space="preserve"> (geraadpleegd op 23</w:t>
      </w:r>
      <w:r w:rsidR="00B47367">
        <w:t xml:space="preserve"> mei 2013)</w:t>
      </w:r>
    </w:p>
    <w:p w:rsidR="00164290" w:rsidRDefault="00164290" w:rsidP="001816F9">
      <w:pPr>
        <w:pStyle w:val="Geenafstand"/>
        <w:spacing w:line="360" w:lineRule="auto"/>
        <w:rPr>
          <w:color w:val="000000" w:themeColor="text1"/>
        </w:rPr>
      </w:pPr>
    </w:p>
    <w:p w:rsidR="00BD3DEE" w:rsidRDefault="00164290" w:rsidP="00164290">
      <w:pPr>
        <w:pStyle w:val="Geenafstand"/>
        <w:spacing w:line="360" w:lineRule="auto"/>
        <w:rPr>
          <w:color w:val="000000" w:themeColor="text1"/>
          <w:lang w:val="en-US"/>
        </w:rPr>
      </w:pPr>
      <w:r w:rsidRPr="00164290">
        <w:rPr>
          <w:color w:val="000000" w:themeColor="text1"/>
          <w:lang w:val="en-US"/>
        </w:rPr>
        <w:t>Reynolds, J Ken</w:t>
      </w:r>
      <w:r w:rsidR="005D0C41">
        <w:rPr>
          <w:color w:val="000000" w:themeColor="text1"/>
          <w:lang w:val="en-US"/>
        </w:rPr>
        <w:t>neth;Deis, Donald R, Jr;Francis en</w:t>
      </w:r>
      <w:r w:rsidRPr="00164290">
        <w:rPr>
          <w:color w:val="000000" w:themeColor="text1"/>
          <w:lang w:val="en-US"/>
        </w:rPr>
        <w:t xml:space="preserve"> Jere R</w:t>
      </w:r>
      <w:r>
        <w:rPr>
          <w:color w:val="000000" w:themeColor="text1"/>
          <w:lang w:val="en-US"/>
        </w:rPr>
        <w:t>, 2004. ‘</w:t>
      </w:r>
      <w:r w:rsidRPr="000E381C">
        <w:rPr>
          <w:i/>
          <w:color w:val="000000" w:themeColor="text1"/>
          <w:lang w:val="en-US"/>
        </w:rPr>
        <w:t>Professional Service Fees and Auditor Objectivity</w:t>
      </w:r>
      <w:r>
        <w:rPr>
          <w:color w:val="000000" w:themeColor="text1"/>
          <w:lang w:val="en-US"/>
        </w:rPr>
        <w:t xml:space="preserve">’, </w:t>
      </w:r>
      <w:r w:rsidRPr="00164290">
        <w:rPr>
          <w:color w:val="000000" w:themeColor="text1"/>
          <w:lang w:val="en-US"/>
        </w:rPr>
        <w:t>Auditing</w:t>
      </w:r>
      <w:r w:rsidR="00916AC0">
        <w:rPr>
          <w:color w:val="000000" w:themeColor="text1"/>
          <w:lang w:val="en-US"/>
        </w:rPr>
        <w:t xml:space="preserve">: A Journal of Practice &amp; Theory, </w:t>
      </w:r>
      <w:r w:rsidR="0079098D">
        <w:rPr>
          <w:color w:val="000000" w:themeColor="text1"/>
          <w:lang w:val="en-US"/>
        </w:rPr>
        <w:t>Vol</w:t>
      </w:r>
      <w:r w:rsidR="005D0C41">
        <w:rPr>
          <w:color w:val="000000" w:themeColor="text1"/>
          <w:lang w:val="en-US"/>
        </w:rPr>
        <w:t>ume</w:t>
      </w:r>
      <w:r w:rsidR="0079098D">
        <w:rPr>
          <w:color w:val="000000" w:themeColor="text1"/>
          <w:lang w:val="en-US"/>
        </w:rPr>
        <w:t xml:space="preserve"> 23</w:t>
      </w:r>
      <w:r w:rsidR="00916AC0">
        <w:rPr>
          <w:color w:val="000000" w:themeColor="text1"/>
          <w:lang w:val="en-US"/>
        </w:rPr>
        <w:t>,</w:t>
      </w:r>
      <w:r w:rsidR="0079098D">
        <w:rPr>
          <w:color w:val="000000" w:themeColor="text1"/>
          <w:lang w:val="en-US"/>
        </w:rPr>
        <w:t xml:space="preserve"> </w:t>
      </w:r>
      <w:r w:rsidR="00916AC0">
        <w:rPr>
          <w:color w:val="000000" w:themeColor="text1"/>
          <w:lang w:val="en-US"/>
        </w:rPr>
        <w:t>Nr</w:t>
      </w:r>
      <w:r w:rsidR="0079098D">
        <w:rPr>
          <w:color w:val="000000" w:themeColor="text1"/>
          <w:lang w:val="en-US"/>
        </w:rPr>
        <w:t>.</w:t>
      </w:r>
      <w:r w:rsidR="00916AC0">
        <w:rPr>
          <w:color w:val="000000" w:themeColor="text1"/>
          <w:lang w:val="en-US"/>
        </w:rPr>
        <w:t xml:space="preserve"> 1</w:t>
      </w:r>
    </w:p>
    <w:p w:rsidR="004A2168" w:rsidRDefault="004A2168" w:rsidP="00164290">
      <w:pPr>
        <w:pStyle w:val="Geenafstand"/>
        <w:spacing w:line="360" w:lineRule="auto"/>
        <w:rPr>
          <w:color w:val="000000" w:themeColor="text1"/>
          <w:lang w:val="en-US"/>
        </w:rPr>
      </w:pPr>
    </w:p>
    <w:p w:rsidR="00B9514F" w:rsidRDefault="00B9514F" w:rsidP="00164290">
      <w:pPr>
        <w:pStyle w:val="Geenafstand"/>
        <w:spacing w:line="360" w:lineRule="auto"/>
        <w:rPr>
          <w:color w:val="000000" w:themeColor="text1"/>
          <w:lang w:val="en-US"/>
        </w:rPr>
      </w:pPr>
      <w:r w:rsidRPr="00B9514F">
        <w:rPr>
          <w:color w:val="000000" w:themeColor="text1"/>
          <w:lang w:val="en-US"/>
        </w:rPr>
        <w:t xml:space="preserve">Richardson, Scott A., Sloan, Richard G., Soliman, Mark T. </w:t>
      </w:r>
      <w:r>
        <w:rPr>
          <w:color w:val="000000" w:themeColor="text1"/>
          <w:lang w:val="en-US"/>
        </w:rPr>
        <w:t>en</w:t>
      </w:r>
      <w:r w:rsidRPr="00B9514F">
        <w:rPr>
          <w:color w:val="000000" w:themeColor="text1"/>
          <w:lang w:val="en-US"/>
        </w:rPr>
        <w:t xml:space="preserve"> Tuna, A. Irem,</w:t>
      </w:r>
      <w:r>
        <w:rPr>
          <w:color w:val="000000" w:themeColor="text1"/>
          <w:lang w:val="en-US"/>
        </w:rPr>
        <w:t xml:space="preserve"> 2001. ‘</w:t>
      </w:r>
      <w:r w:rsidRPr="000E381C">
        <w:rPr>
          <w:i/>
          <w:color w:val="000000" w:themeColor="text1"/>
          <w:lang w:val="en-US"/>
        </w:rPr>
        <w:t>Information in Accruals About the Quality of Earnings’</w:t>
      </w:r>
      <w:r>
        <w:rPr>
          <w:color w:val="000000" w:themeColor="text1"/>
          <w:lang w:val="en-US"/>
        </w:rPr>
        <w:t xml:space="preserve">. </w:t>
      </w:r>
      <w:r w:rsidR="006D78F8">
        <w:rPr>
          <w:color w:val="000000" w:themeColor="text1"/>
          <w:lang w:val="en-US"/>
        </w:rPr>
        <w:t xml:space="preserve">Working paper, </w:t>
      </w:r>
      <w:r w:rsidR="005D0C41">
        <w:rPr>
          <w:color w:val="000000" w:themeColor="text1"/>
          <w:lang w:val="en-US"/>
        </w:rPr>
        <w:t>juli</w:t>
      </w:r>
    </w:p>
    <w:p w:rsidR="00B9514F" w:rsidRDefault="00B9514F" w:rsidP="00164290">
      <w:pPr>
        <w:pStyle w:val="Geenafstand"/>
        <w:spacing w:line="360" w:lineRule="auto"/>
        <w:rPr>
          <w:color w:val="000000" w:themeColor="text1"/>
          <w:lang w:val="en-US"/>
        </w:rPr>
      </w:pPr>
    </w:p>
    <w:p w:rsidR="00AD0BEE" w:rsidRPr="0032312A" w:rsidRDefault="00AD0BEE" w:rsidP="00164290">
      <w:pPr>
        <w:pStyle w:val="Geenafstand"/>
        <w:spacing w:line="360" w:lineRule="auto"/>
        <w:rPr>
          <w:lang w:val="en-US"/>
        </w:rPr>
      </w:pPr>
      <w:r>
        <w:rPr>
          <w:color w:val="000000" w:themeColor="text1"/>
          <w:lang w:val="en-US"/>
        </w:rPr>
        <w:t>SEC, 2003.</w:t>
      </w:r>
      <w:r w:rsidR="00792A31">
        <w:rPr>
          <w:color w:val="000000" w:themeColor="text1"/>
          <w:lang w:val="en-US"/>
        </w:rPr>
        <w:t xml:space="preserve"> </w:t>
      </w:r>
      <w:r w:rsidR="00792A31" w:rsidRPr="00792A31">
        <w:rPr>
          <w:color w:val="000000" w:themeColor="text1"/>
          <w:lang w:val="en-US"/>
        </w:rPr>
        <w:t>17 CFR PARTS 210, 240, 249 and 274</w:t>
      </w:r>
      <w:r w:rsidR="00792A31">
        <w:rPr>
          <w:color w:val="000000" w:themeColor="text1"/>
          <w:lang w:val="en-US"/>
        </w:rPr>
        <w:t xml:space="preserve">, </w:t>
      </w:r>
      <w:r w:rsidR="00792A31" w:rsidRPr="00792A31">
        <w:rPr>
          <w:color w:val="000000" w:themeColor="text1"/>
          <w:lang w:val="en-US"/>
        </w:rPr>
        <w:t>[RELEASE NO. 33-8183; 34-47265; 35-27642; IC-25915; IA-2103, FR-68, File No. S7-49-02]</w:t>
      </w:r>
      <w:r w:rsidR="00792A31">
        <w:rPr>
          <w:color w:val="000000" w:themeColor="text1"/>
          <w:lang w:val="en-US"/>
        </w:rPr>
        <w:t xml:space="preserve">, </w:t>
      </w:r>
      <w:r w:rsidR="00792A31" w:rsidRPr="00792A31">
        <w:rPr>
          <w:color w:val="000000" w:themeColor="text1"/>
          <w:lang w:val="en-US"/>
        </w:rPr>
        <w:t>RIN 3235-AI73</w:t>
      </w:r>
      <w:r w:rsidR="00792A31">
        <w:rPr>
          <w:color w:val="000000" w:themeColor="text1"/>
          <w:lang w:val="en-US"/>
        </w:rPr>
        <w:t>, ‘</w:t>
      </w:r>
      <w:r w:rsidR="00792A31" w:rsidRPr="00792A31">
        <w:rPr>
          <w:i/>
          <w:color w:val="000000" w:themeColor="text1"/>
          <w:lang w:val="en-US"/>
        </w:rPr>
        <w:t>Strengthening the Commission's Requirements Regarding Auditor Independence</w:t>
      </w:r>
      <w:r w:rsidR="00792A31">
        <w:rPr>
          <w:i/>
          <w:color w:val="000000" w:themeColor="text1"/>
          <w:lang w:val="en-US"/>
        </w:rPr>
        <w:t>’</w:t>
      </w:r>
      <w:r w:rsidR="00792A31">
        <w:rPr>
          <w:color w:val="000000" w:themeColor="text1"/>
          <w:lang w:val="en-US"/>
        </w:rPr>
        <w:t xml:space="preserve">. </w:t>
      </w:r>
      <w:hyperlink r:id="rId15" w:history="1">
        <w:r w:rsidRPr="0032312A">
          <w:rPr>
            <w:rStyle w:val="Hyperlink"/>
            <w:lang w:val="en-US"/>
          </w:rPr>
          <w:t>http://www.sec.gov/rules/final/33-8183.htm</w:t>
        </w:r>
      </w:hyperlink>
    </w:p>
    <w:p w:rsidR="00792A31" w:rsidRPr="00B9514F" w:rsidRDefault="00792A31" w:rsidP="00164290">
      <w:pPr>
        <w:pStyle w:val="Geenafstand"/>
        <w:spacing w:line="360" w:lineRule="auto"/>
        <w:rPr>
          <w:color w:val="000000" w:themeColor="text1"/>
          <w:lang w:val="en-US"/>
        </w:rPr>
      </w:pPr>
    </w:p>
    <w:p w:rsidR="00235F89" w:rsidRDefault="00235F89" w:rsidP="00235F89">
      <w:pPr>
        <w:pStyle w:val="Geenafstand"/>
        <w:spacing w:line="360" w:lineRule="auto"/>
        <w:rPr>
          <w:color w:val="000000" w:themeColor="text1"/>
          <w:lang w:val="en-US"/>
        </w:rPr>
      </w:pPr>
      <w:r>
        <w:rPr>
          <w:color w:val="000000" w:themeColor="text1"/>
          <w:lang w:val="en-US"/>
        </w:rPr>
        <w:t xml:space="preserve">Sharma, D. S., </w:t>
      </w:r>
      <w:r w:rsidR="00571084">
        <w:rPr>
          <w:color w:val="000000" w:themeColor="text1"/>
          <w:lang w:val="en-US"/>
        </w:rPr>
        <w:t>en</w:t>
      </w:r>
      <w:r>
        <w:rPr>
          <w:color w:val="000000" w:themeColor="text1"/>
          <w:lang w:val="en-US"/>
        </w:rPr>
        <w:t xml:space="preserve"> Sidhu, J., </w:t>
      </w:r>
      <w:r w:rsidRPr="00235F89">
        <w:rPr>
          <w:color w:val="000000" w:themeColor="text1"/>
          <w:lang w:val="en-US"/>
        </w:rPr>
        <w:t xml:space="preserve">2001. </w:t>
      </w:r>
      <w:r>
        <w:rPr>
          <w:color w:val="000000" w:themeColor="text1"/>
          <w:lang w:val="en-US"/>
        </w:rPr>
        <w:t>‘</w:t>
      </w:r>
      <w:r w:rsidRPr="000E381C">
        <w:rPr>
          <w:i/>
          <w:color w:val="000000" w:themeColor="text1"/>
          <w:lang w:val="en-US"/>
        </w:rPr>
        <w:t>Professionalism vs. commercialism: The association between non-audit services (NAS) and audit independence</w:t>
      </w:r>
      <w:r>
        <w:rPr>
          <w:color w:val="000000" w:themeColor="text1"/>
          <w:lang w:val="en-US"/>
        </w:rPr>
        <w:t>.’</w:t>
      </w:r>
      <w:r w:rsidRPr="00235F89">
        <w:rPr>
          <w:color w:val="000000" w:themeColor="text1"/>
          <w:lang w:val="en-US"/>
        </w:rPr>
        <w:t xml:space="preserve"> Journal of Business Finance &amp; Accounting, 1</w:t>
      </w:r>
      <w:r>
        <w:rPr>
          <w:color w:val="000000" w:themeColor="text1"/>
          <w:lang w:val="en-US"/>
        </w:rPr>
        <w:t xml:space="preserve"> </w:t>
      </w:r>
      <w:r w:rsidR="00571084">
        <w:rPr>
          <w:color w:val="000000" w:themeColor="text1"/>
          <w:lang w:val="en-US"/>
        </w:rPr>
        <w:t>(j</w:t>
      </w:r>
      <w:r w:rsidRPr="00235F89">
        <w:rPr>
          <w:color w:val="000000" w:themeColor="text1"/>
          <w:lang w:val="en-US"/>
        </w:rPr>
        <w:t>un</w:t>
      </w:r>
      <w:r>
        <w:rPr>
          <w:color w:val="000000" w:themeColor="text1"/>
          <w:lang w:val="en-US"/>
        </w:rPr>
        <w:t>i</w:t>
      </w:r>
      <w:r w:rsidRPr="00235F89">
        <w:rPr>
          <w:color w:val="000000" w:themeColor="text1"/>
          <w:lang w:val="en-US"/>
        </w:rPr>
        <w:t>/</w:t>
      </w:r>
      <w:r w:rsidR="00571084">
        <w:rPr>
          <w:color w:val="000000" w:themeColor="text1"/>
          <w:lang w:val="en-US"/>
        </w:rPr>
        <w:t>j</w:t>
      </w:r>
      <w:r w:rsidRPr="00235F89">
        <w:rPr>
          <w:color w:val="000000" w:themeColor="text1"/>
          <w:lang w:val="en-US"/>
        </w:rPr>
        <w:t>ul</w:t>
      </w:r>
      <w:r>
        <w:rPr>
          <w:color w:val="000000" w:themeColor="text1"/>
          <w:lang w:val="en-US"/>
        </w:rPr>
        <w:t>i</w:t>
      </w:r>
      <w:r w:rsidRPr="00235F89">
        <w:rPr>
          <w:color w:val="000000" w:themeColor="text1"/>
          <w:lang w:val="en-US"/>
        </w:rPr>
        <w:t>),</w:t>
      </w:r>
      <w:r>
        <w:rPr>
          <w:color w:val="000000" w:themeColor="text1"/>
          <w:lang w:val="en-US"/>
        </w:rPr>
        <w:t xml:space="preserve"> Pagina </w:t>
      </w:r>
      <w:r w:rsidRPr="00235F89">
        <w:rPr>
          <w:color w:val="000000" w:themeColor="text1"/>
          <w:lang w:val="en-US"/>
        </w:rPr>
        <w:t>595–629.</w:t>
      </w:r>
    </w:p>
    <w:p w:rsidR="00DC0FF1" w:rsidRDefault="00DC0FF1" w:rsidP="00235F89">
      <w:pPr>
        <w:pStyle w:val="Geenafstand"/>
        <w:spacing w:line="360" w:lineRule="auto"/>
        <w:rPr>
          <w:color w:val="000000" w:themeColor="text1"/>
          <w:lang w:val="en-US"/>
        </w:rPr>
      </w:pPr>
    </w:p>
    <w:p w:rsidR="00DC0FF1" w:rsidRDefault="00DC0FF1" w:rsidP="00DC0FF1">
      <w:pPr>
        <w:pStyle w:val="Geenafstand"/>
        <w:spacing w:line="360" w:lineRule="auto"/>
        <w:rPr>
          <w:color w:val="000000" w:themeColor="text1"/>
          <w:lang w:val="en-US"/>
        </w:rPr>
      </w:pPr>
      <w:r>
        <w:rPr>
          <w:color w:val="000000" w:themeColor="text1"/>
          <w:lang w:val="en-US"/>
        </w:rPr>
        <w:lastRenderedPageBreak/>
        <w:t>Schleifer, A., en R. W. Vishny, 1997. ‘</w:t>
      </w:r>
      <w:r w:rsidRPr="00DC0FF1">
        <w:rPr>
          <w:i/>
          <w:color w:val="000000" w:themeColor="text1"/>
          <w:lang w:val="en-US"/>
        </w:rPr>
        <w:t>A Survey of Corporate Governance</w:t>
      </w:r>
      <w:r>
        <w:rPr>
          <w:color w:val="000000" w:themeColor="text1"/>
          <w:lang w:val="en-US"/>
        </w:rPr>
        <w:t>’.</w:t>
      </w:r>
      <w:r w:rsidRPr="00DC0FF1">
        <w:rPr>
          <w:color w:val="000000" w:themeColor="text1"/>
          <w:lang w:val="en-US"/>
        </w:rPr>
        <w:t xml:space="preserve"> Journal of Finance</w:t>
      </w:r>
      <w:r>
        <w:rPr>
          <w:color w:val="000000" w:themeColor="text1"/>
          <w:lang w:val="en-US"/>
        </w:rPr>
        <w:t>,</w:t>
      </w:r>
      <w:r w:rsidRPr="00DC0FF1">
        <w:rPr>
          <w:color w:val="000000" w:themeColor="text1"/>
          <w:lang w:val="en-US"/>
        </w:rPr>
        <w:t xml:space="preserve"> </w:t>
      </w:r>
      <w:r>
        <w:rPr>
          <w:color w:val="000000" w:themeColor="text1"/>
          <w:lang w:val="en-US"/>
        </w:rPr>
        <w:t xml:space="preserve">Volume </w:t>
      </w:r>
      <w:r w:rsidRPr="00DC0FF1">
        <w:rPr>
          <w:color w:val="000000" w:themeColor="text1"/>
          <w:lang w:val="en-US"/>
        </w:rPr>
        <w:t>52</w:t>
      </w:r>
      <w:r w:rsidR="00DA30FE">
        <w:rPr>
          <w:color w:val="000000" w:themeColor="text1"/>
          <w:lang w:val="en-US"/>
        </w:rPr>
        <w:t xml:space="preserve">, </w:t>
      </w:r>
      <w:r>
        <w:rPr>
          <w:color w:val="000000" w:themeColor="text1"/>
          <w:lang w:val="en-US"/>
        </w:rPr>
        <w:t>Pagina 737–</w:t>
      </w:r>
      <w:r w:rsidR="00EE0EA2">
        <w:rPr>
          <w:color w:val="000000" w:themeColor="text1"/>
          <w:lang w:val="en-US"/>
        </w:rPr>
        <w:t>7</w:t>
      </w:r>
      <w:r>
        <w:rPr>
          <w:color w:val="000000" w:themeColor="text1"/>
          <w:lang w:val="en-US"/>
        </w:rPr>
        <w:t>83</w:t>
      </w:r>
    </w:p>
    <w:p w:rsidR="00235F89" w:rsidRDefault="00235F89" w:rsidP="00235F89">
      <w:pPr>
        <w:pStyle w:val="Geenafstand"/>
        <w:spacing w:line="360" w:lineRule="auto"/>
        <w:rPr>
          <w:color w:val="000000" w:themeColor="text1"/>
          <w:lang w:val="en-US"/>
        </w:rPr>
      </w:pPr>
    </w:p>
    <w:p w:rsidR="004A2168" w:rsidRPr="001A448B" w:rsidRDefault="001A448B" w:rsidP="004A2168">
      <w:pPr>
        <w:pStyle w:val="Geenafstand"/>
        <w:spacing w:line="360" w:lineRule="auto"/>
        <w:rPr>
          <w:i/>
          <w:color w:val="000000" w:themeColor="text1"/>
          <w:lang w:val="en-US"/>
        </w:rPr>
      </w:pPr>
      <w:r>
        <w:rPr>
          <w:color w:val="000000" w:themeColor="text1"/>
          <w:lang w:val="en-US"/>
        </w:rPr>
        <w:t>Svanström, Tobias, 2013. ‘</w:t>
      </w:r>
      <w:r w:rsidR="004A2168" w:rsidRPr="001A448B">
        <w:rPr>
          <w:i/>
          <w:color w:val="000000" w:themeColor="text1"/>
          <w:lang w:val="en-US"/>
        </w:rPr>
        <w:t>Non-audit Services and Audit Quality:</w:t>
      </w:r>
    </w:p>
    <w:p w:rsidR="00164290" w:rsidRDefault="004A2168" w:rsidP="004A2168">
      <w:pPr>
        <w:pStyle w:val="Geenafstand"/>
        <w:spacing w:line="360" w:lineRule="auto"/>
        <w:rPr>
          <w:color w:val="000000" w:themeColor="text1"/>
          <w:lang w:val="en-US"/>
        </w:rPr>
      </w:pPr>
      <w:r w:rsidRPr="001A448B">
        <w:rPr>
          <w:i/>
          <w:color w:val="000000" w:themeColor="text1"/>
          <w:lang w:val="en-US"/>
        </w:rPr>
        <w:t>Evidence from Private Firms</w:t>
      </w:r>
      <w:r w:rsidR="001A448B">
        <w:rPr>
          <w:color w:val="000000" w:themeColor="text1"/>
          <w:lang w:val="en-US"/>
        </w:rPr>
        <w:t>’</w:t>
      </w:r>
      <w:r w:rsidRPr="004A2168">
        <w:rPr>
          <w:color w:val="000000" w:themeColor="text1"/>
          <w:lang w:val="en-US"/>
        </w:rPr>
        <w:t xml:space="preserve">, European Accounting Review, </w:t>
      </w:r>
      <w:r w:rsidR="00691D65">
        <w:rPr>
          <w:color w:val="000000" w:themeColor="text1"/>
          <w:lang w:val="en-US"/>
        </w:rPr>
        <w:t>Volume</w:t>
      </w:r>
      <w:r w:rsidR="0079098D">
        <w:rPr>
          <w:color w:val="000000" w:themeColor="text1"/>
          <w:lang w:val="en-US"/>
        </w:rPr>
        <w:t xml:space="preserve"> </w:t>
      </w:r>
      <w:r w:rsidRPr="004A2168">
        <w:rPr>
          <w:color w:val="000000" w:themeColor="text1"/>
          <w:lang w:val="en-US"/>
        </w:rPr>
        <w:t>22</w:t>
      </w:r>
      <w:r w:rsidR="00571084">
        <w:rPr>
          <w:color w:val="000000" w:themeColor="text1"/>
          <w:lang w:val="en-US"/>
        </w:rPr>
        <w:t>, nr</w:t>
      </w:r>
      <w:r w:rsidR="0079098D">
        <w:rPr>
          <w:color w:val="000000" w:themeColor="text1"/>
          <w:lang w:val="en-US"/>
        </w:rPr>
        <w:t xml:space="preserve">. </w:t>
      </w:r>
      <w:r w:rsidRPr="004A2168">
        <w:rPr>
          <w:color w:val="000000" w:themeColor="text1"/>
          <w:lang w:val="en-US"/>
        </w:rPr>
        <w:t xml:space="preserve">2, </w:t>
      </w:r>
      <w:r>
        <w:rPr>
          <w:color w:val="000000" w:themeColor="text1"/>
          <w:lang w:val="en-US"/>
        </w:rPr>
        <w:t xml:space="preserve">Pagina </w:t>
      </w:r>
      <w:r w:rsidRPr="004A2168">
        <w:rPr>
          <w:color w:val="000000" w:themeColor="text1"/>
          <w:lang w:val="en-US"/>
        </w:rPr>
        <w:t>337-366</w:t>
      </w:r>
    </w:p>
    <w:p w:rsidR="004A2168" w:rsidRPr="00164290" w:rsidRDefault="004A2168" w:rsidP="004A2168">
      <w:pPr>
        <w:pStyle w:val="Geenafstand"/>
        <w:spacing w:line="360" w:lineRule="auto"/>
        <w:rPr>
          <w:color w:val="000000" w:themeColor="text1"/>
          <w:lang w:val="en-US"/>
        </w:rPr>
      </w:pPr>
    </w:p>
    <w:p w:rsidR="00BD3DEE" w:rsidRPr="003F33B0" w:rsidRDefault="00BD3DEE" w:rsidP="001816F9">
      <w:pPr>
        <w:pStyle w:val="Geenafstand"/>
        <w:spacing w:line="360" w:lineRule="auto"/>
        <w:rPr>
          <w:color w:val="000000" w:themeColor="text1"/>
        </w:rPr>
      </w:pPr>
      <w:r w:rsidRPr="000C1E9C">
        <w:rPr>
          <w:color w:val="000000" w:themeColor="text1"/>
        </w:rPr>
        <w:t xml:space="preserve">Westra, B., 2000. </w:t>
      </w:r>
      <w:r>
        <w:rPr>
          <w:color w:val="000000" w:themeColor="text1"/>
        </w:rPr>
        <w:t>‘</w:t>
      </w:r>
      <w:r>
        <w:rPr>
          <w:i/>
          <w:color w:val="000000" w:themeColor="text1"/>
        </w:rPr>
        <w:t xml:space="preserve">De mythe van onafhankelijkheid’, </w:t>
      </w:r>
      <w:r w:rsidR="00707564">
        <w:rPr>
          <w:color w:val="000000" w:themeColor="text1"/>
        </w:rPr>
        <w:t>Accountancynieuws. Pagina</w:t>
      </w:r>
      <w:r>
        <w:rPr>
          <w:color w:val="000000" w:themeColor="text1"/>
        </w:rPr>
        <w:t>. 32-34</w:t>
      </w: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FA40B2" w:rsidRDefault="00FA40B2" w:rsidP="001816F9">
      <w:pPr>
        <w:pStyle w:val="Geenafstand"/>
        <w:spacing w:line="360" w:lineRule="auto"/>
        <w:rPr>
          <w:b/>
          <w:sz w:val="28"/>
        </w:rPr>
      </w:pPr>
    </w:p>
    <w:p w:rsidR="00921D01" w:rsidRDefault="00921D01" w:rsidP="001816F9">
      <w:pPr>
        <w:pStyle w:val="Geenafstand"/>
        <w:spacing w:line="360" w:lineRule="auto"/>
        <w:rPr>
          <w:b/>
          <w:sz w:val="28"/>
        </w:rPr>
      </w:pPr>
    </w:p>
    <w:p w:rsidR="00921D01" w:rsidRDefault="00921D01" w:rsidP="001816F9">
      <w:pPr>
        <w:pStyle w:val="Geenafstand"/>
        <w:spacing w:line="360" w:lineRule="auto"/>
        <w:rPr>
          <w:b/>
          <w:sz w:val="28"/>
        </w:rPr>
      </w:pPr>
    </w:p>
    <w:p w:rsidR="00561DA0" w:rsidRDefault="00561DA0" w:rsidP="001816F9">
      <w:pPr>
        <w:pStyle w:val="Geenafstand"/>
        <w:spacing w:line="360" w:lineRule="auto"/>
        <w:rPr>
          <w:b/>
          <w:color w:val="000000" w:themeColor="text1"/>
        </w:rPr>
      </w:pPr>
      <w:r>
        <w:rPr>
          <w:b/>
          <w:sz w:val="28"/>
        </w:rPr>
        <w:lastRenderedPageBreak/>
        <w:t xml:space="preserve">Bijlagen </w:t>
      </w:r>
    </w:p>
    <w:p w:rsidR="00561DA0" w:rsidRDefault="00FA40B2" w:rsidP="001816F9">
      <w:pPr>
        <w:pStyle w:val="Geenafstand"/>
        <w:spacing w:line="360" w:lineRule="auto"/>
        <w:rPr>
          <w:color w:val="000000" w:themeColor="text1"/>
        </w:rPr>
      </w:pPr>
      <w:r>
        <w:rPr>
          <w:b/>
          <w:noProof/>
          <w:color w:val="000000" w:themeColor="text1"/>
          <w:lang w:eastAsia="nl-NL"/>
        </w:rPr>
        <w:drawing>
          <wp:anchor distT="0" distB="0" distL="114300" distR="114300" simplePos="0" relativeHeight="251661312" behindDoc="1" locked="0" layoutInCell="1" allowOverlap="1">
            <wp:simplePos x="0" y="0"/>
            <wp:positionH relativeFrom="column">
              <wp:posOffset>15875</wp:posOffset>
            </wp:positionH>
            <wp:positionV relativeFrom="paragraph">
              <wp:posOffset>708660</wp:posOffset>
            </wp:positionV>
            <wp:extent cx="5504815" cy="4274185"/>
            <wp:effectExtent l="0" t="0" r="63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04815" cy="4274185"/>
                    </a:xfrm>
                    <a:prstGeom prst="rect">
                      <a:avLst/>
                    </a:prstGeom>
                    <a:noFill/>
                    <a:ln>
                      <a:noFill/>
                    </a:ln>
                  </pic:spPr>
                </pic:pic>
              </a:graphicData>
            </a:graphic>
          </wp:anchor>
        </w:drawing>
      </w:r>
      <w:r w:rsidR="00561DA0">
        <w:rPr>
          <w:b/>
          <w:color w:val="000000" w:themeColor="text1"/>
        </w:rPr>
        <w:t xml:space="preserve">Bijlage 1: </w:t>
      </w:r>
      <w:r w:rsidR="00561DA0">
        <w:rPr>
          <w:color w:val="000000" w:themeColor="text1"/>
        </w:rPr>
        <w:t>de volgende niet-auditdiensten mogen van de SEC sinds 2003 niet meer door accountants worden verricht voor cliënten waar ze al reguliere auditdiensten verrichten</w:t>
      </w:r>
      <w:r w:rsidR="00561DA0">
        <w:rPr>
          <w:color w:val="000000" w:themeColor="text1"/>
        </w:rPr>
        <w:br/>
      </w: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Default="00921D01" w:rsidP="001816F9">
      <w:pPr>
        <w:pStyle w:val="Geenafstand"/>
        <w:spacing w:line="360" w:lineRule="auto"/>
        <w:rPr>
          <w:color w:val="000000" w:themeColor="text1"/>
        </w:rPr>
      </w:pPr>
    </w:p>
    <w:p w:rsidR="00921D01" w:rsidRPr="00561DA0" w:rsidRDefault="00921D01" w:rsidP="001816F9">
      <w:pPr>
        <w:pStyle w:val="Geenafstand"/>
        <w:spacing w:line="360" w:lineRule="auto"/>
        <w:rPr>
          <w:color w:val="000000" w:themeColor="text1"/>
        </w:rPr>
      </w:pPr>
    </w:p>
    <w:p w:rsidR="00561DA0" w:rsidRDefault="00561DA0"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B72483" w:rsidRDefault="00B72483" w:rsidP="001816F9">
      <w:pPr>
        <w:pStyle w:val="Geenafstand"/>
        <w:spacing w:line="360" w:lineRule="auto"/>
        <w:rPr>
          <w:b/>
          <w:color w:val="000000" w:themeColor="text1"/>
        </w:rPr>
      </w:pPr>
    </w:p>
    <w:p w:rsidR="00921D01" w:rsidRDefault="00921D01" w:rsidP="001816F9">
      <w:pPr>
        <w:pStyle w:val="Geenafstand"/>
        <w:spacing w:line="360" w:lineRule="auto"/>
        <w:rPr>
          <w:b/>
          <w:color w:val="000000" w:themeColor="text1"/>
        </w:rPr>
      </w:pPr>
    </w:p>
    <w:p w:rsidR="00921D01" w:rsidRDefault="00921D01" w:rsidP="001816F9">
      <w:pPr>
        <w:pStyle w:val="Geenafstand"/>
        <w:spacing w:line="360" w:lineRule="auto"/>
        <w:rPr>
          <w:b/>
          <w:color w:val="000000" w:themeColor="text1"/>
        </w:rPr>
      </w:pPr>
    </w:p>
    <w:p w:rsidR="00921D01" w:rsidRDefault="00921D01" w:rsidP="001816F9">
      <w:pPr>
        <w:pStyle w:val="Geenafstand"/>
        <w:spacing w:line="360" w:lineRule="auto"/>
        <w:rPr>
          <w:b/>
          <w:color w:val="000000" w:themeColor="text1"/>
        </w:rPr>
      </w:pPr>
    </w:p>
    <w:p w:rsidR="00921D01" w:rsidRPr="001330E4" w:rsidRDefault="00F85A80" w:rsidP="001816F9">
      <w:pPr>
        <w:pStyle w:val="Geenafstand"/>
        <w:spacing w:line="360" w:lineRule="auto"/>
        <w:rPr>
          <w:color w:val="000000" w:themeColor="text1"/>
        </w:rPr>
      </w:pPr>
      <w:r>
        <w:rPr>
          <w:b/>
          <w:color w:val="000000" w:themeColor="text1"/>
        </w:rPr>
        <w:lastRenderedPageBreak/>
        <w:t>Bijlage 2</w:t>
      </w:r>
      <w:r w:rsidR="001330E4">
        <w:rPr>
          <w:b/>
          <w:color w:val="000000" w:themeColor="text1"/>
        </w:rPr>
        <w:t>:</w:t>
      </w:r>
      <w:r w:rsidR="001330E4">
        <w:rPr>
          <w:color w:val="000000" w:themeColor="text1"/>
        </w:rPr>
        <w:t xml:space="preserve"> Tabel waar de verschillen tussen Frankel et al. en Ashbaugh et al. zijn omschreven. Dit tabel is uit het onderzoek van Ashbaugh et al. De rode omcirkeling is door de scriptie schrijver gedaan.</w:t>
      </w:r>
    </w:p>
    <w:p w:rsidR="001330E4" w:rsidRDefault="001330E4" w:rsidP="001816F9">
      <w:pPr>
        <w:pStyle w:val="Geenafstand"/>
        <w:spacing w:line="360" w:lineRule="auto"/>
        <w:rPr>
          <w:b/>
          <w:color w:val="000000" w:themeColor="text1"/>
        </w:rPr>
      </w:pPr>
      <w:r>
        <w:rPr>
          <w:b/>
          <w:noProof/>
          <w:color w:val="000000" w:themeColor="text1"/>
          <w:lang w:eastAsia="nl-NL"/>
        </w:rPr>
        <w:drawing>
          <wp:inline distT="0" distB="0" distL="0" distR="0">
            <wp:extent cx="5975497" cy="4031597"/>
            <wp:effectExtent l="0" t="0" r="6350" b="762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5758" cy="4031773"/>
                    </a:xfrm>
                    <a:prstGeom prst="rect">
                      <a:avLst/>
                    </a:prstGeom>
                    <a:noFill/>
                    <a:ln>
                      <a:noFill/>
                    </a:ln>
                  </pic:spPr>
                </pic:pic>
              </a:graphicData>
            </a:graphic>
          </wp:inline>
        </w:drawing>
      </w:r>
    </w:p>
    <w:sectPr w:rsidR="001330E4" w:rsidSect="009F5168">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835" w:rsidRDefault="00347835" w:rsidP="004F31F2">
      <w:pPr>
        <w:spacing w:after="0" w:line="240" w:lineRule="auto"/>
      </w:pPr>
      <w:r>
        <w:separator/>
      </w:r>
    </w:p>
  </w:endnote>
  <w:endnote w:type="continuationSeparator" w:id="0">
    <w:p w:rsidR="00347835" w:rsidRDefault="00347835" w:rsidP="004F31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FHGEB+TimesNewRoman">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auto"/>
    <w:notTrueType/>
    <w:pitch w:val="default"/>
    <w:sig w:usb0="00000001"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487377"/>
      <w:docPartObj>
        <w:docPartGallery w:val="Page Numbers (Bottom of Page)"/>
        <w:docPartUnique/>
      </w:docPartObj>
    </w:sdtPr>
    <w:sdtContent>
      <w:p w:rsidR="00074B6D" w:rsidRDefault="009F5168">
        <w:pPr>
          <w:pStyle w:val="Voettekst"/>
          <w:jc w:val="right"/>
        </w:pPr>
        <w:r>
          <w:fldChar w:fldCharType="begin"/>
        </w:r>
        <w:r w:rsidR="00074B6D">
          <w:instrText>PAGE   \* MERGEFORMAT</w:instrText>
        </w:r>
        <w:r>
          <w:fldChar w:fldCharType="separate"/>
        </w:r>
        <w:r w:rsidR="007E0511">
          <w:rPr>
            <w:noProof/>
          </w:rPr>
          <w:t>1</w:t>
        </w:r>
        <w:r>
          <w:fldChar w:fldCharType="end"/>
        </w:r>
      </w:p>
    </w:sdtContent>
  </w:sdt>
  <w:p w:rsidR="00074B6D" w:rsidRDefault="00074B6D">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835" w:rsidRDefault="00347835" w:rsidP="004F31F2">
      <w:pPr>
        <w:spacing w:after="0" w:line="240" w:lineRule="auto"/>
      </w:pPr>
      <w:r>
        <w:separator/>
      </w:r>
    </w:p>
  </w:footnote>
  <w:footnote w:type="continuationSeparator" w:id="0">
    <w:p w:rsidR="00347835" w:rsidRDefault="00347835" w:rsidP="004F31F2">
      <w:pPr>
        <w:spacing w:after="0" w:line="240" w:lineRule="auto"/>
      </w:pPr>
      <w:r>
        <w:continuationSeparator/>
      </w:r>
    </w:p>
  </w:footnote>
  <w:footnote w:id="1">
    <w:p w:rsidR="00074B6D" w:rsidRPr="00D71FF5" w:rsidRDefault="00074B6D">
      <w:pPr>
        <w:pStyle w:val="Voetnoottekst"/>
      </w:pPr>
      <w:r>
        <w:rPr>
          <w:rStyle w:val="Voetnootmarkering"/>
        </w:rPr>
        <w:footnoteRef/>
      </w:r>
      <w:r>
        <w:t xml:space="preserve"> </w:t>
      </w:r>
      <w:r w:rsidRPr="00D71FF5">
        <w:t>http://wetten.overheid.nl/BWBR0032573/geldigheidsdatum_17-02-2013</w:t>
      </w:r>
    </w:p>
  </w:footnote>
  <w:footnote w:id="2">
    <w:p w:rsidR="00074B6D" w:rsidRPr="00D71FF5" w:rsidRDefault="00074B6D">
      <w:pPr>
        <w:pStyle w:val="Voetnoottekst"/>
      </w:pPr>
      <w:r>
        <w:rPr>
          <w:rStyle w:val="Voetnootmarkering"/>
        </w:rPr>
        <w:footnoteRef/>
      </w:r>
      <w:r>
        <w:t xml:space="preserve"> </w:t>
      </w:r>
      <w:r w:rsidRPr="00D71FF5">
        <w:t>http://www.nba.nl/HRAweb/HRA1/201201/html/32947.htm</w:t>
      </w:r>
    </w:p>
  </w:footnote>
  <w:footnote w:id="3">
    <w:p w:rsidR="00074B6D" w:rsidRPr="00396579" w:rsidRDefault="00074B6D">
      <w:pPr>
        <w:pStyle w:val="Voetnoottekst"/>
      </w:pPr>
      <w:r>
        <w:rPr>
          <w:rStyle w:val="Voetnootmarkering"/>
        </w:rPr>
        <w:footnoteRef/>
      </w:r>
      <w:r>
        <w:t xml:space="preserve"> </w:t>
      </w:r>
      <w:r w:rsidRPr="00396579">
        <w:t>http://wetten.overheid.nl/BWBR0002374/geldigheidsdatum_26-05-2013</w:t>
      </w:r>
    </w:p>
  </w:footnote>
  <w:footnote w:id="4">
    <w:p w:rsidR="00074B6D" w:rsidRPr="00396579" w:rsidRDefault="00074B6D">
      <w:pPr>
        <w:pStyle w:val="Voetnoottekst"/>
      </w:pPr>
      <w:r>
        <w:rPr>
          <w:rStyle w:val="Voetnootmarkering"/>
        </w:rPr>
        <w:footnoteRef/>
      </w:r>
      <w:r>
        <w:t xml:space="preserve"> </w:t>
      </w:r>
      <w:r w:rsidRPr="00396579">
        <w:t>http://wetten.overheid.nl/BWBR0032573/geldigheidsdatum_17-02-2013#Hoofdstuk6</w:t>
      </w:r>
    </w:p>
  </w:footnote>
  <w:footnote w:id="5">
    <w:p w:rsidR="00074B6D" w:rsidRPr="003526E5" w:rsidRDefault="00074B6D">
      <w:pPr>
        <w:pStyle w:val="Voetnoottekst"/>
      </w:pPr>
      <w:r>
        <w:rPr>
          <w:rStyle w:val="Voetnootmarkering"/>
        </w:rPr>
        <w:footnoteRef/>
      </w:r>
      <w:r>
        <w:t xml:space="preserve"> </w:t>
      </w:r>
      <w:r w:rsidRPr="003526E5">
        <w:t>http://www.nba.nl/Studie-en-Opleiding/De-Accountant/Profiel/</w:t>
      </w:r>
    </w:p>
  </w:footnote>
  <w:footnote w:id="6">
    <w:p w:rsidR="00074B6D" w:rsidRDefault="00074B6D">
      <w:pPr>
        <w:pStyle w:val="Voetnoottekst"/>
      </w:pPr>
      <w:r>
        <w:rPr>
          <w:rStyle w:val="Voetnootmarkering"/>
        </w:rPr>
        <w:footnoteRef/>
      </w:r>
      <w:r>
        <w:t xml:space="preserve"> Vertaald van Engels naar Nederlands door de scriptie schrijver</w:t>
      </w:r>
    </w:p>
  </w:footnote>
  <w:footnote w:id="7">
    <w:p w:rsidR="00074B6D" w:rsidRPr="008C5C47" w:rsidRDefault="00074B6D">
      <w:pPr>
        <w:pStyle w:val="Voetnoottekst"/>
      </w:pPr>
      <w:r>
        <w:rPr>
          <w:rStyle w:val="Voetnootmarkering"/>
        </w:rPr>
        <w:footnoteRef/>
      </w:r>
      <w:r>
        <w:t xml:space="preserve"> </w:t>
      </w:r>
      <w:r w:rsidRPr="008C5C47">
        <w:t xml:space="preserve">Dit zijn rapportages van de accountant over </w:t>
      </w:r>
      <w:r>
        <w:t>de verwachte continuïteit van een onderneming</w:t>
      </w:r>
    </w:p>
  </w:footnote>
  <w:footnote w:id="8">
    <w:p w:rsidR="00074B6D" w:rsidRPr="00C44A39" w:rsidRDefault="00074B6D">
      <w:pPr>
        <w:pStyle w:val="Voetnoottekst"/>
      </w:pPr>
      <w:r>
        <w:rPr>
          <w:rStyle w:val="Voetnootmarkering"/>
        </w:rPr>
        <w:footnoteRef/>
      </w:r>
      <w:r>
        <w:t xml:space="preserve"> </w:t>
      </w:r>
      <w:r w:rsidRPr="00C44A39">
        <w:t>Een ERC meet de omvang van het abnormale rendement</w:t>
      </w:r>
      <w:r>
        <w:t xml:space="preserve"> van een effect in reactie op de openbaarmaking van nieuwe informatie</w:t>
      </w:r>
    </w:p>
  </w:footnote>
  <w:footnote w:id="9">
    <w:p w:rsidR="00074B6D" w:rsidRPr="009B5D6E" w:rsidRDefault="00074B6D">
      <w:pPr>
        <w:pStyle w:val="Voetnoottekst"/>
      </w:pPr>
      <w:r>
        <w:rPr>
          <w:rStyle w:val="Voetnootmarkering"/>
        </w:rPr>
        <w:footnoteRef/>
      </w:r>
      <w:r>
        <w:t xml:space="preserve"> </w:t>
      </w:r>
      <w:r w:rsidRPr="009B5D6E">
        <w:t>Earnings Management is het manipuleren van de winst</w:t>
      </w:r>
    </w:p>
  </w:footnote>
  <w:footnote w:id="10">
    <w:p w:rsidR="00074B6D" w:rsidRPr="009B0E86" w:rsidRDefault="00074B6D">
      <w:pPr>
        <w:pStyle w:val="Voetnoottekst"/>
      </w:pPr>
      <w:r>
        <w:rPr>
          <w:rStyle w:val="Voetnootmarkering"/>
        </w:rPr>
        <w:footnoteRef/>
      </w:r>
      <w:r>
        <w:t xml:space="preserve"> In Nederland is dit ook verplicht</w:t>
      </w:r>
    </w:p>
  </w:footnote>
  <w:footnote w:id="11">
    <w:p w:rsidR="00074B6D" w:rsidRDefault="00074B6D">
      <w:pPr>
        <w:pStyle w:val="Voetnoottekst"/>
      </w:pPr>
      <w:r>
        <w:rPr>
          <w:rStyle w:val="Voetnootmarkering"/>
        </w:rPr>
        <w:footnoteRef/>
      </w:r>
      <w:r>
        <w:t xml:space="preserve"> Dit laatste is overigens totaal verboden</w:t>
      </w:r>
    </w:p>
  </w:footnote>
  <w:footnote w:id="12">
    <w:p w:rsidR="00074B6D" w:rsidRDefault="00074B6D">
      <w:pPr>
        <w:pStyle w:val="Voetnoottekst"/>
      </w:pPr>
      <w:r>
        <w:rPr>
          <w:rStyle w:val="Voetnootmarkering"/>
        </w:rPr>
        <w:footnoteRef/>
      </w:r>
      <w:r>
        <w:t xml:space="preserve"> Dit zijn de 500 grootste Amerikaanse bedrijven gemeten naar hun marktkapitalisatie</w:t>
      </w:r>
    </w:p>
  </w:footnote>
  <w:footnote w:id="13">
    <w:p w:rsidR="00074B6D" w:rsidRPr="0032312A" w:rsidRDefault="00074B6D">
      <w:pPr>
        <w:pStyle w:val="Voetnoottekst"/>
        <w:rPr>
          <w:lang w:val="en-US"/>
        </w:rPr>
      </w:pPr>
      <w:r>
        <w:rPr>
          <w:rStyle w:val="Voetnootmarkering"/>
        </w:rPr>
        <w:footnoteRef/>
      </w:r>
      <w:r>
        <w:t xml:space="preserve"> Vertaald door de scriptie schrijver van Engels naar Nederlands. </w:t>
      </w:r>
      <w:r w:rsidRPr="0032312A">
        <w:rPr>
          <w:lang w:val="en-US"/>
        </w:rPr>
        <w:t>Originele tekst: Ceteris paribus, companies that pay higher proportions of non-audit fees to their external auditors report income-increasing accruals.</w:t>
      </w:r>
    </w:p>
  </w:footnote>
  <w:footnote w:id="14">
    <w:p w:rsidR="00074B6D" w:rsidRPr="00AD6A6D" w:rsidRDefault="00074B6D">
      <w:pPr>
        <w:pStyle w:val="Voetnoottekst"/>
        <w:rPr>
          <w:lang w:val="en-US"/>
        </w:rPr>
      </w:pPr>
      <w:r>
        <w:rPr>
          <w:rStyle w:val="Voetnootmarkering"/>
        </w:rPr>
        <w:footnoteRef/>
      </w:r>
      <w:r w:rsidRPr="00AD6A6D">
        <w:rPr>
          <w:lang w:val="en-US"/>
        </w:rPr>
        <w:t xml:space="preserve"> Vanaf pagina 621 in </w:t>
      </w:r>
      <w:r w:rsidRPr="00AA71A2">
        <w:rPr>
          <w:rFonts w:cstheme="minorHAnsi"/>
          <w:color w:val="000000" w:themeColor="text1"/>
          <w:lang w:val="en-US"/>
        </w:rPr>
        <w:t>The</w:t>
      </w:r>
      <w:r>
        <w:rPr>
          <w:rFonts w:cstheme="minorHAnsi"/>
          <w:color w:val="000000" w:themeColor="text1"/>
          <w:lang w:val="en-US"/>
        </w:rPr>
        <w:t xml:space="preserve"> </w:t>
      </w:r>
      <w:r w:rsidRPr="00AA71A2">
        <w:rPr>
          <w:rFonts w:cstheme="minorHAnsi"/>
          <w:color w:val="000000" w:themeColor="text1"/>
          <w:lang w:val="en-US"/>
        </w:rPr>
        <w:t xml:space="preserve">Accounting Review </w:t>
      </w:r>
      <w:r>
        <w:rPr>
          <w:rFonts w:cstheme="minorHAnsi"/>
          <w:color w:val="000000" w:themeColor="text1"/>
          <w:lang w:val="en-US"/>
        </w:rPr>
        <w:t xml:space="preserve">Volume </w:t>
      </w:r>
      <w:r w:rsidRPr="00AA71A2">
        <w:rPr>
          <w:rFonts w:cstheme="minorHAnsi"/>
          <w:color w:val="000000" w:themeColor="text1"/>
          <w:lang w:val="en-US"/>
        </w:rPr>
        <w:t>78,</w:t>
      </w:r>
      <w:r>
        <w:rPr>
          <w:rFonts w:cstheme="minorHAnsi"/>
          <w:color w:val="000000" w:themeColor="text1"/>
          <w:lang w:val="en-US"/>
        </w:rPr>
        <w:t xml:space="preserve"> Nr 3.</w:t>
      </w:r>
    </w:p>
  </w:footnote>
  <w:footnote w:id="15">
    <w:p w:rsidR="00074B6D" w:rsidRDefault="00074B6D">
      <w:pPr>
        <w:pStyle w:val="Voetnoottekst"/>
      </w:pPr>
      <w:r>
        <w:rPr>
          <w:rStyle w:val="Voetnootmarkering"/>
        </w:rPr>
        <w:footnoteRef/>
      </w:r>
      <w:r>
        <w:t xml:space="preserve"> Boekwaarde van normale aandelen gedeeld door de marktwaarde van normale aandelen</w:t>
      </w:r>
    </w:p>
  </w:footnote>
  <w:footnote w:id="16">
    <w:p w:rsidR="00074B6D" w:rsidRDefault="00074B6D">
      <w:pPr>
        <w:pStyle w:val="Voetnoottekst"/>
      </w:pPr>
      <w:r>
        <w:rPr>
          <w:rStyle w:val="Voetnootmarkering"/>
        </w:rPr>
        <w:footnoteRef/>
      </w:r>
      <w:r>
        <w:t xml:space="preserve"> Een outside director is een lid van het bestuur die geen werknemer of een stakeholder is van de onderneming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646A8"/>
    <w:multiLevelType w:val="hybridMultilevel"/>
    <w:tmpl w:val="39A01DAC"/>
    <w:lvl w:ilvl="0" w:tplc="DB06386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nsid w:val="54F87D64"/>
    <w:multiLevelType w:val="hybridMultilevel"/>
    <w:tmpl w:val="39A01DAC"/>
    <w:lvl w:ilvl="0" w:tplc="DB06386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23DC3"/>
    <w:rsid w:val="00001591"/>
    <w:rsid w:val="000024A1"/>
    <w:rsid w:val="00006854"/>
    <w:rsid w:val="0000746D"/>
    <w:rsid w:val="00010BDA"/>
    <w:rsid w:val="0001518B"/>
    <w:rsid w:val="00016368"/>
    <w:rsid w:val="0001776D"/>
    <w:rsid w:val="00023270"/>
    <w:rsid w:val="00023B18"/>
    <w:rsid w:val="0002458D"/>
    <w:rsid w:val="0002545D"/>
    <w:rsid w:val="00030261"/>
    <w:rsid w:val="000342E4"/>
    <w:rsid w:val="000354E4"/>
    <w:rsid w:val="000408ED"/>
    <w:rsid w:val="00040D08"/>
    <w:rsid w:val="00041BDB"/>
    <w:rsid w:val="00045DA6"/>
    <w:rsid w:val="0004617D"/>
    <w:rsid w:val="0005134C"/>
    <w:rsid w:val="00051CAB"/>
    <w:rsid w:val="00051D5C"/>
    <w:rsid w:val="00056C36"/>
    <w:rsid w:val="00060510"/>
    <w:rsid w:val="00064BA5"/>
    <w:rsid w:val="0006577B"/>
    <w:rsid w:val="0006723C"/>
    <w:rsid w:val="00071805"/>
    <w:rsid w:val="00074B6D"/>
    <w:rsid w:val="00075ECD"/>
    <w:rsid w:val="00076302"/>
    <w:rsid w:val="000769E7"/>
    <w:rsid w:val="00077782"/>
    <w:rsid w:val="00077B66"/>
    <w:rsid w:val="00077CC7"/>
    <w:rsid w:val="00081059"/>
    <w:rsid w:val="000818EB"/>
    <w:rsid w:val="00081ACA"/>
    <w:rsid w:val="00086967"/>
    <w:rsid w:val="00086C3C"/>
    <w:rsid w:val="00087A94"/>
    <w:rsid w:val="00087D30"/>
    <w:rsid w:val="00092278"/>
    <w:rsid w:val="00094D81"/>
    <w:rsid w:val="00097AB7"/>
    <w:rsid w:val="000A1C6A"/>
    <w:rsid w:val="000A4ED5"/>
    <w:rsid w:val="000A5FBB"/>
    <w:rsid w:val="000A7E14"/>
    <w:rsid w:val="000B3107"/>
    <w:rsid w:val="000B327A"/>
    <w:rsid w:val="000B56A5"/>
    <w:rsid w:val="000B68EA"/>
    <w:rsid w:val="000C057B"/>
    <w:rsid w:val="000C082A"/>
    <w:rsid w:val="000C1E9C"/>
    <w:rsid w:val="000C3DA3"/>
    <w:rsid w:val="000C4286"/>
    <w:rsid w:val="000C746E"/>
    <w:rsid w:val="000D5712"/>
    <w:rsid w:val="000E381C"/>
    <w:rsid w:val="000E3E3B"/>
    <w:rsid w:val="000E4631"/>
    <w:rsid w:val="000E6F88"/>
    <w:rsid w:val="000E744C"/>
    <w:rsid w:val="000E7C32"/>
    <w:rsid w:val="000F75C5"/>
    <w:rsid w:val="00101B91"/>
    <w:rsid w:val="00102225"/>
    <w:rsid w:val="00103629"/>
    <w:rsid w:val="00103890"/>
    <w:rsid w:val="00104075"/>
    <w:rsid w:val="0010422E"/>
    <w:rsid w:val="00105974"/>
    <w:rsid w:val="00107F84"/>
    <w:rsid w:val="00111656"/>
    <w:rsid w:val="00113138"/>
    <w:rsid w:val="00114944"/>
    <w:rsid w:val="00116944"/>
    <w:rsid w:val="00117D8E"/>
    <w:rsid w:val="00120D0D"/>
    <w:rsid w:val="00123CD1"/>
    <w:rsid w:val="00124694"/>
    <w:rsid w:val="00125321"/>
    <w:rsid w:val="0012596F"/>
    <w:rsid w:val="001267E3"/>
    <w:rsid w:val="00127B5C"/>
    <w:rsid w:val="00130199"/>
    <w:rsid w:val="001330E4"/>
    <w:rsid w:val="0013348B"/>
    <w:rsid w:val="00133B0C"/>
    <w:rsid w:val="0013659A"/>
    <w:rsid w:val="00136DD1"/>
    <w:rsid w:val="0014045D"/>
    <w:rsid w:val="00142F8E"/>
    <w:rsid w:val="001432D5"/>
    <w:rsid w:val="00144E64"/>
    <w:rsid w:val="001451D0"/>
    <w:rsid w:val="00147618"/>
    <w:rsid w:val="00154D2D"/>
    <w:rsid w:val="00155622"/>
    <w:rsid w:val="00155C55"/>
    <w:rsid w:val="00156285"/>
    <w:rsid w:val="001633A8"/>
    <w:rsid w:val="00164290"/>
    <w:rsid w:val="0017021A"/>
    <w:rsid w:val="00171B0D"/>
    <w:rsid w:val="00176BEA"/>
    <w:rsid w:val="00176DDD"/>
    <w:rsid w:val="00176F43"/>
    <w:rsid w:val="00177340"/>
    <w:rsid w:val="0018129A"/>
    <w:rsid w:val="001816F9"/>
    <w:rsid w:val="00181EFE"/>
    <w:rsid w:val="00183EEB"/>
    <w:rsid w:val="0018411A"/>
    <w:rsid w:val="00185480"/>
    <w:rsid w:val="00191889"/>
    <w:rsid w:val="0019271A"/>
    <w:rsid w:val="00196170"/>
    <w:rsid w:val="001A0794"/>
    <w:rsid w:val="001A1E38"/>
    <w:rsid w:val="001A21AB"/>
    <w:rsid w:val="001A32E2"/>
    <w:rsid w:val="001A448B"/>
    <w:rsid w:val="001B1965"/>
    <w:rsid w:val="001B2D67"/>
    <w:rsid w:val="001B56AD"/>
    <w:rsid w:val="001C02E3"/>
    <w:rsid w:val="001C119C"/>
    <w:rsid w:val="001C16F0"/>
    <w:rsid w:val="001C255E"/>
    <w:rsid w:val="001C5197"/>
    <w:rsid w:val="001C581E"/>
    <w:rsid w:val="001C5F30"/>
    <w:rsid w:val="001D0C8E"/>
    <w:rsid w:val="001D5138"/>
    <w:rsid w:val="001E6B62"/>
    <w:rsid w:val="001F1041"/>
    <w:rsid w:val="001F70D4"/>
    <w:rsid w:val="001F7993"/>
    <w:rsid w:val="0020582C"/>
    <w:rsid w:val="00210208"/>
    <w:rsid w:val="00210EC7"/>
    <w:rsid w:val="00211CC3"/>
    <w:rsid w:val="00211D09"/>
    <w:rsid w:val="002153A3"/>
    <w:rsid w:val="0022259A"/>
    <w:rsid w:val="00222A65"/>
    <w:rsid w:val="00223D0E"/>
    <w:rsid w:val="002300B3"/>
    <w:rsid w:val="0023036A"/>
    <w:rsid w:val="002311E1"/>
    <w:rsid w:val="0023124B"/>
    <w:rsid w:val="00231A27"/>
    <w:rsid w:val="00233017"/>
    <w:rsid w:val="00234AA8"/>
    <w:rsid w:val="00235278"/>
    <w:rsid w:val="00235739"/>
    <w:rsid w:val="00235F89"/>
    <w:rsid w:val="00237E66"/>
    <w:rsid w:val="0024171D"/>
    <w:rsid w:val="002423BB"/>
    <w:rsid w:val="00244F3A"/>
    <w:rsid w:val="002469E8"/>
    <w:rsid w:val="00246F3B"/>
    <w:rsid w:val="0024745A"/>
    <w:rsid w:val="002477E7"/>
    <w:rsid w:val="00247AB2"/>
    <w:rsid w:val="002505A9"/>
    <w:rsid w:val="00253283"/>
    <w:rsid w:val="002559B0"/>
    <w:rsid w:val="0026191C"/>
    <w:rsid w:val="00261F26"/>
    <w:rsid w:val="00263507"/>
    <w:rsid w:val="00263751"/>
    <w:rsid w:val="0026471E"/>
    <w:rsid w:val="00270808"/>
    <w:rsid w:val="002723DF"/>
    <w:rsid w:val="00272EFA"/>
    <w:rsid w:val="00282474"/>
    <w:rsid w:val="002840DA"/>
    <w:rsid w:val="002841A9"/>
    <w:rsid w:val="00285366"/>
    <w:rsid w:val="00287866"/>
    <w:rsid w:val="00287CCE"/>
    <w:rsid w:val="00291366"/>
    <w:rsid w:val="0029210C"/>
    <w:rsid w:val="002924A5"/>
    <w:rsid w:val="002A3736"/>
    <w:rsid w:val="002A3B6D"/>
    <w:rsid w:val="002A4C07"/>
    <w:rsid w:val="002A4E6B"/>
    <w:rsid w:val="002A5BC2"/>
    <w:rsid w:val="002A662D"/>
    <w:rsid w:val="002B1EEC"/>
    <w:rsid w:val="002B4D66"/>
    <w:rsid w:val="002B5C8E"/>
    <w:rsid w:val="002C03A9"/>
    <w:rsid w:val="002C20CA"/>
    <w:rsid w:val="002C2748"/>
    <w:rsid w:val="002C5273"/>
    <w:rsid w:val="002C63E5"/>
    <w:rsid w:val="002D31DA"/>
    <w:rsid w:val="002D62B5"/>
    <w:rsid w:val="002D71C6"/>
    <w:rsid w:val="002D71F2"/>
    <w:rsid w:val="002D7FFA"/>
    <w:rsid w:val="002E0E43"/>
    <w:rsid w:val="002F0157"/>
    <w:rsid w:val="002F38C5"/>
    <w:rsid w:val="002F6842"/>
    <w:rsid w:val="0030016B"/>
    <w:rsid w:val="00304EFA"/>
    <w:rsid w:val="003102A1"/>
    <w:rsid w:val="00315605"/>
    <w:rsid w:val="00316B8D"/>
    <w:rsid w:val="00317F05"/>
    <w:rsid w:val="00321D6A"/>
    <w:rsid w:val="0032312A"/>
    <w:rsid w:val="00324142"/>
    <w:rsid w:val="00324844"/>
    <w:rsid w:val="00326C59"/>
    <w:rsid w:val="00340851"/>
    <w:rsid w:val="00343CD2"/>
    <w:rsid w:val="00344103"/>
    <w:rsid w:val="00346852"/>
    <w:rsid w:val="00347835"/>
    <w:rsid w:val="00351385"/>
    <w:rsid w:val="00351466"/>
    <w:rsid w:val="003526E5"/>
    <w:rsid w:val="00353EAA"/>
    <w:rsid w:val="00353EDE"/>
    <w:rsid w:val="003554BA"/>
    <w:rsid w:val="003570D0"/>
    <w:rsid w:val="00360F29"/>
    <w:rsid w:val="00361A2E"/>
    <w:rsid w:val="00361EEF"/>
    <w:rsid w:val="00364B34"/>
    <w:rsid w:val="003652F2"/>
    <w:rsid w:val="003675A4"/>
    <w:rsid w:val="00367E95"/>
    <w:rsid w:val="00375258"/>
    <w:rsid w:val="003770C6"/>
    <w:rsid w:val="00383DA6"/>
    <w:rsid w:val="003842E1"/>
    <w:rsid w:val="00385976"/>
    <w:rsid w:val="00386039"/>
    <w:rsid w:val="00386D2A"/>
    <w:rsid w:val="00387716"/>
    <w:rsid w:val="00387FCF"/>
    <w:rsid w:val="00391E35"/>
    <w:rsid w:val="0039506E"/>
    <w:rsid w:val="003953E8"/>
    <w:rsid w:val="00395A5C"/>
    <w:rsid w:val="00396579"/>
    <w:rsid w:val="00396866"/>
    <w:rsid w:val="003970E1"/>
    <w:rsid w:val="00397800"/>
    <w:rsid w:val="0039785F"/>
    <w:rsid w:val="003A2D48"/>
    <w:rsid w:val="003B28DB"/>
    <w:rsid w:val="003B2F31"/>
    <w:rsid w:val="003B4519"/>
    <w:rsid w:val="003B5FBD"/>
    <w:rsid w:val="003B746C"/>
    <w:rsid w:val="003C2C0E"/>
    <w:rsid w:val="003C7EC4"/>
    <w:rsid w:val="003D2D28"/>
    <w:rsid w:val="003D4AEA"/>
    <w:rsid w:val="003D79D6"/>
    <w:rsid w:val="003E08CA"/>
    <w:rsid w:val="003E3541"/>
    <w:rsid w:val="003E3C8F"/>
    <w:rsid w:val="003E66D9"/>
    <w:rsid w:val="003F2550"/>
    <w:rsid w:val="003F32E7"/>
    <w:rsid w:val="003F5973"/>
    <w:rsid w:val="003F6A72"/>
    <w:rsid w:val="003F7380"/>
    <w:rsid w:val="003F7B38"/>
    <w:rsid w:val="0040102C"/>
    <w:rsid w:val="00401983"/>
    <w:rsid w:val="0040295B"/>
    <w:rsid w:val="00405A7B"/>
    <w:rsid w:val="00407B85"/>
    <w:rsid w:val="00407CDA"/>
    <w:rsid w:val="0041016A"/>
    <w:rsid w:val="0041082A"/>
    <w:rsid w:val="0041131A"/>
    <w:rsid w:val="0041165F"/>
    <w:rsid w:val="00411F2E"/>
    <w:rsid w:val="00412E93"/>
    <w:rsid w:val="00420E7B"/>
    <w:rsid w:val="004227B4"/>
    <w:rsid w:val="00424FEE"/>
    <w:rsid w:val="00425FB0"/>
    <w:rsid w:val="00425FC3"/>
    <w:rsid w:val="00426358"/>
    <w:rsid w:val="0043486E"/>
    <w:rsid w:val="00441FAD"/>
    <w:rsid w:val="004438C9"/>
    <w:rsid w:val="00447C75"/>
    <w:rsid w:val="00450456"/>
    <w:rsid w:val="00452471"/>
    <w:rsid w:val="00457A16"/>
    <w:rsid w:val="00462125"/>
    <w:rsid w:val="00466242"/>
    <w:rsid w:val="00467026"/>
    <w:rsid w:val="004707DD"/>
    <w:rsid w:val="00477D3E"/>
    <w:rsid w:val="00480532"/>
    <w:rsid w:val="004819E2"/>
    <w:rsid w:val="00483B4A"/>
    <w:rsid w:val="00483F96"/>
    <w:rsid w:val="0048546D"/>
    <w:rsid w:val="00486B10"/>
    <w:rsid w:val="004A093C"/>
    <w:rsid w:val="004A2168"/>
    <w:rsid w:val="004A27A0"/>
    <w:rsid w:val="004A3095"/>
    <w:rsid w:val="004A6FC3"/>
    <w:rsid w:val="004B0921"/>
    <w:rsid w:val="004B3683"/>
    <w:rsid w:val="004B414E"/>
    <w:rsid w:val="004B6A2D"/>
    <w:rsid w:val="004B6B40"/>
    <w:rsid w:val="004C077F"/>
    <w:rsid w:val="004C1C0B"/>
    <w:rsid w:val="004C2CFF"/>
    <w:rsid w:val="004C2FE3"/>
    <w:rsid w:val="004C32A5"/>
    <w:rsid w:val="004C341F"/>
    <w:rsid w:val="004C3666"/>
    <w:rsid w:val="004C4F5C"/>
    <w:rsid w:val="004D0AA3"/>
    <w:rsid w:val="004D29DB"/>
    <w:rsid w:val="004D46A5"/>
    <w:rsid w:val="004D5C36"/>
    <w:rsid w:val="004E597C"/>
    <w:rsid w:val="004E5E43"/>
    <w:rsid w:val="004F095F"/>
    <w:rsid w:val="004F21DB"/>
    <w:rsid w:val="004F31F2"/>
    <w:rsid w:val="004F47A4"/>
    <w:rsid w:val="004F56AF"/>
    <w:rsid w:val="004F716A"/>
    <w:rsid w:val="005029FC"/>
    <w:rsid w:val="00502C74"/>
    <w:rsid w:val="00502F79"/>
    <w:rsid w:val="00503130"/>
    <w:rsid w:val="00503CCC"/>
    <w:rsid w:val="00506513"/>
    <w:rsid w:val="00506842"/>
    <w:rsid w:val="0050778B"/>
    <w:rsid w:val="00511505"/>
    <w:rsid w:val="0051402C"/>
    <w:rsid w:val="005147AA"/>
    <w:rsid w:val="00515198"/>
    <w:rsid w:val="00521DC2"/>
    <w:rsid w:val="00522A26"/>
    <w:rsid w:val="00523BC1"/>
    <w:rsid w:val="00523C33"/>
    <w:rsid w:val="005263DA"/>
    <w:rsid w:val="0052714C"/>
    <w:rsid w:val="00531DF2"/>
    <w:rsid w:val="005337CE"/>
    <w:rsid w:val="005435F5"/>
    <w:rsid w:val="00545D38"/>
    <w:rsid w:val="00547D39"/>
    <w:rsid w:val="005527C5"/>
    <w:rsid w:val="0055424C"/>
    <w:rsid w:val="00560D23"/>
    <w:rsid w:val="00560FD1"/>
    <w:rsid w:val="00561DA0"/>
    <w:rsid w:val="005632DB"/>
    <w:rsid w:val="0056540F"/>
    <w:rsid w:val="00565EFF"/>
    <w:rsid w:val="005666D6"/>
    <w:rsid w:val="00571084"/>
    <w:rsid w:val="00572431"/>
    <w:rsid w:val="00573FD8"/>
    <w:rsid w:val="0057498F"/>
    <w:rsid w:val="00576D00"/>
    <w:rsid w:val="00581612"/>
    <w:rsid w:val="00582AD1"/>
    <w:rsid w:val="00586EBC"/>
    <w:rsid w:val="0058702F"/>
    <w:rsid w:val="00587308"/>
    <w:rsid w:val="00590698"/>
    <w:rsid w:val="00590C4D"/>
    <w:rsid w:val="005910BB"/>
    <w:rsid w:val="005A0D29"/>
    <w:rsid w:val="005A20D7"/>
    <w:rsid w:val="005A2603"/>
    <w:rsid w:val="005A3758"/>
    <w:rsid w:val="005A5DE4"/>
    <w:rsid w:val="005A63C5"/>
    <w:rsid w:val="005A7003"/>
    <w:rsid w:val="005A79A6"/>
    <w:rsid w:val="005B3D3E"/>
    <w:rsid w:val="005B4E68"/>
    <w:rsid w:val="005B7E31"/>
    <w:rsid w:val="005C3CDD"/>
    <w:rsid w:val="005C72DB"/>
    <w:rsid w:val="005C7640"/>
    <w:rsid w:val="005C7857"/>
    <w:rsid w:val="005D0C41"/>
    <w:rsid w:val="005D1C97"/>
    <w:rsid w:val="005D7AFE"/>
    <w:rsid w:val="005E2308"/>
    <w:rsid w:val="005E5A73"/>
    <w:rsid w:val="005F5034"/>
    <w:rsid w:val="005F5B97"/>
    <w:rsid w:val="005F5E77"/>
    <w:rsid w:val="00603C59"/>
    <w:rsid w:val="00612DD8"/>
    <w:rsid w:val="00616311"/>
    <w:rsid w:val="00617ECC"/>
    <w:rsid w:val="00620A8D"/>
    <w:rsid w:val="00620BAF"/>
    <w:rsid w:val="00623997"/>
    <w:rsid w:val="00624222"/>
    <w:rsid w:val="0062691F"/>
    <w:rsid w:val="0063170C"/>
    <w:rsid w:val="00634520"/>
    <w:rsid w:val="006348F2"/>
    <w:rsid w:val="006354EA"/>
    <w:rsid w:val="006378D9"/>
    <w:rsid w:val="00637CB5"/>
    <w:rsid w:val="00637E03"/>
    <w:rsid w:val="006410CD"/>
    <w:rsid w:val="00643E5B"/>
    <w:rsid w:val="00644F16"/>
    <w:rsid w:val="00647D37"/>
    <w:rsid w:val="006515EB"/>
    <w:rsid w:val="00652594"/>
    <w:rsid w:val="006525B8"/>
    <w:rsid w:val="00655881"/>
    <w:rsid w:val="00660C4E"/>
    <w:rsid w:val="00664707"/>
    <w:rsid w:val="00666249"/>
    <w:rsid w:val="00666448"/>
    <w:rsid w:val="0067009F"/>
    <w:rsid w:val="00672AC3"/>
    <w:rsid w:val="00675BA3"/>
    <w:rsid w:val="006770DB"/>
    <w:rsid w:val="006772BD"/>
    <w:rsid w:val="006776F0"/>
    <w:rsid w:val="006802DC"/>
    <w:rsid w:val="006804C4"/>
    <w:rsid w:val="00680B46"/>
    <w:rsid w:val="006811E4"/>
    <w:rsid w:val="00681D93"/>
    <w:rsid w:val="00681EE7"/>
    <w:rsid w:val="00684218"/>
    <w:rsid w:val="006859F6"/>
    <w:rsid w:val="006871D2"/>
    <w:rsid w:val="00690F29"/>
    <w:rsid w:val="00691D65"/>
    <w:rsid w:val="0069276F"/>
    <w:rsid w:val="006927EA"/>
    <w:rsid w:val="00693ED7"/>
    <w:rsid w:val="00695315"/>
    <w:rsid w:val="00696000"/>
    <w:rsid w:val="006969D8"/>
    <w:rsid w:val="006969F4"/>
    <w:rsid w:val="0069772E"/>
    <w:rsid w:val="00697D01"/>
    <w:rsid w:val="006A09EA"/>
    <w:rsid w:val="006A1E7E"/>
    <w:rsid w:val="006A7CFE"/>
    <w:rsid w:val="006B45F8"/>
    <w:rsid w:val="006B7C88"/>
    <w:rsid w:val="006C33B8"/>
    <w:rsid w:val="006C4BBE"/>
    <w:rsid w:val="006C7220"/>
    <w:rsid w:val="006D117D"/>
    <w:rsid w:val="006D25E7"/>
    <w:rsid w:val="006D2D6F"/>
    <w:rsid w:val="006D4172"/>
    <w:rsid w:val="006D687B"/>
    <w:rsid w:val="006D78F8"/>
    <w:rsid w:val="006E5AEA"/>
    <w:rsid w:val="006E6656"/>
    <w:rsid w:val="006E6D41"/>
    <w:rsid w:val="006F12D6"/>
    <w:rsid w:val="006F1C08"/>
    <w:rsid w:val="006F34E1"/>
    <w:rsid w:val="006F4460"/>
    <w:rsid w:val="006F4D44"/>
    <w:rsid w:val="00702564"/>
    <w:rsid w:val="00706307"/>
    <w:rsid w:val="00707564"/>
    <w:rsid w:val="0070792B"/>
    <w:rsid w:val="00707CD4"/>
    <w:rsid w:val="00711860"/>
    <w:rsid w:val="00711948"/>
    <w:rsid w:val="0071315C"/>
    <w:rsid w:val="007175A0"/>
    <w:rsid w:val="007208FB"/>
    <w:rsid w:val="00723496"/>
    <w:rsid w:val="00726246"/>
    <w:rsid w:val="00726650"/>
    <w:rsid w:val="00727540"/>
    <w:rsid w:val="00732201"/>
    <w:rsid w:val="00732A08"/>
    <w:rsid w:val="00733FDA"/>
    <w:rsid w:val="00735552"/>
    <w:rsid w:val="0073782F"/>
    <w:rsid w:val="00741532"/>
    <w:rsid w:val="00741F3C"/>
    <w:rsid w:val="00746910"/>
    <w:rsid w:val="00750385"/>
    <w:rsid w:val="007535FD"/>
    <w:rsid w:val="00754073"/>
    <w:rsid w:val="00755B11"/>
    <w:rsid w:val="00757CFF"/>
    <w:rsid w:val="00765D9D"/>
    <w:rsid w:val="00766E2C"/>
    <w:rsid w:val="00767B1A"/>
    <w:rsid w:val="00767DC8"/>
    <w:rsid w:val="007722F6"/>
    <w:rsid w:val="00775CB1"/>
    <w:rsid w:val="00775D47"/>
    <w:rsid w:val="00776207"/>
    <w:rsid w:val="007764A0"/>
    <w:rsid w:val="00776B36"/>
    <w:rsid w:val="007801FD"/>
    <w:rsid w:val="00783C96"/>
    <w:rsid w:val="00784618"/>
    <w:rsid w:val="00784CDC"/>
    <w:rsid w:val="00786460"/>
    <w:rsid w:val="0079098D"/>
    <w:rsid w:val="00792A31"/>
    <w:rsid w:val="00792E1A"/>
    <w:rsid w:val="00794891"/>
    <w:rsid w:val="00794B7F"/>
    <w:rsid w:val="0079791F"/>
    <w:rsid w:val="007A2615"/>
    <w:rsid w:val="007A325C"/>
    <w:rsid w:val="007A4F90"/>
    <w:rsid w:val="007A6EBD"/>
    <w:rsid w:val="007B4558"/>
    <w:rsid w:val="007B460B"/>
    <w:rsid w:val="007B4A13"/>
    <w:rsid w:val="007B5B13"/>
    <w:rsid w:val="007B6FE1"/>
    <w:rsid w:val="007C0BB2"/>
    <w:rsid w:val="007D18B2"/>
    <w:rsid w:val="007D2BDC"/>
    <w:rsid w:val="007D7D17"/>
    <w:rsid w:val="007E0511"/>
    <w:rsid w:val="007E0F4A"/>
    <w:rsid w:val="007E1293"/>
    <w:rsid w:val="007E1627"/>
    <w:rsid w:val="007E177E"/>
    <w:rsid w:val="007E1A9A"/>
    <w:rsid w:val="007E25E5"/>
    <w:rsid w:val="007E294F"/>
    <w:rsid w:val="007E6B22"/>
    <w:rsid w:val="007F1B1C"/>
    <w:rsid w:val="007F7808"/>
    <w:rsid w:val="00801D40"/>
    <w:rsid w:val="008040EC"/>
    <w:rsid w:val="008056D2"/>
    <w:rsid w:val="00806524"/>
    <w:rsid w:val="0080799E"/>
    <w:rsid w:val="00810F3F"/>
    <w:rsid w:val="00814728"/>
    <w:rsid w:val="008214CD"/>
    <w:rsid w:val="008215C8"/>
    <w:rsid w:val="00821A00"/>
    <w:rsid w:val="00824E72"/>
    <w:rsid w:val="00825E07"/>
    <w:rsid w:val="00833B8A"/>
    <w:rsid w:val="00834CF3"/>
    <w:rsid w:val="00834FDD"/>
    <w:rsid w:val="00842D8E"/>
    <w:rsid w:val="00843E79"/>
    <w:rsid w:val="008469CD"/>
    <w:rsid w:val="0084737E"/>
    <w:rsid w:val="00853744"/>
    <w:rsid w:val="00854A54"/>
    <w:rsid w:val="00855CC7"/>
    <w:rsid w:val="00857B27"/>
    <w:rsid w:val="00857FF9"/>
    <w:rsid w:val="008610D3"/>
    <w:rsid w:val="00861DD7"/>
    <w:rsid w:val="008623E0"/>
    <w:rsid w:val="00863BEF"/>
    <w:rsid w:val="00864D03"/>
    <w:rsid w:val="00867CD3"/>
    <w:rsid w:val="00874684"/>
    <w:rsid w:val="00877155"/>
    <w:rsid w:val="00881140"/>
    <w:rsid w:val="0088286A"/>
    <w:rsid w:val="00884743"/>
    <w:rsid w:val="00885DD0"/>
    <w:rsid w:val="00886487"/>
    <w:rsid w:val="00887BA0"/>
    <w:rsid w:val="00887FA7"/>
    <w:rsid w:val="00892C89"/>
    <w:rsid w:val="00893982"/>
    <w:rsid w:val="00894771"/>
    <w:rsid w:val="00894C58"/>
    <w:rsid w:val="008A03E4"/>
    <w:rsid w:val="008A2F8C"/>
    <w:rsid w:val="008A4BF8"/>
    <w:rsid w:val="008A4CB3"/>
    <w:rsid w:val="008A5B8F"/>
    <w:rsid w:val="008A7153"/>
    <w:rsid w:val="008B0262"/>
    <w:rsid w:val="008B1035"/>
    <w:rsid w:val="008B1371"/>
    <w:rsid w:val="008B3BC1"/>
    <w:rsid w:val="008B5E6B"/>
    <w:rsid w:val="008B654E"/>
    <w:rsid w:val="008B7A42"/>
    <w:rsid w:val="008C0607"/>
    <w:rsid w:val="008C0983"/>
    <w:rsid w:val="008C2938"/>
    <w:rsid w:val="008C2FE7"/>
    <w:rsid w:val="008C46FE"/>
    <w:rsid w:val="008C5C47"/>
    <w:rsid w:val="008C5EDB"/>
    <w:rsid w:val="008D0C3F"/>
    <w:rsid w:val="008D288F"/>
    <w:rsid w:val="008D394D"/>
    <w:rsid w:val="008D4202"/>
    <w:rsid w:val="008D61CD"/>
    <w:rsid w:val="008E32D8"/>
    <w:rsid w:val="008E3B6C"/>
    <w:rsid w:val="008E43E9"/>
    <w:rsid w:val="008E55AA"/>
    <w:rsid w:val="008E7F94"/>
    <w:rsid w:val="008F0F76"/>
    <w:rsid w:val="008F596D"/>
    <w:rsid w:val="008F60E0"/>
    <w:rsid w:val="008F6B3C"/>
    <w:rsid w:val="00900881"/>
    <w:rsid w:val="00902D42"/>
    <w:rsid w:val="00903BD6"/>
    <w:rsid w:val="009156A2"/>
    <w:rsid w:val="0091654B"/>
    <w:rsid w:val="00916AC0"/>
    <w:rsid w:val="0091702F"/>
    <w:rsid w:val="00921D01"/>
    <w:rsid w:val="009227A8"/>
    <w:rsid w:val="0092653A"/>
    <w:rsid w:val="00930475"/>
    <w:rsid w:val="0093389A"/>
    <w:rsid w:val="00934843"/>
    <w:rsid w:val="00937C08"/>
    <w:rsid w:val="00940200"/>
    <w:rsid w:val="00942583"/>
    <w:rsid w:val="009436A9"/>
    <w:rsid w:val="00944A29"/>
    <w:rsid w:val="009521D6"/>
    <w:rsid w:val="0095410D"/>
    <w:rsid w:val="00955C1C"/>
    <w:rsid w:val="00956159"/>
    <w:rsid w:val="009600A9"/>
    <w:rsid w:val="00961354"/>
    <w:rsid w:val="00961545"/>
    <w:rsid w:val="0096386F"/>
    <w:rsid w:val="00965180"/>
    <w:rsid w:val="009731A8"/>
    <w:rsid w:val="00977248"/>
    <w:rsid w:val="00980603"/>
    <w:rsid w:val="00981BC7"/>
    <w:rsid w:val="0098227E"/>
    <w:rsid w:val="00982299"/>
    <w:rsid w:val="0098724D"/>
    <w:rsid w:val="009A130B"/>
    <w:rsid w:val="009A2EF0"/>
    <w:rsid w:val="009A3613"/>
    <w:rsid w:val="009A3819"/>
    <w:rsid w:val="009A7745"/>
    <w:rsid w:val="009B0CE2"/>
    <w:rsid w:val="009B0E86"/>
    <w:rsid w:val="009B1A75"/>
    <w:rsid w:val="009B2352"/>
    <w:rsid w:val="009B5A7A"/>
    <w:rsid w:val="009B5D6E"/>
    <w:rsid w:val="009B7AFD"/>
    <w:rsid w:val="009C1B52"/>
    <w:rsid w:val="009C3958"/>
    <w:rsid w:val="009C67C9"/>
    <w:rsid w:val="009C6887"/>
    <w:rsid w:val="009C6E4D"/>
    <w:rsid w:val="009C7AEF"/>
    <w:rsid w:val="009D09CB"/>
    <w:rsid w:val="009D2025"/>
    <w:rsid w:val="009D4A03"/>
    <w:rsid w:val="009E1C65"/>
    <w:rsid w:val="009E667F"/>
    <w:rsid w:val="009F0A23"/>
    <w:rsid w:val="009F0E45"/>
    <w:rsid w:val="009F1FBD"/>
    <w:rsid w:val="009F2810"/>
    <w:rsid w:val="009F3B2D"/>
    <w:rsid w:val="009F5168"/>
    <w:rsid w:val="009F7662"/>
    <w:rsid w:val="00A01115"/>
    <w:rsid w:val="00A01D9C"/>
    <w:rsid w:val="00A02006"/>
    <w:rsid w:val="00A05E5F"/>
    <w:rsid w:val="00A10876"/>
    <w:rsid w:val="00A131C8"/>
    <w:rsid w:val="00A1386C"/>
    <w:rsid w:val="00A1688D"/>
    <w:rsid w:val="00A16C30"/>
    <w:rsid w:val="00A17B8A"/>
    <w:rsid w:val="00A22CF6"/>
    <w:rsid w:val="00A24442"/>
    <w:rsid w:val="00A26586"/>
    <w:rsid w:val="00A265FB"/>
    <w:rsid w:val="00A331BE"/>
    <w:rsid w:val="00A355F4"/>
    <w:rsid w:val="00A35FAC"/>
    <w:rsid w:val="00A3677A"/>
    <w:rsid w:val="00A372DE"/>
    <w:rsid w:val="00A37A95"/>
    <w:rsid w:val="00A405F2"/>
    <w:rsid w:val="00A4661B"/>
    <w:rsid w:val="00A4667B"/>
    <w:rsid w:val="00A5000E"/>
    <w:rsid w:val="00A51631"/>
    <w:rsid w:val="00A522BC"/>
    <w:rsid w:val="00A53113"/>
    <w:rsid w:val="00A551E2"/>
    <w:rsid w:val="00A60E91"/>
    <w:rsid w:val="00A62EC4"/>
    <w:rsid w:val="00A65196"/>
    <w:rsid w:val="00A6558A"/>
    <w:rsid w:val="00A65C13"/>
    <w:rsid w:val="00A67E22"/>
    <w:rsid w:val="00A710F0"/>
    <w:rsid w:val="00A715D1"/>
    <w:rsid w:val="00A75BBC"/>
    <w:rsid w:val="00A776F2"/>
    <w:rsid w:val="00A8258A"/>
    <w:rsid w:val="00A84397"/>
    <w:rsid w:val="00A84FBC"/>
    <w:rsid w:val="00A87CEB"/>
    <w:rsid w:val="00A93E1F"/>
    <w:rsid w:val="00AA02FE"/>
    <w:rsid w:val="00AA4689"/>
    <w:rsid w:val="00AA5F87"/>
    <w:rsid w:val="00AA71A2"/>
    <w:rsid w:val="00AB2F7F"/>
    <w:rsid w:val="00AB4A7A"/>
    <w:rsid w:val="00AB58C8"/>
    <w:rsid w:val="00AB6196"/>
    <w:rsid w:val="00AB7DFF"/>
    <w:rsid w:val="00AC0C71"/>
    <w:rsid w:val="00AC11CF"/>
    <w:rsid w:val="00AC1C4D"/>
    <w:rsid w:val="00AC56B5"/>
    <w:rsid w:val="00AC59DC"/>
    <w:rsid w:val="00AC6A1A"/>
    <w:rsid w:val="00AC6BBF"/>
    <w:rsid w:val="00AC6FA9"/>
    <w:rsid w:val="00AC7F56"/>
    <w:rsid w:val="00AD0BEE"/>
    <w:rsid w:val="00AD2157"/>
    <w:rsid w:val="00AD5D62"/>
    <w:rsid w:val="00AD65C9"/>
    <w:rsid w:val="00AD6A6D"/>
    <w:rsid w:val="00AD7478"/>
    <w:rsid w:val="00AE25BB"/>
    <w:rsid w:val="00AE25D2"/>
    <w:rsid w:val="00AE7A7F"/>
    <w:rsid w:val="00AF0AA4"/>
    <w:rsid w:val="00AF0D7F"/>
    <w:rsid w:val="00AF1571"/>
    <w:rsid w:val="00AF1C26"/>
    <w:rsid w:val="00AF37B9"/>
    <w:rsid w:val="00AF51DC"/>
    <w:rsid w:val="00AF5FEB"/>
    <w:rsid w:val="00AF7657"/>
    <w:rsid w:val="00AF7CC2"/>
    <w:rsid w:val="00B00632"/>
    <w:rsid w:val="00B021C0"/>
    <w:rsid w:val="00B07AB4"/>
    <w:rsid w:val="00B11956"/>
    <w:rsid w:val="00B13123"/>
    <w:rsid w:val="00B13742"/>
    <w:rsid w:val="00B1647B"/>
    <w:rsid w:val="00B16687"/>
    <w:rsid w:val="00B16810"/>
    <w:rsid w:val="00B17215"/>
    <w:rsid w:val="00B1738E"/>
    <w:rsid w:val="00B22981"/>
    <w:rsid w:val="00B2360D"/>
    <w:rsid w:val="00B23E9E"/>
    <w:rsid w:val="00B251AF"/>
    <w:rsid w:val="00B26006"/>
    <w:rsid w:val="00B2732E"/>
    <w:rsid w:val="00B30C62"/>
    <w:rsid w:val="00B314E9"/>
    <w:rsid w:val="00B329A8"/>
    <w:rsid w:val="00B33FBF"/>
    <w:rsid w:val="00B42397"/>
    <w:rsid w:val="00B4554A"/>
    <w:rsid w:val="00B47367"/>
    <w:rsid w:val="00B47EB7"/>
    <w:rsid w:val="00B51663"/>
    <w:rsid w:val="00B57BF0"/>
    <w:rsid w:val="00B632D7"/>
    <w:rsid w:val="00B637CB"/>
    <w:rsid w:val="00B67458"/>
    <w:rsid w:val="00B67FE0"/>
    <w:rsid w:val="00B72483"/>
    <w:rsid w:val="00B73378"/>
    <w:rsid w:val="00B73B6B"/>
    <w:rsid w:val="00B74B75"/>
    <w:rsid w:val="00B7591E"/>
    <w:rsid w:val="00B76CF2"/>
    <w:rsid w:val="00B7708B"/>
    <w:rsid w:val="00B80AEB"/>
    <w:rsid w:val="00B81A47"/>
    <w:rsid w:val="00B82022"/>
    <w:rsid w:val="00B822DD"/>
    <w:rsid w:val="00B82343"/>
    <w:rsid w:val="00B82ACA"/>
    <w:rsid w:val="00B87168"/>
    <w:rsid w:val="00B90D5C"/>
    <w:rsid w:val="00B90F47"/>
    <w:rsid w:val="00B9514F"/>
    <w:rsid w:val="00B95581"/>
    <w:rsid w:val="00B96269"/>
    <w:rsid w:val="00B963A1"/>
    <w:rsid w:val="00B9721E"/>
    <w:rsid w:val="00BA2B83"/>
    <w:rsid w:val="00BA2DC2"/>
    <w:rsid w:val="00BA5C41"/>
    <w:rsid w:val="00BB191B"/>
    <w:rsid w:val="00BB1AD5"/>
    <w:rsid w:val="00BB70C9"/>
    <w:rsid w:val="00BC035C"/>
    <w:rsid w:val="00BC4D14"/>
    <w:rsid w:val="00BC4D63"/>
    <w:rsid w:val="00BD0DC4"/>
    <w:rsid w:val="00BD2B18"/>
    <w:rsid w:val="00BD3DEE"/>
    <w:rsid w:val="00BE0993"/>
    <w:rsid w:val="00BE2F10"/>
    <w:rsid w:val="00BE61A1"/>
    <w:rsid w:val="00BE6E78"/>
    <w:rsid w:val="00BE7A30"/>
    <w:rsid w:val="00BF374D"/>
    <w:rsid w:val="00BF3CFD"/>
    <w:rsid w:val="00BF3FB8"/>
    <w:rsid w:val="00C01035"/>
    <w:rsid w:val="00C057FA"/>
    <w:rsid w:val="00C07CF9"/>
    <w:rsid w:val="00C138AE"/>
    <w:rsid w:val="00C25689"/>
    <w:rsid w:val="00C27D3C"/>
    <w:rsid w:val="00C31BFF"/>
    <w:rsid w:val="00C338D7"/>
    <w:rsid w:val="00C341CA"/>
    <w:rsid w:val="00C346D9"/>
    <w:rsid w:val="00C36409"/>
    <w:rsid w:val="00C37315"/>
    <w:rsid w:val="00C4004F"/>
    <w:rsid w:val="00C44A39"/>
    <w:rsid w:val="00C47DA3"/>
    <w:rsid w:val="00C508F1"/>
    <w:rsid w:val="00C50CD8"/>
    <w:rsid w:val="00C51A7D"/>
    <w:rsid w:val="00C57674"/>
    <w:rsid w:val="00C603BF"/>
    <w:rsid w:val="00C61945"/>
    <w:rsid w:val="00C66F2D"/>
    <w:rsid w:val="00C70A6C"/>
    <w:rsid w:val="00C723F2"/>
    <w:rsid w:val="00C7263E"/>
    <w:rsid w:val="00C72BDD"/>
    <w:rsid w:val="00C809CD"/>
    <w:rsid w:val="00C809FE"/>
    <w:rsid w:val="00C80D46"/>
    <w:rsid w:val="00C831EF"/>
    <w:rsid w:val="00C8549B"/>
    <w:rsid w:val="00C92AE1"/>
    <w:rsid w:val="00C956EC"/>
    <w:rsid w:val="00C959F6"/>
    <w:rsid w:val="00CA53C7"/>
    <w:rsid w:val="00CA6C69"/>
    <w:rsid w:val="00CB0439"/>
    <w:rsid w:val="00CB17EF"/>
    <w:rsid w:val="00CB2FD3"/>
    <w:rsid w:val="00CB699F"/>
    <w:rsid w:val="00CB6CE6"/>
    <w:rsid w:val="00CB7582"/>
    <w:rsid w:val="00CB77A7"/>
    <w:rsid w:val="00CC385F"/>
    <w:rsid w:val="00CC61F4"/>
    <w:rsid w:val="00CC6E80"/>
    <w:rsid w:val="00CC76D0"/>
    <w:rsid w:val="00CD02AA"/>
    <w:rsid w:val="00CD1AAD"/>
    <w:rsid w:val="00CD7633"/>
    <w:rsid w:val="00CE0691"/>
    <w:rsid w:val="00CE0D2A"/>
    <w:rsid w:val="00CE31A9"/>
    <w:rsid w:val="00CE68A5"/>
    <w:rsid w:val="00CE7E43"/>
    <w:rsid w:val="00CF2BA8"/>
    <w:rsid w:val="00CF6245"/>
    <w:rsid w:val="00D0110A"/>
    <w:rsid w:val="00D040DA"/>
    <w:rsid w:val="00D108EE"/>
    <w:rsid w:val="00D10F20"/>
    <w:rsid w:val="00D124D7"/>
    <w:rsid w:val="00D12563"/>
    <w:rsid w:val="00D152D1"/>
    <w:rsid w:val="00D16367"/>
    <w:rsid w:val="00D228FE"/>
    <w:rsid w:val="00D23624"/>
    <w:rsid w:val="00D23DC3"/>
    <w:rsid w:val="00D24726"/>
    <w:rsid w:val="00D27259"/>
    <w:rsid w:val="00D27A4B"/>
    <w:rsid w:val="00D30672"/>
    <w:rsid w:val="00D33B68"/>
    <w:rsid w:val="00D33D45"/>
    <w:rsid w:val="00D3467C"/>
    <w:rsid w:val="00D373A6"/>
    <w:rsid w:val="00D40341"/>
    <w:rsid w:val="00D40AE5"/>
    <w:rsid w:val="00D412D6"/>
    <w:rsid w:val="00D444AC"/>
    <w:rsid w:val="00D4562C"/>
    <w:rsid w:val="00D45A7D"/>
    <w:rsid w:val="00D510BC"/>
    <w:rsid w:val="00D51390"/>
    <w:rsid w:val="00D575B4"/>
    <w:rsid w:val="00D60B86"/>
    <w:rsid w:val="00D63B0A"/>
    <w:rsid w:val="00D640A2"/>
    <w:rsid w:val="00D65EDC"/>
    <w:rsid w:val="00D71FF5"/>
    <w:rsid w:val="00D73B65"/>
    <w:rsid w:val="00D75CCF"/>
    <w:rsid w:val="00D762F3"/>
    <w:rsid w:val="00D84544"/>
    <w:rsid w:val="00D86FEE"/>
    <w:rsid w:val="00D944C4"/>
    <w:rsid w:val="00DA11EA"/>
    <w:rsid w:val="00DA30FE"/>
    <w:rsid w:val="00DA4C09"/>
    <w:rsid w:val="00DA5621"/>
    <w:rsid w:val="00DA5825"/>
    <w:rsid w:val="00DA6C2C"/>
    <w:rsid w:val="00DA7A4E"/>
    <w:rsid w:val="00DB0A1F"/>
    <w:rsid w:val="00DB30F3"/>
    <w:rsid w:val="00DB42CC"/>
    <w:rsid w:val="00DB7BEF"/>
    <w:rsid w:val="00DC0FF1"/>
    <w:rsid w:val="00DC305E"/>
    <w:rsid w:val="00DD1FB7"/>
    <w:rsid w:val="00DD270E"/>
    <w:rsid w:val="00DD4F70"/>
    <w:rsid w:val="00DD7525"/>
    <w:rsid w:val="00DE0A84"/>
    <w:rsid w:val="00DE11AC"/>
    <w:rsid w:val="00DE4605"/>
    <w:rsid w:val="00DE526E"/>
    <w:rsid w:val="00DE7484"/>
    <w:rsid w:val="00DF04EC"/>
    <w:rsid w:val="00DF06FC"/>
    <w:rsid w:val="00DF5F71"/>
    <w:rsid w:val="00E05039"/>
    <w:rsid w:val="00E05262"/>
    <w:rsid w:val="00E07CC8"/>
    <w:rsid w:val="00E11397"/>
    <w:rsid w:val="00E13643"/>
    <w:rsid w:val="00E138F8"/>
    <w:rsid w:val="00E151D0"/>
    <w:rsid w:val="00E20D62"/>
    <w:rsid w:val="00E22415"/>
    <w:rsid w:val="00E22B4B"/>
    <w:rsid w:val="00E27033"/>
    <w:rsid w:val="00E30156"/>
    <w:rsid w:val="00E3246C"/>
    <w:rsid w:val="00E3333E"/>
    <w:rsid w:val="00E33E85"/>
    <w:rsid w:val="00E35A24"/>
    <w:rsid w:val="00E369BB"/>
    <w:rsid w:val="00E377F2"/>
    <w:rsid w:val="00E37876"/>
    <w:rsid w:val="00E446C4"/>
    <w:rsid w:val="00E44FF0"/>
    <w:rsid w:val="00E46502"/>
    <w:rsid w:val="00E51978"/>
    <w:rsid w:val="00E55436"/>
    <w:rsid w:val="00E56A00"/>
    <w:rsid w:val="00E57250"/>
    <w:rsid w:val="00E612D1"/>
    <w:rsid w:val="00E61697"/>
    <w:rsid w:val="00E61699"/>
    <w:rsid w:val="00E6182C"/>
    <w:rsid w:val="00E61B14"/>
    <w:rsid w:val="00E62876"/>
    <w:rsid w:val="00E62C01"/>
    <w:rsid w:val="00E7138C"/>
    <w:rsid w:val="00E72513"/>
    <w:rsid w:val="00E73B19"/>
    <w:rsid w:val="00E74964"/>
    <w:rsid w:val="00E75207"/>
    <w:rsid w:val="00E75CD0"/>
    <w:rsid w:val="00E83E61"/>
    <w:rsid w:val="00E853F3"/>
    <w:rsid w:val="00E87857"/>
    <w:rsid w:val="00E92715"/>
    <w:rsid w:val="00E94880"/>
    <w:rsid w:val="00EA02DD"/>
    <w:rsid w:val="00EA0C6F"/>
    <w:rsid w:val="00EA453E"/>
    <w:rsid w:val="00EA60CF"/>
    <w:rsid w:val="00EA667B"/>
    <w:rsid w:val="00EB15C8"/>
    <w:rsid w:val="00EB3608"/>
    <w:rsid w:val="00EB3806"/>
    <w:rsid w:val="00EB78CE"/>
    <w:rsid w:val="00EC0979"/>
    <w:rsid w:val="00EC372F"/>
    <w:rsid w:val="00EC4C36"/>
    <w:rsid w:val="00EC605D"/>
    <w:rsid w:val="00ED26E2"/>
    <w:rsid w:val="00ED72A7"/>
    <w:rsid w:val="00EE0C81"/>
    <w:rsid w:val="00EE0EA2"/>
    <w:rsid w:val="00EE118A"/>
    <w:rsid w:val="00EE2763"/>
    <w:rsid w:val="00EE39AE"/>
    <w:rsid w:val="00EE3AA6"/>
    <w:rsid w:val="00EE5420"/>
    <w:rsid w:val="00EE5A70"/>
    <w:rsid w:val="00EE6D9E"/>
    <w:rsid w:val="00EE7D0B"/>
    <w:rsid w:val="00EF72CE"/>
    <w:rsid w:val="00F06467"/>
    <w:rsid w:val="00F06653"/>
    <w:rsid w:val="00F06F73"/>
    <w:rsid w:val="00F160F8"/>
    <w:rsid w:val="00F2079F"/>
    <w:rsid w:val="00F22BB6"/>
    <w:rsid w:val="00F23E31"/>
    <w:rsid w:val="00F25832"/>
    <w:rsid w:val="00F25F8A"/>
    <w:rsid w:val="00F267DD"/>
    <w:rsid w:val="00F31410"/>
    <w:rsid w:val="00F32AA9"/>
    <w:rsid w:val="00F334CA"/>
    <w:rsid w:val="00F3420A"/>
    <w:rsid w:val="00F348B3"/>
    <w:rsid w:val="00F35F67"/>
    <w:rsid w:val="00F36ED6"/>
    <w:rsid w:val="00F40FF3"/>
    <w:rsid w:val="00F41EA4"/>
    <w:rsid w:val="00F43874"/>
    <w:rsid w:val="00F45AE4"/>
    <w:rsid w:val="00F5185F"/>
    <w:rsid w:val="00F54070"/>
    <w:rsid w:val="00F60FF3"/>
    <w:rsid w:val="00F61434"/>
    <w:rsid w:val="00F61ABE"/>
    <w:rsid w:val="00F63057"/>
    <w:rsid w:val="00F65612"/>
    <w:rsid w:val="00F656A5"/>
    <w:rsid w:val="00F6689E"/>
    <w:rsid w:val="00F676E2"/>
    <w:rsid w:val="00F71123"/>
    <w:rsid w:val="00F7225F"/>
    <w:rsid w:val="00F72F27"/>
    <w:rsid w:val="00F7590A"/>
    <w:rsid w:val="00F827CC"/>
    <w:rsid w:val="00F828CC"/>
    <w:rsid w:val="00F8572E"/>
    <w:rsid w:val="00F85A80"/>
    <w:rsid w:val="00F860CA"/>
    <w:rsid w:val="00F874C2"/>
    <w:rsid w:val="00F900FF"/>
    <w:rsid w:val="00F94F16"/>
    <w:rsid w:val="00F96A35"/>
    <w:rsid w:val="00FA14E6"/>
    <w:rsid w:val="00FA23DD"/>
    <w:rsid w:val="00FA40B2"/>
    <w:rsid w:val="00FA4679"/>
    <w:rsid w:val="00FA723C"/>
    <w:rsid w:val="00FA7524"/>
    <w:rsid w:val="00FA7D1D"/>
    <w:rsid w:val="00FA7FFD"/>
    <w:rsid w:val="00FB2517"/>
    <w:rsid w:val="00FB2988"/>
    <w:rsid w:val="00FB4956"/>
    <w:rsid w:val="00FB6C68"/>
    <w:rsid w:val="00FC3BA1"/>
    <w:rsid w:val="00FC4030"/>
    <w:rsid w:val="00FC6071"/>
    <w:rsid w:val="00FD0DE7"/>
    <w:rsid w:val="00FD1C18"/>
    <w:rsid w:val="00FD2E5B"/>
    <w:rsid w:val="00FE0C6A"/>
    <w:rsid w:val="00FE26E5"/>
    <w:rsid w:val="00FE2AF4"/>
    <w:rsid w:val="00FE407C"/>
    <w:rsid w:val="00FE6ECC"/>
    <w:rsid w:val="00FF1484"/>
    <w:rsid w:val="00FF537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41EA4"/>
  </w:style>
  <w:style w:type="paragraph" w:styleId="Kop1">
    <w:name w:val="heading 1"/>
    <w:basedOn w:val="Standaard"/>
    <w:next w:val="Standaard"/>
    <w:link w:val="Kop1Char"/>
    <w:uiPriority w:val="9"/>
    <w:qFormat/>
    <w:rsid w:val="004F31F2"/>
    <w:pPr>
      <w:keepNext/>
      <w:keepLines/>
      <w:spacing w:after="0"/>
      <w:outlineLvl w:val="0"/>
    </w:pPr>
    <w:rPr>
      <w:rFonts w:ascii="Calibri" w:eastAsiaTheme="majorEastAsia" w:hAnsi="Calibri" w:cstheme="majorBidi"/>
      <w:b/>
      <w:bCs/>
      <w:color w:val="000000" w:themeColor="text1"/>
      <w:sz w:val="28"/>
      <w:szCs w:val="28"/>
    </w:rPr>
  </w:style>
  <w:style w:type="paragraph" w:styleId="Kop2">
    <w:name w:val="heading 2"/>
    <w:basedOn w:val="Standaard"/>
    <w:next w:val="Standaard"/>
    <w:link w:val="Kop2Char"/>
    <w:uiPriority w:val="9"/>
    <w:unhideWhenUsed/>
    <w:qFormat/>
    <w:rsid w:val="00154D2D"/>
    <w:pPr>
      <w:keepNext/>
      <w:keepLines/>
      <w:spacing w:after="0"/>
      <w:outlineLvl w:val="1"/>
    </w:pPr>
    <w:rPr>
      <w:rFonts w:ascii="Calibri" w:eastAsiaTheme="majorEastAsia" w:hAnsi="Calibri" w:cstheme="majorBidi"/>
      <w:b/>
      <w:bCs/>
      <w:color w:val="000000" w:themeColor="text1"/>
      <w:sz w:val="26"/>
      <w:szCs w:val="26"/>
    </w:rPr>
  </w:style>
  <w:style w:type="paragraph" w:styleId="Kop3">
    <w:name w:val="heading 3"/>
    <w:basedOn w:val="Standaard"/>
    <w:next w:val="Standaard"/>
    <w:link w:val="Kop3Char"/>
    <w:uiPriority w:val="9"/>
    <w:unhideWhenUsed/>
    <w:qFormat/>
    <w:rsid w:val="00F828CC"/>
    <w:pPr>
      <w:keepNext/>
      <w:keepLines/>
      <w:spacing w:before="200" w:after="0"/>
      <w:outlineLvl w:val="2"/>
    </w:pPr>
    <w:rPr>
      <w:rFonts w:ascii="Calibri" w:eastAsiaTheme="majorEastAsia" w:hAnsi="Calibri" w:cstheme="majorBidi"/>
      <w:b/>
      <w:bCs/>
      <w:color w:val="000000" w:themeColor="tex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99"/>
    <w:qFormat/>
    <w:rsid w:val="001C581E"/>
    <w:pPr>
      <w:spacing w:after="0" w:line="240" w:lineRule="auto"/>
    </w:pPr>
    <w:rPr>
      <w:rFonts w:ascii="Calibri" w:hAnsi="Calibri"/>
      <w:sz w:val="24"/>
    </w:rPr>
  </w:style>
  <w:style w:type="paragraph" w:styleId="Ballontekst">
    <w:name w:val="Balloon Text"/>
    <w:basedOn w:val="Standaard"/>
    <w:link w:val="BallontekstChar"/>
    <w:uiPriority w:val="99"/>
    <w:semiHidden/>
    <w:unhideWhenUsed/>
    <w:rsid w:val="00D23D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3DC3"/>
    <w:rPr>
      <w:rFonts w:ascii="Tahoma" w:hAnsi="Tahoma" w:cs="Tahoma"/>
      <w:sz w:val="16"/>
      <w:szCs w:val="16"/>
    </w:rPr>
  </w:style>
  <w:style w:type="character" w:customStyle="1" w:styleId="Kop1Char">
    <w:name w:val="Kop 1 Char"/>
    <w:basedOn w:val="Standaardalinea-lettertype"/>
    <w:link w:val="Kop1"/>
    <w:uiPriority w:val="9"/>
    <w:rsid w:val="004F31F2"/>
    <w:rPr>
      <w:rFonts w:ascii="Calibri" w:eastAsiaTheme="majorEastAsia" w:hAnsi="Calibri" w:cstheme="majorBidi"/>
      <w:b/>
      <w:bCs/>
      <w:color w:val="000000" w:themeColor="text1"/>
      <w:sz w:val="28"/>
      <w:szCs w:val="28"/>
    </w:rPr>
  </w:style>
  <w:style w:type="paragraph" w:styleId="Kopvaninhoudsopgave">
    <w:name w:val="TOC Heading"/>
    <w:basedOn w:val="Kop1"/>
    <w:next w:val="Standaard"/>
    <w:uiPriority w:val="39"/>
    <w:unhideWhenUsed/>
    <w:qFormat/>
    <w:rsid w:val="004F31F2"/>
    <w:pPr>
      <w:spacing w:before="480"/>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4F31F2"/>
    <w:pPr>
      <w:spacing w:after="100"/>
    </w:pPr>
  </w:style>
  <w:style w:type="character" w:styleId="Hyperlink">
    <w:name w:val="Hyperlink"/>
    <w:basedOn w:val="Standaardalinea-lettertype"/>
    <w:uiPriority w:val="99"/>
    <w:unhideWhenUsed/>
    <w:rsid w:val="004F31F2"/>
    <w:rPr>
      <w:color w:val="0000FF" w:themeColor="hyperlink"/>
      <w:u w:val="single"/>
    </w:rPr>
  </w:style>
  <w:style w:type="paragraph" w:styleId="Koptekst">
    <w:name w:val="header"/>
    <w:basedOn w:val="Standaard"/>
    <w:link w:val="KoptekstChar"/>
    <w:uiPriority w:val="99"/>
    <w:unhideWhenUsed/>
    <w:rsid w:val="004F31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31F2"/>
  </w:style>
  <w:style w:type="paragraph" w:styleId="Voettekst">
    <w:name w:val="footer"/>
    <w:basedOn w:val="Standaard"/>
    <w:link w:val="VoettekstChar"/>
    <w:uiPriority w:val="99"/>
    <w:unhideWhenUsed/>
    <w:rsid w:val="004F31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31F2"/>
  </w:style>
  <w:style w:type="character" w:customStyle="1" w:styleId="Kop2Char">
    <w:name w:val="Kop 2 Char"/>
    <w:basedOn w:val="Standaardalinea-lettertype"/>
    <w:link w:val="Kop2"/>
    <w:uiPriority w:val="9"/>
    <w:rsid w:val="00154D2D"/>
    <w:rPr>
      <w:rFonts w:ascii="Calibri" w:eastAsiaTheme="majorEastAsia" w:hAnsi="Calibri" w:cstheme="majorBidi"/>
      <w:b/>
      <w:bCs/>
      <w:color w:val="000000" w:themeColor="text1"/>
      <w:sz w:val="26"/>
      <w:szCs w:val="26"/>
    </w:rPr>
  </w:style>
  <w:style w:type="paragraph" w:styleId="Inhopg2">
    <w:name w:val="toc 2"/>
    <w:basedOn w:val="Standaard"/>
    <w:next w:val="Standaard"/>
    <w:autoRedefine/>
    <w:uiPriority w:val="39"/>
    <w:unhideWhenUsed/>
    <w:rsid w:val="003102A1"/>
    <w:pPr>
      <w:spacing w:after="100"/>
      <w:ind w:left="220"/>
    </w:pPr>
  </w:style>
  <w:style w:type="character" w:customStyle="1" w:styleId="GeenafstandChar">
    <w:name w:val="Geen afstand Char"/>
    <w:basedOn w:val="Standaardalinea-lettertype"/>
    <w:link w:val="Geenafstand"/>
    <w:uiPriority w:val="99"/>
    <w:rsid w:val="008C2938"/>
    <w:rPr>
      <w:rFonts w:ascii="Calibri" w:hAnsi="Calibri"/>
      <w:sz w:val="24"/>
    </w:rPr>
  </w:style>
  <w:style w:type="paragraph" w:styleId="Voetnoottekst">
    <w:name w:val="footnote text"/>
    <w:basedOn w:val="Standaard"/>
    <w:link w:val="VoetnoottekstChar"/>
    <w:uiPriority w:val="99"/>
    <w:semiHidden/>
    <w:unhideWhenUsed/>
    <w:rsid w:val="00041B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BDB"/>
    <w:rPr>
      <w:sz w:val="20"/>
      <w:szCs w:val="20"/>
    </w:rPr>
  </w:style>
  <w:style w:type="character" w:styleId="Voetnootmarkering">
    <w:name w:val="footnote reference"/>
    <w:basedOn w:val="Standaardalinea-lettertype"/>
    <w:uiPriority w:val="99"/>
    <w:semiHidden/>
    <w:unhideWhenUsed/>
    <w:rsid w:val="00041BDB"/>
    <w:rPr>
      <w:vertAlign w:val="superscript"/>
    </w:rPr>
  </w:style>
  <w:style w:type="paragraph" w:styleId="Bibliografie">
    <w:name w:val="Bibliography"/>
    <w:basedOn w:val="Standaard"/>
    <w:next w:val="Standaard"/>
    <w:uiPriority w:val="37"/>
    <w:unhideWhenUsed/>
    <w:rsid w:val="00DA7A4E"/>
  </w:style>
  <w:style w:type="character" w:customStyle="1" w:styleId="Kop3Char">
    <w:name w:val="Kop 3 Char"/>
    <w:basedOn w:val="Standaardalinea-lettertype"/>
    <w:link w:val="Kop3"/>
    <w:uiPriority w:val="9"/>
    <w:rsid w:val="00F828CC"/>
    <w:rPr>
      <w:rFonts w:ascii="Calibri" w:eastAsiaTheme="majorEastAsia" w:hAnsi="Calibri" w:cstheme="majorBidi"/>
      <w:b/>
      <w:bCs/>
      <w:color w:val="000000" w:themeColor="text1"/>
      <w:sz w:val="24"/>
    </w:rPr>
  </w:style>
  <w:style w:type="table" w:styleId="Tabelraster">
    <w:name w:val="Table Grid"/>
    <w:basedOn w:val="Standaardtabel"/>
    <w:uiPriority w:val="59"/>
    <w:rsid w:val="00C80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
    <w:name w:val="Light List"/>
    <w:basedOn w:val="Standaardtabel"/>
    <w:uiPriority w:val="61"/>
    <w:rsid w:val="00C80D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hopg3">
    <w:name w:val="toc 3"/>
    <w:basedOn w:val="Standaard"/>
    <w:next w:val="Standaard"/>
    <w:autoRedefine/>
    <w:uiPriority w:val="39"/>
    <w:unhideWhenUsed/>
    <w:rsid w:val="00503130"/>
    <w:pPr>
      <w:spacing w:after="100"/>
      <w:ind w:left="440"/>
    </w:pPr>
  </w:style>
  <w:style w:type="table" w:styleId="Lichtearcering">
    <w:name w:val="Light Shading"/>
    <w:basedOn w:val="Standaardtabel"/>
    <w:uiPriority w:val="60"/>
    <w:rsid w:val="00B7591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volgdeHyperlink">
    <w:name w:val="FollowedHyperlink"/>
    <w:basedOn w:val="Standaardalinea-lettertype"/>
    <w:uiPriority w:val="99"/>
    <w:semiHidden/>
    <w:unhideWhenUsed/>
    <w:rsid w:val="00F0665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F41EA4"/>
  </w:style>
  <w:style w:type="paragraph" w:styleId="Kop1">
    <w:name w:val="heading 1"/>
    <w:basedOn w:val="Standaard"/>
    <w:next w:val="Standaard"/>
    <w:link w:val="Kop1Char"/>
    <w:uiPriority w:val="9"/>
    <w:qFormat/>
    <w:rsid w:val="004F31F2"/>
    <w:pPr>
      <w:keepNext/>
      <w:keepLines/>
      <w:spacing w:after="0"/>
      <w:outlineLvl w:val="0"/>
    </w:pPr>
    <w:rPr>
      <w:rFonts w:ascii="Calibri" w:eastAsiaTheme="majorEastAsia" w:hAnsi="Calibri" w:cstheme="majorBidi"/>
      <w:b/>
      <w:bCs/>
      <w:color w:val="000000" w:themeColor="text1"/>
      <w:sz w:val="28"/>
      <w:szCs w:val="28"/>
    </w:rPr>
  </w:style>
  <w:style w:type="paragraph" w:styleId="Kop2">
    <w:name w:val="heading 2"/>
    <w:basedOn w:val="Standaard"/>
    <w:next w:val="Standaard"/>
    <w:link w:val="Kop2Char"/>
    <w:uiPriority w:val="9"/>
    <w:unhideWhenUsed/>
    <w:qFormat/>
    <w:rsid w:val="00154D2D"/>
    <w:pPr>
      <w:keepNext/>
      <w:keepLines/>
      <w:spacing w:after="0"/>
      <w:outlineLvl w:val="1"/>
    </w:pPr>
    <w:rPr>
      <w:rFonts w:ascii="Calibri" w:eastAsiaTheme="majorEastAsia" w:hAnsi="Calibri" w:cstheme="majorBidi"/>
      <w:b/>
      <w:bCs/>
      <w:color w:val="000000" w:themeColor="text1"/>
      <w:sz w:val="26"/>
      <w:szCs w:val="26"/>
    </w:rPr>
  </w:style>
  <w:style w:type="paragraph" w:styleId="Kop3">
    <w:name w:val="heading 3"/>
    <w:basedOn w:val="Standaard"/>
    <w:next w:val="Standaard"/>
    <w:link w:val="Kop3Char"/>
    <w:uiPriority w:val="9"/>
    <w:unhideWhenUsed/>
    <w:qFormat/>
    <w:rsid w:val="00F828CC"/>
    <w:pPr>
      <w:keepNext/>
      <w:keepLines/>
      <w:spacing w:before="200" w:after="0"/>
      <w:outlineLvl w:val="2"/>
    </w:pPr>
    <w:rPr>
      <w:rFonts w:ascii="Calibri" w:eastAsiaTheme="majorEastAsia" w:hAnsi="Calibri" w:cstheme="majorBidi"/>
      <w:b/>
      <w:bCs/>
      <w:color w:val="000000" w:themeColor="text1"/>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99"/>
    <w:qFormat/>
    <w:rsid w:val="001C581E"/>
    <w:pPr>
      <w:spacing w:after="0" w:line="240" w:lineRule="auto"/>
    </w:pPr>
    <w:rPr>
      <w:rFonts w:ascii="Calibri" w:hAnsi="Calibri"/>
      <w:sz w:val="24"/>
    </w:rPr>
  </w:style>
  <w:style w:type="paragraph" w:styleId="Ballontekst">
    <w:name w:val="Balloon Text"/>
    <w:basedOn w:val="Standaard"/>
    <w:link w:val="BallontekstChar"/>
    <w:uiPriority w:val="99"/>
    <w:semiHidden/>
    <w:unhideWhenUsed/>
    <w:rsid w:val="00D23DC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23DC3"/>
    <w:rPr>
      <w:rFonts w:ascii="Tahoma" w:hAnsi="Tahoma" w:cs="Tahoma"/>
      <w:sz w:val="16"/>
      <w:szCs w:val="16"/>
    </w:rPr>
  </w:style>
  <w:style w:type="character" w:customStyle="1" w:styleId="Kop1Char">
    <w:name w:val="Kop 1 Char"/>
    <w:basedOn w:val="Standaardalinea-lettertype"/>
    <w:link w:val="Kop1"/>
    <w:uiPriority w:val="9"/>
    <w:rsid w:val="004F31F2"/>
    <w:rPr>
      <w:rFonts w:ascii="Calibri" w:eastAsiaTheme="majorEastAsia" w:hAnsi="Calibri" w:cstheme="majorBidi"/>
      <w:b/>
      <w:bCs/>
      <w:color w:val="000000" w:themeColor="text1"/>
      <w:sz w:val="28"/>
      <w:szCs w:val="28"/>
    </w:rPr>
  </w:style>
  <w:style w:type="paragraph" w:styleId="Kopvaninhoudsopgave">
    <w:name w:val="TOC Heading"/>
    <w:basedOn w:val="Kop1"/>
    <w:next w:val="Standaard"/>
    <w:uiPriority w:val="39"/>
    <w:unhideWhenUsed/>
    <w:qFormat/>
    <w:rsid w:val="004F31F2"/>
    <w:pPr>
      <w:spacing w:before="480"/>
      <w:outlineLvl w:val="9"/>
    </w:pPr>
    <w:rPr>
      <w:rFonts w:asciiTheme="majorHAnsi" w:hAnsiTheme="majorHAnsi"/>
      <w:color w:val="365F91" w:themeColor="accent1" w:themeShade="BF"/>
      <w:lang w:eastAsia="nl-NL"/>
    </w:rPr>
  </w:style>
  <w:style w:type="paragraph" w:styleId="Inhopg1">
    <w:name w:val="toc 1"/>
    <w:basedOn w:val="Standaard"/>
    <w:next w:val="Standaard"/>
    <w:autoRedefine/>
    <w:uiPriority w:val="39"/>
    <w:unhideWhenUsed/>
    <w:rsid w:val="004F31F2"/>
    <w:pPr>
      <w:spacing w:after="100"/>
    </w:pPr>
  </w:style>
  <w:style w:type="character" w:styleId="Hyperlink">
    <w:name w:val="Hyperlink"/>
    <w:basedOn w:val="Standaardalinea-lettertype"/>
    <w:uiPriority w:val="99"/>
    <w:unhideWhenUsed/>
    <w:rsid w:val="004F31F2"/>
    <w:rPr>
      <w:color w:val="0000FF" w:themeColor="hyperlink"/>
      <w:u w:val="single"/>
    </w:rPr>
  </w:style>
  <w:style w:type="paragraph" w:styleId="Koptekst">
    <w:name w:val="header"/>
    <w:basedOn w:val="Standaard"/>
    <w:link w:val="KoptekstChar"/>
    <w:uiPriority w:val="99"/>
    <w:unhideWhenUsed/>
    <w:rsid w:val="004F31F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31F2"/>
  </w:style>
  <w:style w:type="paragraph" w:styleId="Voettekst">
    <w:name w:val="footer"/>
    <w:basedOn w:val="Standaard"/>
    <w:link w:val="VoettekstChar"/>
    <w:uiPriority w:val="99"/>
    <w:unhideWhenUsed/>
    <w:rsid w:val="004F31F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31F2"/>
  </w:style>
  <w:style w:type="character" w:customStyle="1" w:styleId="Kop2Char">
    <w:name w:val="Kop 2 Char"/>
    <w:basedOn w:val="Standaardalinea-lettertype"/>
    <w:link w:val="Kop2"/>
    <w:uiPriority w:val="9"/>
    <w:rsid w:val="00154D2D"/>
    <w:rPr>
      <w:rFonts w:ascii="Calibri" w:eastAsiaTheme="majorEastAsia" w:hAnsi="Calibri" w:cstheme="majorBidi"/>
      <w:b/>
      <w:bCs/>
      <w:color w:val="000000" w:themeColor="text1"/>
      <w:sz w:val="26"/>
      <w:szCs w:val="26"/>
    </w:rPr>
  </w:style>
  <w:style w:type="paragraph" w:styleId="Inhopg2">
    <w:name w:val="toc 2"/>
    <w:basedOn w:val="Standaard"/>
    <w:next w:val="Standaard"/>
    <w:autoRedefine/>
    <w:uiPriority w:val="39"/>
    <w:unhideWhenUsed/>
    <w:rsid w:val="003102A1"/>
    <w:pPr>
      <w:spacing w:after="100"/>
      <w:ind w:left="220"/>
    </w:pPr>
  </w:style>
  <w:style w:type="character" w:customStyle="1" w:styleId="GeenafstandChar">
    <w:name w:val="Geen afstand Char"/>
    <w:basedOn w:val="Standaardalinea-lettertype"/>
    <w:link w:val="Geenafstand"/>
    <w:uiPriority w:val="99"/>
    <w:rsid w:val="008C2938"/>
    <w:rPr>
      <w:rFonts w:ascii="Calibri" w:hAnsi="Calibri"/>
      <w:sz w:val="24"/>
    </w:rPr>
  </w:style>
  <w:style w:type="paragraph" w:styleId="Voetnoottekst">
    <w:name w:val="footnote text"/>
    <w:basedOn w:val="Standaard"/>
    <w:link w:val="VoetnoottekstChar"/>
    <w:uiPriority w:val="99"/>
    <w:semiHidden/>
    <w:unhideWhenUsed/>
    <w:rsid w:val="00041BD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41BDB"/>
    <w:rPr>
      <w:sz w:val="20"/>
      <w:szCs w:val="20"/>
    </w:rPr>
  </w:style>
  <w:style w:type="character" w:styleId="Voetnootmarkering">
    <w:name w:val="footnote reference"/>
    <w:basedOn w:val="Standaardalinea-lettertype"/>
    <w:uiPriority w:val="99"/>
    <w:semiHidden/>
    <w:unhideWhenUsed/>
    <w:rsid w:val="00041BDB"/>
    <w:rPr>
      <w:vertAlign w:val="superscript"/>
    </w:rPr>
  </w:style>
  <w:style w:type="paragraph" w:styleId="Bibliografie">
    <w:name w:val="Bibliography"/>
    <w:basedOn w:val="Standaard"/>
    <w:next w:val="Standaard"/>
    <w:uiPriority w:val="37"/>
    <w:unhideWhenUsed/>
    <w:rsid w:val="00DA7A4E"/>
  </w:style>
  <w:style w:type="character" w:customStyle="1" w:styleId="Kop3Char">
    <w:name w:val="Kop 3 Char"/>
    <w:basedOn w:val="Standaardalinea-lettertype"/>
    <w:link w:val="Kop3"/>
    <w:uiPriority w:val="9"/>
    <w:rsid w:val="00F828CC"/>
    <w:rPr>
      <w:rFonts w:ascii="Calibri" w:eastAsiaTheme="majorEastAsia" w:hAnsi="Calibri" w:cstheme="majorBidi"/>
      <w:b/>
      <w:bCs/>
      <w:color w:val="000000" w:themeColor="text1"/>
      <w:sz w:val="24"/>
    </w:rPr>
  </w:style>
  <w:style w:type="table" w:styleId="Tabelraster">
    <w:name w:val="Table Grid"/>
    <w:basedOn w:val="Standaardtabel"/>
    <w:uiPriority w:val="59"/>
    <w:rsid w:val="00C80D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
    <w:name w:val="Light List"/>
    <w:basedOn w:val="Standaardtabel"/>
    <w:uiPriority w:val="61"/>
    <w:rsid w:val="00C80D46"/>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Inhopg3">
    <w:name w:val="toc 3"/>
    <w:basedOn w:val="Standaard"/>
    <w:next w:val="Standaard"/>
    <w:autoRedefine/>
    <w:uiPriority w:val="39"/>
    <w:unhideWhenUsed/>
    <w:rsid w:val="00503130"/>
    <w:pPr>
      <w:spacing w:after="100"/>
      <w:ind w:left="440"/>
    </w:pPr>
  </w:style>
  <w:style w:type="table" w:styleId="Lichtearcering">
    <w:name w:val="Light Shading"/>
    <w:basedOn w:val="Standaardtabel"/>
    <w:uiPriority w:val="60"/>
    <w:rsid w:val="00B7591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GevolgdeHyperlink">
    <w:name w:val="FollowedHyperlink"/>
    <w:basedOn w:val="Standaardalinea-lettertype"/>
    <w:uiPriority w:val="99"/>
    <w:semiHidden/>
    <w:unhideWhenUsed/>
    <w:rsid w:val="00F066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78935852">
      <w:bodyDiv w:val="1"/>
      <w:marLeft w:val="0"/>
      <w:marRight w:val="0"/>
      <w:marTop w:val="0"/>
      <w:marBottom w:val="0"/>
      <w:divBdr>
        <w:top w:val="none" w:sz="0" w:space="0" w:color="auto"/>
        <w:left w:val="none" w:sz="0" w:space="0" w:color="auto"/>
        <w:bottom w:val="none" w:sz="0" w:space="0" w:color="auto"/>
        <w:right w:val="none" w:sz="0" w:space="0" w:color="auto"/>
      </w:divBdr>
    </w:div>
    <w:div w:id="200947346">
      <w:bodyDiv w:val="1"/>
      <w:marLeft w:val="0"/>
      <w:marRight w:val="0"/>
      <w:marTop w:val="0"/>
      <w:marBottom w:val="0"/>
      <w:divBdr>
        <w:top w:val="none" w:sz="0" w:space="0" w:color="auto"/>
        <w:left w:val="none" w:sz="0" w:space="0" w:color="auto"/>
        <w:bottom w:val="none" w:sz="0" w:space="0" w:color="auto"/>
        <w:right w:val="none" w:sz="0" w:space="0" w:color="auto"/>
      </w:divBdr>
    </w:div>
    <w:div w:id="393046130">
      <w:bodyDiv w:val="1"/>
      <w:marLeft w:val="0"/>
      <w:marRight w:val="0"/>
      <w:marTop w:val="0"/>
      <w:marBottom w:val="0"/>
      <w:divBdr>
        <w:top w:val="none" w:sz="0" w:space="0" w:color="auto"/>
        <w:left w:val="none" w:sz="0" w:space="0" w:color="auto"/>
        <w:bottom w:val="none" w:sz="0" w:space="0" w:color="auto"/>
        <w:right w:val="none" w:sz="0" w:space="0" w:color="auto"/>
      </w:divBdr>
    </w:div>
    <w:div w:id="650061567">
      <w:bodyDiv w:val="1"/>
      <w:marLeft w:val="0"/>
      <w:marRight w:val="0"/>
      <w:marTop w:val="0"/>
      <w:marBottom w:val="0"/>
      <w:divBdr>
        <w:top w:val="none" w:sz="0" w:space="0" w:color="auto"/>
        <w:left w:val="none" w:sz="0" w:space="0" w:color="auto"/>
        <w:bottom w:val="none" w:sz="0" w:space="0" w:color="auto"/>
        <w:right w:val="none" w:sz="0" w:space="0" w:color="auto"/>
      </w:divBdr>
    </w:div>
    <w:div w:id="1740788236">
      <w:bodyDiv w:val="1"/>
      <w:marLeft w:val="0"/>
      <w:marRight w:val="0"/>
      <w:marTop w:val="0"/>
      <w:marBottom w:val="0"/>
      <w:divBdr>
        <w:top w:val="none" w:sz="0" w:space="0" w:color="auto"/>
        <w:left w:val="none" w:sz="0" w:space="0" w:color="auto"/>
        <w:bottom w:val="none" w:sz="0" w:space="0" w:color="auto"/>
        <w:right w:val="none" w:sz="0" w:space="0" w:color="auto"/>
      </w:divBdr>
    </w:div>
    <w:div w:id="1843857874">
      <w:bodyDiv w:val="1"/>
      <w:marLeft w:val="0"/>
      <w:marRight w:val="0"/>
      <w:marTop w:val="0"/>
      <w:marBottom w:val="0"/>
      <w:divBdr>
        <w:top w:val="none" w:sz="0" w:space="0" w:color="auto"/>
        <w:left w:val="none" w:sz="0" w:space="0" w:color="auto"/>
        <w:bottom w:val="none" w:sz="0" w:space="0" w:color="auto"/>
        <w:right w:val="none" w:sz="0" w:space="0" w:color="auto"/>
      </w:divBdr>
      <w:divsChild>
        <w:div w:id="756681558">
          <w:marLeft w:val="0"/>
          <w:marRight w:val="0"/>
          <w:marTop w:val="0"/>
          <w:marBottom w:val="0"/>
          <w:divBdr>
            <w:top w:val="none" w:sz="0" w:space="0" w:color="auto"/>
            <w:left w:val="none" w:sz="0" w:space="0" w:color="auto"/>
            <w:bottom w:val="none" w:sz="0" w:space="0" w:color="auto"/>
            <w:right w:val="none" w:sz="0" w:space="0" w:color="auto"/>
          </w:divBdr>
          <w:divsChild>
            <w:div w:id="343017320">
              <w:marLeft w:val="0"/>
              <w:marRight w:val="0"/>
              <w:marTop w:val="0"/>
              <w:marBottom w:val="0"/>
              <w:divBdr>
                <w:top w:val="none" w:sz="0" w:space="0" w:color="auto"/>
                <w:left w:val="none" w:sz="0" w:space="0" w:color="auto"/>
                <w:bottom w:val="none" w:sz="0" w:space="0" w:color="auto"/>
                <w:right w:val="none" w:sz="0" w:space="0" w:color="auto"/>
              </w:divBdr>
              <w:divsChild>
                <w:div w:id="1876500366">
                  <w:marLeft w:val="0"/>
                  <w:marRight w:val="0"/>
                  <w:marTop w:val="0"/>
                  <w:marBottom w:val="0"/>
                  <w:divBdr>
                    <w:top w:val="none" w:sz="0" w:space="0" w:color="auto"/>
                    <w:left w:val="none" w:sz="0" w:space="0" w:color="auto"/>
                    <w:bottom w:val="none" w:sz="0" w:space="0" w:color="auto"/>
                    <w:right w:val="none" w:sz="0" w:space="0" w:color="auto"/>
                  </w:divBdr>
                  <w:divsChild>
                    <w:div w:id="1371996650">
                      <w:marLeft w:val="0"/>
                      <w:marRight w:val="0"/>
                      <w:marTop w:val="0"/>
                      <w:marBottom w:val="0"/>
                      <w:divBdr>
                        <w:top w:val="none" w:sz="0" w:space="0" w:color="auto"/>
                        <w:left w:val="none" w:sz="0" w:space="0" w:color="auto"/>
                        <w:bottom w:val="none" w:sz="0" w:space="0" w:color="auto"/>
                        <w:right w:val="none" w:sz="0" w:space="0" w:color="auto"/>
                      </w:divBdr>
                      <w:divsChild>
                        <w:div w:id="1544291207">
                          <w:marLeft w:val="0"/>
                          <w:marRight w:val="0"/>
                          <w:marTop w:val="0"/>
                          <w:marBottom w:val="0"/>
                          <w:divBdr>
                            <w:top w:val="none" w:sz="0" w:space="0" w:color="auto"/>
                            <w:left w:val="none" w:sz="0" w:space="0" w:color="auto"/>
                            <w:bottom w:val="none" w:sz="0" w:space="0" w:color="auto"/>
                            <w:right w:val="none" w:sz="0" w:space="0" w:color="auto"/>
                          </w:divBdr>
                          <w:divsChild>
                            <w:div w:id="102177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sec.gov/rules/final/33-8183.ht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ba.nl/Studie-en-Opleiding/De-Accountant/Accountant-worden/"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13Me</b:Tag>
    <b:SourceType>InternetSite</b:SourceType>
    <b:Guid>{C40AB559-B048-4FB6-B671-E53987E7C32C}</b:Guid>
    <b:YearAccessed>2013</b:YearAccessed>
    <b:MonthAccessed>Mei</b:MonthAccessed>
    <b:DayAccessed>25</b:DayAccessed>
    <b:URL>http://www.nba.nl/Studie-en-Opleiding/De-Accountant/Accountant-worden/</b:URL>
    <b:RefOrder>1</b:RefOrder>
  </b:Source>
</b:Sources>
</file>

<file path=customXml/itemProps1.xml><?xml version="1.0" encoding="utf-8"?>
<ds:datastoreItem xmlns:ds="http://schemas.openxmlformats.org/officeDocument/2006/customXml" ds:itemID="{5BC44A98-27DF-48AB-BC34-423601D4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10503</Words>
  <Characters>57772</Characters>
  <Application>Microsoft Office Word</Application>
  <DocSecurity>0</DocSecurity>
  <Lines>481</Lines>
  <Paragraphs>136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Blom, M.D.M.</dc:creator>
  <cp:lastModifiedBy>Cor</cp:lastModifiedBy>
  <cp:revision>2</cp:revision>
  <dcterms:created xsi:type="dcterms:W3CDTF">2013-07-17T12:41:00Z</dcterms:created>
  <dcterms:modified xsi:type="dcterms:W3CDTF">2013-07-17T12:41:00Z</dcterms:modified>
</cp:coreProperties>
</file>