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95E" w:rsidRPr="002237F0" w:rsidRDefault="0088195E" w:rsidP="0088195E">
      <w:r w:rsidRPr="002237F0">
        <w:t>Erasmus University Rotterdam</w:t>
      </w:r>
    </w:p>
    <w:p w:rsidR="0088195E" w:rsidRPr="002237F0" w:rsidRDefault="0088195E" w:rsidP="0088195E">
      <w:r w:rsidRPr="002237F0">
        <w:t>Erasmus School of Economics</w:t>
      </w:r>
    </w:p>
    <w:p w:rsidR="0088195E" w:rsidRPr="002237F0" w:rsidRDefault="00A537D1" w:rsidP="0088195E">
      <w:proofErr w:type="spellStart"/>
      <w:r w:rsidRPr="002237F0">
        <w:t>Sectie</w:t>
      </w:r>
      <w:proofErr w:type="spellEnd"/>
      <w:r w:rsidRPr="002237F0">
        <w:t xml:space="preserve"> Accounting</w:t>
      </w:r>
      <w:r w:rsidR="0088195E" w:rsidRPr="002237F0">
        <w:t>,</w:t>
      </w:r>
      <w:r w:rsidRPr="002237F0">
        <w:t xml:space="preserve"> </w:t>
      </w:r>
      <w:r w:rsidR="0088195E" w:rsidRPr="002237F0">
        <w:t>Auditing &amp; Control</w:t>
      </w:r>
    </w:p>
    <w:p w:rsidR="0088195E" w:rsidRPr="002237F0" w:rsidRDefault="0088195E" w:rsidP="0088195E"/>
    <w:p w:rsidR="0088195E" w:rsidRPr="002237F0" w:rsidRDefault="0088195E" w:rsidP="0088195E"/>
    <w:p w:rsidR="0088195E" w:rsidRPr="002237F0" w:rsidRDefault="0088195E" w:rsidP="0088195E"/>
    <w:p w:rsidR="0088195E" w:rsidRPr="002237F0" w:rsidRDefault="0088195E" w:rsidP="0088195E">
      <w:pPr>
        <w:rPr>
          <w:b/>
          <w:sz w:val="32"/>
          <w:szCs w:val="32"/>
          <w:lang w:val="nl-NL"/>
        </w:rPr>
      </w:pPr>
      <w:r w:rsidRPr="002237F0">
        <w:rPr>
          <w:b/>
          <w:sz w:val="32"/>
          <w:szCs w:val="32"/>
          <w:lang w:val="nl-NL"/>
        </w:rPr>
        <w:t>Bachelorscriptie</w:t>
      </w:r>
    </w:p>
    <w:p w:rsidR="0088195E" w:rsidRPr="002237F0" w:rsidRDefault="0088195E" w:rsidP="0088195E">
      <w:pPr>
        <w:rPr>
          <w:b/>
          <w:sz w:val="32"/>
          <w:szCs w:val="32"/>
          <w:lang w:val="nl-NL"/>
        </w:rPr>
      </w:pPr>
      <w:r w:rsidRPr="002237F0">
        <w:rPr>
          <w:b/>
          <w:sz w:val="32"/>
          <w:szCs w:val="32"/>
          <w:lang w:val="nl-NL"/>
        </w:rPr>
        <w:t xml:space="preserve">Waardering van financiële instrumenten binnen </w:t>
      </w:r>
      <w:r w:rsidR="003C17ED" w:rsidRPr="002237F0">
        <w:rPr>
          <w:b/>
          <w:sz w:val="32"/>
          <w:szCs w:val="32"/>
          <w:lang w:val="nl-NL"/>
        </w:rPr>
        <w:t xml:space="preserve">de bancaire sector: op weg naar een </w:t>
      </w:r>
      <w:r w:rsidRPr="002237F0">
        <w:rPr>
          <w:b/>
          <w:sz w:val="32"/>
          <w:szCs w:val="32"/>
          <w:lang w:val="nl-NL"/>
        </w:rPr>
        <w:t>nieuwe regelgeving</w:t>
      </w:r>
    </w:p>
    <w:p w:rsidR="006C5A71" w:rsidRPr="002237F0" w:rsidRDefault="006C5A71" w:rsidP="006C5A71">
      <w:pPr>
        <w:rPr>
          <w:lang w:val="nl-NL"/>
        </w:rPr>
      </w:pPr>
      <w:r w:rsidRPr="002237F0">
        <w:rPr>
          <w:lang w:val="nl-NL"/>
        </w:rPr>
        <w:t xml:space="preserve">Welke lering kan er getrokken worden uit de rol van fair </w:t>
      </w:r>
      <w:proofErr w:type="spellStart"/>
      <w:r w:rsidRPr="002237F0">
        <w:rPr>
          <w:lang w:val="nl-NL"/>
        </w:rPr>
        <w:t>value</w:t>
      </w:r>
      <w:proofErr w:type="spellEnd"/>
      <w:r w:rsidRPr="002237F0">
        <w:rPr>
          <w:lang w:val="nl-NL"/>
        </w:rPr>
        <w:t xml:space="preserve"> accounting </w:t>
      </w:r>
      <w:r w:rsidR="00B1221D" w:rsidRPr="002237F0">
        <w:rPr>
          <w:lang w:val="nl-NL"/>
        </w:rPr>
        <w:t>in</w:t>
      </w:r>
      <w:r w:rsidRPr="002237F0">
        <w:rPr>
          <w:lang w:val="nl-NL"/>
        </w:rPr>
        <w:t xml:space="preserve"> de crisis?</w:t>
      </w:r>
    </w:p>
    <w:p w:rsidR="0088195E" w:rsidRDefault="0088195E" w:rsidP="0088195E">
      <w:pPr>
        <w:rPr>
          <w:b/>
          <w:sz w:val="32"/>
          <w:szCs w:val="32"/>
          <w:lang w:val="nl-NL"/>
        </w:rPr>
      </w:pPr>
    </w:p>
    <w:p w:rsidR="004A1FC7" w:rsidRPr="002237F0" w:rsidRDefault="004A1FC7" w:rsidP="0088195E">
      <w:pPr>
        <w:rPr>
          <w:b/>
          <w:sz w:val="32"/>
          <w:szCs w:val="32"/>
          <w:lang w:val="nl-NL"/>
        </w:rPr>
      </w:pPr>
    </w:p>
    <w:p w:rsidR="0088195E" w:rsidRPr="002237F0" w:rsidRDefault="0088195E" w:rsidP="0088195E">
      <w:pPr>
        <w:rPr>
          <w:sz w:val="32"/>
          <w:szCs w:val="32"/>
          <w:lang w:val="nl-NL"/>
        </w:rPr>
      </w:pPr>
    </w:p>
    <w:p w:rsidR="0088195E" w:rsidRPr="002237F0" w:rsidRDefault="00345B2F" w:rsidP="00345B2F">
      <w:pPr>
        <w:tabs>
          <w:tab w:val="left" w:pos="1766"/>
        </w:tabs>
        <w:rPr>
          <w:sz w:val="32"/>
          <w:szCs w:val="32"/>
          <w:lang w:val="nl-NL"/>
        </w:rPr>
      </w:pPr>
      <w:r w:rsidRPr="002237F0">
        <w:rPr>
          <w:sz w:val="32"/>
          <w:szCs w:val="32"/>
          <w:lang w:val="nl-NL"/>
        </w:rPr>
        <w:tab/>
      </w:r>
    </w:p>
    <w:p w:rsidR="0088195E" w:rsidRPr="002237F0" w:rsidRDefault="0088195E" w:rsidP="0088195E">
      <w:pPr>
        <w:rPr>
          <w:sz w:val="32"/>
          <w:szCs w:val="32"/>
          <w:lang w:val="nl-NL"/>
        </w:rPr>
      </w:pPr>
    </w:p>
    <w:p w:rsidR="0088195E" w:rsidRPr="002237F0" w:rsidRDefault="0088195E" w:rsidP="0088195E">
      <w:pPr>
        <w:rPr>
          <w:sz w:val="32"/>
          <w:szCs w:val="32"/>
          <w:lang w:val="nl-NL"/>
        </w:rPr>
      </w:pPr>
    </w:p>
    <w:p w:rsidR="0088195E" w:rsidRPr="002237F0" w:rsidRDefault="0088195E" w:rsidP="0088195E">
      <w:pPr>
        <w:rPr>
          <w:sz w:val="32"/>
          <w:szCs w:val="32"/>
          <w:lang w:val="nl-NL"/>
        </w:rPr>
      </w:pPr>
    </w:p>
    <w:p w:rsidR="0088195E" w:rsidRPr="002237F0" w:rsidRDefault="0088195E" w:rsidP="0088195E">
      <w:pPr>
        <w:rPr>
          <w:sz w:val="32"/>
          <w:szCs w:val="32"/>
          <w:lang w:val="nl-NL"/>
        </w:rPr>
      </w:pPr>
    </w:p>
    <w:p w:rsidR="0088195E" w:rsidRPr="002237F0" w:rsidRDefault="0088195E" w:rsidP="0088195E">
      <w:pPr>
        <w:rPr>
          <w:sz w:val="32"/>
          <w:szCs w:val="32"/>
          <w:lang w:val="nl-NL"/>
        </w:rPr>
      </w:pPr>
      <w:r w:rsidRPr="002237F0">
        <w:rPr>
          <w:sz w:val="32"/>
          <w:szCs w:val="32"/>
          <w:lang w:val="nl-NL"/>
        </w:rPr>
        <w:t xml:space="preserve">Naam: </w:t>
      </w:r>
      <w:r w:rsidRPr="002237F0">
        <w:rPr>
          <w:sz w:val="32"/>
          <w:szCs w:val="32"/>
          <w:lang w:val="nl-NL"/>
        </w:rPr>
        <w:tab/>
      </w:r>
      <w:r w:rsidRPr="002237F0">
        <w:rPr>
          <w:sz w:val="32"/>
          <w:szCs w:val="32"/>
          <w:lang w:val="nl-NL"/>
        </w:rPr>
        <w:tab/>
      </w:r>
      <w:proofErr w:type="spellStart"/>
      <w:r w:rsidRPr="002237F0">
        <w:rPr>
          <w:sz w:val="32"/>
          <w:szCs w:val="32"/>
          <w:lang w:val="nl-NL"/>
        </w:rPr>
        <w:t>Nando</w:t>
      </w:r>
      <w:proofErr w:type="spellEnd"/>
      <w:r w:rsidRPr="002237F0">
        <w:rPr>
          <w:sz w:val="32"/>
          <w:szCs w:val="32"/>
          <w:lang w:val="nl-NL"/>
        </w:rPr>
        <w:t xml:space="preserve"> </w:t>
      </w:r>
      <w:proofErr w:type="spellStart"/>
      <w:r w:rsidRPr="002237F0">
        <w:rPr>
          <w:sz w:val="32"/>
          <w:szCs w:val="32"/>
          <w:lang w:val="nl-NL"/>
        </w:rPr>
        <w:t>Leijten</w:t>
      </w:r>
      <w:proofErr w:type="spellEnd"/>
    </w:p>
    <w:p w:rsidR="0088195E" w:rsidRPr="002237F0" w:rsidRDefault="0088195E" w:rsidP="0088195E">
      <w:pPr>
        <w:rPr>
          <w:sz w:val="32"/>
          <w:szCs w:val="32"/>
          <w:lang w:val="nl-NL"/>
        </w:rPr>
      </w:pPr>
      <w:proofErr w:type="spellStart"/>
      <w:r w:rsidRPr="002237F0">
        <w:rPr>
          <w:sz w:val="32"/>
          <w:szCs w:val="32"/>
          <w:lang w:val="nl-NL"/>
        </w:rPr>
        <w:t>Studentn</w:t>
      </w:r>
      <w:r w:rsidR="00A537D1" w:rsidRPr="002237F0">
        <w:rPr>
          <w:sz w:val="32"/>
          <w:szCs w:val="32"/>
          <w:lang w:val="nl-NL"/>
        </w:rPr>
        <w:t>r</w:t>
      </w:r>
      <w:proofErr w:type="spellEnd"/>
      <w:proofErr w:type="gramStart"/>
      <w:r w:rsidR="00A537D1" w:rsidRPr="002237F0">
        <w:rPr>
          <w:sz w:val="32"/>
          <w:szCs w:val="32"/>
          <w:lang w:val="nl-NL"/>
        </w:rPr>
        <w:t>:</w:t>
      </w:r>
      <w:r w:rsidR="00A537D1" w:rsidRPr="002237F0">
        <w:rPr>
          <w:sz w:val="32"/>
          <w:szCs w:val="32"/>
          <w:lang w:val="nl-NL"/>
        </w:rPr>
        <w:tab/>
      </w:r>
      <w:r w:rsidR="00A537D1" w:rsidRPr="002237F0">
        <w:rPr>
          <w:sz w:val="32"/>
          <w:szCs w:val="32"/>
          <w:lang w:val="nl-NL"/>
        </w:rPr>
        <w:tab/>
      </w:r>
      <w:proofErr w:type="gramEnd"/>
      <w:r w:rsidRPr="002237F0">
        <w:rPr>
          <w:sz w:val="32"/>
          <w:szCs w:val="32"/>
          <w:lang w:val="nl-NL"/>
        </w:rPr>
        <w:t>332646</w:t>
      </w:r>
    </w:p>
    <w:p w:rsidR="003C17ED" w:rsidRPr="002237F0" w:rsidRDefault="003C17ED" w:rsidP="0088195E">
      <w:pPr>
        <w:rPr>
          <w:sz w:val="32"/>
          <w:szCs w:val="32"/>
          <w:lang w:val="nl-NL"/>
        </w:rPr>
      </w:pPr>
      <w:r w:rsidRPr="002237F0">
        <w:rPr>
          <w:sz w:val="32"/>
          <w:szCs w:val="32"/>
          <w:lang w:val="nl-NL"/>
        </w:rPr>
        <w:t>Begeleider</w:t>
      </w:r>
      <w:proofErr w:type="gramStart"/>
      <w:r w:rsidRPr="002237F0">
        <w:rPr>
          <w:sz w:val="32"/>
          <w:szCs w:val="32"/>
          <w:lang w:val="nl-NL"/>
        </w:rPr>
        <w:t>:</w:t>
      </w:r>
      <w:r w:rsidRPr="002237F0">
        <w:rPr>
          <w:sz w:val="32"/>
          <w:szCs w:val="32"/>
          <w:lang w:val="nl-NL"/>
        </w:rPr>
        <w:tab/>
        <w:t>R.D.</w:t>
      </w:r>
      <w:proofErr w:type="gramEnd"/>
      <w:r w:rsidRPr="002237F0">
        <w:rPr>
          <w:sz w:val="32"/>
          <w:szCs w:val="32"/>
          <w:lang w:val="nl-NL"/>
        </w:rPr>
        <w:t xml:space="preserve"> Achaibersing</w:t>
      </w:r>
    </w:p>
    <w:p w:rsidR="004A1FC7" w:rsidRDefault="003C17ED" w:rsidP="0088195E">
      <w:pPr>
        <w:rPr>
          <w:sz w:val="32"/>
          <w:szCs w:val="32"/>
          <w:lang w:val="nl-NL"/>
        </w:rPr>
      </w:pPr>
      <w:r w:rsidRPr="002237F0">
        <w:rPr>
          <w:sz w:val="32"/>
          <w:szCs w:val="32"/>
          <w:lang w:val="nl-NL"/>
        </w:rPr>
        <w:t>Meelezer</w:t>
      </w:r>
      <w:proofErr w:type="gramStart"/>
      <w:r w:rsidRPr="002237F0">
        <w:rPr>
          <w:sz w:val="32"/>
          <w:szCs w:val="32"/>
          <w:lang w:val="nl-NL"/>
        </w:rPr>
        <w:t>:</w:t>
      </w:r>
      <w:r w:rsidRPr="002237F0">
        <w:rPr>
          <w:sz w:val="32"/>
          <w:szCs w:val="32"/>
          <w:lang w:val="nl-NL"/>
        </w:rPr>
        <w:tab/>
      </w:r>
      <w:r w:rsidRPr="002237F0">
        <w:rPr>
          <w:sz w:val="32"/>
          <w:szCs w:val="32"/>
          <w:lang w:val="nl-NL"/>
        </w:rPr>
        <w:tab/>
      </w:r>
      <w:r w:rsidR="004A1FC7">
        <w:rPr>
          <w:sz w:val="32"/>
          <w:szCs w:val="32"/>
          <w:lang w:val="nl-NL"/>
        </w:rPr>
        <w:t>T.</w:t>
      </w:r>
      <w:proofErr w:type="gramEnd"/>
      <w:r w:rsidR="004A1FC7">
        <w:rPr>
          <w:sz w:val="32"/>
          <w:szCs w:val="32"/>
          <w:lang w:val="nl-NL"/>
        </w:rPr>
        <w:t xml:space="preserve"> Welten</w:t>
      </w:r>
    </w:p>
    <w:p w:rsidR="0088195E" w:rsidRPr="002237F0" w:rsidRDefault="0088195E" w:rsidP="0088195E">
      <w:pPr>
        <w:rPr>
          <w:sz w:val="32"/>
          <w:szCs w:val="32"/>
          <w:lang w:val="nl-NL"/>
        </w:rPr>
      </w:pPr>
      <w:r w:rsidRPr="002237F0">
        <w:rPr>
          <w:sz w:val="32"/>
          <w:szCs w:val="32"/>
          <w:lang w:val="nl-NL"/>
        </w:rPr>
        <w:t>Datum</w:t>
      </w:r>
      <w:proofErr w:type="gramStart"/>
      <w:r w:rsidRPr="002237F0">
        <w:rPr>
          <w:sz w:val="32"/>
          <w:szCs w:val="32"/>
          <w:lang w:val="nl-NL"/>
        </w:rPr>
        <w:t>:</w:t>
      </w:r>
      <w:r w:rsidRPr="002237F0">
        <w:rPr>
          <w:sz w:val="32"/>
          <w:szCs w:val="32"/>
          <w:lang w:val="nl-NL"/>
        </w:rPr>
        <w:tab/>
      </w:r>
      <w:r w:rsidRPr="002237F0">
        <w:rPr>
          <w:sz w:val="32"/>
          <w:szCs w:val="32"/>
          <w:lang w:val="nl-NL"/>
        </w:rPr>
        <w:tab/>
      </w:r>
      <w:proofErr w:type="gramEnd"/>
      <w:r w:rsidR="0045552F" w:rsidRPr="002237F0">
        <w:rPr>
          <w:sz w:val="32"/>
          <w:szCs w:val="32"/>
          <w:lang w:val="nl-NL"/>
        </w:rPr>
        <w:t>22</w:t>
      </w:r>
      <w:r w:rsidR="00817B81" w:rsidRPr="002237F0">
        <w:rPr>
          <w:sz w:val="32"/>
          <w:szCs w:val="32"/>
          <w:lang w:val="nl-NL"/>
        </w:rPr>
        <w:t xml:space="preserve"> juli 2013</w:t>
      </w:r>
    </w:p>
    <w:p w:rsidR="00A324E1" w:rsidRPr="002237F0" w:rsidRDefault="0088195E" w:rsidP="0088195E">
      <w:pPr>
        <w:rPr>
          <w:sz w:val="32"/>
          <w:szCs w:val="32"/>
          <w:lang w:val="nl-NL"/>
        </w:rPr>
      </w:pPr>
      <w:r w:rsidRPr="002237F0">
        <w:rPr>
          <w:sz w:val="32"/>
          <w:szCs w:val="32"/>
          <w:lang w:val="nl-NL"/>
        </w:rPr>
        <w:t>Studie</w:t>
      </w:r>
      <w:proofErr w:type="gramStart"/>
      <w:r w:rsidRPr="002237F0">
        <w:rPr>
          <w:sz w:val="32"/>
          <w:szCs w:val="32"/>
          <w:lang w:val="nl-NL"/>
        </w:rPr>
        <w:t>:</w:t>
      </w:r>
      <w:r w:rsidRPr="002237F0">
        <w:rPr>
          <w:sz w:val="32"/>
          <w:szCs w:val="32"/>
          <w:lang w:val="nl-NL"/>
        </w:rPr>
        <w:tab/>
      </w:r>
      <w:r w:rsidRPr="002237F0">
        <w:rPr>
          <w:sz w:val="32"/>
          <w:szCs w:val="32"/>
          <w:lang w:val="nl-NL"/>
        </w:rPr>
        <w:tab/>
        <w:t>Economie</w:t>
      </w:r>
      <w:proofErr w:type="gramEnd"/>
      <w:r w:rsidRPr="002237F0">
        <w:rPr>
          <w:sz w:val="32"/>
          <w:szCs w:val="32"/>
          <w:lang w:val="nl-NL"/>
        </w:rPr>
        <w:t xml:space="preserve"> en Bedrijfseconomie</w:t>
      </w:r>
    </w:p>
    <w:p w:rsidR="0088195E" w:rsidRPr="002237F0" w:rsidRDefault="00567AAF" w:rsidP="0088195E">
      <w:pPr>
        <w:rPr>
          <w:sz w:val="32"/>
          <w:szCs w:val="32"/>
          <w:lang w:val="nl-NL"/>
        </w:rPr>
      </w:pPr>
      <w:r w:rsidRPr="002237F0">
        <w:rPr>
          <w:b/>
          <w:sz w:val="32"/>
          <w:szCs w:val="32"/>
          <w:lang w:val="nl-NL"/>
        </w:rPr>
        <w:lastRenderedPageBreak/>
        <w:t>Inhoudsopgave</w:t>
      </w:r>
    </w:p>
    <w:sdt>
      <w:sdtPr>
        <w:rPr>
          <w:b/>
          <w:bCs/>
        </w:rPr>
        <w:id w:val="1568531145"/>
        <w:docPartObj>
          <w:docPartGallery w:val="Table of Contents"/>
          <w:docPartUnique/>
        </w:docPartObj>
      </w:sdtPr>
      <w:sdtEndPr>
        <w:rPr>
          <w:b w:val="0"/>
          <w:bCs w:val="0"/>
        </w:rPr>
      </w:sdtEndPr>
      <w:sdtContent>
        <w:p w:rsidR="00A324E1" w:rsidRPr="002237F0" w:rsidRDefault="00A324E1" w:rsidP="00A324E1">
          <w:pPr>
            <w:pStyle w:val="TOC1"/>
            <w:rPr>
              <w:b/>
              <w:bCs/>
              <w:lang w:val="nl-NL"/>
            </w:rPr>
          </w:pPr>
        </w:p>
        <w:p w:rsidR="00C42637" w:rsidRPr="002237F0" w:rsidRDefault="00C42637" w:rsidP="00A324E1">
          <w:pPr>
            <w:pStyle w:val="TOC1"/>
            <w:rPr>
              <w:b/>
              <w:bCs/>
              <w:lang w:val="nl-NL"/>
            </w:rPr>
          </w:pPr>
          <w:r w:rsidRPr="002237F0">
            <w:rPr>
              <w:b/>
              <w:bCs/>
              <w:lang w:val="nl-NL"/>
            </w:rPr>
            <w:t>Abstract</w:t>
          </w:r>
          <w:r w:rsidR="00A324E1" w:rsidRPr="002237F0">
            <w:ptab w:relativeTo="margin" w:alignment="right" w:leader="dot"/>
          </w:r>
          <w:r w:rsidR="00A324E1" w:rsidRPr="002237F0">
            <w:rPr>
              <w:b/>
              <w:bCs/>
              <w:lang w:val="nl-NL"/>
            </w:rPr>
            <w:t>4</w:t>
          </w:r>
        </w:p>
        <w:p w:rsidR="00567AAF" w:rsidRPr="002237F0" w:rsidRDefault="00C42637" w:rsidP="00A324E1">
          <w:pPr>
            <w:pStyle w:val="TOC1"/>
            <w:rPr>
              <w:b/>
              <w:bCs/>
              <w:lang w:val="nl-NL"/>
            </w:rPr>
          </w:pPr>
          <w:r w:rsidRPr="002237F0">
            <w:rPr>
              <w:b/>
              <w:bCs/>
              <w:lang w:val="nl-NL"/>
            </w:rPr>
            <w:t>Aanleiding, relevantie en methode</w:t>
          </w:r>
          <w:r w:rsidRPr="002237F0">
            <w:ptab w:relativeTo="margin" w:alignment="right" w:leader="dot"/>
          </w:r>
          <w:r w:rsidRPr="002237F0">
            <w:rPr>
              <w:b/>
              <w:bCs/>
              <w:lang w:val="nl-NL"/>
            </w:rPr>
            <w:t>5</w:t>
          </w:r>
        </w:p>
        <w:p w:rsidR="00C42637" w:rsidRPr="002237F0" w:rsidRDefault="00C42637" w:rsidP="004A54AA">
          <w:pPr>
            <w:pStyle w:val="TOC1"/>
            <w:rPr>
              <w:b/>
              <w:bCs/>
              <w:lang w:val="nl-NL"/>
            </w:rPr>
          </w:pPr>
        </w:p>
        <w:p w:rsidR="00567AAF" w:rsidRPr="002237F0" w:rsidRDefault="004A54AA" w:rsidP="004A54AA">
          <w:pPr>
            <w:pStyle w:val="TOC1"/>
            <w:rPr>
              <w:lang w:val="nl-NL"/>
            </w:rPr>
          </w:pPr>
          <w:r w:rsidRPr="002237F0">
            <w:rPr>
              <w:b/>
              <w:bCs/>
              <w:lang w:val="nl-NL"/>
            </w:rPr>
            <w:t>1. Huidige regelgeving met betrekking tot financiële instrumenten</w:t>
          </w:r>
          <w:r w:rsidR="00567AAF" w:rsidRPr="002237F0">
            <w:ptab w:relativeTo="margin" w:alignment="right" w:leader="dot"/>
          </w:r>
          <w:r w:rsidR="00C42637" w:rsidRPr="002237F0">
            <w:rPr>
              <w:b/>
              <w:bCs/>
              <w:lang w:val="nl-NL"/>
            </w:rPr>
            <w:t>6</w:t>
          </w:r>
        </w:p>
        <w:p w:rsidR="004A54AA" w:rsidRPr="002237F0" w:rsidRDefault="004A54AA" w:rsidP="005B164D">
          <w:pPr>
            <w:pStyle w:val="TOC2"/>
            <w:rPr>
              <w:lang w:val="nl-NL"/>
            </w:rPr>
          </w:pPr>
          <w:r w:rsidRPr="002237F0">
            <w:rPr>
              <w:lang w:val="nl-NL"/>
            </w:rPr>
            <w:t>1.1. Begripsbepaling</w:t>
          </w:r>
          <w:r w:rsidR="00567AAF" w:rsidRPr="002237F0">
            <w:ptab w:relativeTo="margin" w:alignment="right" w:leader="dot"/>
          </w:r>
          <w:r w:rsidR="00C42637" w:rsidRPr="002237F0">
            <w:rPr>
              <w:lang w:val="nl-NL"/>
            </w:rPr>
            <w:t>6</w:t>
          </w:r>
        </w:p>
        <w:p w:rsidR="004A54AA" w:rsidRPr="002237F0" w:rsidRDefault="004A54AA" w:rsidP="005B164D">
          <w:pPr>
            <w:pStyle w:val="TOC2"/>
            <w:rPr>
              <w:lang w:val="nl-NL"/>
            </w:rPr>
          </w:pPr>
          <w:r w:rsidRPr="002237F0">
            <w:rPr>
              <w:lang w:val="nl-NL"/>
            </w:rPr>
            <w:t>1.2</w:t>
          </w:r>
          <w:r w:rsidR="00A537D1" w:rsidRPr="002237F0">
            <w:rPr>
              <w:lang w:val="nl-NL"/>
            </w:rPr>
            <w:t>. Het verwerken op de balans</w:t>
          </w:r>
          <w:r w:rsidRPr="002237F0">
            <w:ptab w:relativeTo="margin" w:alignment="right" w:leader="dot"/>
          </w:r>
          <w:r w:rsidR="00C42637" w:rsidRPr="002237F0">
            <w:rPr>
              <w:lang w:val="nl-NL"/>
            </w:rPr>
            <w:t>7</w:t>
          </w:r>
        </w:p>
        <w:p w:rsidR="004A54AA" w:rsidRPr="002237F0" w:rsidRDefault="004A54AA" w:rsidP="005B164D">
          <w:pPr>
            <w:pStyle w:val="TOC2"/>
            <w:rPr>
              <w:lang w:val="nl-NL"/>
            </w:rPr>
          </w:pPr>
          <w:r w:rsidRPr="002237F0">
            <w:rPr>
              <w:lang w:val="nl-NL"/>
            </w:rPr>
            <w:t xml:space="preserve">1.3. Waardering en resultaatbepaling </w:t>
          </w:r>
          <w:r w:rsidRPr="002237F0">
            <w:ptab w:relativeTo="margin" w:alignment="right" w:leader="dot"/>
          </w:r>
          <w:r w:rsidR="00C42637" w:rsidRPr="002237F0">
            <w:rPr>
              <w:lang w:val="nl-NL"/>
            </w:rPr>
            <w:t>8</w:t>
          </w:r>
        </w:p>
        <w:p w:rsidR="004A54AA" w:rsidRPr="002237F0" w:rsidRDefault="004A54AA" w:rsidP="005B164D">
          <w:pPr>
            <w:pStyle w:val="TOC2"/>
            <w:rPr>
              <w:lang w:val="nl-NL"/>
            </w:rPr>
          </w:pPr>
          <w:r w:rsidRPr="002237F0">
            <w:rPr>
              <w:lang w:val="nl-NL"/>
            </w:rPr>
            <w:t xml:space="preserve">1.4. Classificatie van financiële instrumenten </w:t>
          </w:r>
          <w:r w:rsidRPr="002237F0">
            <w:ptab w:relativeTo="margin" w:alignment="right" w:leader="dot"/>
          </w:r>
          <w:r w:rsidR="00C42637" w:rsidRPr="002237F0">
            <w:rPr>
              <w:lang w:val="nl-NL"/>
            </w:rPr>
            <w:t>9</w:t>
          </w:r>
        </w:p>
        <w:p w:rsidR="004A54AA" w:rsidRPr="002237F0" w:rsidRDefault="004A54AA" w:rsidP="005B164D">
          <w:pPr>
            <w:pStyle w:val="TOC2"/>
            <w:rPr>
              <w:lang w:val="nl-NL"/>
            </w:rPr>
          </w:pPr>
          <w:r w:rsidRPr="002237F0">
            <w:rPr>
              <w:lang w:val="nl-NL"/>
            </w:rPr>
            <w:t xml:space="preserve">1.5. </w:t>
          </w:r>
          <w:proofErr w:type="spellStart"/>
          <w:r w:rsidRPr="002237F0">
            <w:rPr>
              <w:lang w:val="nl-NL"/>
            </w:rPr>
            <w:t>Herclassificatie</w:t>
          </w:r>
          <w:proofErr w:type="spellEnd"/>
          <w:r w:rsidRPr="002237F0">
            <w:rPr>
              <w:lang w:val="nl-NL"/>
            </w:rPr>
            <w:t xml:space="preserve"> en bijzondere waardeverminderingen </w:t>
          </w:r>
          <w:r w:rsidRPr="002237F0">
            <w:ptab w:relativeTo="margin" w:alignment="right" w:leader="dot"/>
          </w:r>
          <w:r w:rsidR="00C42637" w:rsidRPr="002237F0">
            <w:rPr>
              <w:lang w:val="nl-NL"/>
            </w:rPr>
            <w:t>11</w:t>
          </w:r>
        </w:p>
        <w:p w:rsidR="004A54AA" w:rsidRPr="002237F0" w:rsidRDefault="004A54AA" w:rsidP="005B164D">
          <w:pPr>
            <w:pStyle w:val="TOC2"/>
            <w:rPr>
              <w:lang w:val="nl-NL"/>
            </w:rPr>
          </w:pPr>
          <w:r w:rsidRPr="002237F0">
            <w:rPr>
              <w:lang w:val="nl-NL"/>
            </w:rPr>
            <w:t xml:space="preserve">1.6. </w:t>
          </w:r>
          <w:proofErr w:type="spellStart"/>
          <w:r w:rsidRPr="002237F0">
            <w:rPr>
              <w:lang w:val="nl-NL"/>
            </w:rPr>
            <w:t>Hedge</w:t>
          </w:r>
          <w:proofErr w:type="spellEnd"/>
          <w:r w:rsidRPr="002237F0">
            <w:rPr>
              <w:lang w:val="nl-NL"/>
            </w:rPr>
            <w:t xml:space="preserve"> accounting </w:t>
          </w:r>
          <w:r w:rsidRPr="002237F0">
            <w:ptab w:relativeTo="margin" w:alignment="right" w:leader="dot"/>
          </w:r>
          <w:r w:rsidR="00C42637" w:rsidRPr="002237F0">
            <w:rPr>
              <w:lang w:val="nl-NL"/>
            </w:rPr>
            <w:t>11</w:t>
          </w:r>
        </w:p>
        <w:p w:rsidR="004A54AA" w:rsidRPr="002237F0" w:rsidRDefault="004A54AA" w:rsidP="005B164D">
          <w:pPr>
            <w:pStyle w:val="TOC2"/>
            <w:rPr>
              <w:lang w:val="nl-NL"/>
            </w:rPr>
          </w:pPr>
          <w:r w:rsidRPr="002237F0">
            <w:rPr>
              <w:lang w:val="nl-NL"/>
            </w:rPr>
            <w:t>1.7. Afsluiting</w:t>
          </w:r>
          <w:r w:rsidRPr="002237F0">
            <w:ptab w:relativeTo="margin" w:alignment="right" w:leader="dot"/>
          </w:r>
          <w:r w:rsidR="00C42637" w:rsidRPr="002237F0">
            <w:rPr>
              <w:lang w:val="nl-NL"/>
            </w:rPr>
            <w:t>13</w:t>
          </w:r>
        </w:p>
        <w:p w:rsidR="00567AAF" w:rsidRPr="002237F0" w:rsidRDefault="00567AAF" w:rsidP="005B164D">
          <w:pPr>
            <w:pStyle w:val="TOC2"/>
            <w:rPr>
              <w:lang w:val="nl-NL"/>
            </w:rPr>
          </w:pPr>
        </w:p>
        <w:p w:rsidR="00567AAF" w:rsidRPr="002237F0" w:rsidRDefault="000F7EA9">
          <w:pPr>
            <w:pStyle w:val="TOC1"/>
            <w:rPr>
              <w:lang w:val="nl-NL"/>
            </w:rPr>
          </w:pPr>
          <w:r w:rsidRPr="002237F0">
            <w:rPr>
              <w:b/>
              <w:bCs/>
              <w:lang w:val="nl-NL"/>
            </w:rPr>
            <w:t>2. Verandering aan de regelgeving: Aanleiding en inhoud</w:t>
          </w:r>
          <w:r w:rsidR="00567AAF" w:rsidRPr="002237F0">
            <w:ptab w:relativeTo="margin" w:alignment="right" w:leader="dot"/>
          </w:r>
          <w:r w:rsidR="00817B81" w:rsidRPr="002237F0">
            <w:rPr>
              <w:b/>
              <w:bCs/>
              <w:lang w:val="nl-NL"/>
            </w:rPr>
            <w:t>1</w:t>
          </w:r>
          <w:r w:rsidR="00C42637" w:rsidRPr="002237F0">
            <w:rPr>
              <w:b/>
              <w:bCs/>
              <w:lang w:val="nl-NL"/>
            </w:rPr>
            <w:t>4</w:t>
          </w:r>
        </w:p>
        <w:p w:rsidR="001C5D90" w:rsidRPr="002237F0" w:rsidRDefault="001C5D90" w:rsidP="005B164D">
          <w:pPr>
            <w:pStyle w:val="TOC2"/>
            <w:rPr>
              <w:lang w:val="nl-NL"/>
            </w:rPr>
          </w:pPr>
          <w:r w:rsidRPr="002237F0">
            <w:rPr>
              <w:lang w:val="nl-NL"/>
            </w:rPr>
            <w:t>2.1. Regelgeving voor aanvang van de crisis</w:t>
          </w:r>
          <w:r w:rsidR="00567AAF" w:rsidRPr="002237F0">
            <w:ptab w:relativeTo="margin" w:alignment="right" w:leader="dot"/>
          </w:r>
          <w:r w:rsidR="00C42637" w:rsidRPr="002237F0">
            <w:rPr>
              <w:lang w:val="nl-NL"/>
            </w:rPr>
            <w:t>14</w:t>
          </w:r>
        </w:p>
        <w:p w:rsidR="001C5D90" w:rsidRPr="002237F0" w:rsidRDefault="001C5D90" w:rsidP="005B164D">
          <w:pPr>
            <w:pStyle w:val="TOC2"/>
            <w:rPr>
              <w:lang w:val="nl-NL"/>
            </w:rPr>
          </w:pPr>
          <w:r w:rsidRPr="002237F0">
            <w:rPr>
              <w:lang w:val="nl-NL"/>
            </w:rPr>
            <w:t>2.2. De rol van de bankensector in de crisis</w:t>
          </w:r>
          <w:r w:rsidRPr="002237F0">
            <w:ptab w:relativeTo="margin" w:alignment="right" w:leader="dot"/>
          </w:r>
          <w:r w:rsidR="00C42637" w:rsidRPr="002237F0">
            <w:rPr>
              <w:lang w:val="nl-NL"/>
            </w:rPr>
            <w:t>15</w:t>
          </w:r>
        </w:p>
        <w:p w:rsidR="001C5D90" w:rsidRPr="002237F0" w:rsidRDefault="001C5D90" w:rsidP="005B164D">
          <w:pPr>
            <w:pStyle w:val="TOC2"/>
            <w:rPr>
              <w:lang w:val="nl-NL"/>
            </w:rPr>
          </w:pPr>
          <w:r w:rsidRPr="002237F0">
            <w:rPr>
              <w:lang w:val="nl-NL"/>
            </w:rPr>
            <w:t xml:space="preserve">2.3. Verandering aan de regelgeving </w:t>
          </w:r>
          <w:r w:rsidRPr="002237F0">
            <w:ptab w:relativeTo="margin" w:alignment="right" w:leader="dot"/>
          </w:r>
          <w:r w:rsidR="00C42637" w:rsidRPr="002237F0">
            <w:rPr>
              <w:lang w:val="nl-NL"/>
            </w:rPr>
            <w:t>17</w:t>
          </w:r>
        </w:p>
        <w:p w:rsidR="0002481A" w:rsidRPr="002237F0" w:rsidRDefault="001C5D90" w:rsidP="005B164D">
          <w:pPr>
            <w:pStyle w:val="TOC2"/>
            <w:rPr>
              <w:lang w:val="nl-NL"/>
            </w:rPr>
          </w:pPr>
          <w:r w:rsidRPr="002237F0">
            <w:rPr>
              <w:lang w:val="nl-NL"/>
            </w:rPr>
            <w:t>2.4. Afsluiting</w:t>
          </w:r>
          <w:r w:rsidRPr="002237F0">
            <w:ptab w:relativeTo="margin" w:alignment="right" w:leader="dot"/>
          </w:r>
          <w:r w:rsidR="00C42637" w:rsidRPr="002237F0">
            <w:rPr>
              <w:lang w:val="nl-NL"/>
            </w:rPr>
            <w:t>19</w:t>
          </w:r>
        </w:p>
        <w:p w:rsidR="00FB61AB" w:rsidRPr="002237F0" w:rsidRDefault="00FB61AB" w:rsidP="00FB61AB">
          <w:pPr>
            <w:rPr>
              <w:lang w:val="nl-NL" w:eastAsia="ja-JP"/>
            </w:rPr>
          </w:pPr>
        </w:p>
        <w:p w:rsidR="00FB61AB" w:rsidRPr="002237F0" w:rsidRDefault="00FB61AB" w:rsidP="005B164D">
          <w:pPr>
            <w:pStyle w:val="TOC2"/>
            <w:rPr>
              <w:b/>
              <w:lang w:val="nl-NL"/>
            </w:rPr>
          </w:pPr>
          <w:r w:rsidRPr="002237F0">
            <w:rPr>
              <w:b/>
              <w:lang w:val="nl-NL"/>
            </w:rPr>
            <w:t>3</w:t>
          </w:r>
          <w:r w:rsidR="0002481A" w:rsidRPr="002237F0">
            <w:rPr>
              <w:b/>
              <w:lang w:val="nl-NL"/>
            </w:rPr>
            <w:t xml:space="preserve">. </w:t>
          </w:r>
          <w:r w:rsidRPr="002237F0">
            <w:rPr>
              <w:b/>
              <w:lang w:val="nl-NL"/>
            </w:rPr>
            <w:t>Waardering financiële instrumenten binnen</w:t>
          </w:r>
          <w:r w:rsidR="000F7EA9" w:rsidRPr="002237F0">
            <w:rPr>
              <w:b/>
              <w:lang w:val="nl-NL"/>
            </w:rPr>
            <w:t xml:space="preserve"> de</w:t>
          </w:r>
          <w:r w:rsidRPr="002237F0">
            <w:rPr>
              <w:b/>
              <w:lang w:val="nl-NL"/>
            </w:rPr>
            <w:t xml:space="preserve"> banken</w:t>
          </w:r>
          <w:r w:rsidR="000F7EA9" w:rsidRPr="002237F0">
            <w:rPr>
              <w:b/>
              <w:lang w:val="nl-NL"/>
            </w:rPr>
            <w:t>sector</w:t>
          </w:r>
          <w:r w:rsidRPr="002237F0">
            <w:rPr>
              <w:b/>
              <w:lang w:val="nl-NL"/>
            </w:rPr>
            <w:t xml:space="preserve"> en de </w:t>
          </w:r>
          <w:r w:rsidR="000F7EA9" w:rsidRPr="002237F0">
            <w:rPr>
              <w:b/>
              <w:lang w:val="nl-NL"/>
            </w:rPr>
            <w:t>banken</w:t>
          </w:r>
          <w:r w:rsidRPr="002237F0">
            <w:rPr>
              <w:b/>
              <w:lang w:val="nl-NL"/>
            </w:rPr>
            <w:t>crisis</w:t>
          </w:r>
          <w:r w:rsidR="0002481A" w:rsidRPr="002237F0">
            <w:rPr>
              <w:b/>
            </w:rPr>
            <w:ptab w:relativeTo="margin" w:alignment="right" w:leader="dot"/>
          </w:r>
          <w:r w:rsidR="00C42637" w:rsidRPr="002237F0">
            <w:rPr>
              <w:b/>
              <w:lang w:val="nl-NL"/>
            </w:rPr>
            <w:t>20</w:t>
          </w:r>
        </w:p>
        <w:p w:rsidR="00FB61AB" w:rsidRPr="002237F0" w:rsidRDefault="00FB61AB" w:rsidP="005B164D">
          <w:pPr>
            <w:pStyle w:val="TOC2"/>
            <w:rPr>
              <w:lang w:val="nl-NL"/>
            </w:rPr>
          </w:pPr>
          <w:r w:rsidRPr="002237F0">
            <w:rPr>
              <w:b/>
              <w:bCs/>
              <w:lang w:val="nl-NL"/>
            </w:rPr>
            <w:t xml:space="preserve">    </w:t>
          </w:r>
          <w:r w:rsidRPr="002237F0">
            <w:rPr>
              <w:lang w:val="nl-NL"/>
            </w:rPr>
            <w:t xml:space="preserve">3.1. </w:t>
          </w:r>
          <w:r w:rsidR="004D13E7" w:rsidRPr="002237F0">
            <w:rPr>
              <w:lang w:val="nl-NL"/>
            </w:rPr>
            <w:t>Het belang van f</w:t>
          </w:r>
          <w:r w:rsidRPr="002237F0">
            <w:rPr>
              <w:lang w:val="nl-NL"/>
            </w:rPr>
            <w:t>inanciële instrumenten binnen de bancaire sector</w:t>
          </w:r>
          <w:r w:rsidRPr="002237F0">
            <w:ptab w:relativeTo="margin" w:alignment="right" w:leader="dot"/>
          </w:r>
          <w:r w:rsidR="00C42637" w:rsidRPr="002237F0">
            <w:rPr>
              <w:lang w:val="nl-NL"/>
            </w:rPr>
            <w:t>20</w:t>
          </w:r>
        </w:p>
        <w:p w:rsidR="00FB61AB" w:rsidRPr="002237F0" w:rsidRDefault="00FB61AB" w:rsidP="00FB61AB">
          <w:pPr>
            <w:pStyle w:val="TOC3"/>
            <w:ind w:left="0"/>
            <w:rPr>
              <w:lang w:val="nl-NL"/>
            </w:rPr>
          </w:pPr>
          <w:r w:rsidRPr="002237F0">
            <w:rPr>
              <w:lang w:val="nl-NL"/>
            </w:rPr>
            <w:t xml:space="preserve">    3.2. De rol van waarderingsproblemen in de crisis</w:t>
          </w:r>
          <w:r w:rsidRPr="002237F0">
            <w:ptab w:relativeTo="margin" w:alignment="right" w:leader="dot"/>
          </w:r>
          <w:r w:rsidR="00817B81" w:rsidRPr="002237F0">
            <w:rPr>
              <w:lang w:val="nl-NL"/>
            </w:rPr>
            <w:t>21</w:t>
          </w:r>
        </w:p>
        <w:p w:rsidR="00FB61AB" w:rsidRPr="002237F0" w:rsidRDefault="00FB61AB" w:rsidP="00FB61AB">
          <w:pPr>
            <w:pStyle w:val="TOC3"/>
            <w:rPr>
              <w:lang w:val="nl-NL"/>
            </w:rPr>
          </w:pPr>
          <w:r w:rsidRPr="002237F0">
            <w:rPr>
              <w:lang w:val="nl-NL"/>
            </w:rPr>
            <w:t xml:space="preserve">3.2.1. De fair </w:t>
          </w:r>
          <w:proofErr w:type="spellStart"/>
          <w:r w:rsidRPr="002237F0">
            <w:rPr>
              <w:lang w:val="nl-NL"/>
            </w:rPr>
            <w:t>value</w:t>
          </w:r>
          <w:proofErr w:type="spellEnd"/>
          <w:r w:rsidRPr="002237F0">
            <w:rPr>
              <w:lang w:val="nl-NL"/>
            </w:rPr>
            <w:t xml:space="preserve"> waarderingsmethode</w:t>
          </w:r>
          <w:r w:rsidRPr="002237F0">
            <w:ptab w:relativeTo="margin" w:alignment="right" w:leader="dot"/>
          </w:r>
          <w:r w:rsidR="00C42637" w:rsidRPr="002237F0">
            <w:rPr>
              <w:lang w:val="nl-NL"/>
            </w:rPr>
            <w:t>22</w:t>
          </w:r>
        </w:p>
        <w:p w:rsidR="00FB61AB" w:rsidRPr="002237F0" w:rsidRDefault="00FB61AB" w:rsidP="00FB61AB">
          <w:pPr>
            <w:pStyle w:val="TOC3"/>
            <w:ind w:left="446"/>
            <w:rPr>
              <w:lang w:val="nl-NL"/>
            </w:rPr>
          </w:pPr>
          <w:r w:rsidRPr="002237F0">
            <w:rPr>
              <w:lang w:val="nl-NL"/>
            </w:rPr>
            <w:t xml:space="preserve">3.2.2. Verbreding van de mogelijkheden tot </w:t>
          </w:r>
          <w:proofErr w:type="spellStart"/>
          <w:r w:rsidRPr="002237F0">
            <w:rPr>
              <w:lang w:val="nl-NL"/>
            </w:rPr>
            <w:t>herclassificatie</w:t>
          </w:r>
          <w:proofErr w:type="spellEnd"/>
          <w:r w:rsidRPr="002237F0">
            <w:ptab w:relativeTo="margin" w:alignment="right" w:leader="dot"/>
          </w:r>
          <w:r w:rsidR="00C42637" w:rsidRPr="002237F0">
            <w:rPr>
              <w:lang w:val="nl-NL"/>
            </w:rPr>
            <w:t>26</w:t>
          </w:r>
        </w:p>
        <w:p w:rsidR="004D13E7" w:rsidRPr="002237F0" w:rsidRDefault="00FB61AB" w:rsidP="005B164D">
          <w:pPr>
            <w:pStyle w:val="TOC2"/>
            <w:rPr>
              <w:lang w:val="nl-NL"/>
            </w:rPr>
          </w:pPr>
          <w:r w:rsidRPr="002237F0">
            <w:rPr>
              <w:lang w:val="nl-NL"/>
            </w:rPr>
            <w:t xml:space="preserve">     3</w:t>
          </w:r>
          <w:r w:rsidR="004D13E7" w:rsidRPr="002237F0">
            <w:rPr>
              <w:lang w:val="nl-NL"/>
            </w:rPr>
            <w:t xml:space="preserve">.3. Fair </w:t>
          </w:r>
          <w:proofErr w:type="spellStart"/>
          <w:r w:rsidR="004D13E7" w:rsidRPr="002237F0">
            <w:rPr>
              <w:lang w:val="nl-NL"/>
            </w:rPr>
            <w:t>value</w:t>
          </w:r>
          <w:proofErr w:type="spellEnd"/>
          <w:r w:rsidR="004D13E7" w:rsidRPr="002237F0">
            <w:rPr>
              <w:lang w:val="nl-NL"/>
            </w:rPr>
            <w:t xml:space="preserve"> waardering en de prestaties van een bank </w:t>
          </w:r>
          <w:r w:rsidRPr="002237F0">
            <w:ptab w:relativeTo="margin" w:alignment="right" w:leader="dot"/>
          </w:r>
          <w:r w:rsidR="002950DB" w:rsidRPr="002237F0">
            <w:rPr>
              <w:lang w:val="nl-NL"/>
            </w:rPr>
            <w:t>28</w:t>
          </w:r>
        </w:p>
        <w:p w:rsidR="001C5D90" w:rsidRPr="002237F0" w:rsidRDefault="004D13E7" w:rsidP="005B164D">
          <w:pPr>
            <w:pStyle w:val="TOC2"/>
            <w:rPr>
              <w:lang w:val="nl-NL"/>
            </w:rPr>
          </w:pPr>
          <w:r w:rsidRPr="002237F0">
            <w:rPr>
              <w:lang w:val="nl-NL"/>
            </w:rPr>
            <w:t xml:space="preserve">     3.4. Afsluiting </w:t>
          </w:r>
          <w:r w:rsidRPr="002237F0">
            <w:ptab w:relativeTo="margin" w:alignment="right" w:leader="dot"/>
          </w:r>
          <w:r w:rsidR="002950DB" w:rsidRPr="002237F0">
            <w:rPr>
              <w:lang w:val="nl-NL"/>
            </w:rPr>
            <w:t>30</w:t>
          </w:r>
        </w:p>
        <w:p w:rsidR="004D13E7" w:rsidRPr="002237F0" w:rsidRDefault="004D13E7" w:rsidP="004D13E7">
          <w:pPr>
            <w:rPr>
              <w:lang w:val="nl-NL" w:eastAsia="ja-JP"/>
            </w:rPr>
          </w:pPr>
        </w:p>
        <w:p w:rsidR="004D13E7" w:rsidRPr="002237F0" w:rsidRDefault="004D13E7" w:rsidP="005B164D">
          <w:pPr>
            <w:pStyle w:val="TOC2"/>
            <w:rPr>
              <w:b/>
              <w:lang w:val="nl-NL"/>
            </w:rPr>
          </w:pPr>
          <w:r w:rsidRPr="002237F0">
            <w:rPr>
              <w:b/>
              <w:lang w:val="nl-NL"/>
            </w:rPr>
            <w:t xml:space="preserve">4. </w:t>
          </w:r>
          <w:proofErr w:type="spellStart"/>
          <w:r w:rsidRPr="002237F0">
            <w:rPr>
              <w:b/>
              <w:lang w:val="nl-NL"/>
            </w:rPr>
            <w:t>Basel-akkoorden</w:t>
          </w:r>
          <w:proofErr w:type="spellEnd"/>
          <w:r w:rsidRPr="002237F0">
            <w:rPr>
              <w:b/>
              <w:lang w:val="nl-NL"/>
            </w:rPr>
            <w:t xml:space="preserve"> en de financiële crisis</w:t>
          </w:r>
          <w:r w:rsidRPr="002237F0">
            <w:rPr>
              <w:b/>
            </w:rPr>
            <w:ptab w:relativeTo="margin" w:alignment="right" w:leader="dot"/>
          </w:r>
          <w:r w:rsidR="002950DB" w:rsidRPr="002237F0">
            <w:rPr>
              <w:b/>
              <w:lang w:val="nl-NL"/>
            </w:rPr>
            <w:t>31</w:t>
          </w:r>
        </w:p>
        <w:p w:rsidR="004D13E7" w:rsidRPr="002237F0" w:rsidRDefault="004D13E7" w:rsidP="005B164D">
          <w:pPr>
            <w:pStyle w:val="TOC2"/>
            <w:rPr>
              <w:lang w:val="nl-NL"/>
            </w:rPr>
          </w:pPr>
          <w:r w:rsidRPr="002237F0">
            <w:rPr>
              <w:b/>
              <w:bCs/>
              <w:lang w:val="nl-NL"/>
            </w:rPr>
            <w:t xml:space="preserve">     </w:t>
          </w:r>
          <w:r w:rsidRPr="002237F0">
            <w:rPr>
              <w:lang w:val="nl-NL"/>
            </w:rPr>
            <w:t xml:space="preserve">4.1. De </w:t>
          </w:r>
          <w:proofErr w:type="spellStart"/>
          <w:r w:rsidRPr="002237F0">
            <w:rPr>
              <w:lang w:val="nl-NL"/>
            </w:rPr>
            <w:t>Bazelse</w:t>
          </w:r>
          <w:proofErr w:type="spellEnd"/>
          <w:r w:rsidRPr="002237F0">
            <w:rPr>
              <w:lang w:val="nl-NL"/>
            </w:rPr>
            <w:t xml:space="preserve"> akkoorden I en II</w:t>
          </w:r>
          <w:r w:rsidRPr="002237F0">
            <w:ptab w:relativeTo="margin" w:alignment="right" w:leader="dot"/>
          </w:r>
          <w:r w:rsidR="002950DB" w:rsidRPr="002237F0">
            <w:rPr>
              <w:lang w:val="nl-NL"/>
            </w:rPr>
            <w:t>31</w:t>
          </w:r>
        </w:p>
        <w:p w:rsidR="004D13E7" w:rsidRPr="002237F0" w:rsidRDefault="004D13E7" w:rsidP="005B164D">
          <w:pPr>
            <w:pStyle w:val="TOC2"/>
            <w:rPr>
              <w:b/>
              <w:bCs/>
            </w:rPr>
          </w:pPr>
          <w:r w:rsidRPr="002237F0">
            <w:rPr>
              <w:lang w:val="nl-NL"/>
            </w:rPr>
            <w:t xml:space="preserve">     </w:t>
          </w:r>
          <w:r w:rsidRPr="002237F0">
            <w:t xml:space="preserve">4.2. </w:t>
          </w:r>
          <w:proofErr w:type="spellStart"/>
          <w:r w:rsidRPr="002237F0">
            <w:t>Bankregulering</w:t>
          </w:r>
          <w:proofErr w:type="spellEnd"/>
          <w:r w:rsidRPr="002237F0">
            <w:t>, de crisis en fair value accounting</w:t>
          </w:r>
          <w:r w:rsidRPr="002237F0">
            <w:ptab w:relativeTo="margin" w:alignment="right" w:leader="dot"/>
          </w:r>
          <w:r w:rsidR="00817B81" w:rsidRPr="002237F0">
            <w:t>3</w:t>
          </w:r>
          <w:r w:rsidR="002950DB" w:rsidRPr="002237F0">
            <w:t>3</w:t>
          </w:r>
        </w:p>
        <w:p w:rsidR="00A33CA4" w:rsidRPr="002237F0" w:rsidRDefault="004D13E7" w:rsidP="00A33CA4">
          <w:pPr>
            <w:pStyle w:val="TOC2"/>
            <w:rPr>
              <w:lang w:val="nl-NL"/>
            </w:rPr>
          </w:pPr>
          <w:r w:rsidRPr="002237F0">
            <w:t xml:space="preserve">     </w:t>
          </w:r>
          <w:r w:rsidRPr="002237F0">
            <w:rPr>
              <w:lang w:val="nl-NL"/>
            </w:rPr>
            <w:t>4.3. Basel III en het toekomstige financiële systeem</w:t>
          </w:r>
          <w:r w:rsidRPr="002237F0">
            <w:ptab w:relativeTo="margin" w:alignment="right" w:leader="dot"/>
          </w:r>
          <w:r w:rsidR="00817B81" w:rsidRPr="002237F0">
            <w:rPr>
              <w:lang w:val="nl-NL"/>
            </w:rPr>
            <w:t>3</w:t>
          </w:r>
          <w:r w:rsidR="002950DB" w:rsidRPr="002237F0">
            <w:rPr>
              <w:lang w:val="nl-NL"/>
            </w:rPr>
            <w:t>5</w:t>
          </w:r>
        </w:p>
        <w:p w:rsidR="00A33CA4" w:rsidRPr="002237F0" w:rsidRDefault="00A33CA4" w:rsidP="00A33CA4">
          <w:pPr>
            <w:pStyle w:val="TOC2"/>
            <w:rPr>
              <w:lang w:val="nl-NL"/>
            </w:rPr>
          </w:pPr>
          <w:r w:rsidRPr="002237F0">
            <w:rPr>
              <w:lang w:val="nl-NL"/>
            </w:rPr>
            <w:t xml:space="preserve">     4.4. Afsluiting</w:t>
          </w:r>
          <w:r w:rsidRPr="002237F0">
            <w:ptab w:relativeTo="margin" w:alignment="right" w:leader="dot"/>
          </w:r>
          <w:r w:rsidR="00817B81" w:rsidRPr="002237F0">
            <w:rPr>
              <w:lang w:val="nl-NL"/>
            </w:rPr>
            <w:t>3</w:t>
          </w:r>
          <w:r w:rsidR="002950DB" w:rsidRPr="002237F0">
            <w:rPr>
              <w:lang w:val="nl-NL"/>
            </w:rPr>
            <w:t>6</w:t>
          </w:r>
        </w:p>
        <w:p w:rsidR="00A33CA4" w:rsidRPr="002237F0" w:rsidRDefault="00A33CA4" w:rsidP="00A33CA4">
          <w:pPr>
            <w:rPr>
              <w:b/>
              <w:lang w:val="nl-NL"/>
            </w:rPr>
          </w:pPr>
          <w:r w:rsidRPr="002237F0">
            <w:rPr>
              <w:b/>
              <w:lang w:val="nl-NL"/>
            </w:rPr>
            <w:lastRenderedPageBreak/>
            <w:t xml:space="preserve">5. Fair </w:t>
          </w:r>
          <w:proofErr w:type="spellStart"/>
          <w:r w:rsidRPr="002237F0">
            <w:rPr>
              <w:b/>
              <w:lang w:val="nl-NL"/>
            </w:rPr>
            <w:t>value</w:t>
          </w:r>
          <w:proofErr w:type="spellEnd"/>
          <w:r w:rsidRPr="002237F0">
            <w:rPr>
              <w:b/>
              <w:lang w:val="nl-NL"/>
            </w:rPr>
            <w:t xml:space="preserve"> en de toekomst</w:t>
          </w:r>
          <w:r w:rsidRPr="002237F0">
            <w:rPr>
              <w:b/>
            </w:rPr>
            <w:ptab w:relativeTo="margin" w:alignment="right" w:leader="dot"/>
          </w:r>
          <w:r w:rsidRPr="002237F0">
            <w:rPr>
              <w:b/>
              <w:lang w:val="nl-NL"/>
            </w:rPr>
            <w:t xml:space="preserve"> </w:t>
          </w:r>
          <w:r w:rsidR="002950DB" w:rsidRPr="002237F0">
            <w:rPr>
              <w:b/>
              <w:lang w:val="nl-NL"/>
            </w:rPr>
            <w:t>39</w:t>
          </w:r>
        </w:p>
        <w:p w:rsidR="00A33CA4" w:rsidRPr="002237F0" w:rsidRDefault="00A33CA4" w:rsidP="00A33CA4">
          <w:pPr>
            <w:rPr>
              <w:lang w:val="nl-NL"/>
            </w:rPr>
          </w:pPr>
          <w:r w:rsidRPr="002237F0">
            <w:rPr>
              <w:b/>
              <w:lang w:val="nl-NL"/>
            </w:rPr>
            <w:t xml:space="preserve">     </w:t>
          </w:r>
          <w:r w:rsidRPr="002237F0">
            <w:rPr>
              <w:lang w:val="nl-NL"/>
            </w:rPr>
            <w:t>5.1. IFRS 9, naar een nieuwe standaard</w:t>
          </w:r>
          <w:r w:rsidRPr="002237F0">
            <w:ptab w:relativeTo="margin" w:alignment="right" w:leader="dot"/>
          </w:r>
          <w:r w:rsidR="002950DB" w:rsidRPr="002237F0">
            <w:rPr>
              <w:lang w:val="nl-NL"/>
            </w:rPr>
            <w:t>39</w:t>
          </w:r>
        </w:p>
        <w:p w:rsidR="00A33CA4" w:rsidRPr="002237F0" w:rsidRDefault="00A33CA4" w:rsidP="00A33CA4">
          <w:pPr>
            <w:rPr>
              <w:lang w:val="nl-NL"/>
            </w:rPr>
          </w:pPr>
          <w:r w:rsidRPr="002237F0">
            <w:rPr>
              <w:lang w:val="nl-NL"/>
            </w:rPr>
            <w:t xml:space="preserve">     5.2. De </w:t>
          </w:r>
          <w:r w:rsidR="005B4FBB" w:rsidRPr="002237F0">
            <w:rPr>
              <w:lang w:val="nl-NL"/>
            </w:rPr>
            <w:t>politieke invloed</w:t>
          </w:r>
          <w:r w:rsidRPr="002237F0">
            <w:rPr>
              <w:lang w:val="nl-NL"/>
            </w:rPr>
            <w:t xml:space="preserve"> op regelgeving, en de internationale </w:t>
          </w:r>
          <w:proofErr w:type="gramStart"/>
          <w:r w:rsidRPr="002237F0">
            <w:rPr>
              <w:lang w:val="nl-NL"/>
            </w:rPr>
            <w:t>verschillen</w:t>
          </w:r>
          <w:r w:rsidRPr="002237F0">
            <w:ptab w:relativeTo="margin" w:alignment="right" w:leader="dot"/>
          </w:r>
          <w:r w:rsidR="002950DB" w:rsidRPr="002237F0">
            <w:rPr>
              <w:lang w:val="nl-NL"/>
            </w:rPr>
            <w:t>40</w:t>
          </w:r>
          <w:r w:rsidRPr="002237F0">
            <w:rPr>
              <w:lang w:val="nl-NL"/>
            </w:rPr>
            <w:t xml:space="preserve">  </w:t>
          </w:r>
          <w:proofErr w:type="gramEnd"/>
        </w:p>
        <w:p w:rsidR="00817B81" w:rsidRPr="002237F0" w:rsidRDefault="00A33CA4" w:rsidP="00A33CA4">
          <w:pPr>
            <w:rPr>
              <w:lang w:val="nl-NL"/>
            </w:rPr>
          </w:pPr>
          <w:r w:rsidRPr="002237F0">
            <w:rPr>
              <w:b/>
              <w:lang w:val="nl-NL"/>
            </w:rPr>
            <w:t xml:space="preserve">     </w:t>
          </w:r>
          <w:r w:rsidRPr="002237F0">
            <w:rPr>
              <w:lang w:val="nl-NL"/>
            </w:rPr>
            <w:t xml:space="preserve">5.3. Fair </w:t>
          </w:r>
          <w:proofErr w:type="spellStart"/>
          <w:r w:rsidRPr="002237F0">
            <w:rPr>
              <w:lang w:val="nl-NL"/>
            </w:rPr>
            <w:t>value</w:t>
          </w:r>
          <w:proofErr w:type="spellEnd"/>
          <w:r w:rsidR="00817B81" w:rsidRPr="002237F0">
            <w:rPr>
              <w:lang w:val="nl-NL"/>
            </w:rPr>
            <w:t>: een reële waardering?</w:t>
          </w:r>
          <w:r w:rsidRPr="002237F0">
            <w:ptab w:relativeTo="margin" w:alignment="right" w:leader="dot"/>
          </w:r>
          <w:r w:rsidRPr="002237F0">
            <w:rPr>
              <w:lang w:val="nl-NL"/>
            </w:rPr>
            <w:t xml:space="preserve"> </w:t>
          </w:r>
          <w:r w:rsidR="002950DB" w:rsidRPr="002237F0">
            <w:rPr>
              <w:lang w:val="nl-NL"/>
            </w:rPr>
            <w:t>41</w:t>
          </w:r>
        </w:p>
        <w:p w:rsidR="00A33CA4" w:rsidRPr="002237F0" w:rsidRDefault="00817B81" w:rsidP="00817B81">
          <w:pPr>
            <w:rPr>
              <w:lang w:val="nl-NL"/>
            </w:rPr>
          </w:pPr>
          <w:r w:rsidRPr="002237F0">
            <w:rPr>
              <w:lang w:val="nl-NL"/>
            </w:rPr>
            <w:t xml:space="preserve">     5.3. De toekomst</w:t>
          </w:r>
          <w:r w:rsidRPr="002237F0">
            <w:ptab w:relativeTo="margin" w:alignment="right" w:leader="dot"/>
          </w:r>
          <w:r w:rsidR="002950DB" w:rsidRPr="002237F0">
            <w:rPr>
              <w:lang w:val="nl-NL"/>
            </w:rPr>
            <w:t xml:space="preserve"> 44</w:t>
          </w:r>
        </w:p>
        <w:p w:rsidR="00A33CA4" w:rsidRPr="002237F0" w:rsidRDefault="00A33CA4" w:rsidP="00A33CA4">
          <w:pPr>
            <w:rPr>
              <w:lang w:val="nl-NL"/>
            </w:rPr>
          </w:pPr>
        </w:p>
        <w:p w:rsidR="00817B81" w:rsidRPr="002237F0" w:rsidRDefault="00A33CA4" w:rsidP="00817B81">
          <w:pPr>
            <w:rPr>
              <w:b/>
              <w:lang w:val="nl-NL"/>
            </w:rPr>
          </w:pPr>
          <w:r w:rsidRPr="002237F0">
            <w:rPr>
              <w:b/>
              <w:lang w:val="nl-NL"/>
            </w:rPr>
            <w:t>6. Conclusie en aanbevelingen</w:t>
          </w:r>
          <w:r w:rsidRPr="002237F0">
            <w:rPr>
              <w:b/>
            </w:rPr>
            <w:ptab w:relativeTo="margin" w:alignment="right" w:leader="dot"/>
          </w:r>
          <w:r w:rsidR="002950DB" w:rsidRPr="002237F0">
            <w:rPr>
              <w:b/>
              <w:lang w:val="nl-NL"/>
            </w:rPr>
            <w:t>46</w:t>
          </w:r>
        </w:p>
        <w:p w:rsidR="00817B81" w:rsidRPr="002237F0" w:rsidRDefault="00817B81" w:rsidP="00817B81">
          <w:pPr>
            <w:rPr>
              <w:b/>
              <w:lang w:val="nl-NL"/>
            </w:rPr>
          </w:pPr>
          <w:r w:rsidRPr="002237F0">
            <w:rPr>
              <w:b/>
              <w:lang w:val="nl-NL"/>
            </w:rPr>
            <w:t xml:space="preserve">    Literatuurlijst</w:t>
          </w:r>
          <w:r w:rsidRPr="002237F0">
            <w:rPr>
              <w:b/>
            </w:rPr>
            <w:ptab w:relativeTo="margin" w:alignment="right" w:leader="dot"/>
          </w:r>
          <w:r w:rsidR="002950DB" w:rsidRPr="002237F0">
            <w:rPr>
              <w:b/>
              <w:lang w:val="nl-NL"/>
            </w:rPr>
            <w:t>47</w:t>
          </w:r>
        </w:p>
        <w:p w:rsidR="00567AAF" w:rsidRPr="002237F0" w:rsidRDefault="003C13F3" w:rsidP="00A33CA4">
          <w:pPr>
            <w:rPr>
              <w:b/>
              <w:lang w:val="nl-NL"/>
            </w:rPr>
          </w:pPr>
        </w:p>
      </w:sdtContent>
    </w:sdt>
    <w:p w:rsidR="0088195E" w:rsidRPr="002237F0" w:rsidRDefault="0088195E" w:rsidP="0088195E">
      <w:pPr>
        <w:rPr>
          <w:lang w:val="nl-NL"/>
        </w:rPr>
      </w:pPr>
    </w:p>
    <w:p w:rsidR="00567AAF" w:rsidRPr="002237F0" w:rsidRDefault="00567AAF" w:rsidP="0088195E">
      <w:pPr>
        <w:rPr>
          <w:i/>
          <w:lang w:val="nl-NL"/>
        </w:rPr>
      </w:pPr>
    </w:p>
    <w:p w:rsidR="0088195E" w:rsidRPr="002237F0" w:rsidRDefault="0088195E" w:rsidP="0088195E">
      <w:pPr>
        <w:rPr>
          <w:b/>
          <w:sz w:val="32"/>
          <w:szCs w:val="32"/>
          <w:lang w:val="nl-NL"/>
        </w:rPr>
      </w:pPr>
    </w:p>
    <w:p w:rsidR="00283057" w:rsidRPr="002237F0" w:rsidRDefault="00283057" w:rsidP="0088195E">
      <w:pPr>
        <w:rPr>
          <w:b/>
          <w:sz w:val="32"/>
          <w:szCs w:val="32"/>
          <w:lang w:val="nl-NL"/>
        </w:rPr>
      </w:pPr>
    </w:p>
    <w:p w:rsidR="00283057" w:rsidRPr="002237F0" w:rsidRDefault="00283057" w:rsidP="0088195E">
      <w:pPr>
        <w:rPr>
          <w:b/>
          <w:sz w:val="32"/>
          <w:szCs w:val="32"/>
          <w:lang w:val="nl-NL"/>
        </w:rPr>
      </w:pPr>
    </w:p>
    <w:p w:rsidR="00283057" w:rsidRPr="002237F0" w:rsidRDefault="00283057" w:rsidP="0088195E">
      <w:pPr>
        <w:rPr>
          <w:b/>
          <w:sz w:val="32"/>
          <w:szCs w:val="32"/>
          <w:lang w:val="nl-NL"/>
        </w:rPr>
      </w:pPr>
    </w:p>
    <w:p w:rsidR="00567AAF" w:rsidRPr="002237F0" w:rsidRDefault="00567AAF" w:rsidP="0088195E">
      <w:pPr>
        <w:rPr>
          <w:b/>
          <w:sz w:val="32"/>
          <w:szCs w:val="32"/>
          <w:lang w:val="nl-NL"/>
        </w:rPr>
      </w:pPr>
    </w:p>
    <w:p w:rsidR="00567AAF" w:rsidRPr="002237F0" w:rsidRDefault="00567AAF" w:rsidP="0088195E">
      <w:pPr>
        <w:rPr>
          <w:b/>
          <w:sz w:val="32"/>
          <w:szCs w:val="32"/>
          <w:lang w:val="nl-NL"/>
        </w:rPr>
      </w:pPr>
    </w:p>
    <w:p w:rsidR="001C5D90" w:rsidRPr="002237F0" w:rsidRDefault="001C5D90" w:rsidP="0088195E">
      <w:pPr>
        <w:rPr>
          <w:b/>
          <w:sz w:val="32"/>
          <w:szCs w:val="32"/>
          <w:lang w:val="nl-NL"/>
        </w:rPr>
      </w:pPr>
    </w:p>
    <w:p w:rsidR="00A324E1" w:rsidRPr="002237F0" w:rsidRDefault="00A324E1" w:rsidP="0088195E">
      <w:pPr>
        <w:rPr>
          <w:b/>
          <w:sz w:val="32"/>
          <w:szCs w:val="32"/>
          <w:lang w:val="nl-NL"/>
        </w:rPr>
      </w:pPr>
    </w:p>
    <w:p w:rsidR="00A324E1" w:rsidRPr="002237F0" w:rsidRDefault="00A324E1" w:rsidP="0088195E">
      <w:pPr>
        <w:rPr>
          <w:b/>
          <w:sz w:val="32"/>
          <w:szCs w:val="32"/>
          <w:lang w:val="nl-NL"/>
        </w:rPr>
      </w:pPr>
    </w:p>
    <w:p w:rsidR="00A324E1" w:rsidRPr="002237F0" w:rsidRDefault="00A324E1" w:rsidP="0088195E">
      <w:pPr>
        <w:rPr>
          <w:b/>
          <w:sz w:val="32"/>
          <w:szCs w:val="32"/>
          <w:lang w:val="nl-NL"/>
        </w:rPr>
      </w:pPr>
    </w:p>
    <w:p w:rsidR="00A324E1" w:rsidRPr="002237F0" w:rsidRDefault="00A324E1" w:rsidP="0088195E">
      <w:pPr>
        <w:rPr>
          <w:b/>
          <w:sz w:val="32"/>
          <w:szCs w:val="32"/>
          <w:lang w:val="nl-NL"/>
        </w:rPr>
      </w:pPr>
    </w:p>
    <w:p w:rsidR="00C42637" w:rsidRPr="002237F0" w:rsidRDefault="00C42637" w:rsidP="0088195E">
      <w:pPr>
        <w:rPr>
          <w:b/>
          <w:sz w:val="32"/>
          <w:szCs w:val="32"/>
          <w:lang w:val="nl-NL"/>
        </w:rPr>
      </w:pPr>
    </w:p>
    <w:p w:rsidR="00C42637" w:rsidRPr="002237F0" w:rsidRDefault="00C42637" w:rsidP="0088195E">
      <w:pPr>
        <w:rPr>
          <w:b/>
          <w:sz w:val="32"/>
          <w:szCs w:val="32"/>
          <w:lang w:val="nl-NL"/>
        </w:rPr>
      </w:pPr>
    </w:p>
    <w:p w:rsidR="00B2389A" w:rsidRPr="002237F0" w:rsidRDefault="00B2389A" w:rsidP="0088195E">
      <w:pPr>
        <w:rPr>
          <w:b/>
          <w:sz w:val="32"/>
          <w:szCs w:val="32"/>
          <w:lang w:val="nl-NL"/>
        </w:rPr>
      </w:pPr>
      <w:r w:rsidRPr="002237F0">
        <w:rPr>
          <w:b/>
          <w:sz w:val="32"/>
          <w:szCs w:val="32"/>
          <w:lang w:val="nl-NL"/>
        </w:rPr>
        <w:t>Abstract</w:t>
      </w:r>
    </w:p>
    <w:p w:rsidR="00B41465" w:rsidRPr="002237F0" w:rsidRDefault="00A537D1" w:rsidP="0088195E">
      <w:pPr>
        <w:rPr>
          <w:szCs w:val="32"/>
          <w:lang w:val="nl-NL"/>
        </w:rPr>
      </w:pPr>
      <w:r w:rsidRPr="002237F0">
        <w:rPr>
          <w:szCs w:val="32"/>
          <w:lang w:val="nl-NL"/>
        </w:rPr>
        <w:t xml:space="preserve">Dit onderzoek gaat over de rol die fair </w:t>
      </w:r>
      <w:proofErr w:type="spellStart"/>
      <w:r w:rsidRPr="002237F0">
        <w:rPr>
          <w:szCs w:val="32"/>
          <w:lang w:val="nl-NL"/>
        </w:rPr>
        <w:t>value</w:t>
      </w:r>
      <w:proofErr w:type="spellEnd"/>
      <w:r w:rsidRPr="002237F0">
        <w:rPr>
          <w:szCs w:val="32"/>
          <w:lang w:val="nl-NL"/>
        </w:rPr>
        <w:t xml:space="preserve"> accounting voor financiële instrumenten gehad heeft in de bankencrisis</w:t>
      </w:r>
      <w:r w:rsidR="00B41465" w:rsidRPr="002237F0">
        <w:rPr>
          <w:szCs w:val="32"/>
          <w:lang w:val="nl-NL"/>
        </w:rPr>
        <w:t xml:space="preserve"> en welke lessen daarvan geleerd kunnen worden</w:t>
      </w:r>
      <w:r w:rsidRPr="002237F0">
        <w:rPr>
          <w:szCs w:val="32"/>
          <w:lang w:val="nl-NL"/>
        </w:rPr>
        <w:t>. Wanneer er geen gebruik g</w:t>
      </w:r>
      <w:r w:rsidR="00B41465" w:rsidRPr="002237F0">
        <w:rPr>
          <w:szCs w:val="32"/>
          <w:lang w:val="nl-NL"/>
        </w:rPr>
        <w:t>emaakt wordt van uitzonderingen</w:t>
      </w:r>
      <w:r w:rsidRPr="002237F0">
        <w:rPr>
          <w:szCs w:val="32"/>
          <w:lang w:val="nl-NL"/>
        </w:rPr>
        <w:t xml:space="preserve"> wordt het merendeel van de bestaande financiële instrumenten volgens IAS 39 gewaardeerd naar de reële waarde. </w:t>
      </w:r>
      <w:r w:rsidR="00B41465" w:rsidRPr="002237F0">
        <w:rPr>
          <w:szCs w:val="32"/>
          <w:lang w:val="nl-NL"/>
        </w:rPr>
        <w:t xml:space="preserve">Dit onderzoek richt zich </w:t>
      </w:r>
      <w:r w:rsidR="000F7EA9" w:rsidRPr="002237F0">
        <w:rPr>
          <w:szCs w:val="32"/>
          <w:lang w:val="nl-NL"/>
        </w:rPr>
        <w:t>voornamelijk</w:t>
      </w:r>
      <w:r w:rsidR="00B41465" w:rsidRPr="002237F0">
        <w:rPr>
          <w:szCs w:val="32"/>
          <w:lang w:val="nl-NL"/>
        </w:rPr>
        <w:t xml:space="preserve"> op IFRS regels.</w:t>
      </w:r>
    </w:p>
    <w:p w:rsidR="003C764F" w:rsidRPr="002237F0" w:rsidRDefault="003C764F" w:rsidP="0088195E">
      <w:pPr>
        <w:rPr>
          <w:szCs w:val="32"/>
          <w:lang w:val="nl-NL"/>
        </w:rPr>
      </w:pPr>
      <w:r w:rsidRPr="002237F0">
        <w:rPr>
          <w:szCs w:val="32"/>
          <w:lang w:val="nl-NL"/>
        </w:rPr>
        <w:t xml:space="preserve">In het eerste hoofdstuk wordt de relevante regelgeving geïntroduceerd. In het tweede hoofdstuk, welke ook inleidend van aard is, wordt een situatieschets gegeven van de bankencrisis en wordt uitgelegd welke veranderingen er dientengevolge aangebracht zijn aan IAS 39, de van toepassing zijnde </w:t>
      </w:r>
      <w:r w:rsidR="000F7EA9" w:rsidRPr="002237F0">
        <w:rPr>
          <w:szCs w:val="32"/>
          <w:lang w:val="nl-NL"/>
        </w:rPr>
        <w:t xml:space="preserve">standaard. </w:t>
      </w:r>
    </w:p>
    <w:p w:rsidR="00B41465" w:rsidRPr="002237F0" w:rsidRDefault="00A537D1" w:rsidP="0088195E">
      <w:pPr>
        <w:rPr>
          <w:szCs w:val="32"/>
          <w:lang w:val="nl-NL"/>
        </w:rPr>
      </w:pPr>
      <w:r w:rsidRPr="002237F0">
        <w:rPr>
          <w:szCs w:val="32"/>
          <w:lang w:val="nl-NL"/>
        </w:rPr>
        <w:t xml:space="preserve">Er wordt onderzoek gedaan naar de rol van fair </w:t>
      </w:r>
      <w:proofErr w:type="spellStart"/>
      <w:r w:rsidRPr="002237F0">
        <w:rPr>
          <w:szCs w:val="32"/>
          <w:lang w:val="nl-NL"/>
        </w:rPr>
        <w:t>value</w:t>
      </w:r>
      <w:proofErr w:type="spellEnd"/>
      <w:r w:rsidRPr="002237F0">
        <w:rPr>
          <w:szCs w:val="32"/>
          <w:lang w:val="nl-NL"/>
        </w:rPr>
        <w:t xml:space="preserve"> accounting op drie verschillende wijz</w:t>
      </w:r>
      <w:r w:rsidR="00B41465" w:rsidRPr="002237F0">
        <w:rPr>
          <w:szCs w:val="32"/>
          <w:lang w:val="nl-NL"/>
        </w:rPr>
        <w:t xml:space="preserve">en: Eerst komt de rol van fair </w:t>
      </w:r>
      <w:proofErr w:type="spellStart"/>
      <w:r w:rsidR="00B41465" w:rsidRPr="002237F0">
        <w:rPr>
          <w:szCs w:val="32"/>
          <w:lang w:val="nl-NL"/>
        </w:rPr>
        <w:t>value</w:t>
      </w:r>
      <w:proofErr w:type="spellEnd"/>
      <w:r w:rsidR="00B41465" w:rsidRPr="002237F0">
        <w:rPr>
          <w:szCs w:val="32"/>
          <w:lang w:val="nl-NL"/>
        </w:rPr>
        <w:t xml:space="preserve"> accounting binnen het ontstaan van de bankencrisis aan de orde. Er wordt geconcludeerd dat de rol van fair </w:t>
      </w:r>
      <w:proofErr w:type="spellStart"/>
      <w:r w:rsidR="00B41465" w:rsidRPr="002237F0">
        <w:rPr>
          <w:szCs w:val="32"/>
          <w:lang w:val="nl-NL"/>
        </w:rPr>
        <w:t>value</w:t>
      </w:r>
      <w:proofErr w:type="spellEnd"/>
      <w:r w:rsidR="00B41465" w:rsidRPr="002237F0">
        <w:rPr>
          <w:szCs w:val="32"/>
          <w:lang w:val="nl-NL"/>
        </w:rPr>
        <w:t xml:space="preserve"> accounting groot is geweest, maar dat haar invloed klein is geweest. Fair </w:t>
      </w:r>
      <w:proofErr w:type="spellStart"/>
      <w:r w:rsidR="00B41465" w:rsidRPr="002237F0">
        <w:rPr>
          <w:szCs w:val="32"/>
          <w:lang w:val="nl-NL"/>
        </w:rPr>
        <w:t>value</w:t>
      </w:r>
      <w:proofErr w:type="spellEnd"/>
      <w:r w:rsidR="00B41465" w:rsidRPr="002237F0">
        <w:rPr>
          <w:szCs w:val="32"/>
          <w:lang w:val="nl-NL"/>
        </w:rPr>
        <w:t xml:space="preserve"> accounting </w:t>
      </w:r>
      <w:proofErr w:type="gramStart"/>
      <w:r w:rsidR="00B41465" w:rsidRPr="002237F0">
        <w:rPr>
          <w:szCs w:val="32"/>
          <w:lang w:val="nl-NL"/>
        </w:rPr>
        <w:t>heeft</w:t>
      </w:r>
      <w:proofErr w:type="gramEnd"/>
      <w:r w:rsidR="00B41465" w:rsidRPr="002237F0">
        <w:rPr>
          <w:szCs w:val="32"/>
          <w:lang w:val="nl-NL"/>
        </w:rPr>
        <w:t xml:space="preserve"> volgens dit onderzoek als boodschapper van de crisis opget</w:t>
      </w:r>
      <w:r w:rsidR="00C42637" w:rsidRPr="002237F0">
        <w:rPr>
          <w:szCs w:val="32"/>
          <w:lang w:val="nl-NL"/>
        </w:rPr>
        <w:t>reden</w:t>
      </w:r>
      <w:r w:rsidR="00B41465" w:rsidRPr="002237F0">
        <w:rPr>
          <w:szCs w:val="32"/>
          <w:lang w:val="nl-NL"/>
        </w:rPr>
        <w:t xml:space="preserve"> en niet als veroorzaker. Hierna komt een tijdens de crisis gedane aanpassing aan </w:t>
      </w:r>
      <w:proofErr w:type="spellStart"/>
      <w:r w:rsidR="00B41465" w:rsidRPr="002237F0">
        <w:rPr>
          <w:szCs w:val="32"/>
          <w:lang w:val="nl-NL"/>
        </w:rPr>
        <w:t>IFRS-regels</w:t>
      </w:r>
      <w:proofErr w:type="spellEnd"/>
      <w:r w:rsidR="00B41465" w:rsidRPr="002237F0">
        <w:rPr>
          <w:szCs w:val="32"/>
          <w:lang w:val="nl-NL"/>
        </w:rPr>
        <w:t xml:space="preserve"> aan bod. Er wordt beoordeeld in hoeverre het afstappen van de fair </w:t>
      </w:r>
      <w:proofErr w:type="spellStart"/>
      <w:r w:rsidR="00B41465" w:rsidRPr="002237F0">
        <w:rPr>
          <w:szCs w:val="32"/>
          <w:lang w:val="nl-NL"/>
        </w:rPr>
        <w:t>value</w:t>
      </w:r>
      <w:proofErr w:type="spellEnd"/>
      <w:r w:rsidR="00B41465" w:rsidRPr="002237F0">
        <w:rPr>
          <w:szCs w:val="32"/>
          <w:lang w:val="nl-NL"/>
        </w:rPr>
        <w:t xml:space="preserve"> waarderingsmethode invloed heeft gehad op de bankencrisis. Dit onderzoek concludeert dat de korte termijn effecten van het amendement positief waren voor de bankensector, maar dat het amendement regelgevingtechnisch gezien niet goed is. Daarna wordt besproken welke effecten fair </w:t>
      </w:r>
      <w:proofErr w:type="spellStart"/>
      <w:r w:rsidR="00B41465" w:rsidRPr="002237F0">
        <w:rPr>
          <w:szCs w:val="32"/>
          <w:lang w:val="nl-NL"/>
        </w:rPr>
        <w:t>value</w:t>
      </w:r>
      <w:proofErr w:type="spellEnd"/>
      <w:r w:rsidR="00B41465" w:rsidRPr="002237F0">
        <w:rPr>
          <w:szCs w:val="32"/>
          <w:lang w:val="nl-NL"/>
        </w:rPr>
        <w:t xml:space="preserve"> accounting heeft op een bank zelf. Hier </w:t>
      </w:r>
      <w:r w:rsidR="000F7EA9" w:rsidRPr="002237F0">
        <w:rPr>
          <w:szCs w:val="32"/>
          <w:lang w:val="nl-NL"/>
        </w:rPr>
        <w:t xml:space="preserve">wordt </w:t>
      </w:r>
      <w:r w:rsidR="00B41465" w:rsidRPr="002237F0">
        <w:rPr>
          <w:szCs w:val="32"/>
          <w:lang w:val="nl-NL"/>
        </w:rPr>
        <w:t xml:space="preserve">geconcludeerd dat fair </w:t>
      </w:r>
      <w:proofErr w:type="spellStart"/>
      <w:r w:rsidR="00B41465" w:rsidRPr="002237F0">
        <w:rPr>
          <w:szCs w:val="32"/>
          <w:lang w:val="nl-NL"/>
        </w:rPr>
        <w:t>value</w:t>
      </w:r>
      <w:proofErr w:type="spellEnd"/>
      <w:r w:rsidR="00B41465" w:rsidRPr="002237F0">
        <w:rPr>
          <w:szCs w:val="32"/>
          <w:lang w:val="nl-NL"/>
        </w:rPr>
        <w:t xml:space="preserve"> de belangen van een individuele bank het beste dient.</w:t>
      </w:r>
    </w:p>
    <w:p w:rsidR="005B4FBB" w:rsidRPr="002237F0" w:rsidRDefault="003C764F" w:rsidP="0088195E">
      <w:pPr>
        <w:rPr>
          <w:szCs w:val="32"/>
          <w:lang w:val="nl-NL"/>
        </w:rPr>
      </w:pPr>
      <w:r w:rsidRPr="002237F0">
        <w:rPr>
          <w:szCs w:val="32"/>
          <w:lang w:val="nl-NL"/>
        </w:rPr>
        <w:t xml:space="preserve">Nadat onderzocht is welke werking fair </w:t>
      </w:r>
      <w:proofErr w:type="spellStart"/>
      <w:r w:rsidRPr="002237F0">
        <w:rPr>
          <w:szCs w:val="32"/>
          <w:lang w:val="nl-NL"/>
        </w:rPr>
        <w:t>value</w:t>
      </w:r>
      <w:proofErr w:type="spellEnd"/>
      <w:r w:rsidRPr="002237F0">
        <w:rPr>
          <w:szCs w:val="32"/>
          <w:lang w:val="nl-NL"/>
        </w:rPr>
        <w:t xml:space="preserve"> accounting gehad heeft in de crisis, word</w:t>
      </w:r>
      <w:r w:rsidR="00893A95" w:rsidRPr="002237F0">
        <w:rPr>
          <w:szCs w:val="32"/>
          <w:lang w:val="nl-NL"/>
        </w:rPr>
        <w:t xml:space="preserve">t er aandacht besteed aan internationale regels van bankregulering. Bij het beantwoorden van de vraag welke rol fair </w:t>
      </w:r>
      <w:proofErr w:type="spellStart"/>
      <w:r w:rsidR="00893A95" w:rsidRPr="002237F0">
        <w:rPr>
          <w:szCs w:val="32"/>
          <w:lang w:val="nl-NL"/>
        </w:rPr>
        <w:t>value</w:t>
      </w:r>
      <w:proofErr w:type="spellEnd"/>
      <w:r w:rsidR="00893A95" w:rsidRPr="002237F0">
        <w:rPr>
          <w:szCs w:val="32"/>
          <w:lang w:val="nl-NL"/>
        </w:rPr>
        <w:t xml:space="preserve"> </w:t>
      </w:r>
      <w:r w:rsidR="00C42637" w:rsidRPr="002237F0">
        <w:rPr>
          <w:szCs w:val="32"/>
          <w:lang w:val="nl-NL"/>
        </w:rPr>
        <w:t>accounting speelde in de crisis</w:t>
      </w:r>
      <w:r w:rsidR="00893A95" w:rsidRPr="002237F0">
        <w:rPr>
          <w:szCs w:val="32"/>
          <w:lang w:val="nl-NL"/>
        </w:rPr>
        <w:t xml:space="preserve"> kwamen de gevolgen van bankregulering </w:t>
      </w:r>
      <w:r w:rsidR="005B4FBB" w:rsidRPr="002237F0">
        <w:rPr>
          <w:szCs w:val="32"/>
          <w:lang w:val="nl-NL"/>
        </w:rPr>
        <w:t xml:space="preserve">meer dan eens ter sprake. Er wordt besproken welke regelgeving de internationale financiële wereld kent(de </w:t>
      </w:r>
      <w:proofErr w:type="spellStart"/>
      <w:r w:rsidR="005B4FBB" w:rsidRPr="002237F0">
        <w:rPr>
          <w:szCs w:val="32"/>
          <w:lang w:val="nl-NL"/>
        </w:rPr>
        <w:t>Basel-akkoorden</w:t>
      </w:r>
      <w:proofErr w:type="spellEnd"/>
      <w:r w:rsidR="005B4FBB" w:rsidRPr="002237F0">
        <w:rPr>
          <w:szCs w:val="32"/>
          <w:lang w:val="nl-NL"/>
        </w:rPr>
        <w:t xml:space="preserve">) en wat de effecten van deze regelgeving zijn geweest op de crisis. Er wordt geconcludeerd dat vooral het door Basel verplichte minimumgarantievermogen en de van toepassing zijnde risicowegingsfactoren een procyclische werking gehad hebben. Het zijn deze procyclische bewegingen waar fair </w:t>
      </w:r>
      <w:proofErr w:type="spellStart"/>
      <w:r w:rsidR="005B4FBB" w:rsidRPr="002237F0">
        <w:rPr>
          <w:szCs w:val="32"/>
          <w:lang w:val="nl-NL"/>
        </w:rPr>
        <w:t>value</w:t>
      </w:r>
      <w:proofErr w:type="spellEnd"/>
      <w:r w:rsidR="005B4FBB" w:rsidRPr="002237F0">
        <w:rPr>
          <w:szCs w:val="32"/>
          <w:lang w:val="nl-NL"/>
        </w:rPr>
        <w:t xml:space="preserve"> accounting de boodschapper van is. </w:t>
      </w:r>
    </w:p>
    <w:p w:rsidR="00C42637" w:rsidRPr="002237F0" w:rsidRDefault="005B4FBB" w:rsidP="0088195E">
      <w:pPr>
        <w:rPr>
          <w:szCs w:val="32"/>
          <w:lang w:val="nl-NL"/>
        </w:rPr>
      </w:pPr>
      <w:r w:rsidRPr="002237F0">
        <w:rPr>
          <w:szCs w:val="32"/>
          <w:lang w:val="nl-NL"/>
        </w:rPr>
        <w:t xml:space="preserve">Nadat aan bod is gekomen welke rol accountingstandaarden en bankregels gespeeld hebben in de crisis wordt de toekomst van waardering van financiële instrumenten en de bankensector besproken. Dit onderzoek komt tot de conclusie dat de voorgenomen nieuwe standaard IFRS 9 een positieve verandering in regelgeving teweeg zal brengen. Hiermee wordt het gemaakte amendement op IAS 39 ongedaan gemaakt en fair </w:t>
      </w:r>
      <w:proofErr w:type="spellStart"/>
      <w:r w:rsidRPr="002237F0">
        <w:rPr>
          <w:szCs w:val="32"/>
          <w:lang w:val="nl-NL"/>
        </w:rPr>
        <w:t>value</w:t>
      </w:r>
      <w:proofErr w:type="spellEnd"/>
      <w:r w:rsidRPr="002237F0">
        <w:rPr>
          <w:szCs w:val="32"/>
          <w:lang w:val="nl-NL"/>
        </w:rPr>
        <w:t xml:space="preserve"> accounting wordt strikter toegepast. Er wordt geconcludeerd dat fair </w:t>
      </w:r>
      <w:proofErr w:type="spellStart"/>
      <w:r w:rsidRPr="002237F0">
        <w:rPr>
          <w:szCs w:val="32"/>
          <w:lang w:val="nl-NL"/>
        </w:rPr>
        <w:t>value</w:t>
      </w:r>
      <w:proofErr w:type="spellEnd"/>
      <w:r w:rsidRPr="002237F0">
        <w:rPr>
          <w:szCs w:val="32"/>
          <w:lang w:val="nl-NL"/>
        </w:rPr>
        <w:t xml:space="preserve"> accounting voor het waarderen van financiële instrumenten de beste waarderingsmethode is. </w:t>
      </w:r>
    </w:p>
    <w:p w:rsidR="00C42637" w:rsidRPr="002237F0" w:rsidRDefault="00C42637" w:rsidP="0088195E">
      <w:pPr>
        <w:rPr>
          <w:szCs w:val="32"/>
          <w:lang w:val="nl-NL"/>
        </w:rPr>
      </w:pPr>
      <w:r w:rsidRPr="002237F0">
        <w:rPr>
          <w:szCs w:val="32"/>
          <w:lang w:val="nl-NL"/>
        </w:rPr>
        <w:t>Daarnaast worden er nog conclusies getrokken met betrekking tot de internationale bankregulering. Er wordt geconstateerd dat schaalvergroting niet het juiste antwoord is op de bankencrisis, en dat diversiteit van nationale bankregels de gezondheid van het financiële systeem ten goede komt. Dit onderzoek betoogt dat in het kader van vergelijkbaarheid waarderingsmaatstaven mondiaal hetzelfde dienen te zi</w:t>
      </w:r>
      <w:r w:rsidR="000F7EA9" w:rsidRPr="002237F0">
        <w:rPr>
          <w:szCs w:val="32"/>
          <w:lang w:val="nl-NL"/>
        </w:rPr>
        <w:t>jn, maar dat regels voor banken</w:t>
      </w:r>
      <w:r w:rsidRPr="002237F0">
        <w:rPr>
          <w:szCs w:val="32"/>
          <w:lang w:val="nl-NL"/>
        </w:rPr>
        <w:t xml:space="preserve"> nationaal </w:t>
      </w:r>
      <w:r w:rsidR="009A05D3" w:rsidRPr="002237F0">
        <w:rPr>
          <w:szCs w:val="32"/>
          <w:lang w:val="nl-NL"/>
        </w:rPr>
        <w:t>horen</w:t>
      </w:r>
      <w:r w:rsidRPr="002237F0">
        <w:rPr>
          <w:szCs w:val="32"/>
          <w:lang w:val="nl-NL"/>
        </w:rPr>
        <w:t xml:space="preserve"> te </w:t>
      </w:r>
      <w:r w:rsidR="009A05D3" w:rsidRPr="002237F0">
        <w:rPr>
          <w:szCs w:val="32"/>
          <w:lang w:val="nl-NL"/>
        </w:rPr>
        <w:t xml:space="preserve">verschillen. </w:t>
      </w:r>
    </w:p>
    <w:p w:rsidR="0088195E" w:rsidRPr="002237F0" w:rsidRDefault="0088195E" w:rsidP="0088195E">
      <w:pPr>
        <w:rPr>
          <w:szCs w:val="32"/>
          <w:lang w:val="nl-NL"/>
        </w:rPr>
      </w:pPr>
      <w:r w:rsidRPr="002237F0">
        <w:rPr>
          <w:b/>
          <w:sz w:val="32"/>
          <w:szCs w:val="32"/>
          <w:lang w:val="nl-NL"/>
        </w:rPr>
        <w:t>Aanleiding</w:t>
      </w:r>
    </w:p>
    <w:p w:rsidR="0088195E" w:rsidRPr="002237F0" w:rsidRDefault="0088195E" w:rsidP="0088195E">
      <w:pPr>
        <w:rPr>
          <w:lang w:val="nl-NL"/>
        </w:rPr>
      </w:pPr>
      <w:r w:rsidRPr="002237F0">
        <w:rPr>
          <w:lang w:val="nl-NL"/>
        </w:rPr>
        <w:t xml:space="preserve">De reden onderzoek te doen naar de waardering van financiële instrumenten binnen de bancaire sector is er een van actualiteit. Als </w:t>
      </w:r>
      <w:r w:rsidR="00671C04" w:rsidRPr="002237F0">
        <w:rPr>
          <w:lang w:val="nl-NL"/>
        </w:rPr>
        <w:t>er gesproken wordt</w:t>
      </w:r>
      <w:r w:rsidRPr="002237F0">
        <w:rPr>
          <w:lang w:val="nl-NL"/>
        </w:rPr>
        <w:t xml:space="preserve"> over de kredietcrisis</w:t>
      </w:r>
      <w:r w:rsidR="00671C04" w:rsidRPr="002237F0">
        <w:rPr>
          <w:lang w:val="nl-NL"/>
        </w:rPr>
        <w:t xml:space="preserve"> </w:t>
      </w:r>
      <w:r w:rsidRPr="002237F0">
        <w:rPr>
          <w:lang w:val="nl-NL"/>
        </w:rPr>
        <w:t>vallen al snel woorden al</w:t>
      </w:r>
      <w:r w:rsidR="00671C04" w:rsidRPr="002237F0">
        <w:rPr>
          <w:lang w:val="nl-NL"/>
        </w:rPr>
        <w:t>s “bankensector” en “ derivaten”</w:t>
      </w:r>
      <w:r w:rsidRPr="002237F0">
        <w:rPr>
          <w:lang w:val="nl-NL"/>
        </w:rPr>
        <w:t xml:space="preserve">. </w:t>
      </w:r>
      <w:r w:rsidR="00671C04" w:rsidRPr="002237F0">
        <w:rPr>
          <w:lang w:val="nl-NL"/>
        </w:rPr>
        <w:t>Omdat het onderwerp interessant is vind ik het</w:t>
      </w:r>
      <w:r w:rsidRPr="002237F0">
        <w:rPr>
          <w:lang w:val="nl-NL"/>
        </w:rPr>
        <w:t xml:space="preserve"> jammer dat ik er weinig van af weet. Binnen het werkcollege externe verslaggeving zijn financiële instrumenten noch de bankwereld ter sprake gekomen. </w:t>
      </w:r>
    </w:p>
    <w:p w:rsidR="0088195E" w:rsidRPr="002237F0" w:rsidRDefault="0088195E" w:rsidP="0088195E">
      <w:pPr>
        <w:rPr>
          <w:lang w:val="nl-NL"/>
        </w:rPr>
      </w:pPr>
      <w:r w:rsidRPr="002237F0">
        <w:rPr>
          <w:lang w:val="nl-NL"/>
        </w:rPr>
        <w:t xml:space="preserve">Na het lezen van de hoofdstukken over financiële instrumenten en banken in het </w:t>
      </w:r>
      <w:r w:rsidRPr="002237F0">
        <w:rPr>
          <w:i/>
          <w:lang w:val="nl-NL"/>
        </w:rPr>
        <w:t xml:space="preserve">Handboek </w:t>
      </w:r>
      <w:proofErr w:type="gramStart"/>
      <w:r w:rsidRPr="002237F0">
        <w:rPr>
          <w:i/>
          <w:lang w:val="nl-NL"/>
        </w:rPr>
        <w:t xml:space="preserve">Jaarrekening </w:t>
      </w:r>
      <w:r w:rsidR="00671C04" w:rsidRPr="002237F0">
        <w:rPr>
          <w:lang w:val="nl-NL"/>
        </w:rPr>
        <w:t xml:space="preserve"> </w:t>
      </w:r>
      <w:proofErr w:type="gramEnd"/>
      <w:r w:rsidR="00671C04" w:rsidRPr="002237F0">
        <w:rPr>
          <w:lang w:val="nl-NL"/>
        </w:rPr>
        <w:t>wist ik</w:t>
      </w:r>
      <w:r w:rsidRPr="002237F0">
        <w:rPr>
          <w:lang w:val="nl-NL"/>
        </w:rPr>
        <w:t xml:space="preserve"> dat mijn scriptie over</w:t>
      </w:r>
      <w:r w:rsidR="00671C04" w:rsidRPr="002237F0">
        <w:rPr>
          <w:lang w:val="nl-NL"/>
        </w:rPr>
        <w:t xml:space="preserve"> deze onderwerpen</w:t>
      </w:r>
      <w:r w:rsidRPr="002237F0">
        <w:rPr>
          <w:lang w:val="nl-NL"/>
        </w:rPr>
        <w:t xml:space="preserve"> zou gaan. </w:t>
      </w:r>
      <w:r w:rsidR="00671C04" w:rsidRPr="002237F0">
        <w:rPr>
          <w:lang w:val="nl-NL"/>
        </w:rPr>
        <w:t>Zij</w:t>
      </w:r>
      <w:r w:rsidRPr="002237F0">
        <w:rPr>
          <w:lang w:val="nl-NL"/>
        </w:rPr>
        <w:t xml:space="preserve"> hebben veel met elkaar te maken. Veel van de activa en passiva van de bank bestaan uit financiële instrumenten, en binnen de IFRS gaat er op dat gebied veel veranderen. </w:t>
      </w:r>
    </w:p>
    <w:p w:rsidR="0088195E" w:rsidRPr="002237F0" w:rsidRDefault="0088195E" w:rsidP="0088195E">
      <w:pPr>
        <w:rPr>
          <w:lang w:val="nl-NL"/>
        </w:rPr>
      </w:pPr>
      <w:r w:rsidRPr="002237F0">
        <w:rPr>
          <w:lang w:val="nl-NL"/>
        </w:rPr>
        <w:t>Ik besef dat de regelgeving rondom financi</w:t>
      </w:r>
      <w:r w:rsidR="00671C04" w:rsidRPr="002237F0">
        <w:rPr>
          <w:lang w:val="nl-NL"/>
        </w:rPr>
        <w:t>ële instrumenten ingewikkeld is en als er kant en klare oplossingen</w:t>
      </w:r>
      <w:r w:rsidRPr="002237F0">
        <w:rPr>
          <w:lang w:val="nl-NL"/>
        </w:rPr>
        <w:t xml:space="preserve"> waren voor de huidige problemen hadden we nu niet in een bankencrisis gezeten. Mijn doel is de </w:t>
      </w:r>
      <w:r w:rsidR="00671C04" w:rsidRPr="002237F0">
        <w:rPr>
          <w:lang w:val="nl-NL"/>
        </w:rPr>
        <w:t>oude en nieuwe</w:t>
      </w:r>
      <w:r w:rsidRPr="002237F0">
        <w:rPr>
          <w:lang w:val="nl-NL"/>
        </w:rPr>
        <w:t xml:space="preserve"> regelgeving </w:t>
      </w:r>
      <w:r w:rsidR="00671C04" w:rsidRPr="002237F0">
        <w:rPr>
          <w:lang w:val="nl-NL"/>
        </w:rPr>
        <w:t>over</w:t>
      </w:r>
      <w:r w:rsidRPr="002237F0">
        <w:rPr>
          <w:lang w:val="nl-NL"/>
        </w:rPr>
        <w:t xml:space="preserve"> financ</w:t>
      </w:r>
      <w:r w:rsidR="00671C04" w:rsidRPr="002237F0">
        <w:rPr>
          <w:lang w:val="nl-NL"/>
        </w:rPr>
        <w:t>iële instrumenten te analyseren</w:t>
      </w:r>
      <w:r w:rsidRPr="002237F0">
        <w:rPr>
          <w:lang w:val="nl-NL"/>
        </w:rPr>
        <w:t xml:space="preserve"> en hun rol binnen de bankencrisis te verklaren. Ik hoop tot meer inzicht te komen op het gebied van de regelgeving voor ba</w:t>
      </w:r>
      <w:r w:rsidR="00671C04" w:rsidRPr="002237F0">
        <w:rPr>
          <w:lang w:val="nl-NL"/>
        </w:rPr>
        <w:t>nken en financiële instrumenten</w:t>
      </w:r>
      <w:r w:rsidRPr="002237F0">
        <w:rPr>
          <w:lang w:val="nl-NL"/>
        </w:rPr>
        <w:t xml:space="preserve"> en met antwoorden te komen in hoeverre een waarderingsregel invloed </w:t>
      </w:r>
      <w:r w:rsidR="00671C04" w:rsidRPr="002237F0">
        <w:rPr>
          <w:lang w:val="nl-NL"/>
        </w:rPr>
        <w:t>heeft</w:t>
      </w:r>
      <w:r w:rsidRPr="002237F0">
        <w:rPr>
          <w:lang w:val="nl-NL"/>
        </w:rPr>
        <w:t xml:space="preserve"> op een bank.</w:t>
      </w:r>
    </w:p>
    <w:p w:rsidR="0088195E" w:rsidRPr="002237F0" w:rsidRDefault="0088195E" w:rsidP="0088195E">
      <w:pPr>
        <w:rPr>
          <w:b/>
          <w:sz w:val="32"/>
          <w:szCs w:val="32"/>
          <w:lang w:val="nl-NL"/>
        </w:rPr>
      </w:pPr>
      <w:r w:rsidRPr="002237F0">
        <w:rPr>
          <w:b/>
          <w:sz w:val="32"/>
          <w:szCs w:val="32"/>
          <w:lang w:val="nl-NL"/>
        </w:rPr>
        <w:t>Relevantie van het onderwerp</w:t>
      </w:r>
    </w:p>
    <w:p w:rsidR="0088195E" w:rsidRPr="002237F0" w:rsidRDefault="0088195E" w:rsidP="0088195E">
      <w:pPr>
        <w:rPr>
          <w:lang w:val="nl-NL"/>
        </w:rPr>
      </w:pPr>
      <w:r w:rsidRPr="002237F0">
        <w:rPr>
          <w:lang w:val="nl-NL"/>
        </w:rPr>
        <w:t xml:space="preserve">Het gekozen onderwerp is relevant. Niet alleen binnen de bancaire sector zijn financiële instrumenten belangrijk. De lijst van bedrijven die in de moeilijkheden zijn gekomen door verkeerd aangekochte of geïnterpreteerde derivaten is bijvoorbeeld lang. De meest relevante regelgevingen, IAS 39 en </w:t>
      </w:r>
      <w:r w:rsidR="00671C04" w:rsidRPr="002237F0">
        <w:rPr>
          <w:lang w:val="nl-NL"/>
        </w:rPr>
        <w:t>de</w:t>
      </w:r>
      <w:r w:rsidRPr="002237F0">
        <w:rPr>
          <w:lang w:val="nl-NL"/>
        </w:rPr>
        <w:t xml:space="preserve"> beoogde vervanger IFRS 9, veranderen van jaar tot jaar. Ook de introductie v</w:t>
      </w:r>
      <w:r w:rsidR="00671C04" w:rsidRPr="002237F0">
        <w:rPr>
          <w:lang w:val="nl-NL"/>
        </w:rPr>
        <w:t xml:space="preserve">an het internationale Basel </w:t>
      </w:r>
      <w:proofErr w:type="spellStart"/>
      <w:r w:rsidR="00671C04" w:rsidRPr="002237F0">
        <w:rPr>
          <w:lang w:val="nl-NL"/>
        </w:rPr>
        <w:t>III-</w:t>
      </w:r>
      <w:r w:rsidRPr="002237F0">
        <w:rPr>
          <w:lang w:val="nl-NL"/>
        </w:rPr>
        <w:t>akkoord</w:t>
      </w:r>
      <w:proofErr w:type="spellEnd"/>
      <w:r w:rsidRPr="002237F0">
        <w:rPr>
          <w:lang w:val="nl-NL"/>
        </w:rPr>
        <w:t xml:space="preserve"> werkt in een bepaalde(nog te onderzoeken) mate door in </w:t>
      </w:r>
      <w:r w:rsidR="00671C04" w:rsidRPr="002237F0">
        <w:rPr>
          <w:lang w:val="nl-NL"/>
        </w:rPr>
        <w:t xml:space="preserve">de </w:t>
      </w:r>
      <w:r w:rsidRPr="002237F0">
        <w:rPr>
          <w:lang w:val="nl-NL"/>
        </w:rPr>
        <w:t xml:space="preserve">financiële regelgeving. </w:t>
      </w:r>
    </w:p>
    <w:p w:rsidR="0088195E" w:rsidRPr="002237F0" w:rsidRDefault="0088195E" w:rsidP="0088195E">
      <w:pPr>
        <w:rPr>
          <w:lang w:val="nl-NL"/>
        </w:rPr>
      </w:pPr>
      <w:r w:rsidRPr="002237F0">
        <w:rPr>
          <w:lang w:val="nl-NL"/>
        </w:rPr>
        <w:t xml:space="preserve">Het onderwerp is belangrijk voor de externe verslaggeving, omdat het de verslaggeving betreft van een instelling die van fundamenteel belang is voor de werking van het economische systeem. Het is belangrijk de juiste waarderingsmaatstaven </w:t>
      </w:r>
      <w:r w:rsidR="00671C04" w:rsidRPr="002237F0">
        <w:rPr>
          <w:lang w:val="nl-NL"/>
        </w:rPr>
        <w:t>te vinden die zorgen voor een</w:t>
      </w:r>
      <w:r w:rsidRPr="002237F0">
        <w:rPr>
          <w:lang w:val="nl-NL"/>
        </w:rPr>
        <w:t xml:space="preserve"> verantwoorde</w:t>
      </w:r>
      <w:r w:rsidR="00671C04" w:rsidRPr="002237F0">
        <w:rPr>
          <w:lang w:val="nl-NL"/>
        </w:rPr>
        <w:t xml:space="preserve"> </w:t>
      </w:r>
      <w:r w:rsidRPr="002237F0">
        <w:rPr>
          <w:lang w:val="nl-NL"/>
        </w:rPr>
        <w:t xml:space="preserve">verslaggeving van banken en hun activa. </w:t>
      </w:r>
    </w:p>
    <w:p w:rsidR="0088195E" w:rsidRPr="002237F0" w:rsidRDefault="0088195E" w:rsidP="0088195E">
      <w:pPr>
        <w:rPr>
          <w:b/>
          <w:sz w:val="32"/>
          <w:szCs w:val="32"/>
          <w:lang w:val="nl-NL"/>
        </w:rPr>
      </w:pPr>
      <w:r w:rsidRPr="002237F0">
        <w:rPr>
          <w:b/>
          <w:sz w:val="32"/>
          <w:szCs w:val="32"/>
          <w:lang w:val="nl-NL"/>
        </w:rPr>
        <w:t>Methode van onderzoek</w:t>
      </w:r>
    </w:p>
    <w:p w:rsidR="004812D6" w:rsidRPr="002237F0" w:rsidRDefault="0088195E" w:rsidP="00BB06F2">
      <w:pPr>
        <w:rPr>
          <w:lang w:val="nl-NL"/>
        </w:rPr>
      </w:pPr>
      <w:r w:rsidRPr="002237F0">
        <w:rPr>
          <w:lang w:val="nl-NL"/>
        </w:rPr>
        <w:t xml:space="preserve">Dit onderzoek </w:t>
      </w:r>
      <w:r w:rsidR="00345B2F" w:rsidRPr="002237F0">
        <w:rPr>
          <w:lang w:val="nl-NL"/>
        </w:rPr>
        <w:t xml:space="preserve">richt zich tot </w:t>
      </w:r>
      <w:r w:rsidRPr="002237F0">
        <w:rPr>
          <w:lang w:val="nl-NL"/>
        </w:rPr>
        <w:t>de</w:t>
      </w:r>
      <w:r w:rsidR="00671C04" w:rsidRPr="002237F0">
        <w:rPr>
          <w:lang w:val="nl-NL"/>
        </w:rPr>
        <w:t xml:space="preserve"> relevante</w:t>
      </w:r>
      <w:r w:rsidRPr="002237F0">
        <w:rPr>
          <w:lang w:val="nl-NL"/>
        </w:rPr>
        <w:t xml:space="preserve"> literatuur. Er zullen </w:t>
      </w:r>
      <w:r w:rsidR="00671C04" w:rsidRPr="002237F0">
        <w:rPr>
          <w:lang w:val="nl-NL"/>
        </w:rPr>
        <w:t>bovendien</w:t>
      </w:r>
      <w:r w:rsidRPr="002237F0">
        <w:rPr>
          <w:lang w:val="nl-NL"/>
        </w:rPr>
        <w:t xml:space="preserve"> analytische onderzoeken van andere onderzoekers geraadpleegd worden. Bronnen die gebruikt worden zijn wetenschappelijke artikelen, boeken, onderzoeken, opiniërende artikelen, bronnen van IFRS regelgevin</w:t>
      </w:r>
      <w:r w:rsidR="004812D6" w:rsidRPr="002237F0">
        <w:rPr>
          <w:lang w:val="nl-NL"/>
        </w:rPr>
        <w:t>g en verslaggeving van banken.</w:t>
      </w:r>
    </w:p>
    <w:p w:rsidR="00A324E1" w:rsidRPr="002237F0" w:rsidRDefault="00A324E1" w:rsidP="00BB06F2">
      <w:pPr>
        <w:rPr>
          <w:b/>
          <w:sz w:val="32"/>
          <w:szCs w:val="32"/>
          <w:lang w:val="nl-NL"/>
        </w:rPr>
      </w:pPr>
    </w:p>
    <w:p w:rsidR="00573A4B" w:rsidRPr="002237F0" w:rsidRDefault="00573A4B" w:rsidP="00BB06F2">
      <w:pPr>
        <w:rPr>
          <w:b/>
          <w:sz w:val="32"/>
          <w:szCs w:val="32"/>
          <w:lang w:val="nl-NL"/>
        </w:rPr>
      </w:pPr>
    </w:p>
    <w:p w:rsidR="00A849EF" w:rsidRPr="002237F0" w:rsidRDefault="00BB06F2" w:rsidP="00BB06F2">
      <w:pPr>
        <w:rPr>
          <w:lang w:val="nl-NL"/>
        </w:rPr>
      </w:pPr>
      <w:r w:rsidRPr="002237F0">
        <w:rPr>
          <w:b/>
          <w:sz w:val="32"/>
          <w:szCs w:val="32"/>
          <w:lang w:val="nl-NL"/>
        </w:rPr>
        <w:t xml:space="preserve">1. </w:t>
      </w:r>
      <w:r w:rsidR="005D1307" w:rsidRPr="002237F0">
        <w:rPr>
          <w:b/>
          <w:sz w:val="32"/>
          <w:szCs w:val="32"/>
          <w:lang w:val="nl-NL"/>
        </w:rPr>
        <w:t>H</w:t>
      </w:r>
      <w:r w:rsidR="0088195E" w:rsidRPr="002237F0">
        <w:rPr>
          <w:b/>
          <w:sz w:val="32"/>
          <w:szCs w:val="32"/>
          <w:lang w:val="nl-NL"/>
        </w:rPr>
        <w:t xml:space="preserve">oe ziet </w:t>
      </w:r>
      <w:r w:rsidR="00162104" w:rsidRPr="002237F0">
        <w:rPr>
          <w:b/>
          <w:sz w:val="32"/>
          <w:szCs w:val="32"/>
          <w:lang w:val="nl-NL"/>
        </w:rPr>
        <w:t xml:space="preserve">de </w:t>
      </w:r>
      <w:r w:rsidR="0088195E" w:rsidRPr="002237F0">
        <w:rPr>
          <w:b/>
          <w:sz w:val="32"/>
          <w:szCs w:val="32"/>
          <w:lang w:val="nl-NL"/>
        </w:rPr>
        <w:t xml:space="preserve">huidige regelgeving </w:t>
      </w:r>
      <w:r w:rsidR="00162104" w:rsidRPr="002237F0">
        <w:rPr>
          <w:b/>
          <w:sz w:val="32"/>
          <w:szCs w:val="32"/>
          <w:lang w:val="nl-NL"/>
        </w:rPr>
        <w:t>voor</w:t>
      </w:r>
      <w:r w:rsidR="005D1307" w:rsidRPr="002237F0">
        <w:rPr>
          <w:b/>
          <w:sz w:val="32"/>
          <w:szCs w:val="32"/>
          <w:lang w:val="nl-NL"/>
        </w:rPr>
        <w:t xml:space="preserve"> financiële instrumenten er uit? </w:t>
      </w:r>
    </w:p>
    <w:p w:rsidR="009E527B" w:rsidRPr="002237F0" w:rsidRDefault="00C47299">
      <w:pPr>
        <w:rPr>
          <w:lang w:val="nl-NL"/>
        </w:rPr>
      </w:pPr>
      <w:r w:rsidRPr="002237F0">
        <w:rPr>
          <w:lang w:val="nl-NL"/>
        </w:rPr>
        <w:t>Met betrekking tot</w:t>
      </w:r>
      <w:r w:rsidR="00340229" w:rsidRPr="002237F0">
        <w:rPr>
          <w:lang w:val="nl-NL"/>
        </w:rPr>
        <w:t xml:space="preserve"> de waarderingsmaatstaven van financiële in</w:t>
      </w:r>
      <w:r w:rsidR="00345B2F" w:rsidRPr="002237F0">
        <w:rPr>
          <w:lang w:val="nl-NL"/>
        </w:rPr>
        <w:t>strumenten is er veel veranderd</w:t>
      </w:r>
      <w:r w:rsidR="00340229" w:rsidRPr="002237F0">
        <w:rPr>
          <w:lang w:val="nl-NL"/>
        </w:rPr>
        <w:t xml:space="preserve"> en </w:t>
      </w:r>
      <w:r w:rsidR="00162104" w:rsidRPr="002237F0">
        <w:rPr>
          <w:lang w:val="nl-NL"/>
        </w:rPr>
        <w:t>z</w:t>
      </w:r>
      <w:r w:rsidR="003334D4" w:rsidRPr="002237F0">
        <w:rPr>
          <w:lang w:val="nl-NL"/>
        </w:rPr>
        <w:t>ullen er in de toekomst ook vele</w:t>
      </w:r>
      <w:r w:rsidR="00162104" w:rsidRPr="002237F0">
        <w:rPr>
          <w:lang w:val="nl-NL"/>
        </w:rPr>
        <w:t xml:space="preserve"> veranderingen plaatsvinden</w:t>
      </w:r>
      <w:sdt>
        <w:sdtPr>
          <w:rPr>
            <w:lang w:val="nl-NL"/>
          </w:rPr>
          <w:id w:val="-1368059501"/>
          <w:citation/>
        </w:sdtPr>
        <w:sdtContent>
          <w:r w:rsidR="003C13F3" w:rsidRPr="002237F0">
            <w:rPr>
              <w:lang w:val="nl-NL"/>
            </w:rPr>
            <w:fldChar w:fldCharType="begin"/>
          </w:r>
          <w:r w:rsidRPr="002237F0">
            <w:rPr>
              <w:lang w:val="nl-NL"/>
            </w:rPr>
            <w:instrText xml:space="preserve"> CITATION Ste10 \l 1033 </w:instrText>
          </w:r>
          <w:r w:rsidR="003C13F3" w:rsidRPr="002237F0">
            <w:rPr>
              <w:lang w:val="nl-NL"/>
            </w:rPr>
            <w:fldChar w:fldCharType="separate"/>
          </w:r>
          <w:r w:rsidRPr="002237F0">
            <w:rPr>
              <w:noProof/>
              <w:lang w:val="nl-NL"/>
            </w:rPr>
            <w:t xml:space="preserve"> (Chan, 2010)</w:t>
          </w:r>
          <w:r w:rsidR="003C13F3" w:rsidRPr="002237F0">
            <w:rPr>
              <w:lang w:val="nl-NL"/>
            </w:rPr>
            <w:fldChar w:fldCharType="end"/>
          </w:r>
        </w:sdtContent>
      </w:sdt>
      <w:r w:rsidR="00340229" w:rsidRPr="002237F0">
        <w:rPr>
          <w:lang w:val="nl-NL"/>
        </w:rPr>
        <w:t>. Om</w:t>
      </w:r>
      <w:r w:rsidR="009E527B" w:rsidRPr="002237F0">
        <w:rPr>
          <w:lang w:val="nl-NL"/>
        </w:rPr>
        <w:t xml:space="preserve"> een</w:t>
      </w:r>
      <w:r w:rsidR="00340229" w:rsidRPr="002237F0">
        <w:rPr>
          <w:lang w:val="nl-NL"/>
        </w:rPr>
        <w:t xml:space="preserve"> betere grip te krijgen op de waarderingsmaatstaven wordt er</w:t>
      </w:r>
      <w:r w:rsidRPr="002237F0">
        <w:rPr>
          <w:lang w:val="nl-NL"/>
        </w:rPr>
        <w:t xml:space="preserve"> begonnen</w:t>
      </w:r>
      <w:r w:rsidR="00340229" w:rsidRPr="002237F0">
        <w:rPr>
          <w:lang w:val="nl-NL"/>
        </w:rPr>
        <w:t xml:space="preserve"> met een inventarisatie </w:t>
      </w:r>
      <w:r w:rsidR="00162104" w:rsidRPr="002237F0">
        <w:rPr>
          <w:lang w:val="nl-NL"/>
        </w:rPr>
        <w:t>van de nu</w:t>
      </w:r>
      <w:r w:rsidRPr="002237F0">
        <w:rPr>
          <w:lang w:val="nl-NL"/>
        </w:rPr>
        <w:t xml:space="preserve"> geldende regelgeving. Het </w:t>
      </w:r>
      <w:r w:rsidR="00573A4B" w:rsidRPr="002237F0">
        <w:rPr>
          <w:lang w:val="nl-NL"/>
        </w:rPr>
        <w:t>merendeel</w:t>
      </w:r>
      <w:r w:rsidR="00340229" w:rsidRPr="002237F0">
        <w:rPr>
          <w:lang w:val="nl-NL"/>
        </w:rPr>
        <w:t xml:space="preserve"> van de regels met betrekking tot </w:t>
      </w:r>
      <w:r w:rsidR="00162104" w:rsidRPr="002237F0">
        <w:rPr>
          <w:lang w:val="nl-NL"/>
        </w:rPr>
        <w:t xml:space="preserve">de </w:t>
      </w:r>
      <w:r w:rsidR="00340229" w:rsidRPr="002237F0">
        <w:rPr>
          <w:lang w:val="nl-NL"/>
        </w:rPr>
        <w:t xml:space="preserve">waardering van financiële instrumenten is op dit moment nog te vinden in </w:t>
      </w:r>
      <w:r w:rsidR="00BB06F2" w:rsidRPr="002237F0">
        <w:rPr>
          <w:lang w:val="nl-NL"/>
        </w:rPr>
        <w:t>‘</w:t>
      </w:r>
      <w:r w:rsidR="00340229" w:rsidRPr="002237F0">
        <w:rPr>
          <w:lang w:val="nl-NL"/>
        </w:rPr>
        <w:t>I</w:t>
      </w:r>
      <w:r w:rsidR="00BB06F2" w:rsidRPr="002237F0">
        <w:rPr>
          <w:lang w:val="nl-NL"/>
        </w:rPr>
        <w:t xml:space="preserve">nternational Accounting Standard(IAS) 39 - </w:t>
      </w:r>
      <w:r w:rsidR="00340229" w:rsidRPr="002237F0">
        <w:rPr>
          <w:i/>
          <w:lang w:val="nl-NL"/>
        </w:rPr>
        <w:t xml:space="preserve">Financial </w:t>
      </w:r>
      <w:proofErr w:type="spellStart"/>
      <w:r w:rsidR="00340229" w:rsidRPr="002237F0">
        <w:rPr>
          <w:i/>
          <w:lang w:val="nl-NL"/>
        </w:rPr>
        <w:t>instruments</w:t>
      </w:r>
      <w:proofErr w:type="spellEnd"/>
      <w:r w:rsidR="00340229" w:rsidRPr="002237F0">
        <w:rPr>
          <w:i/>
          <w:lang w:val="nl-NL"/>
        </w:rPr>
        <w:t xml:space="preserve">: </w:t>
      </w:r>
      <w:proofErr w:type="spellStart"/>
      <w:r w:rsidR="00340229" w:rsidRPr="002237F0">
        <w:rPr>
          <w:i/>
          <w:lang w:val="nl-NL"/>
        </w:rPr>
        <w:t>Recognition</w:t>
      </w:r>
      <w:proofErr w:type="spellEnd"/>
      <w:r w:rsidR="00340229" w:rsidRPr="002237F0">
        <w:rPr>
          <w:i/>
          <w:lang w:val="nl-NL"/>
        </w:rPr>
        <w:t xml:space="preserve"> and </w:t>
      </w:r>
      <w:proofErr w:type="spellStart"/>
      <w:r w:rsidR="00340229" w:rsidRPr="002237F0">
        <w:rPr>
          <w:i/>
          <w:lang w:val="nl-NL"/>
        </w:rPr>
        <w:t>Measurement</w:t>
      </w:r>
      <w:proofErr w:type="spellEnd"/>
      <w:r w:rsidR="00BB06F2" w:rsidRPr="002237F0">
        <w:rPr>
          <w:lang w:val="nl-NL"/>
        </w:rPr>
        <w:t>’</w:t>
      </w:r>
      <w:r w:rsidR="00340229" w:rsidRPr="002237F0">
        <w:rPr>
          <w:lang w:val="nl-NL"/>
        </w:rPr>
        <w:t xml:space="preserve">. </w:t>
      </w:r>
      <w:r w:rsidR="009E527B" w:rsidRPr="002237F0">
        <w:rPr>
          <w:lang w:val="nl-NL"/>
        </w:rPr>
        <w:t xml:space="preserve">In de toekomst </w:t>
      </w:r>
      <w:proofErr w:type="gramStart"/>
      <w:r w:rsidR="009E527B" w:rsidRPr="002237F0">
        <w:rPr>
          <w:lang w:val="nl-NL"/>
        </w:rPr>
        <w:t>zal</w:t>
      </w:r>
      <w:proofErr w:type="gramEnd"/>
      <w:r w:rsidR="009E527B" w:rsidRPr="002237F0">
        <w:rPr>
          <w:lang w:val="nl-NL"/>
        </w:rPr>
        <w:t xml:space="preserve"> </w:t>
      </w:r>
      <w:r w:rsidR="00BB06F2" w:rsidRPr="002237F0">
        <w:rPr>
          <w:lang w:val="nl-NL"/>
        </w:rPr>
        <w:t>‘</w:t>
      </w:r>
      <w:r w:rsidR="009E527B" w:rsidRPr="002237F0">
        <w:rPr>
          <w:lang w:val="nl-NL"/>
        </w:rPr>
        <w:t>I</w:t>
      </w:r>
      <w:r w:rsidR="00BB06F2" w:rsidRPr="002237F0">
        <w:rPr>
          <w:lang w:val="nl-NL"/>
        </w:rPr>
        <w:t xml:space="preserve">nternational </w:t>
      </w:r>
      <w:r w:rsidR="009E527B" w:rsidRPr="002237F0">
        <w:rPr>
          <w:lang w:val="nl-NL"/>
        </w:rPr>
        <w:t>F</w:t>
      </w:r>
      <w:r w:rsidR="00BB06F2" w:rsidRPr="002237F0">
        <w:rPr>
          <w:lang w:val="nl-NL"/>
        </w:rPr>
        <w:t xml:space="preserve">inancial </w:t>
      </w:r>
      <w:proofErr w:type="spellStart"/>
      <w:r w:rsidR="009E527B" w:rsidRPr="002237F0">
        <w:rPr>
          <w:lang w:val="nl-NL"/>
        </w:rPr>
        <w:t>R</w:t>
      </w:r>
      <w:r w:rsidR="00BB06F2" w:rsidRPr="002237F0">
        <w:rPr>
          <w:lang w:val="nl-NL"/>
        </w:rPr>
        <w:t>eporting</w:t>
      </w:r>
      <w:proofErr w:type="spellEnd"/>
      <w:r w:rsidR="00BB06F2" w:rsidRPr="002237F0">
        <w:rPr>
          <w:lang w:val="nl-NL"/>
        </w:rPr>
        <w:t xml:space="preserve"> </w:t>
      </w:r>
      <w:r w:rsidR="009E527B" w:rsidRPr="002237F0">
        <w:rPr>
          <w:lang w:val="nl-NL"/>
        </w:rPr>
        <w:t>S</w:t>
      </w:r>
      <w:r w:rsidR="00BB06F2" w:rsidRPr="002237F0">
        <w:rPr>
          <w:lang w:val="nl-NL"/>
        </w:rPr>
        <w:t>tandard(IFRS)</w:t>
      </w:r>
      <w:r w:rsidR="009E527B" w:rsidRPr="002237F0">
        <w:rPr>
          <w:lang w:val="nl-NL"/>
        </w:rPr>
        <w:t xml:space="preserve"> 9</w:t>
      </w:r>
      <w:r w:rsidR="00BB06F2" w:rsidRPr="002237F0">
        <w:rPr>
          <w:lang w:val="nl-NL"/>
        </w:rPr>
        <w:t xml:space="preserve"> - </w:t>
      </w:r>
      <w:r w:rsidR="009E527B" w:rsidRPr="002237F0">
        <w:rPr>
          <w:lang w:val="nl-NL"/>
        </w:rPr>
        <w:t xml:space="preserve">Financial </w:t>
      </w:r>
      <w:proofErr w:type="spellStart"/>
      <w:r w:rsidR="009E527B" w:rsidRPr="002237F0">
        <w:rPr>
          <w:lang w:val="nl-NL"/>
        </w:rPr>
        <w:t>Instruments</w:t>
      </w:r>
      <w:proofErr w:type="spellEnd"/>
      <w:r w:rsidR="00BB06F2" w:rsidRPr="002237F0">
        <w:rPr>
          <w:lang w:val="nl-NL"/>
        </w:rPr>
        <w:t xml:space="preserve">’ </w:t>
      </w:r>
      <w:r w:rsidR="009E527B" w:rsidRPr="002237F0">
        <w:rPr>
          <w:lang w:val="nl-NL"/>
        </w:rPr>
        <w:t xml:space="preserve"> IAS 39 gradueel vervangen. Het is de bedoeling dat IFRS 9 vanaf 1 januari 2015 IAS 39 geheel vervangen heeft</w:t>
      </w:r>
      <w:sdt>
        <w:sdtPr>
          <w:rPr>
            <w:lang w:val="nl-NL"/>
          </w:rPr>
          <w:id w:val="2041090"/>
          <w:citation/>
        </w:sdtPr>
        <w:sdtContent>
          <w:r w:rsidR="003C13F3" w:rsidRPr="002237F0">
            <w:rPr>
              <w:lang w:val="nl-NL"/>
            </w:rPr>
            <w:fldChar w:fldCharType="begin"/>
          </w:r>
          <w:r w:rsidR="00C63935" w:rsidRPr="002237F0">
            <w:rPr>
              <w:lang w:val="nl-NL"/>
            </w:rPr>
            <w:instrText xml:space="preserve"> CITATION IFR10 \l 1043 </w:instrText>
          </w:r>
          <w:r w:rsidR="003C13F3" w:rsidRPr="002237F0">
            <w:rPr>
              <w:lang w:val="nl-NL"/>
            </w:rPr>
            <w:fldChar w:fldCharType="separate"/>
          </w:r>
          <w:r w:rsidR="00C63935" w:rsidRPr="002237F0">
            <w:rPr>
              <w:noProof/>
              <w:lang w:val="nl-NL"/>
            </w:rPr>
            <w:t xml:space="preserve"> (IFRS 9: Financial Instruments, 2010)</w:t>
          </w:r>
          <w:r w:rsidR="003C13F3" w:rsidRPr="002237F0">
            <w:rPr>
              <w:lang w:val="nl-NL"/>
            </w:rPr>
            <w:fldChar w:fldCharType="end"/>
          </w:r>
        </w:sdtContent>
      </w:sdt>
      <w:r w:rsidR="009E527B" w:rsidRPr="002237F0">
        <w:rPr>
          <w:lang w:val="nl-NL"/>
        </w:rPr>
        <w:t>.</w:t>
      </w:r>
    </w:p>
    <w:p w:rsidR="00BB06F2" w:rsidRPr="002237F0" w:rsidRDefault="009E527B">
      <w:pPr>
        <w:rPr>
          <w:lang w:val="nl-NL"/>
        </w:rPr>
      </w:pPr>
      <w:r w:rsidRPr="002237F0">
        <w:rPr>
          <w:lang w:val="nl-NL"/>
        </w:rPr>
        <w:t>De veranderingen</w:t>
      </w:r>
      <w:r w:rsidR="001C5D90" w:rsidRPr="002237F0">
        <w:rPr>
          <w:lang w:val="nl-NL"/>
        </w:rPr>
        <w:t>,</w:t>
      </w:r>
      <w:r w:rsidRPr="002237F0">
        <w:rPr>
          <w:lang w:val="nl-NL"/>
        </w:rPr>
        <w:t xml:space="preserve"> die de regelgeving zal ondergaan</w:t>
      </w:r>
      <w:r w:rsidR="001C5D90" w:rsidRPr="002237F0">
        <w:rPr>
          <w:lang w:val="nl-NL"/>
        </w:rPr>
        <w:t>,</w:t>
      </w:r>
      <w:r w:rsidRPr="002237F0">
        <w:rPr>
          <w:lang w:val="nl-NL"/>
        </w:rPr>
        <w:t xml:space="preserve"> zullen in andere deelvragen aan bod komen. De intentie van deze deelvraag is om de structuur en de fundamenten van de huidige regelgeving </w:t>
      </w:r>
      <w:r w:rsidR="00162104" w:rsidRPr="002237F0">
        <w:rPr>
          <w:lang w:val="nl-NL"/>
        </w:rPr>
        <w:t>te ontdekken. In dit onderzoek wordt vooral naar banken gekeken</w:t>
      </w:r>
      <w:r w:rsidRPr="002237F0">
        <w:rPr>
          <w:lang w:val="nl-NL"/>
        </w:rPr>
        <w:t>, en</w:t>
      </w:r>
      <w:r w:rsidR="00162104" w:rsidRPr="002237F0">
        <w:rPr>
          <w:lang w:val="nl-NL"/>
        </w:rPr>
        <w:t xml:space="preserve"> al</w:t>
      </w:r>
      <w:r w:rsidRPr="002237F0">
        <w:rPr>
          <w:lang w:val="nl-NL"/>
        </w:rPr>
        <w:t xml:space="preserve"> deze banken</w:t>
      </w:r>
      <w:r w:rsidR="00162104" w:rsidRPr="002237F0">
        <w:rPr>
          <w:lang w:val="nl-NL"/>
        </w:rPr>
        <w:t xml:space="preserve"> hanteren</w:t>
      </w:r>
      <w:r w:rsidRPr="002237F0">
        <w:rPr>
          <w:lang w:val="nl-NL"/>
        </w:rPr>
        <w:t xml:space="preserve"> inte</w:t>
      </w:r>
      <w:r w:rsidR="00162104" w:rsidRPr="002237F0">
        <w:rPr>
          <w:lang w:val="nl-NL"/>
        </w:rPr>
        <w:t>rnationale regelgeving</w:t>
      </w:r>
      <w:r w:rsidRPr="002237F0">
        <w:rPr>
          <w:lang w:val="nl-NL"/>
        </w:rPr>
        <w:t>. Daarom wordt er geen rekening gehouden met nationa</w:t>
      </w:r>
      <w:r w:rsidR="00162104" w:rsidRPr="002237F0">
        <w:rPr>
          <w:lang w:val="nl-NL"/>
        </w:rPr>
        <w:t>le regelgeving</w:t>
      </w:r>
      <w:r w:rsidRPr="002237F0">
        <w:rPr>
          <w:lang w:val="nl-NL"/>
        </w:rPr>
        <w:t xml:space="preserve"> en beper</w:t>
      </w:r>
      <w:r w:rsidR="00BB06F2" w:rsidRPr="002237F0">
        <w:rPr>
          <w:lang w:val="nl-NL"/>
        </w:rPr>
        <w:t xml:space="preserve">kt dit onderzoek zich tot regelgeving </w:t>
      </w:r>
      <w:r w:rsidR="00EB50FF" w:rsidRPr="002237F0">
        <w:rPr>
          <w:lang w:val="nl-NL"/>
        </w:rPr>
        <w:t xml:space="preserve">die </w:t>
      </w:r>
      <w:r w:rsidR="00BB06F2" w:rsidRPr="002237F0">
        <w:rPr>
          <w:lang w:val="nl-NL"/>
        </w:rPr>
        <w:t xml:space="preserve">afkomstig is van de International Accounting </w:t>
      </w:r>
      <w:proofErr w:type="spellStart"/>
      <w:r w:rsidR="00BB06F2" w:rsidRPr="002237F0">
        <w:rPr>
          <w:lang w:val="nl-NL"/>
        </w:rPr>
        <w:t>Standards</w:t>
      </w:r>
      <w:proofErr w:type="spellEnd"/>
      <w:r w:rsidR="00BB06F2" w:rsidRPr="002237F0">
        <w:rPr>
          <w:lang w:val="nl-NL"/>
        </w:rPr>
        <w:t xml:space="preserve"> Board(IASB).</w:t>
      </w:r>
    </w:p>
    <w:p w:rsidR="00BB06F2" w:rsidRPr="002237F0" w:rsidRDefault="00BB06F2" w:rsidP="00BB06F2">
      <w:pPr>
        <w:rPr>
          <w:b/>
          <w:sz w:val="28"/>
          <w:szCs w:val="28"/>
          <w:lang w:val="nl-NL"/>
        </w:rPr>
      </w:pPr>
      <w:r w:rsidRPr="002237F0">
        <w:rPr>
          <w:b/>
          <w:sz w:val="28"/>
          <w:szCs w:val="28"/>
          <w:lang w:val="nl-NL"/>
        </w:rPr>
        <w:t>1.1. Begripsbepaling</w:t>
      </w:r>
    </w:p>
    <w:p w:rsidR="00573A4B" w:rsidRPr="002237F0" w:rsidRDefault="00BB06F2" w:rsidP="00BB06F2">
      <w:pPr>
        <w:rPr>
          <w:lang w:val="nl-NL"/>
        </w:rPr>
      </w:pPr>
      <w:r w:rsidRPr="002237F0">
        <w:rPr>
          <w:lang w:val="nl-NL"/>
        </w:rPr>
        <w:t xml:space="preserve">De definitie van een financieel instrument is </w:t>
      </w:r>
      <w:r w:rsidR="00C63935" w:rsidRPr="002237F0">
        <w:rPr>
          <w:lang w:val="nl-NL"/>
        </w:rPr>
        <w:t>erg breed. Daarom is het goed daar</w:t>
      </w:r>
      <w:r w:rsidRPr="002237F0">
        <w:rPr>
          <w:lang w:val="nl-NL"/>
        </w:rPr>
        <w:t xml:space="preserve"> bij stil te staan. </w:t>
      </w:r>
      <w:r w:rsidR="007D753C" w:rsidRPr="002237F0">
        <w:rPr>
          <w:lang w:val="nl-NL"/>
        </w:rPr>
        <w:t xml:space="preserve">In ‘IAS 32 – Financial </w:t>
      </w:r>
      <w:proofErr w:type="spellStart"/>
      <w:r w:rsidR="007D753C" w:rsidRPr="002237F0">
        <w:rPr>
          <w:lang w:val="nl-NL"/>
        </w:rPr>
        <w:t>Instruments</w:t>
      </w:r>
      <w:proofErr w:type="spellEnd"/>
      <w:r w:rsidR="007D753C" w:rsidRPr="002237F0">
        <w:rPr>
          <w:lang w:val="nl-NL"/>
        </w:rPr>
        <w:t xml:space="preserve">: </w:t>
      </w:r>
      <w:proofErr w:type="spellStart"/>
      <w:r w:rsidR="007D753C" w:rsidRPr="002237F0">
        <w:rPr>
          <w:lang w:val="nl-NL"/>
        </w:rPr>
        <w:t>Presentation</w:t>
      </w:r>
      <w:proofErr w:type="spellEnd"/>
      <w:r w:rsidR="007D753C" w:rsidRPr="002237F0">
        <w:rPr>
          <w:lang w:val="nl-NL"/>
        </w:rPr>
        <w:t xml:space="preserve">’ is er de volgende definitie gegeven van een financieel instrument: </w:t>
      </w:r>
      <w:r w:rsidR="007D753C" w:rsidRPr="002237F0">
        <w:rPr>
          <w:i/>
          <w:lang w:val="nl-NL"/>
        </w:rPr>
        <w:t xml:space="preserve">‘Een financieel instrument is een overeenkomst die leidt tot een financieel actief bij een partij en een financiële verplichting of een </w:t>
      </w:r>
      <w:proofErr w:type="spellStart"/>
      <w:r w:rsidR="007D753C" w:rsidRPr="002237F0">
        <w:rPr>
          <w:i/>
          <w:lang w:val="nl-NL"/>
        </w:rPr>
        <w:t>eigen-vermogensinstrument</w:t>
      </w:r>
      <w:proofErr w:type="spellEnd"/>
      <w:r w:rsidR="007D753C" w:rsidRPr="002237F0">
        <w:rPr>
          <w:i/>
          <w:lang w:val="nl-NL"/>
        </w:rPr>
        <w:t xml:space="preserve"> bij een andere partij’.</w:t>
      </w:r>
      <w:r w:rsidR="007231BC" w:rsidRPr="002237F0">
        <w:rPr>
          <w:lang w:val="nl-NL"/>
        </w:rPr>
        <w:t xml:space="preserve"> Om het begrip betrekking te laten hebben op zowel de actief- als de passiefzijde van de balans heeft de IASB </w:t>
      </w:r>
      <w:r w:rsidR="003334D4" w:rsidRPr="002237F0">
        <w:rPr>
          <w:lang w:val="nl-NL"/>
        </w:rPr>
        <w:t xml:space="preserve">gekozen </w:t>
      </w:r>
      <w:r w:rsidR="007231BC" w:rsidRPr="002237F0">
        <w:rPr>
          <w:lang w:val="nl-NL"/>
        </w:rPr>
        <w:t>v</w:t>
      </w:r>
      <w:r w:rsidR="003334D4" w:rsidRPr="002237F0">
        <w:rPr>
          <w:lang w:val="nl-NL"/>
        </w:rPr>
        <w:t>oor deze ruime definitie</w:t>
      </w:r>
      <w:sdt>
        <w:sdtPr>
          <w:rPr>
            <w:lang w:val="nl-NL"/>
          </w:rPr>
          <w:id w:val="2041092"/>
          <w:citation/>
        </w:sdtPr>
        <w:sdtContent>
          <w:r w:rsidR="003C13F3" w:rsidRPr="002237F0">
            <w:rPr>
              <w:lang w:val="nl-NL"/>
            </w:rPr>
            <w:fldChar w:fldCharType="begin"/>
          </w:r>
          <w:r w:rsidR="007231BC" w:rsidRPr="002237F0">
            <w:rPr>
              <w:lang w:val="nl-NL"/>
            </w:rPr>
            <w:instrText xml:space="preserve"> CITATION Veu02 \l 1043 </w:instrText>
          </w:r>
          <w:r w:rsidR="003C13F3" w:rsidRPr="002237F0">
            <w:rPr>
              <w:lang w:val="nl-NL"/>
            </w:rPr>
            <w:fldChar w:fldCharType="separate"/>
          </w:r>
          <w:r w:rsidR="007231BC" w:rsidRPr="002237F0">
            <w:rPr>
              <w:noProof/>
              <w:lang w:val="nl-NL"/>
            </w:rPr>
            <w:t xml:space="preserve"> (Veuger, 2002)</w:t>
          </w:r>
          <w:r w:rsidR="003C13F3" w:rsidRPr="002237F0">
            <w:rPr>
              <w:lang w:val="nl-NL"/>
            </w:rPr>
            <w:fldChar w:fldCharType="end"/>
          </w:r>
        </w:sdtContent>
      </w:sdt>
      <w:r w:rsidR="007231BC" w:rsidRPr="002237F0">
        <w:rPr>
          <w:lang w:val="nl-NL"/>
        </w:rPr>
        <w:t>.</w:t>
      </w:r>
    </w:p>
    <w:p w:rsidR="007D753C" w:rsidRPr="002237F0" w:rsidRDefault="00573A4B" w:rsidP="00BB06F2">
      <w:pPr>
        <w:rPr>
          <w:lang w:val="nl-NL"/>
        </w:rPr>
      </w:pPr>
      <w:r w:rsidRPr="002237F0">
        <w:rPr>
          <w:lang w:val="nl-NL"/>
        </w:rPr>
        <w:t xml:space="preserve">Er wordt een onderscheid gemaakt tussen </w:t>
      </w:r>
      <w:r w:rsidRPr="002237F0">
        <w:rPr>
          <w:u w:val="single"/>
          <w:lang w:val="nl-NL"/>
        </w:rPr>
        <w:t>primaire instrumenten</w:t>
      </w:r>
      <w:r w:rsidRPr="002237F0">
        <w:rPr>
          <w:lang w:val="nl-NL"/>
        </w:rPr>
        <w:t xml:space="preserve"> en </w:t>
      </w:r>
      <w:r w:rsidRPr="002237F0">
        <w:rPr>
          <w:u w:val="single"/>
          <w:lang w:val="nl-NL"/>
        </w:rPr>
        <w:t>afgeleide instrumenten</w:t>
      </w:r>
      <w:r w:rsidRPr="002237F0">
        <w:rPr>
          <w:lang w:val="nl-NL"/>
        </w:rPr>
        <w:t>. On</w:t>
      </w:r>
      <w:r w:rsidR="00C63935" w:rsidRPr="002237F0">
        <w:rPr>
          <w:lang w:val="nl-NL"/>
        </w:rPr>
        <w:t>der primaire instrumenten worden</w:t>
      </w:r>
      <w:r w:rsidRPr="002237F0">
        <w:rPr>
          <w:lang w:val="nl-NL"/>
        </w:rPr>
        <w:t xml:space="preserve"> vorderingen, schulden en aandelen</w:t>
      </w:r>
      <w:r w:rsidR="00C63935" w:rsidRPr="002237F0">
        <w:rPr>
          <w:lang w:val="nl-NL"/>
        </w:rPr>
        <w:t xml:space="preserve"> verstaan</w:t>
      </w:r>
      <w:r w:rsidRPr="002237F0">
        <w:rPr>
          <w:lang w:val="nl-NL"/>
        </w:rPr>
        <w:t xml:space="preserve">. Afgeleide instrumenten (vanaf nu derivaten genoemd) omvatten financiële opties, </w:t>
      </w:r>
      <w:proofErr w:type="spellStart"/>
      <w:r w:rsidRPr="002237F0">
        <w:rPr>
          <w:lang w:val="nl-NL"/>
        </w:rPr>
        <w:t>futures</w:t>
      </w:r>
      <w:proofErr w:type="spellEnd"/>
      <w:r w:rsidRPr="002237F0">
        <w:rPr>
          <w:lang w:val="nl-NL"/>
        </w:rPr>
        <w:t xml:space="preserve">, termijncontracten, renteswaps en </w:t>
      </w:r>
      <w:proofErr w:type="gramStart"/>
      <w:r w:rsidRPr="002237F0">
        <w:rPr>
          <w:lang w:val="nl-NL"/>
        </w:rPr>
        <w:t xml:space="preserve">valutaswaps. </w:t>
      </w:r>
      <w:r w:rsidR="007D753C" w:rsidRPr="002237F0">
        <w:rPr>
          <w:i/>
          <w:lang w:val="nl-NL"/>
        </w:rPr>
        <w:t xml:space="preserve"> </w:t>
      </w:r>
      <w:proofErr w:type="gramEnd"/>
    </w:p>
    <w:p w:rsidR="001C6D45" w:rsidRPr="002237F0" w:rsidRDefault="007D753C" w:rsidP="00BB06F2">
      <w:pPr>
        <w:rPr>
          <w:lang w:val="nl-NL"/>
        </w:rPr>
      </w:pPr>
      <w:r w:rsidRPr="002237F0">
        <w:rPr>
          <w:lang w:val="nl-NL"/>
        </w:rPr>
        <w:t xml:space="preserve">Liquide middelen, </w:t>
      </w:r>
      <w:proofErr w:type="spellStart"/>
      <w:r w:rsidR="001C6D45" w:rsidRPr="002237F0">
        <w:rPr>
          <w:lang w:val="nl-NL"/>
        </w:rPr>
        <w:t>eigen-vermogensinstrumenten</w:t>
      </w:r>
      <w:proofErr w:type="spellEnd"/>
      <w:r w:rsidRPr="002237F0">
        <w:rPr>
          <w:lang w:val="nl-NL"/>
        </w:rPr>
        <w:t xml:space="preserve"> van een andere partij, opties om aandelen te kopen en contractuele rechten kunnen gezien worden als financiële activa. Aan de andere kant kunnen contractuele plichten en opties aan de wederpartij om aandelen te verkrijgen tegen een niet van te voren bepaalde prijs gerekend worden tot financiële verplichtingen.</w:t>
      </w:r>
      <w:r w:rsidR="001C6D45" w:rsidRPr="002237F0">
        <w:rPr>
          <w:lang w:val="nl-NL"/>
        </w:rPr>
        <w:t xml:space="preserve"> Een </w:t>
      </w:r>
      <w:proofErr w:type="spellStart"/>
      <w:r w:rsidR="001C6D45" w:rsidRPr="002237F0">
        <w:rPr>
          <w:lang w:val="nl-NL"/>
        </w:rPr>
        <w:t>eigen-vermogensinstrument</w:t>
      </w:r>
      <w:proofErr w:type="spellEnd"/>
      <w:r w:rsidR="001C6D45" w:rsidRPr="002237F0">
        <w:rPr>
          <w:lang w:val="nl-NL"/>
        </w:rPr>
        <w:t xml:space="preserve"> is overigens elk contract dat het overblijvende belang omvat in de activa van een partij, na aftrek van alle verplichtingen.</w:t>
      </w:r>
    </w:p>
    <w:p w:rsidR="001C6D45" w:rsidRPr="002237F0" w:rsidRDefault="001C6D45" w:rsidP="001C6D45">
      <w:pPr>
        <w:rPr>
          <w:lang w:val="nl-NL"/>
        </w:rPr>
      </w:pPr>
      <w:r w:rsidRPr="002237F0">
        <w:rPr>
          <w:lang w:val="nl-NL"/>
        </w:rPr>
        <w:t>Een afgeleid instrument, vanaf nu een derivaat genoemd, is een financieel instrument dat aan drie voorwaarden voldoet</w:t>
      </w:r>
      <w:sdt>
        <w:sdtPr>
          <w:rPr>
            <w:lang w:val="nl-NL"/>
          </w:rPr>
          <w:id w:val="2041091"/>
          <w:citation/>
        </w:sdtPr>
        <w:sdtContent>
          <w:r w:rsidR="003C13F3" w:rsidRPr="002237F0">
            <w:rPr>
              <w:lang w:val="nl-NL"/>
            </w:rPr>
            <w:fldChar w:fldCharType="begin"/>
          </w:r>
          <w:r w:rsidR="007231BC" w:rsidRPr="002237F0">
            <w:rPr>
              <w:lang w:val="nl-NL"/>
            </w:rPr>
            <w:instrText xml:space="preserve"> CITATION Fin09 \l 1043  </w:instrText>
          </w:r>
          <w:r w:rsidR="003C13F3" w:rsidRPr="002237F0">
            <w:rPr>
              <w:lang w:val="nl-NL"/>
            </w:rPr>
            <w:fldChar w:fldCharType="separate"/>
          </w:r>
          <w:r w:rsidR="007231BC" w:rsidRPr="002237F0">
            <w:rPr>
              <w:noProof/>
              <w:lang w:val="nl-NL"/>
            </w:rPr>
            <w:t xml:space="preserve"> (Financial Instruments: A guide through the official text of IAS 32, IAS 39 &amp; IFRS 7, 2009)</w:t>
          </w:r>
          <w:r w:rsidR="003C13F3" w:rsidRPr="002237F0">
            <w:rPr>
              <w:lang w:val="nl-NL"/>
            </w:rPr>
            <w:fldChar w:fldCharType="end"/>
          </w:r>
        </w:sdtContent>
      </w:sdt>
      <w:r w:rsidRPr="002237F0">
        <w:rPr>
          <w:lang w:val="nl-NL"/>
        </w:rPr>
        <w:t>:</w:t>
      </w:r>
    </w:p>
    <w:p w:rsidR="001C6D45" w:rsidRPr="002237F0" w:rsidRDefault="001C6D45" w:rsidP="001C6D45">
      <w:pPr>
        <w:pStyle w:val="ListParagraph"/>
        <w:numPr>
          <w:ilvl w:val="0"/>
          <w:numId w:val="5"/>
        </w:numPr>
        <w:rPr>
          <w:lang w:val="nl-NL"/>
        </w:rPr>
      </w:pPr>
      <w:r w:rsidRPr="002237F0">
        <w:rPr>
          <w:lang w:val="nl-NL"/>
        </w:rPr>
        <w:t>De waarde verandert als gevolg van veranderingen van marktfactoren;</w:t>
      </w:r>
    </w:p>
    <w:p w:rsidR="001C6D45" w:rsidRPr="002237F0" w:rsidRDefault="001C6D45" w:rsidP="001C6D45">
      <w:pPr>
        <w:pStyle w:val="ListParagraph"/>
        <w:numPr>
          <w:ilvl w:val="0"/>
          <w:numId w:val="5"/>
        </w:numPr>
        <w:rPr>
          <w:lang w:val="nl-NL"/>
        </w:rPr>
      </w:pPr>
      <w:r w:rsidRPr="002237F0">
        <w:rPr>
          <w:lang w:val="nl-NL"/>
        </w:rPr>
        <w:t xml:space="preserve">Er is geen of nauwelijks een </w:t>
      </w:r>
      <w:proofErr w:type="spellStart"/>
      <w:r w:rsidRPr="002237F0">
        <w:rPr>
          <w:lang w:val="nl-NL"/>
        </w:rPr>
        <w:t>netto-aanvangsinvestering</w:t>
      </w:r>
      <w:proofErr w:type="spellEnd"/>
      <w:r w:rsidRPr="002237F0">
        <w:rPr>
          <w:lang w:val="nl-NL"/>
        </w:rPr>
        <w:t xml:space="preserve"> nodig voor het derivaat;</w:t>
      </w:r>
    </w:p>
    <w:p w:rsidR="001C6D45" w:rsidRPr="002237F0" w:rsidRDefault="001C6D45" w:rsidP="001C6D45">
      <w:pPr>
        <w:pStyle w:val="ListParagraph"/>
        <w:numPr>
          <w:ilvl w:val="0"/>
          <w:numId w:val="5"/>
        </w:numPr>
        <w:rPr>
          <w:lang w:val="nl-NL"/>
        </w:rPr>
      </w:pPr>
      <w:r w:rsidRPr="002237F0">
        <w:rPr>
          <w:lang w:val="nl-NL"/>
        </w:rPr>
        <w:t>Het instrument wordt op een tijdstip in de toekomst afgewikkeld.</w:t>
      </w:r>
    </w:p>
    <w:p w:rsidR="000565FC" w:rsidRPr="002237F0" w:rsidRDefault="001C6D45" w:rsidP="001C6D45">
      <w:pPr>
        <w:rPr>
          <w:lang w:val="nl-NL"/>
        </w:rPr>
      </w:pPr>
      <w:proofErr w:type="spellStart"/>
      <w:r w:rsidRPr="002237F0">
        <w:rPr>
          <w:lang w:val="nl-NL"/>
        </w:rPr>
        <w:t>Netto-afwikkeling</w:t>
      </w:r>
      <w:proofErr w:type="spellEnd"/>
      <w:r w:rsidRPr="002237F0">
        <w:rPr>
          <w:lang w:val="nl-NL"/>
        </w:rPr>
        <w:t xml:space="preserve"> betekent dat goederen niet fysiek worden geleverd, maar dat een afrekening van de reële waarde van het contract plaatsvindt. Derivaten vertegenwoordigen financiële risico’s waaraan de onderliggende primaire financiële instrumenten onderhevig zijn.</w:t>
      </w:r>
    </w:p>
    <w:p w:rsidR="000565FC" w:rsidRPr="002237F0" w:rsidRDefault="00DC1634" w:rsidP="001C6D45">
      <w:pPr>
        <w:rPr>
          <w:b/>
          <w:sz w:val="28"/>
          <w:lang w:val="nl-NL"/>
        </w:rPr>
      </w:pPr>
      <w:r w:rsidRPr="002237F0">
        <w:rPr>
          <w:b/>
          <w:sz w:val="28"/>
          <w:lang w:val="nl-NL"/>
        </w:rPr>
        <w:t xml:space="preserve">1.2. </w:t>
      </w:r>
      <w:r w:rsidR="007231BC" w:rsidRPr="002237F0">
        <w:rPr>
          <w:b/>
          <w:sz w:val="28"/>
          <w:lang w:val="nl-NL"/>
        </w:rPr>
        <w:t>Het verwerken op de balans</w:t>
      </w:r>
    </w:p>
    <w:p w:rsidR="00FD497E" w:rsidRPr="002237F0" w:rsidRDefault="009C7317" w:rsidP="001C6D45">
      <w:pPr>
        <w:rPr>
          <w:lang w:val="nl-NL"/>
        </w:rPr>
      </w:pPr>
      <w:r w:rsidRPr="002237F0">
        <w:rPr>
          <w:lang w:val="nl-NL"/>
        </w:rPr>
        <w:t xml:space="preserve">Het opnemen van financiële activa of passiva op de balans wordt </w:t>
      </w:r>
      <w:proofErr w:type="spellStart"/>
      <w:r w:rsidRPr="002237F0">
        <w:rPr>
          <w:i/>
          <w:lang w:val="nl-NL"/>
        </w:rPr>
        <w:t>recognition</w:t>
      </w:r>
      <w:proofErr w:type="spellEnd"/>
      <w:r w:rsidRPr="002237F0">
        <w:rPr>
          <w:lang w:val="nl-NL"/>
        </w:rPr>
        <w:t xml:space="preserve"> genoemd. IAS 39 bepaalt dat een financieel instrument opgenomen dient te worden wanneer de onderneming partij wordt in contractuele bepalingen van het financiële instrument. Bij derivaten kan het gebeuren dat de waarde nihil is, </w:t>
      </w:r>
      <w:r w:rsidR="007231BC" w:rsidRPr="002237F0">
        <w:rPr>
          <w:lang w:val="nl-NL"/>
        </w:rPr>
        <w:t>door</w:t>
      </w:r>
      <w:r w:rsidRPr="002237F0">
        <w:rPr>
          <w:lang w:val="nl-NL"/>
        </w:rPr>
        <w:t>dat de prestatie en de tegenprestatie dezelfde reële waarde he</w:t>
      </w:r>
      <w:r w:rsidR="00FD497E" w:rsidRPr="002237F0">
        <w:rPr>
          <w:lang w:val="nl-NL"/>
        </w:rPr>
        <w:t>bben. Per saldo wordt er dan niet</w:t>
      </w:r>
      <w:r w:rsidRPr="002237F0">
        <w:rPr>
          <w:lang w:val="nl-NL"/>
        </w:rPr>
        <w:t>s op de balans opgenomen.</w:t>
      </w:r>
      <w:r w:rsidR="00573A4B" w:rsidRPr="002237F0">
        <w:rPr>
          <w:lang w:val="nl-NL"/>
        </w:rPr>
        <w:t xml:space="preserve"> Vroeger was het ook mogelijk om afgeleide financiële instrumenten niet op de balans op te nemen bij waardering tegen historische kostprijs. Dit is echter vandaag de dag niet meer mogelijk</w:t>
      </w:r>
      <w:sdt>
        <w:sdtPr>
          <w:rPr>
            <w:lang w:val="nl-NL"/>
          </w:rPr>
          <w:id w:val="2097274409"/>
          <w:citation/>
        </w:sdtPr>
        <w:sdtContent>
          <w:r w:rsidR="003C13F3" w:rsidRPr="002237F0">
            <w:rPr>
              <w:lang w:val="nl-NL"/>
            </w:rPr>
            <w:fldChar w:fldCharType="begin"/>
          </w:r>
          <w:r w:rsidR="00573A4B" w:rsidRPr="002237F0">
            <w:rPr>
              <w:lang w:val="nl-NL"/>
            </w:rPr>
            <w:instrText xml:space="preserve">CITATION GGe02 \t  \l 1033 </w:instrText>
          </w:r>
          <w:r w:rsidR="003C13F3" w:rsidRPr="002237F0">
            <w:rPr>
              <w:lang w:val="nl-NL"/>
            </w:rPr>
            <w:fldChar w:fldCharType="separate"/>
          </w:r>
          <w:r w:rsidR="00573A4B" w:rsidRPr="002237F0">
            <w:rPr>
              <w:noProof/>
              <w:lang w:val="nl-NL"/>
            </w:rPr>
            <w:t xml:space="preserve"> (Gebhardt, Reichardt, &amp; Wittenbrink, 2002)</w:t>
          </w:r>
          <w:r w:rsidR="003C13F3" w:rsidRPr="002237F0">
            <w:rPr>
              <w:lang w:val="nl-NL"/>
            </w:rPr>
            <w:fldChar w:fldCharType="end"/>
          </w:r>
        </w:sdtContent>
      </w:sdt>
      <w:r w:rsidR="00573A4B" w:rsidRPr="002237F0">
        <w:rPr>
          <w:lang w:val="nl-NL"/>
        </w:rPr>
        <w:t>.</w:t>
      </w:r>
      <w:r w:rsidR="00FD497E" w:rsidRPr="002237F0">
        <w:rPr>
          <w:lang w:val="nl-NL"/>
        </w:rPr>
        <w:t xml:space="preserve"> </w:t>
      </w:r>
    </w:p>
    <w:p w:rsidR="00AF12EE" w:rsidRPr="002237F0" w:rsidRDefault="00FD497E" w:rsidP="001C6D45">
      <w:pPr>
        <w:rPr>
          <w:lang w:val="nl-NL"/>
        </w:rPr>
      </w:pPr>
      <w:r w:rsidRPr="002237F0">
        <w:rPr>
          <w:lang w:val="nl-NL"/>
        </w:rPr>
        <w:t xml:space="preserve">Het verwijderen van de balans wordt </w:t>
      </w:r>
      <w:proofErr w:type="spellStart"/>
      <w:r w:rsidRPr="002237F0">
        <w:rPr>
          <w:i/>
          <w:lang w:val="nl-NL"/>
        </w:rPr>
        <w:t>derecognition</w:t>
      </w:r>
      <w:proofErr w:type="spellEnd"/>
      <w:r w:rsidRPr="002237F0">
        <w:rPr>
          <w:lang w:val="nl-NL"/>
        </w:rPr>
        <w:t xml:space="preserve"> genoemd. IAS 39</w:t>
      </w:r>
      <w:r w:rsidR="009C7317" w:rsidRPr="002237F0">
        <w:rPr>
          <w:lang w:val="nl-NL"/>
        </w:rPr>
        <w:t xml:space="preserve"> </w:t>
      </w:r>
      <w:r w:rsidRPr="002237F0">
        <w:rPr>
          <w:lang w:val="nl-NL"/>
        </w:rPr>
        <w:t>brengt hierbij een scheiding aan tussen enerzijds economische voordelen en risico’s en anderzijds beschikkingsmacht. Eerst moet er be</w:t>
      </w:r>
      <w:r w:rsidR="007231BC" w:rsidRPr="002237F0">
        <w:rPr>
          <w:lang w:val="nl-NL"/>
        </w:rPr>
        <w:t>zien</w:t>
      </w:r>
      <w:r w:rsidRPr="002237F0">
        <w:rPr>
          <w:lang w:val="nl-NL"/>
        </w:rPr>
        <w:t xml:space="preserve"> worden of het instrument geheel of gedeeltelijk van de balans gehaald moet worden. Vervolgens dient er getoetst te worden in hoeverre de economische v</w:t>
      </w:r>
      <w:r w:rsidR="007231BC" w:rsidRPr="002237F0">
        <w:rPr>
          <w:lang w:val="nl-NL"/>
        </w:rPr>
        <w:t>oordelen en risico’s van het instrument aanwezig zijn bij de rapporterende onderneming</w:t>
      </w:r>
      <w:r w:rsidRPr="002237F0">
        <w:rPr>
          <w:lang w:val="nl-NL"/>
        </w:rPr>
        <w:t>. Als deze niet meer aanwezig zijn bij de on</w:t>
      </w:r>
      <w:r w:rsidR="007231BC" w:rsidRPr="002237F0">
        <w:rPr>
          <w:lang w:val="nl-NL"/>
        </w:rPr>
        <w:t xml:space="preserve">derneming, moet het instrument uit de balans </w:t>
      </w:r>
      <w:r w:rsidRPr="002237F0">
        <w:rPr>
          <w:lang w:val="nl-NL"/>
        </w:rPr>
        <w:t>worden</w:t>
      </w:r>
      <w:r w:rsidR="007231BC" w:rsidRPr="002237F0">
        <w:rPr>
          <w:lang w:val="nl-NL"/>
        </w:rPr>
        <w:t xml:space="preserve"> verwijderd</w:t>
      </w:r>
      <w:r w:rsidRPr="002237F0">
        <w:rPr>
          <w:lang w:val="nl-NL"/>
        </w:rPr>
        <w:t xml:space="preserve">. </w:t>
      </w:r>
      <w:r w:rsidR="007231BC" w:rsidRPr="002237F0">
        <w:rPr>
          <w:lang w:val="nl-NL"/>
        </w:rPr>
        <w:t>Bij twijfel</w:t>
      </w:r>
      <w:r w:rsidRPr="002237F0">
        <w:rPr>
          <w:lang w:val="nl-NL"/>
        </w:rPr>
        <w:t xml:space="preserve"> over de status van de ec</w:t>
      </w:r>
      <w:r w:rsidR="00755BB5" w:rsidRPr="002237F0">
        <w:rPr>
          <w:lang w:val="nl-NL"/>
        </w:rPr>
        <w:t>onomische voordelen en risico’s</w:t>
      </w:r>
      <w:r w:rsidRPr="002237F0">
        <w:rPr>
          <w:lang w:val="nl-NL"/>
        </w:rPr>
        <w:t xml:space="preserve"> is de beschikkingsmacht doorslaggevend. Als deze er niet meer is</w:t>
      </w:r>
      <w:r w:rsidR="00755BB5" w:rsidRPr="002237F0">
        <w:rPr>
          <w:lang w:val="nl-NL"/>
        </w:rPr>
        <w:t>,</w:t>
      </w:r>
      <w:r w:rsidRPr="002237F0">
        <w:rPr>
          <w:lang w:val="nl-NL"/>
        </w:rPr>
        <w:t xml:space="preserve"> moet het instrument alsnog van de balans </w:t>
      </w:r>
      <w:r w:rsidR="00755BB5" w:rsidRPr="002237F0">
        <w:rPr>
          <w:lang w:val="nl-NL"/>
        </w:rPr>
        <w:t>worden verwijderd</w:t>
      </w:r>
      <w:r w:rsidRPr="002237F0">
        <w:rPr>
          <w:lang w:val="nl-NL"/>
        </w:rPr>
        <w:t>.</w:t>
      </w:r>
    </w:p>
    <w:p w:rsidR="00573A4B" w:rsidRPr="002237F0" w:rsidRDefault="00FE52C1" w:rsidP="001C6D45">
      <w:pPr>
        <w:rPr>
          <w:b/>
          <w:lang w:val="nl-NL"/>
        </w:rPr>
      </w:pPr>
      <w:proofErr w:type="spellStart"/>
      <w:r w:rsidRPr="002237F0">
        <w:rPr>
          <w:b/>
          <w:lang w:val="nl-NL"/>
        </w:rPr>
        <w:t>Saldering</w:t>
      </w:r>
      <w:proofErr w:type="spellEnd"/>
    </w:p>
    <w:p w:rsidR="00AF12EE" w:rsidRPr="002237F0" w:rsidRDefault="00AF12EE" w:rsidP="001C6D45">
      <w:pPr>
        <w:rPr>
          <w:lang w:val="nl-NL"/>
        </w:rPr>
      </w:pPr>
      <w:r w:rsidRPr="002237F0">
        <w:rPr>
          <w:lang w:val="nl-NL"/>
        </w:rPr>
        <w:t>Het is mogelijk dat financiële activa en passiva worden gesaldeerd.</w:t>
      </w:r>
      <w:r w:rsidR="00755BB5" w:rsidRPr="002237F0">
        <w:rPr>
          <w:lang w:val="nl-NL"/>
        </w:rPr>
        <w:t xml:space="preserve"> J</w:t>
      </w:r>
      <w:r w:rsidRPr="002237F0">
        <w:rPr>
          <w:lang w:val="nl-NL"/>
        </w:rPr>
        <w:t xml:space="preserve">uridisch blijft er wel sprake van een vordering en een schuld. </w:t>
      </w:r>
      <w:proofErr w:type="spellStart"/>
      <w:r w:rsidRPr="002237F0">
        <w:rPr>
          <w:lang w:val="nl-NL"/>
        </w:rPr>
        <w:t>Saldering</w:t>
      </w:r>
      <w:proofErr w:type="spellEnd"/>
      <w:r w:rsidRPr="002237F0">
        <w:rPr>
          <w:lang w:val="nl-NL"/>
        </w:rPr>
        <w:t xml:space="preserve"> mag alleen en is verplicht indien</w:t>
      </w:r>
      <w:sdt>
        <w:sdtPr>
          <w:rPr>
            <w:lang w:val="nl-NL"/>
          </w:rPr>
          <w:id w:val="2041093"/>
          <w:citation/>
        </w:sdtPr>
        <w:sdtContent>
          <w:r w:rsidR="003C13F3" w:rsidRPr="002237F0">
            <w:rPr>
              <w:lang w:val="nl-NL"/>
            </w:rPr>
            <w:fldChar w:fldCharType="begin"/>
          </w:r>
          <w:r w:rsidR="00755BB5" w:rsidRPr="002237F0">
            <w:rPr>
              <w:lang w:val="nl-NL"/>
            </w:rPr>
            <w:instrText xml:space="preserve"> CITATION Fin09 \l 1043 </w:instrText>
          </w:r>
          <w:r w:rsidR="003C13F3" w:rsidRPr="002237F0">
            <w:rPr>
              <w:lang w:val="nl-NL"/>
            </w:rPr>
            <w:fldChar w:fldCharType="separate"/>
          </w:r>
          <w:r w:rsidR="00755BB5" w:rsidRPr="002237F0">
            <w:rPr>
              <w:noProof/>
              <w:lang w:val="nl-NL"/>
            </w:rPr>
            <w:t xml:space="preserve"> (Financial Instruments: A guide through the official text of IAS 32, IAS 39 &amp; IFRS 7, 2009)</w:t>
          </w:r>
          <w:r w:rsidR="003C13F3" w:rsidRPr="002237F0">
            <w:rPr>
              <w:lang w:val="nl-NL"/>
            </w:rPr>
            <w:fldChar w:fldCharType="end"/>
          </w:r>
        </w:sdtContent>
      </w:sdt>
      <w:r w:rsidRPr="002237F0">
        <w:rPr>
          <w:lang w:val="nl-NL"/>
        </w:rPr>
        <w:t xml:space="preserve">: </w:t>
      </w:r>
    </w:p>
    <w:p w:rsidR="00AF12EE" w:rsidRPr="002237F0" w:rsidRDefault="00AF12EE" w:rsidP="00AF12EE">
      <w:pPr>
        <w:pStyle w:val="ListParagraph"/>
        <w:numPr>
          <w:ilvl w:val="0"/>
          <w:numId w:val="5"/>
        </w:numPr>
        <w:rPr>
          <w:lang w:val="nl-NL"/>
        </w:rPr>
      </w:pPr>
      <w:r w:rsidRPr="002237F0">
        <w:rPr>
          <w:lang w:val="nl-NL"/>
        </w:rPr>
        <w:t>De onderneming een goed juridisch instrument heeft om gesaldeerd af te wikkelen</w:t>
      </w:r>
      <w:r w:rsidR="00BB2B79" w:rsidRPr="002237F0">
        <w:rPr>
          <w:lang w:val="nl-NL"/>
        </w:rPr>
        <w:t>; en</w:t>
      </w:r>
    </w:p>
    <w:p w:rsidR="00A849EF" w:rsidRPr="002237F0" w:rsidRDefault="00AF12EE" w:rsidP="00BB06F2">
      <w:pPr>
        <w:pStyle w:val="ListParagraph"/>
        <w:numPr>
          <w:ilvl w:val="0"/>
          <w:numId w:val="5"/>
        </w:numPr>
        <w:rPr>
          <w:lang w:val="nl-NL"/>
        </w:rPr>
      </w:pPr>
      <w:r w:rsidRPr="002237F0">
        <w:rPr>
          <w:lang w:val="nl-NL"/>
        </w:rPr>
        <w:t>De onderneming het voornemen heeft het actief en het pas</w:t>
      </w:r>
      <w:r w:rsidR="00BB2B79" w:rsidRPr="002237F0">
        <w:rPr>
          <w:lang w:val="nl-NL"/>
        </w:rPr>
        <w:t>sief gelijktijdig af te wikkelen</w:t>
      </w:r>
    </w:p>
    <w:p w:rsidR="00FE52C1" w:rsidRPr="002237F0" w:rsidRDefault="00FE52C1" w:rsidP="00FE52C1">
      <w:pPr>
        <w:rPr>
          <w:b/>
          <w:lang w:val="nl-NL"/>
        </w:rPr>
      </w:pPr>
      <w:r w:rsidRPr="002237F0">
        <w:rPr>
          <w:b/>
          <w:lang w:val="nl-NL"/>
        </w:rPr>
        <w:t xml:space="preserve">Speciale regeling </w:t>
      </w:r>
      <w:r w:rsidR="00755BB5" w:rsidRPr="002237F0">
        <w:rPr>
          <w:b/>
          <w:lang w:val="nl-NL"/>
        </w:rPr>
        <w:t xml:space="preserve">met betrekking tot </w:t>
      </w:r>
      <w:r w:rsidRPr="002237F0">
        <w:rPr>
          <w:b/>
          <w:lang w:val="nl-NL"/>
        </w:rPr>
        <w:t>derivaten</w:t>
      </w:r>
    </w:p>
    <w:p w:rsidR="00BB2B79" w:rsidRPr="002237F0" w:rsidRDefault="00BB2B79" w:rsidP="00BB2B79">
      <w:pPr>
        <w:rPr>
          <w:lang w:val="nl-NL"/>
        </w:rPr>
      </w:pPr>
      <w:r w:rsidRPr="002237F0">
        <w:rPr>
          <w:lang w:val="nl-NL"/>
        </w:rPr>
        <w:t>Wanneer er sprake is van derivaten, kan het volgens IAS 39</w:t>
      </w:r>
      <w:r w:rsidR="00755BB5" w:rsidRPr="002237F0">
        <w:rPr>
          <w:lang w:val="nl-NL"/>
        </w:rPr>
        <w:t xml:space="preserve">.9 zo zijn dat deze derivaten </w:t>
      </w:r>
      <w:r w:rsidRPr="002237F0">
        <w:rPr>
          <w:lang w:val="nl-NL"/>
        </w:rPr>
        <w:t xml:space="preserve">begrepen zijn in andere contracten. Dit zijn de zogenoemde </w:t>
      </w:r>
      <w:proofErr w:type="spellStart"/>
      <w:r w:rsidRPr="002237F0">
        <w:rPr>
          <w:i/>
          <w:lang w:val="nl-NL"/>
        </w:rPr>
        <w:t>embedded</w:t>
      </w:r>
      <w:proofErr w:type="spellEnd"/>
      <w:r w:rsidRPr="002237F0">
        <w:rPr>
          <w:i/>
          <w:lang w:val="nl-NL"/>
        </w:rPr>
        <w:t xml:space="preserve"> derivaten</w:t>
      </w:r>
      <w:r w:rsidRPr="002237F0">
        <w:rPr>
          <w:lang w:val="nl-NL"/>
        </w:rPr>
        <w:t>. Deze derivaten kunnen worden afgescheiden van het onderliggende contract en afzonderlijk op de balans worden gepresenteerd. IAS 39.46 bepaalt namelijk dat het altijd van belang is dat derivaten tegen reële waarde worden opgenomen met waardeveranderingen verant</w:t>
      </w:r>
      <w:r w:rsidR="00755BB5" w:rsidRPr="002237F0">
        <w:rPr>
          <w:lang w:val="nl-NL"/>
        </w:rPr>
        <w:t>woord in de resultatenrekening</w:t>
      </w:r>
      <w:r w:rsidRPr="002237F0">
        <w:rPr>
          <w:lang w:val="nl-NL"/>
        </w:rPr>
        <w:t>. Als dit niet goed mogelijk is binnen het contract, is afsche</w:t>
      </w:r>
      <w:r w:rsidR="00755BB5" w:rsidRPr="002237F0">
        <w:rPr>
          <w:lang w:val="nl-NL"/>
        </w:rPr>
        <w:t>iding van het derivaat een</w:t>
      </w:r>
      <w:r w:rsidRPr="002237F0">
        <w:rPr>
          <w:lang w:val="nl-NL"/>
        </w:rPr>
        <w:t xml:space="preserve"> optie</w:t>
      </w:r>
      <w:sdt>
        <w:sdtPr>
          <w:rPr>
            <w:lang w:val="nl-NL"/>
          </w:rPr>
          <w:id w:val="2041094"/>
          <w:citation/>
        </w:sdtPr>
        <w:sdtContent>
          <w:r w:rsidR="003C13F3" w:rsidRPr="002237F0">
            <w:rPr>
              <w:lang w:val="nl-NL"/>
            </w:rPr>
            <w:fldChar w:fldCharType="begin"/>
          </w:r>
          <w:r w:rsidR="00755BB5" w:rsidRPr="002237F0">
            <w:rPr>
              <w:lang w:val="nl-NL"/>
            </w:rPr>
            <w:instrText xml:space="preserve"> CITATION Böh12 \l 1043 </w:instrText>
          </w:r>
          <w:r w:rsidR="003C13F3" w:rsidRPr="002237F0">
            <w:rPr>
              <w:lang w:val="nl-NL"/>
            </w:rPr>
            <w:fldChar w:fldCharType="separate"/>
          </w:r>
          <w:r w:rsidR="00755BB5" w:rsidRPr="002237F0">
            <w:rPr>
              <w:noProof/>
              <w:lang w:val="nl-NL"/>
            </w:rPr>
            <w:t xml:space="preserve"> (Böhmer, Hoogendoorn, &amp; Kruit, 2012)</w:t>
          </w:r>
          <w:r w:rsidR="003C13F3" w:rsidRPr="002237F0">
            <w:rPr>
              <w:lang w:val="nl-NL"/>
            </w:rPr>
            <w:fldChar w:fldCharType="end"/>
          </w:r>
        </w:sdtContent>
      </w:sdt>
      <w:r w:rsidRPr="002237F0">
        <w:rPr>
          <w:lang w:val="nl-NL"/>
        </w:rPr>
        <w:t xml:space="preserve">. </w:t>
      </w:r>
    </w:p>
    <w:p w:rsidR="00BB2B79" w:rsidRPr="002237F0" w:rsidRDefault="00BB2B79" w:rsidP="00BB2B79">
      <w:pPr>
        <w:rPr>
          <w:lang w:val="nl-NL"/>
        </w:rPr>
      </w:pPr>
      <w:r w:rsidRPr="002237F0">
        <w:rPr>
          <w:lang w:val="nl-NL"/>
        </w:rPr>
        <w:t>Afscheiden is vereist wanneer aan de volgende voorwaarden is voldaan</w:t>
      </w:r>
      <w:sdt>
        <w:sdtPr>
          <w:rPr>
            <w:lang w:val="nl-NL"/>
          </w:rPr>
          <w:id w:val="2041095"/>
          <w:citation/>
        </w:sdtPr>
        <w:sdtContent>
          <w:r w:rsidR="003C13F3" w:rsidRPr="002237F0">
            <w:rPr>
              <w:lang w:val="nl-NL"/>
            </w:rPr>
            <w:fldChar w:fldCharType="begin"/>
          </w:r>
          <w:r w:rsidR="00755BB5" w:rsidRPr="002237F0">
            <w:rPr>
              <w:lang w:val="nl-NL"/>
            </w:rPr>
            <w:instrText xml:space="preserve"> CITATION Fin09 \l 1043 </w:instrText>
          </w:r>
          <w:r w:rsidR="003C13F3" w:rsidRPr="002237F0">
            <w:rPr>
              <w:lang w:val="nl-NL"/>
            </w:rPr>
            <w:fldChar w:fldCharType="separate"/>
          </w:r>
          <w:r w:rsidR="00755BB5" w:rsidRPr="002237F0">
            <w:rPr>
              <w:noProof/>
              <w:lang w:val="nl-NL"/>
            </w:rPr>
            <w:t xml:space="preserve"> (Financial Instruments: A guide through the official text of IAS 32, IAS 39 &amp; IFRS 7, 2009)</w:t>
          </w:r>
          <w:r w:rsidR="003C13F3" w:rsidRPr="002237F0">
            <w:rPr>
              <w:lang w:val="nl-NL"/>
            </w:rPr>
            <w:fldChar w:fldCharType="end"/>
          </w:r>
        </w:sdtContent>
      </w:sdt>
      <w:r w:rsidRPr="002237F0">
        <w:rPr>
          <w:lang w:val="nl-NL"/>
        </w:rPr>
        <w:t>:</w:t>
      </w:r>
    </w:p>
    <w:p w:rsidR="00BB2B79" w:rsidRPr="002237F0" w:rsidRDefault="00BB2B79" w:rsidP="00BB2B79">
      <w:pPr>
        <w:pStyle w:val="ListParagraph"/>
        <w:numPr>
          <w:ilvl w:val="0"/>
          <w:numId w:val="5"/>
        </w:numPr>
        <w:rPr>
          <w:lang w:val="nl-NL"/>
        </w:rPr>
      </w:pPr>
      <w:r w:rsidRPr="002237F0">
        <w:rPr>
          <w:lang w:val="nl-NL"/>
        </w:rPr>
        <w:t>Er bestaat geen nauw verband tussen de economische kenmerken en risico’s van het derivaat en die van het onderliggende contract;</w:t>
      </w:r>
    </w:p>
    <w:p w:rsidR="00BB2B79" w:rsidRPr="002237F0" w:rsidRDefault="00BB2B79" w:rsidP="00BB2B79">
      <w:pPr>
        <w:pStyle w:val="ListParagraph"/>
        <w:numPr>
          <w:ilvl w:val="0"/>
          <w:numId w:val="5"/>
        </w:numPr>
        <w:rPr>
          <w:lang w:val="nl-NL"/>
        </w:rPr>
      </w:pPr>
      <w:r w:rsidRPr="002237F0">
        <w:rPr>
          <w:lang w:val="nl-NL"/>
        </w:rPr>
        <w:t>Het afgescheiden derivaat voldoet nog steeds aan de definitie van een derivaat;</w:t>
      </w:r>
    </w:p>
    <w:p w:rsidR="00BB2B79" w:rsidRPr="002237F0" w:rsidRDefault="00BB2B79" w:rsidP="00BB2B79">
      <w:pPr>
        <w:pStyle w:val="ListParagraph"/>
        <w:numPr>
          <w:ilvl w:val="0"/>
          <w:numId w:val="5"/>
        </w:numPr>
        <w:rPr>
          <w:lang w:val="nl-NL"/>
        </w:rPr>
      </w:pPr>
      <w:r w:rsidRPr="002237F0">
        <w:rPr>
          <w:lang w:val="nl-NL"/>
        </w:rPr>
        <w:t xml:space="preserve">Het samengestelde instrument wordt niet tegen de reële waarde gewaardeerd, en waardeveranderingen worden niet verwerkt in het resultaat. </w:t>
      </w:r>
    </w:p>
    <w:p w:rsidR="007F4038" w:rsidRPr="002237F0" w:rsidRDefault="00BB2B79" w:rsidP="00BB2B79">
      <w:pPr>
        <w:rPr>
          <w:lang w:val="nl-NL"/>
        </w:rPr>
      </w:pPr>
      <w:r w:rsidRPr="002237F0">
        <w:rPr>
          <w:lang w:val="nl-NL"/>
        </w:rPr>
        <w:t>Na afschei</w:t>
      </w:r>
      <w:r w:rsidR="00DC1634" w:rsidRPr="002237F0">
        <w:rPr>
          <w:lang w:val="nl-NL"/>
        </w:rPr>
        <w:t>ding dient het basiscontract conform de van toepassing zijnde standaard verwerkt te worden</w:t>
      </w:r>
      <w:sdt>
        <w:sdtPr>
          <w:rPr>
            <w:lang w:val="nl-NL"/>
          </w:rPr>
          <w:id w:val="2041096"/>
          <w:citation/>
        </w:sdtPr>
        <w:sdtContent>
          <w:r w:rsidR="003C13F3" w:rsidRPr="002237F0">
            <w:rPr>
              <w:lang w:val="nl-NL"/>
            </w:rPr>
            <w:fldChar w:fldCharType="begin"/>
          </w:r>
          <w:r w:rsidR="00755BB5" w:rsidRPr="002237F0">
            <w:rPr>
              <w:lang w:val="nl-NL"/>
            </w:rPr>
            <w:instrText xml:space="preserve"> CITATION Böh12 \l 1043 </w:instrText>
          </w:r>
          <w:r w:rsidR="003C13F3" w:rsidRPr="002237F0">
            <w:rPr>
              <w:lang w:val="nl-NL"/>
            </w:rPr>
            <w:fldChar w:fldCharType="separate"/>
          </w:r>
          <w:r w:rsidR="00755BB5" w:rsidRPr="002237F0">
            <w:rPr>
              <w:noProof/>
              <w:lang w:val="nl-NL"/>
            </w:rPr>
            <w:t xml:space="preserve"> (Böhmer, Hoogendoorn, &amp; Kruit, 2012)</w:t>
          </w:r>
          <w:r w:rsidR="003C13F3" w:rsidRPr="002237F0">
            <w:rPr>
              <w:lang w:val="nl-NL"/>
            </w:rPr>
            <w:fldChar w:fldCharType="end"/>
          </w:r>
        </w:sdtContent>
      </w:sdt>
      <w:r w:rsidR="00DC1634" w:rsidRPr="002237F0">
        <w:rPr>
          <w:lang w:val="nl-NL"/>
        </w:rPr>
        <w:t>.</w:t>
      </w:r>
    </w:p>
    <w:p w:rsidR="00DC1634" w:rsidRPr="002237F0" w:rsidRDefault="00DC1634" w:rsidP="00BB2B79">
      <w:pPr>
        <w:rPr>
          <w:lang w:val="nl-NL"/>
        </w:rPr>
      </w:pPr>
      <w:r w:rsidRPr="002237F0">
        <w:rPr>
          <w:b/>
          <w:sz w:val="28"/>
          <w:lang w:val="nl-NL"/>
        </w:rPr>
        <w:t>1.3. Waardering</w:t>
      </w:r>
      <w:r w:rsidR="00383F68" w:rsidRPr="002237F0">
        <w:rPr>
          <w:b/>
          <w:sz w:val="28"/>
          <w:lang w:val="nl-NL"/>
        </w:rPr>
        <w:t xml:space="preserve"> en resultaatbepaling</w:t>
      </w:r>
    </w:p>
    <w:p w:rsidR="0007614C" w:rsidRPr="002237F0" w:rsidRDefault="0001448B" w:rsidP="00BB2B79">
      <w:pPr>
        <w:rPr>
          <w:lang w:val="nl-NL"/>
        </w:rPr>
      </w:pPr>
      <w:r w:rsidRPr="002237F0">
        <w:rPr>
          <w:lang w:val="nl-NL"/>
        </w:rPr>
        <w:t xml:space="preserve">Op het gebied van financiële instrumenten zijn er volgens IFRS verschillende </w:t>
      </w:r>
      <w:proofErr w:type="spellStart"/>
      <w:r w:rsidRPr="002237F0">
        <w:rPr>
          <w:lang w:val="nl-NL"/>
        </w:rPr>
        <w:t>waarderings</w:t>
      </w:r>
      <w:proofErr w:type="spellEnd"/>
      <w:r w:rsidRPr="002237F0">
        <w:rPr>
          <w:lang w:val="nl-NL"/>
        </w:rPr>
        <w:t xml:space="preserve">- en </w:t>
      </w:r>
      <w:proofErr w:type="spellStart"/>
      <w:r w:rsidRPr="002237F0">
        <w:rPr>
          <w:lang w:val="nl-NL"/>
        </w:rPr>
        <w:t>resultaatbepalingsgrondslagen</w:t>
      </w:r>
      <w:proofErr w:type="spellEnd"/>
      <w:r w:rsidRPr="002237F0">
        <w:rPr>
          <w:lang w:val="nl-NL"/>
        </w:rPr>
        <w:t xml:space="preserve">. Deze grondslagen hangen af van de categorie waar het financiële instrument toe behoort. In de volgende paragraaf wordt er verder ingegaan op de classificatie van financiële activa en verplichtingen. De mogelijke waarderingsgrondslagen zijn de kostprijs, de geamortiseerde kostprijs of de reële waarde(vanaf </w:t>
      </w:r>
      <w:r w:rsidR="00755BB5" w:rsidRPr="002237F0">
        <w:rPr>
          <w:lang w:val="nl-NL"/>
        </w:rPr>
        <w:t>nu</w:t>
      </w:r>
      <w:r w:rsidRPr="002237F0">
        <w:rPr>
          <w:lang w:val="nl-NL"/>
        </w:rPr>
        <w:t xml:space="preserve"> </w:t>
      </w:r>
      <w:r w:rsidR="00755BB5" w:rsidRPr="002237F0">
        <w:rPr>
          <w:lang w:val="nl-NL"/>
        </w:rPr>
        <w:t xml:space="preserve">ook </w:t>
      </w:r>
      <w:r w:rsidRPr="002237F0">
        <w:rPr>
          <w:lang w:val="nl-NL"/>
        </w:rPr>
        <w:t xml:space="preserve">de </w:t>
      </w:r>
      <w:r w:rsidRPr="002237F0">
        <w:rPr>
          <w:i/>
          <w:lang w:val="nl-NL"/>
        </w:rPr>
        <w:t xml:space="preserve">fair </w:t>
      </w:r>
      <w:proofErr w:type="spellStart"/>
      <w:r w:rsidRPr="002237F0">
        <w:rPr>
          <w:i/>
          <w:lang w:val="nl-NL"/>
        </w:rPr>
        <w:t>value</w:t>
      </w:r>
      <w:proofErr w:type="spellEnd"/>
      <w:r w:rsidRPr="002237F0">
        <w:rPr>
          <w:i/>
          <w:lang w:val="nl-NL"/>
        </w:rPr>
        <w:t xml:space="preserve"> </w:t>
      </w:r>
      <w:r w:rsidRPr="002237F0">
        <w:rPr>
          <w:lang w:val="nl-NL"/>
        </w:rPr>
        <w:t xml:space="preserve">genoemd). </w:t>
      </w:r>
    </w:p>
    <w:p w:rsidR="00AE38CA" w:rsidRPr="002237F0" w:rsidRDefault="00AE38CA" w:rsidP="00BB2B79">
      <w:pPr>
        <w:rPr>
          <w:b/>
          <w:lang w:val="nl-NL"/>
        </w:rPr>
      </w:pPr>
      <w:r w:rsidRPr="002237F0">
        <w:rPr>
          <w:b/>
          <w:lang w:val="nl-NL"/>
        </w:rPr>
        <w:t>(geamortiseerde) Kostprijs</w:t>
      </w:r>
    </w:p>
    <w:p w:rsidR="00AE38CA" w:rsidRPr="002237F0" w:rsidRDefault="0007614C" w:rsidP="00BB2B79">
      <w:pPr>
        <w:rPr>
          <w:lang w:val="nl-NL"/>
        </w:rPr>
      </w:pPr>
      <w:r w:rsidRPr="002237F0">
        <w:rPr>
          <w:lang w:val="nl-NL"/>
        </w:rPr>
        <w:t xml:space="preserve">De kostprijs is de </w:t>
      </w:r>
      <w:proofErr w:type="spellStart"/>
      <w:r w:rsidRPr="002237F0">
        <w:rPr>
          <w:lang w:val="nl-NL"/>
        </w:rPr>
        <w:t>verkrijgingsprijs</w:t>
      </w:r>
      <w:proofErr w:type="spellEnd"/>
      <w:r w:rsidRPr="002237F0">
        <w:rPr>
          <w:lang w:val="nl-NL"/>
        </w:rPr>
        <w:t xml:space="preserve"> van een actief of passief. Dit is de fair </w:t>
      </w:r>
      <w:proofErr w:type="spellStart"/>
      <w:r w:rsidRPr="002237F0">
        <w:rPr>
          <w:lang w:val="nl-NL"/>
        </w:rPr>
        <w:t>value</w:t>
      </w:r>
      <w:proofErr w:type="spellEnd"/>
      <w:r w:rsidRPr="002237F0">
        <w:rPr>
          <w:lang w:val="nl-NL"/>
        </w:rPr>
        <w:t xml:space="preserve"> van het goed op het moment van aanschaf. De berekening van de geamortiseerde kostprijs is wat i</w:t>
      </w:r>
      <w:r w:rsidR="00755BB5" w:rsidRPr="002237F0">
        <w:rPr>
          <w:lang w:val="nl-NL"/>
        </w:rPr>
        <w:t xml:space="preserve">ngewikkelder. Hierbij worden de </w:t>
      </w:r>
      <w:r w:rsidRPr="002237F0">
        <w:rPr>
          <w:lang w:val="nl-NL"/>
        </w:rPr>
        <w:t xml:space="preserve">verwachte kasstromen verdisconteerd naar het heden. Bij toekomstige kasstromen </w:t>
      </w:r>
      <w:r w:rsidR="00755BB5" w:rsidRPr="002237F0">
        <w:rPr>
          <w:lang w:val="nl-NL"/>
        </w:rPr>
        <w:t>kan gedacht worden aan een obligatie waarbij de bezitter</w:t>
      </w:r>
      <w:r w:rsidRPr="002237F0">
        <w:rPr>
          <w:lang w:val="nl-NL"/>
        </w:rPr>
        <w:t xml:space="preserve"> elk jaar een coupon krijgt en na een x aantal jaren het nominale bedrag </w:t>
      </w:r>
      <w:r w:rsidR="00755BB5" w:rsidRPr="002237F0">
        <w:rPr>
          <w:lang w:val="nl-NL"/>
        </w:rPr>
        <w:t>ontvangt</w:t>
      </w:r>
      <w:r w:rsidRPr="002237F0">
        <w:rPr>
          <w:lang w:val="nl-NL"/>
        </w:rPr>
        <w:t xml:space="preserve">. </w:t>
      </w:r>
      <w:r w:rsidR="00E9266D" w:rsidRPr="002237F0">
        <w:rPr>
          <w:lang w:val="nl-NL"/>
        </w:rPr>
        <w:t>Als de couponrente</w:t>
      </w:r>
      <w:r w:rsidR="00755BB5" w:rsidRPr="002237F0">
        <w:rPr>
          <w:lang w:val="nl-NL"/>
        </w:rPr>
        <w:t xml:space="preserve"> steeds</w:t>
      </w:r>
      <w:r w:rsidR="00E9266D" w:rsidRPr="002237F0">
        <w:rPr>
          <w:lang w:val="nl-NL"/>
        </w:rPr>
        <w:t xml:space="preserve"> verschi</w:t>
      </w:r>
      <w:r w:rsidR="00755BB5" w:rsidRPr="002237F0">
        <w:rPr>
          <w:lang w:val="nl-NL"/>
        </w:rPr>
        <w:t xml:space="preserve">lt van de werkelijke rente, </w:t>
      </w:r>
      <w:r w:rsidR="00E9266D" w:rsidRPr="002237F0">
        <w:rPr>
          <w:lang w:val="nl-NL"/>
        </w:rPr>
        <w:t>zal de geamortiseerde kostprijs per jaar verschillen.</w:t>
      </w:r>
    </w:p>
    <w:p w:rsidR="00E9266D" w:rsidRPr="002237F0" w:rsidRDefault="00AE38CA" w:rsidP="00BB2B79">
      <w:pPr>
        <w:rPr>
          <w:lang w:val="nl-NL"/>
        </w:rPr>
      </w:pPr>
      <w:r w:rsidRPr="002237F0">
        <w:rPr>
          <w:b/>
          <w:lang w:val="nl-NL"/>
        </w:rPr>
        <w:t xml:space="preserve">Fair </w:t>
      </w:r>
      <w:proofErr w:type="spellStart"/>
      <w:r w:rsidRPr="002237F0">
        <w:rPr>
          <w:b/>
          <w:lang w:val="nl-NL"/>
        </w:rPr>
        <w:t>value</w:t>
      </w:r>
      <w:proofErr w:type="spellEnd"/>
      <w:r w:rsidR="00E9266D" w:rsidRPr="002237F0">
        <w:rPr>
          <w:lang w:val="nl-NL"/>
        </w:rPr>
        <w:t xml:space="preserve"> </w:t>
      </w:r>
    </w:p>
    <w:p w:rsidR="0037049F" w:rsidRPr="002237F0" w:rsidRDefault="00E9266D" w:rsidP="00BB2B79">
      <w:pPr>
        <w:rPr>
          <w:lang w:val="nl-NL"/>
        </w:rPr>
      </w:pPr>
      <w:r w:rsidRPr="002237F0">
        <w:rPr>
          <w:lang w:val="nl-NL"/>
        </w:rPr>
        <w:t>De waardering die bij IFRS echter het vaakst gebruikt wordt</w:t>
      </w:r>
      <w:r w:rsidR="00755BB5" w:rsidRPr="002237F0">
        <w:rPr>
          <w:lang w:val="nl-NL"/>
        </w:rPr>
        <w:t>,</w:t>
      </w:r>
      <w:r w:rsidRPr="002237F0">
        <w:rPr>
          <w:lang w:val="nl-NL"/>
        </w:rPr>
        <w:t xml:space="preserve"> is de fair </w:t>
      </w:r>
      <w:proofErr w:type="spellStart"/>
      <w:r w:rsidRPr="002237F0">
        <w:rPr>
          <w:lang w:val="nl-NL"/>
        </w:rPr>
        <w:t>value</w:t>
      </w:r>
      <w:proofErr w:type="spellEnd"/>
      <w:r w:rsidRPr="002237F0">
        <w:rPr>
          <w:lang w:val="nl-NL"/>
        </w:rPr>
        <w:t xml:space="preserve">. IAS 39.9 definieert: </w:t>
      </w:r>
    </w:p>
    <w:p w:rsidR="003173E3" w:rsidRPr="002237F0" w:rsidRDefault="0037049F" w:rsidP="00BB2B79">
      <w:pPr>
        <w:rPr>
          <w:lang w:val="nl-NL"/>
        </w:rPr>
      </w:pPr>
      <w:r w:rsidRPr="002237F0">
        <w:rPr>
          <w:i/>
          <w:lang w:val="nl-NL"/>
        </w:rPr>
        <w:t>‘</w:t>
      </w:r>
      <w:r w:rsidR="00E9266D" w:rsidRPr="002237F0">
        <w:rPr>
          <w:i/>
          <w:lang w:val="nl-NL"/>
        </w:rPr>
        <w:t>De reële waarde is het bedrag waarvoor een actief of passief kan worden</w:t>
      </w:r>
      <w:r w:rsidRPr="002237F0">
        <w:rPr>
          <w:i/>
          <w:lang w:val="nl-NL"/>
        </w:rPr>
        <w:t xml:space="preserve"> verhandeld of afgewikkeld tussen ter zake goed geïnformeerde, onafhankelijke en tot een transactie bereid zijnde </w:t>
      </w:r>
      <w:proofErr w:type="gramStart"/>
      <w:r w:rsidRPr="002237F0">
        <w:rPr>
          <w:i/>
          <w:lang w:val="nl-NL"/>
        </w:rPr>
        <w:t>partijen’.</w:t>
      </w:r>
      <w:r w:rsidRPr="002237F0">
        <w:rPr>
          <w:lang w:val="nl-NL"/>
        </w:rPr>
        <w:t xml:space="preserve"> </w:t>
      </w:r>
      <w:r w:rsidR="003173E3" w:rsidRPr="002237F0">
        <w:rPr>
          <w:lang w:val="nl-NL"/>
        </w:rPr>
        <w:t xml:space="preserve"> </w:t>
      </w:r>
      <w:proofErr w:type="gramEnd"/>
    </w:p>
    <w:p w:rsidR="0037049F" w:rsidRPr="002237F0" w:rsidRDefault="00755BB5" w:rsidP="00BB2B79">
      <w:pPr>
        <w:rPr>
          <w:lang w:val="nl-NL"/>
        </w:rPr>
      </w:pPr>
      <w:r w:rsidRPr="002237F0">
        <w:rPr>
          <w:lang w:val="nl-NL"/>
        </w:rPr>
        <w:t>In de praktijk wordt dit de geldende marktprijs genoemd</w:t>
      </w:r>
      <w:sdt>
        <w:sdtPr>
          <w:rPr>
            <w:lang w:val="nl-NL"/>
          </w:rPr>
          <w:id w:val="2041097"/>
          <w:citation/>
        </w:sdtPr>
        <w:sdtContent>
          <w:r w:rsidR="003C13F3" w:rsidRPr="002237F0">
            <w:rPr>
              <w:lang w:val="nl-NL"/>
            </w:rPr>
            <w:fldChar w:fldCharType="begin"/>
          </w:r>
          <w:r w:rsidRPr="002237F0">
            <w:rPr>
              <w:lang w:val="nl-NL"/>
            </w:rPr>
            <w:instrText xml:space="preserve"> CITATION Böh12 \l 1043 </w:instrText>
          </w:r>
          <w:r w:rsidR="003C13F3" w:rsidRPr="002237F0">
            <w:rPr>
              <w:lang w:val="nl-NL"/>
            </w:rPr>
            <w:fldChar w:fldCharType="separate"/>
          </w:r>
          <w:r w:rsidRPr="002237F0">
            <w:rPr>
              <w:noProof/>
              <w:lang w:val="nl-NL"/>
            </w:rPr>
            <w:t xml:space="preserve"> (Böhmer, Hoogendoorn, &amp; Kruit, 2012)</w:t>
          </w:r>
          <w:r w:rsidR="003C13F3" w:rsidRPr="002237F0">
            <w:rPr>
              <w:lang w:val="nl-NL"/>
            </w:rPr>
            <w:fldChar w:fldCharType="end"/>
          </w:r>
        </w:sdtContent>
      </w:sdt>
      <w:r w:rsidR="0037049F" w:rsidRPr="002237F0">
        <w:rPr>
          <w:lang w:val="nl-NL"/>
        </w:rPr>
        <w:t xml:space="preserve">. Bij de vervolgwaardering is de kans groot dat de fair </w:t>
      </w:r>
      <w:proofErr w:type="spellStart"/>
      <w:r w:rsidR="0037049F" w:rsidRPr="002237F0">
        <w:rPr>
          <w:lang w:val="nl-NL"/>
        </w:rPr>
        <w:t>value</w:t>
      </w:r>
      <w:proofErr w:type="spellEnd"/>
      <w:r w:rsidR="0037049F" w:rsidRPr="002237F0">
        <w:rPr>
          <w:lang w:val="nl-NL"/>
        </w:rPr>
        <w:t xml:space="preserve"> veranderd is. IFRS kent per categorie financieel instrument hierbij een andere regeling: De waardeverandering wordt ofwel in het resultaat ofwel in het eigen vermogen verwerkt. </w:t>
      </w:r>
    </w:p>
    <w:p w:rsidR="0037049F" w:rsidRPr="002237F0" w:rsidRDefault="0037049F" w:rsidP="00BB2B79">
      <w:pPr>
        <w:rPr>
          <w:lang w:val="nl-NL"/>
        </w:rPr>
      </w:pPr>
      <w:r w:rsidRPr="002237F0">
        <w:rPr>
          <w:lang w:val="nl-NL"/>
        </w:rPr>
        <w:t xml:space="preserve">Verder dient nog vermeld te worden dat IFRS bij bepaling van de fair </w:t>
      </w:r>
      <w:proofErr w:type="spellStart"/>
      <w:r w:rsidRPr="002237F0">
        <w:rPr>
          <w:lang w:val="nl-NL"/>
        </w:rPr>
        <w:t>valu</w:t>
      </w:r>
      <w:r w:rsidR="00755BB5" w:rsidRPr="002237F0">
        <w:rPr>
          <w:lang w:val="nl-NL"/>
        </w:rPr>
        <w:t>e</w:t>
      </w:r>
      <w:proofErr w:type="spellEnd"/>
      <w:r w:rsidR="00755BB5" w:rsidRPr="002237F0">
        <w:rPr>
          <w:lang w:val="nl-NL"/>
        </w:rPr>
        <w:t xml:space="preserve"> een onderscheid maakt tussen drie</w:t>
      </w:r>
      <w:r w:rsidRPr="002237F0">
        <w:rPr>
          <w:lang w:val="nl-NL"/>
        </w:rPr>
        <w:t xml:space="preserve"> niveaus, die voor h</w:t>
      </w:r>
      <w:r w:rsidR="00755BB5" w:rsidRPr="002237F0">
        <w:rPr>
          <w:lang w:val="nl-NL"/>
        </w:rPr>
        <w:t>et vervolg van dit onderzoek</w:t>
      </w:r>
      <w:r w:rsidRPr="002237F0">
        <w:rPr>
          <w:lang w:val="nl-NL"/>
        </w:rPr>
        <w:t xml:space="preserve"> van belang zijn. Van niveau 1 is sprake wanneer het een instrument betreft dat wordt verhandeld op een actieve markt. De goederen zijn </w:t>
      </w:r>
      <w:proofErr w:type="gramStart"/>
      <w:r w:rsidRPr="002237F0">
        <w:rPr>
          <w:lang w:val="nl-NL"/>
        </w:rPr>
        <w:t>homogeen</w:t>
      </w:r>
      <w:proofErr w:type="gramEnd"/>
      <w:r w:rsidRPr="002237F0">
        <w:rPr>
          <w:lang w:val="nl-NL"/>
        </w:rPr>
        <w:t>, de prijzen zijn beschikbaar voor het publiek en een transactie is op elk moment mogelijk. Op dit niveau is de geldende marktprijs de beste benadering van de reële waarde</w:t>
      </w:r>
      <w:sdt>
        <w:sdtPr>
          <w:rPr>
            <w:lang w:val="nl-NL"/>
          </w:rPr>
          <w:id w:val="2041098"/>
          <w:citation/>
        </w:sdtPr>
        <w:sdtContent>
          <w:r w:rsidR="003C13F3" w:rsidRPr="002237F0">
            <w:rPr>
              <w:lang w:val="nl-NL"/>
            </w:rPr>
            <w:fldChar w:fldCharType="begin"/>
          </w:r>
          <w:r w:rsidR="00755BB5" w:rsidRPr="002237F0">
            <w:rPr>
              <w:lang w:val="nl-NL"/>
            </w:rPr>
            <w:instrText xml:space="preserve"> CITATION Fin09 \l 1043 </w:instrText>
          </w:r>
          <w:r w:rsidR="003C13F3" w:rsidRPr="002237F0">
            <w:rPr>
              <w:lang w:val="nl-NL"/>
            </w:rPr>
            <w:fldChar w:fldCharType="separate"/>
          </w:r>
          <w:r w:rsidR="00755BB5" w:rsidRPr="002237F0">
            <w:rPr>
              <w:noProof/>
              <w:lang w:val="nl-NL"/>
            </w:rPr>
            <w:t xml:space="preserve"> (Financial Instruments: A guide through the official text of IAS 32, IAS 39 &amp; IFRS 7, 2009)</w:t>
          </w:r>
          <w:r w:rsidR="003C13F3" w:rsidRPr="002237F0">
            <w:rPr>
              <w:lang w:val="nl-NL"/>
            </w:rPr>
            <w:fldChar w:fldCharType="end"/>
          </w:r>
        </w:sdtContent>
      </w:sdt>
      <w:r w:rsidRPr="002237F0">
        <w:rPr>
          <w:lang w:val="nl-NL"/>
        </w:rPr>
        <w:t xml:space="preserve">. </w:t>
      </w:r>
    </w:p>
    <w:p w:rsidR="0037049F" w:rsidRPr="002237F0" w:rsidRDefault="0037049F" w:rsidP="00BB2B79">
      <w:pPr>
        <w:rPr>
          <w:lang w:val="nl-NL"/>
        </w:rPr>
      </w:pPr>
      <w:r w:rsidRPr="002237F0">
        <w:rPr>
          <w:lang w:val="nl-NL"/>
        </w:rPr>
        <w:t>Wanneer er geen actieve markt is, is de reële waarde niet gelijk aan de marktprijs. Dit is het geval wanneer de markt niet goed ontwikkeld is of er te geringe volumes verhandel</w:t>
      </w:r>
      <w:r w:rsidR="00755BB5" w:rsidRPr="002237F0">
        <w:rPr>
          <w:lang w:val="nl-NL"/>
        </w:rPr>
        <w:t>d worden. Dit kan echter niet</w:t>
      </w:r>
      <w:r w:rsidRPr="002237F0">
        <w:rPr>
          <w:lang w:val="nl-NL"/>
        </w:rPr>
        <w:t xml:space="preserve"> snel worden geconcludeerd. Wanneer de marktprijs niet </w:t>
      </w:r>
      <w:proofErr w:type="gramStart"/>
      <w:r w:rsidRPr="002237F0">
        <w:rPr>
          <w:lang w:val="nl-NL"/>
        </w:rPr>
        <w:t>de</w:t>
      </w:r>
      <w:proofErr w:type="gramEnd"/>
      <w:r w:rsidRPr="002237F0">
        <w:rPr>
          <w:lang w:val="nl-NL"/>
        </w:rPr>
        <w:t xml:space="preserve"> juiste is, kan ernaar gekeken worden of waardering volgens niveau 2 de juiste is. </w:t>
      </w:r>
      <w:r w:rsidR="003C31CE" w:rsidRPr="002237F0">
        <w:rPr>
          <w:lang w:val="nl-NL"/>
        </w:rPr>
        <w:t>Hier wordt de reële waarde bepaald uit de reële waarde van zijn bestanddelen of van een soortgelijk instrument</w:t>
      </w:r>
      <w:sdt>
        <w:sdtPr>
          <w:rPr>
            <w:lang w:val="nl-NL"/>
          </w:rPr>
          <w:id w:val="-118146014"/>
          <w:citation/>
        </w:sdtPr>
        <w:sdtContent>
          <w:r w:rsidR="003C13F3" w:rsidRPr="002237F0">
            <w:rPr>
              <w:lang w:val="nl-NL"/>
            </w:rPr>
            <w:fldChar w:fldCharType="begin"/>
          </w:r>
          <w:r w:rsidR="003334D4" w:rsidRPr="002237F0">
            <w:rPr>
              <w:lang w:val="nl-NL"/>
            </w:rPr>
            <w:instrText xml:space="preserve"> CITATION Fin09 \l 1033 </w:instrText>
          </w:r>
          <w:r w:rsidR="003C13F3" w:rsidRPr="002237F0">
            <w:rPr>
              <w:lang w:val="nl-NL"/>
            </w:rPr>
            <w:fldChar w:fldCharType="separate"/>
          </w:r>
          <w:r w:rsidR="003334D4" w:rsidRPr="002237F0">
            <w:rPr>
              <w:noProof/>
              <w:lang w:val="nl-NL"/>
            </w:rPr>
            <w:t xml:space="preserve"> (Financial Instruments: A guide through the official text of IAS 32, IAS 39 &amp; IFRS 7, 2009)</w:t>
          </w:r>
          <w:r w:rsidR="003C13F3" w:rsidRPr="002237F0">
            <w:rPr>
              <w:lang w:val="nl-NL"/>
            </w:rPr>
            <w:fldChar w:fldCharType="end"/>
          </w:r>
        </w:sdtContent>
      </w:sdt>
      <w:r w:rsidR="003C31CE" w:rsidRPr="002237F0">
        <w:rPr>
          <w:lang w:val="nl-NL"/>
        </w:rPr>
        <w:t xml:space="preserve">. Wanneer er recente transacties zijn geweest van het instrument, vormen die een belangrijke indicator voor de geldende reële waarde. </w:t>
      </w:r>
    </w:p>
    <w:p w:rsidR="00383F68" w:rsidRPr="002237F0" w:rsidRDefault="003C31CE" w:rsidP="00BB2B79">
      <w:pPr>
        <w:rPr>
          <w:lang w:val="nl-NL"/>
        </w:rPr>
      </w:pPr>
      <w:r w:rsidRPr="002237F0">
        <w:rPr>
          <w:lang w:val="nl-NL"/>
        </w:rPr>
        <w:t>Bij niveau 3 wordt de waarde van het instrument niet meer afgeleid van de markt. Hier wordt de waarde berekend met algemeen aanvaarde waarderingsmodellen en –technieken. Er zijn geen waarneembare indicatoren voor de marktprijs</w:t>
      </w:r>
      <w:sdt>
        <w:sdtPr>
          <w:rPr>
            <w:lang w:val="nl-NL"/>
          </w:rPr>
          <w:id w:val="2041099"/>
          <w:citation/>
        </w:sdtPr>
        <w:sdtContent>
          <w:r w:rsidR="003C13F3" w:rsidRPr="002237F0">
            <w:rPr>
              <w:lang w:val="nl-NL"/>
            </w:rPr>
            <w:fldChar w:fldCharType="begin"/>
          </w:r>
          <w:r w:rsidR="00755BB5" w:rsidRPr="002237F0">
            <w:rPr>
              <w:lang w:val="nl-NL"/>
            </w:rPr>
            <w:instrText xml:space="preserve"> CITATION Böh12 \l 1043 </w:instrText>
          </w:r>
          <w:r w:rsidR="003C13F3" w:rsidRPr="002237F0">
            <w:rPr>
              <w:lang w:val="nl-NL"/>
            </w:rPr>
            <w:fldChar w:fldCharType="separate"/>
          </w:r>
          <w:r w:rsidR="00755BB5" w:rsidRPr="002237F0">
            <w:rPr>
              <w:noProof/>
              <w:lang w:val="nl-NL"/>
            </w:rPr>
            <w:t xml:space="preserve"> (Böhmer, Hoogendoorn, &amp; Kruit, 2012)</w:t>
          </w:r>
          <w:r w:rsidR="003C13F3" w:rsidRPr="002237F0">
            <w:rPr>
              <w:lang w:val="nl-NL"/>
            </w:rPr>
            <w:fldChar w:fldCharType="end"/>
          </w:r>
        </w:sdtContent>
      </w:sdt>
      <w:r w:rsidRPr="002237F0">
        <w:rPr>
          <w:lang w:val="nl-NL"/>
        </w:rPr>
        <w:t xml:space="preserve">. </w:t>
      </w:r>
    </w:p>
    <w:p w:rsidR="00383F68" w:rsidRPr="002237F0" w:rsidRDefault="00383F68" w:rsidP="00BB2B79">
      <w:pPr>
        <w:rPr>
          <w:b/>
          <w:sz w:val="28"/>
          <w:lang w:val="nl-NL"/>
        </w:rPr>
      </w:pPr>
      <w:r w:rsidRPr="002237F0">
        <w:rPr>
          <w:b/>
          <w:sz w:val="28"/>
          <w:lang w:val="nl-NL"/>
        </w:rPr>
        <w:t>1.4. Classificatie van financiële instrumenten</w:t>
      </w:r>
    </w:p>
    <w:p w:rsidR="00383F68" w:rsidRPr="002237F0" w:rsidRDefault="006D75E0" w:rsidP="00BB2B79">
      <w:pPr>
        <w:rPr>
          <w:lang w:val="nl-NL"/>
        </w:rPr>
      </w:pPr>
      <w:r w:rsidRPr="002237F0">
        <w:rPr>
          <w:lang w:val="nl-NL"/>
        </w:rPr>
        <w:t xml:space="preserve">In deze </w:t>
      </w:r>
      <w:r w:rsidR="00383F68" w:rsidRPr="002237F0">
        <w:rPr>
          <w:lang w:val="nl-NL"/>
        </w:rPr>
        <w:t>p</w:t>
      </w:r>
      <w:r w:rsidR="00755BB5" w:rsidRPr="002237F0">
        <w:rPr>
          <w:lang w:val="nl-NL"/>
        </w:rPr>
        <w:t>aragraaf zullen de</w:t>
      </w:r>
      <w:r w:rsidR="00383F68" w:rsidRPr="002237F0">
        <w:rPr>
          <w:lang w:val="nl-NL"/>
        </w:rPr>
        <w:t xml:space="preserve"> categorieën financiële instrumenten naar voren komen welke</w:t>
      </w:r>
      <w:r w:rsidR="00755BB5" w:rsidRPr="002237F0">
        <w:rPr>
          <w:lang w:val="nl-NL"/>
        </w:rPr>
        <w:t xml:space="preserve"> in de IFRS worden onderscheiden</w:t>
      </w:r>
      <w:r w:rsidR="00383F68" w:rsidRPr="002237F0">
        <w:rPr>
          <w:lang w:val="nl-NL"/>
        </w:rPr>
        <w:t>.</w:t>
      </w:r>
      <w:r w:rsidR="004531F7" w:rsidRPr="002237F0">
        <w:rPr>
          <w:lang w:val="nl-NL"/>
        </w:rPr>
        <w:t xml:space="preserve"> Opgemerkt dient te worden dat vrijwel altijd de reële waarde optie gebruikt kan worden, en dat daarom reële waarde met verwerking in het resultaat vrijwel altijd mogelijk is</w:t>
      </w:r>
      <w:sdt>
        <w:sdtPr>
          <w:rPr>
            <w:lang w:val="nl-NL"/>
          </w:rPr>
          <w:id w:val="2041100"/>
          <w:citation/>
        </w:sdtPr>
        <w:sdtContent>
          <w:r w:rsidR="003C13F3" w:rsidRPr="002237F0">
            <w:rPr>
              <w:lang w:val="nl-NL"/>
            </w:rPr>
            <w:fldChar w:fldCharType="begin"/>
          </w:r>
          <w:r w:rsidR="00FC0541" w:rsidRPr="002237F0">
            <w:rPr>
              <w:lang w:val="nl-NL"/>
            </w:rPr>
            <w:instrText xml:space="preserve"> CITATION Böh12 \l 1043 </w:instrText>
          </w:r>
          <w:r w:rsidR="003C13F3" w:rsidRPr="002237F0">
            <w:rPr>
              <w:lang w:val="nl-NL"/>
            </w:rPr>
            <w:fldChar w:fldCharType="separate"/>
          </w:r>
          <w:r w:rsidR="00FC0541" w:rsidRPr="002237F0">
            <w:rPr>
              <w:noProof/>
              <w:lang w:val="nl-NL"/>
            </w:rPr>
            <w:t xml:space="preserve"> (Böhmer, Hoogendoorn, &amp; Kruit, 2012)</w:t>
          </w:r>
          <w:r w:rsidR="003C13F3" w:rsidRPr="002237F0">
            <w:rPr>
              <w:lang w:val="nl-NL"/>
            </w:rPr>
            <w:fldChar w:fldCharType="end"/>
          </w:r>
        </w:sdtContent>
      </w:sdt>
      <w:proofErr w:type="gramStart"/>
      <w:r w:rsidR="004531F7" w:rsidRPr="002237F0">
        <w:rPr>
          <w:lang w:val="nl-NL"/>
        </w:rPr>
        <w:t xml:space="preserve">. </w:t>
      </w:r>
      <w:r w:rsidR="00383F68" w:rsidRPr="002237F0">
        <w:rPr>
          <w:lang w:val="nl-NL"/>
        </w:rPr>
        <w:t xml:space="preserve"> </w:t>
      </w:r>
      <w:proofErr w:type="gramEnd"/>
    </w:p>
    <w:p w:rsidR="00090020" w:rsidRPr="002237F0" w:rsidRDefault="00383F68" w:rsidP="00383F68">
      <w:pPr>
        <w:rPr>
          <w:lang w:val="nl-NL"/>
        </w:rPr>
      </w:pPr>
      <w:r w:rsidRPr="002237F0">
        <w:rPr>
          <w:b/>
          <w:lang w:val="nl-NL"/>
        </w:rPr>
        <w:t xml:space="preserve">Held </w:t>
      </w:r>
      <w:proofErr w:type="spellStart"/>
      <w:r w:rsidRPr="002237F0">
        <w:rPr>
          <w:b/>
          <w:lang w:val="nl-NL"/>
        </w:rPr>
        <w:t>for</w:t>
      </w:r>
      <w:proofErr w:type="spellEnd"/>
      <w:r w:rsidRPr="002237F0">
        <w:rPr>
          <w:b/>
          <w:lang w:val="nl-NL"/>
        </w:rPr>
        <w:t xml:space="preserve"> trading</w:t>
      </w:r>
      <w:r w:rsidRPr="002237F0">
        <w:rPr>
          <w:lang w:val="nl-NL"/>
        </w:rPr>
        <w:t xml:space="preserve"> </w:t>
      </w:r>
    </w:p>
    <w:p w:rsidR="00485F87" w:rsidRPr="002237F0" w:rsidRDefault="00383F68" w:rsidP="00383F68">
      <w:pPr>
        <w:rPr>
          <w:lang w:val="nl-NL"/>
        </w:rPr>
      </w:pPr>
      <w:r w:rsidRPr="002237F0">
        <w:rPr>
          <w:lang w:val="nl-NL"/>
        </w:rPr>
        <w:t xml:space="preserve">Deze categorie omvat alle activa en verplichtingen die worden aangegaan voor handelsdoeleinden. Een actief of passief wordt aangegaan voor handelsdoeleinden indien de onderneming van plan is het op korte termijn te verkopen of </w:t>
      </w:r>
      <w:r w:rsidR="00FC0541" w:rsidRPr="002237F0">
        <w:rPr>
          <w:lang w:val="nl-NL"/>
        </w:rPr>
        <w:t>te beëindigen. Ook wordt een</w:t>
      </w:r>
      <w:r w:rsidRPr="002237F0">
        <w:rPr>
          <w:lang w:val="nl-NL"/>
        </w:rPr>
        <w:t xml:space="preserve"> actief of passief</w:t>
      </w:r>
      <w:r w:rsidR="00FC0541" w:rsidRPr="002237F0">
        <w:rPr>
          <w:lang w:val="nl-NL"/>
        </w:rPr>
        <w:t xml:space="preserve"> aangegaan voor handelsdoeleinden wanneer het</w:t>
      </w:r>
      <w:r w:rsidRPr="002237F0">
        <w:rPr>
          <w:lang w:val="nl-NL"/>
        </w:rPr>
        <w:t xml:space="preserve"> deel uitmaakt van een finan</w:t>
      </w:r>
      <w:r w:rsidR="00FC0541" w:rsidRPr="002237F0">
        <w:rPr>
          <w:lang w:val="nl-NL"/>
        </w:rPr>
        <w:t>cieel instrument dat in een handelsportefeuille</w:t>
      </w:r>
      <w:r w:rsidRPr="002237F0">
        <w:rPr>
          <w:lang w:val="nl-NL"/>
        </w:rPr>
        <w:t xml:space="preserve"> wordt beheerd en waarvoor aanwijzingen bestaan van winstnemingen op korte termijn. </w:t>
      </w:r>
      <w:r w:rsidR="00485F87" w:rsidRPr="002237F0">
        <w:rPr>
          <w:u w:val="single"/>
          <w:lang w:val="nl-NL"/>
        </w:rPr>
        <w:t>Deze categorie wordt gewaardeerd tegen reële waarde, met wijzigingen verwerkt in het resultaat</w:t>
      </w:r>
      <w:sdt>
        <w:sdtPr>
          <w:rPr>
            <w:u w:val="single"/>
            <w:lang w:val="nl-NL"/>
          </w:rPr>
          <w:id w:val="2041101"/>
          <w:citation/>
        </w:sdtPr>
        <w:sdtContent>
          <w:r w:rsidR="003C13F3" w:rsidRPr="002237F0">
            <w:rPr>
              <w:u w:val="single"/>
              <w:lang w:val="nl-NL"/>
            </w:rPr>
            <w:fldChar w:fldCharType="begin"/>
          </w:r>
          <w:r w:rsidR="00FC0541" w:rsidRPr="002237F0">
            <w:rPr>
              <w:u w:val="single"/>
              <w:lang w:val="nl-NL"/>
            </w:rPr>
            <w:instrText xml:space="preserve"> CITATION Fin09 \l 1043 </w:instrText>
          </w:r>
          <w:r w:rsidR="003C13F3" w:rsidRPr="002237F0">
            <w:rPr>
              <w:u w:val="single"/>
              <w:lang w:val="nl-NL"/>
            </w:rPr>
            <w:fldChar w:fldCharType="separate"/>
          </w:r>
          <w:r w:rsidR="00FC0541" w:rsidRPr="002237F0">
            <w:rPr>
              <w:noProof/>
              <w:u w:val="single"/>
              <w:lang w:val="nl-NL"/>
            </w:rPr>
            <w:t xml:space="preserve"> </w:t>
          </w:r>
          <w:r w:rsidR="00FC0541" w:rsidRPr="002237F0">
            <w:rPr>
              <w:noProof/>
              <w:lang w:val="nl-NL"/>
            </w:rPr>
            <w:t>(Financial Instruments: A guide through the official text of IAS 32, IAS 39 &amp; IFRS 7, 2009)</w:t>
          </w:r>
          <w:r w:rsidR="003C13F3" w:rsidRPr="002237F0">
            <w:rPr>
              <w:u w:val="single"/>
              <w:lang w:val="nl-NL"/>
            </w:rPr>
            <w:fldChar w:fldCharType="end"/>
          </w:r>
        </w:sdtContent>
      </w:sdt>
      <w:r w:rsidR="00485F87" w:rsidRPr="002237F0">
        <w:rPr>
          <w:u w:val="single"/>
          <w:lang w:val="nl-NL"/>
        </w:rPr>
        <w:t xml:space="preserve">. </w:t>
      </w:r>
    </w:p>
    <w:p w:rsidR="00090020" w:rsidRPr="002237F0" w:rsidRDefault="00485F87" w:rsidP="00383F68">
      <w:r w:rsidRPr="002237F0">
        <w:rPr>
          <w:b/>
        </w:rPr>
        <w:t>Designated at fair value through profit and loss</w:t>
      </w:r>
    </w:p>
    <w:p w:rsidR="00485F87" w:rsidRPr="002237F0" w:rsidRDefault="00FC0541" w:rsidP="00383F68">
      <w:pPr>
        <w:rPr>
          <w:lang w:val="nl-NL"/>
        </w:rPr>
      </w:pPr>
      <w:r w:rsidRPr="002237F0">
        <w:rPr>
          <w:lang w:val="nl-NL"/>
        </w:rPr>
        <w:t xml:space="preserve">Wanneer een rapporterende entiteit gebruik maakt van deze categorie, maakt het in feite gebruik van de fair </w:t>
      </w:r>
      <w:proofErr w:type="spellStart"/>
      <w:r w:rsidRPr="002237F0">
        <w:rPr>
          <w:lang w:val="nl-NL"/>
        </w:rPr>
        <w:t>value</w:t>
      </w:r>
      <w:proofErr w:type="spellEnd"/>
      <w:r w:rsidRPr="002237F0">
        <w:rPr>
          <w:lang w:val="nl-NL"/>
        </w:rPr>
        <w:t xml:space="preserve"> </w:t>
      </w:r>
      <w:proofErr w:type="spellStart"/>
      <w:r w:rsidRPr="002237F0">
        <w:rPr>
          <w:lang w:val="nl-NL"/>
        </w:rPr>
        <w:t>option</w:t>
      </w:r>
      <w:proofErr w:type="spellEnd"/>
      <w:sdt>
        <w:sdtPr>
          <w:rPr>
            <w:lang w:val="nl-NL"/>
          </w:rPr>
          <w:id w:val="1520661863"/>
          <w:citation/>
        </w:sdtPr>
        <w:sdtContent>
          <w:r w:rsidR="003C13F3" w:rsidRPr="002237F0">
            <w:rPr>
              <w:lang w:val="nl-NL"/>
            </w:rPr>
            <w:fldChar w:fldCharType="begin"/>
          </w:r>
          <w:r w:rsidR="003334D4" w:rsidRPr="002237F0">
            <w:rPr>
              <w:lang w:val="nl-NL"/>
            </w:rPr>
            <w:instrText xml:space="preserve"> CITATION Böh12 \l 1033 </w:instrText>
          </w:r>
          <w:r w:rsidR="003C13F3" w:rsidRPr="002237F0">
            <w:rPr>
              <w:lang w:val="nl-NL"/>
            </w:rPr>
            <w:fldChar w:fldCharType="separate"/>
          </w:r>
          <w:r w:rsidR="003334D4" w:rsidRPr="002237F0">
            <w:rPr>
              <w:noProof/>
              <w:lang w:val="nl-NL"/>
            </w:rPr>
            <w:t xml:space="preserve"> (Böhmer, Hoogendoorn, &amp; Kruit, 2012)</w:t>
          </w:r>
          <w:r w:rsidR="003C13F3" w:rsidRPr="002237F0">
            <w:rPr>
              <w:lang w:val="nl-NL"/>
            </w:rPr>
            <w:fldChar w:fldCharType="end"/>
          </w:r>
        </w:sdtContent>
      </w:sdt>
      <w:r w:rsidR="00485F87" w:rsidRPr="002237F0">
        <w:rPr>
          <w:lang w:val="nl-NL"/>
        </w:rPr>
        <w:t>. IFRS maakt het onder bep</w:t>
      </w:r>
      <w:r w:rsidRPr="002237F0">
        <w:rPr>
          <w:lang w:val="nl-NL"/>
        </w:rPr>
        <w:t>aalde omstandigheden mogelijk</w:t>
      </w:r>
      <w:r w:rsidR="00485F87" w:rsidRPr="002237F0">
        <w:rPr>
          <w:lang w:val="nl-NL"/>
        </w:rPr>
        <w:t xml:space="preserve"> financiële instrumenten te waarderen alsof ze binnen een handelsportefeuille(held </w:t>
      </w:r>
      <w:proofErr w:type="spellStart"/>
      <w:r w:rsidR="00485F87" w:rsidRPr="002237F0">
        <w:rPr>
          <w:lang w:val="nl-NL"/>
        </w:rPr>
        <w:t>for</w:t>
      </w:r>
      <w:proofErr w:type="spellEnd"/>
      <w:r w:rsidR="00485F87" w:rsidRPr="002237F0">
        <w:rPr>
          <w:lang w:val="nl-NL"/>
        </w:rPr>
        <w:t xml:space="preserve"> trading)</w:t>
      </w:r>
      <w:r w:rsidRPr="002237F0">
        <w:rPr>
          <w:lang w:val="nl-NL"/>
        </w:rPr>
        <w:t xml:space="preserve"> worden gehouden</w:t>
      </w:r>
      <w:r w:rsidR="00485F87" w:rsidRPr="002237F0">
        <w:rPr>
          <w:lang w:val="nl-NL"/>
        </w:rPr>
        <w:t>. Toepassing van de reële waarde optie is volgens IAS 39.9 enkel mogelijk indien aan een van de volgende voorwaarden is voldaan</w:t>
      </w:r>
      <w:sdt>
        <w:sdtPr>
          <w:rPr>
            <w:lang w:val="nl-NL"/>
          </w:rPr>
          <w:id w:val="2041103"/>
          <w:citation/>
        </w:sdtPr>
        <w:sdtContent>
          <w:r w:rsidR="003C13F3" w:rsidRPr="002237F0">
            <w:rPr>
              <w:lang w:val="nl-NL"/>
            </w:rPr>
            <w:fldChar w:fldCharType="begin"/>
          </w:r>
          <w:r w:rsidRPr="002237F0">
            <w:rPr>
              <w:lang w:val="nl-NL"/>
            </w:rPr>
            <w:instrText xml:space="preserve"> CITATION Fin09 \l 1043 </w:instrText>
          </w:r>
          <w:r w:rsidR="003C13F3" w:rsidRPr="002237F0">
            <w:rPr>
              <w:lang w:val="nl-NL"/>
            </w:rPr>
            <w:fldChar w:fldCharType="separate"/>
          </w:r>
          <w:r w:rsidRPr="002237F0">
            <w:rPr>
              <w:noProof/>
              <w:lang w:val="nl-NL"/>
            </w:rPr>
            <w:t xml:space="preserve"> (Financial Instruments: A guide through the official text of IAS 32, IAS 39 &amp; IFRS 7, 2009)</w:t>
          </w:r>
          <w:r w:rsidR="003C13F3" w:rsidRPr="002237F0">
            <w:rPr>
              <w:lang w:val="nl-NL"/>
            </w:rPr>
            <w:fldChar w:fldCharType="end"/>
          </w:r>
        </w:sdtContent>
      </w:sdt>
      <w:r w:rsidR="00485F87" w:rsidRPr="002237F0">
        <w:rPr>
          <w:lang w:val="nl-NL"/>
        </w:rPr>
        <w:t xml:space="preserve">: </w:t>
      </w:r>
    </w:p>
    <w:p w:rsidR="00383F68" w:rsidRPr="002237F0" w:rsidRDefault="00485F87" w:rsidP="00485F87">
      <w:pPr>
        <w:pStyle w:val="ListParagraph"/>
        <w:numPr>
          <w:ilvl w:val="0"/>
          <w:numId w:val="7"/>
        </w:numPr>
        <w:rPr>
          <w:lang w:val="nl-NL"/>
        </w:rPr>
      </w:pPr>
      <w:r w:rsidRPr="002237F0">
        <w:rPr>
          <w:lang w:val="nl-NL"/>
        </w:rPr>
        <w:t>Er wordt een accounting mismatch weggenomen of verminderd</w:t>
      </w:r>
    </w:p>
    <w:p w:rsidR="00485F87" w:rsidRPr="002237F0" w:rsidRDefault="00485F87" w:rsidP="00485F87">
      <w:pPr>
        <w:pStyle w:val="ListParagraph"/>
        <w:numPr>
          <w:ilvl w:val="0"/>
          <w:numId w:val="7"/>
        </w:numPr>
        <w:rPr>
          <w:lang w:val="nl-NL"/>
        </w:rPr>
      </w:pPr>
      <w:r w:rsidRPr="002237F0">
        <w:rPr>
          <w:lang w:val="nl-NL"/>
        </w:rPr>
        <w:t xml:space="preserve">Het waarderen op fair </w:t>
      </w:r>
      <w:proofErr w:type="spellStart"/>
      <w:r w:rsidRPr="002237F0">
        <w:rPr>
          <w:lang w:val="nl-NL"/>
        </w:rPr>
        <w:t>value</w:t>
      </w:r>
      <w:proofErr w:type="spellEnd"/>
      <w:r w:rsidRPr="002237F0">
        <w:rPr>
          <w:lang w:val="nl-NL"/>
        </w:rPr>
        <w:t xml:space="preserve"> moet passen binnen een risk management/investeringsstrategie</w:t>
      </w:r>
    </w:p>
    <w:p w:rsidR="00485F87" w:rsidRPr="002237F0" w:rsidRDefault="00485F87" w:rsidP="00485F87">
      <w:pPr>
        <w:pStyle w:val="ListParagraph"/>
        <w:numPr>
          <w:ilvl w:val="0"/>
          <w:numId w:val="7"/>
        </w:numPr>
        <w:rPr>
          <w:lang w:val="nl-NL"/>
        </w:rPr>
      </w:pPr>
      <w:r w:rsidRPr="002237F0">
        <w:rPr>
          <w:lang w:val="nl-NL"/>
        </w:rPr>
        <w:t>Het financieel instrument bevat een ‘</w:t>
      </w:r>
      <w:proofErr w:type="spellStart"/>
      <w:r w:rsidRPr="002237F0">
        <w:rPr>
          <w:lang w:val="nl-NL"/>
        </w:rPr>
        <w:t>embedded</w:t>
      </w:r>
      <w:proofErr w:type="spellEnd"/>
      <w:r w:rsidRPr="002237F0">
        <w:rPr>
          <w:lang w:val="nl-NL"/>
        </w:rPr>
        <w:t xml:space="preserve"> derivaat’ </w:t>
      </w:r>
    </w:p>
    <w:p w:rsidR="00D35170" w:rsidRPr="002237F0" w:rsidRDefault="00D35170" w:rsidP="00D35170">
      <w:pPr>
        <w:rPr>
          <w:lang w:val="nl-NL"/>
        </w:rPr>
      </w:pPr>
      <w:r w:rsidRPr="002237F0">
        <w:rPr>
          <w:lang w:val="nl-NL"/>
        </w:rPr>
        <w:t xml:space="preserve">Wanneer een onderneming kiest voor de fair </w:t>
      </w:r>
      <w:proofErr w:type="spellStart"/>
      <w:r w:rsidRPr="002237F0">
        <w:rPr>
          <w:lang w:val="nl-NL"/>
        </w:rPr>
        <w:t>value</w:t>
      </w:r>
      <w:proofErr w:type="spellEnd"/>
      <w:r w:rsidRPr="002237F0">
        <w:rPr>
          <w:lang w:val="nl-NL"/>
        </w:rPr>
        <w:t xml:space="preserve"> </w:t>
      </w:r>
      <w:proofErr w:type="spellStart"/>
      <w:r w:rsidRPr="002237F0">
        <w:rPr>
          <w:lang w:val="nl-NL"/>
        </w:rPr>
        <w:t>option</w:t>
      </w:r>
      <w:proofErr w:type="spellEnd"/>
      <w:r w:rsidRPr="002237F0">
        <w:rPr>
          <w:lang w:val="nl-NL"/>
        </w:rPr>
        <w:t xml:space="preserve">, kan de classificatie later niet gewijzigd worden. </w:t>
      </w:r>
      <w:r w:rsidR="00090020" w:rsidRPr="002237F0">
        <w:rPr>
          <w:lang w:val="nl-NL"/>
        </w:rPr>
        <w:t xml:space="preserve">Ook hier: </w:t>
      </w:r>
      <w:r w:rsidR="00090020" w:rsidRPr="002237F0">
        <w:rPr>
          <w:u w:val="single"/>
          <w:lang w:val="nl-NL"/>
        </w:rPr>
        <w:t>Waardering tegen reële waarde, met wijziging verwerkt in resultaat.</w:t>
      </w:r>
    </w:p>
    <w:p w:rsidR="00090020" w:rsidRPr="002237F0" w:rsidRDefault="00D35170" w:rsidP="00D35170">
      <w:pPr>
        <w:rPr>
          <w:lang w:val="nl-NL"/>
        </w:rPr>
      </w:pPr>
      <w:r w:rsidRPr="002237F0">
        <w:rPr>
          <w:b/>
          <w:lang w:val="nl-NL"/>
        </w:rPr>
        <w:t>Derivaten</w:t>
      </w:r>
    </w:p>
    <w:p w:rsidR="00090020" w:rsidRPr="002237F0" w:rsidRDefault="00D35170" w:rsidP="00D35170">
      <w:pPr>
        <w:rPr>
          <w:lang w:val="nl-NL"/>
        </w:rPr>
      </w:pPr>
      <w:r w:rsidRPr="002237F0">
        <w:rPr>
          <w:lang w:val="nl-NL"/>
        </w:rPr>
        <w:t>Binnen de categorie derivaten kan een onderscheid gemaakt worden tussen twee toepassingen</w:t>
      </w:r>
      <w:sdt>
        <w:sdtPr>
          <w:rPr>
            <w:lang w:val="nl-NL"/>
          </w:rPr>
          <w:id w:val="2041105"/>
          <w:citation/>
        </w:sdtPr>
        <w:sdtContent>
          <w:r w:rsidR="003C13F3" w:rsidRPr="002237F0">
            <w:rPr>
              <w:lang w:val="nl-NL"/>
            </w:rPr>
            <w:fldChar w:fldCharType="begin"/>
          </w:r>
          <w:r w:rsidR="00FC0541" w:rsidRPr="002237F0">
            <w:rPr>
              <w:lang w:val="nl-NL"/>
            </w:rPr>
            <w:instrText xml:space="preserve"> CITATION Böh12 \l 1043 </w:instrText>
          </w:r>
          <w:r w:rsidR="003C13F3" w:rsidRPr="002237F0">
            <w:rPr>
              <w:lang w:val="nl-NL"/>
            </w:rPr>
            <w:fldChar w:fldCharType="separate"/>
          </w:r>
          <w:r w:rsidR="00FC0541" w:rsidRPr="002237F0">
            <w:rPr>
              <w:noProof/>
              <w:lang w:val="nl-NL"/>
            </w:rPr>
            <w:t xml:space="preserve"> (Böhmer, Hoogendoorn, &amp; Kruit, 2012)</w:t>
          </w:r>
          <w:r w:rsidR="003C13F3" w:rsidRPr="002237F0">
            <w:rPr>
              <w:lang w:val="nl-NL"/>
            </w:rPr>
            <w:fldChar w:fldCharType="end"/>
          </w:r>
        </w:sdtContent>
      </w:sdt>
      <w:r w:rsidRPr="002237F0">
        <w:rPr>
          <w:lang w:val="nl-NL"/>
        </w:rPr>
        <w:t>. Er kan</w:t>
      </w:r>
      <w:r w:rsidR="00FC0541" w:rsidRPr="002237F0">
        <w:rPr>
          <w:lang w:val="nl-NL"/>
        </w:rPr>
        <w:t xml:space="preserve"> namelijk voor gekozen worden</w:t>
      </w:r>
      <w:r w:rsidRPr="002237F0">
        <w:rPr>
          <w:lang w:val="nl-NL"/>
        </w:rPr>
        <w:t xml:space="preserve"> wel of geen </w:t>
      </w:r>
      <w:proofErr w:type="spellStart"/>
      <w:r w:rsidRPr="002237F0">
        <w:rPr>
          <w:lang w:val="nl-NL"/>
        </w:rPr>
        <w:t>hedge</w:t>
      </w:r>
      <w:proofErr w:type="spellEnd"/>
      <w:r w:rsidRPr="002237F0">
        <w:rPr>
          <w:lang w:val="nl-NL"/>
        </w:rPr>
        <w:t xml:space="preserve"> accounting toe te passen bij het waarderen van derivaten. </w:t>
      </w:r>
      <w:r w:rsidR="008B4300" w:rsidRPr="002237F0">
        <w:rPr>
          <w:lang w:val="nl-NL"/>
        </w:rPr>
        <w:t xml:space="preserve">Aan </w:t>
      </w:r>
      <w:proofErr w:type="spellStart"/>
      <w:r w:rsidR="008B4300" w:rsidRPr="002237F0">
        <w:rPr>
          <w:lang w:val="nl-NL"/>
        </w:rPr>
        <w:t>hedge</w:t>
      </w:r>
      <w:proofErr w:type="spellEnd"/>
      <w:r w:rsidR="008B4300" w:rsidRPr="002237F0">
        <w:rPr>
          <w:lang w:val="nl-NL"/>
        </w:rPr>
        <w:t xml:space="preserve"> accounting zal een aparte paragraaf gewijd worden</w:t>
      </w:r>
      <w:r w:rsidR="004D6322" w:rsidRPr="002237F0">
        <w:rPr>
          <w:lang w:val="nl-NL"/>
        </w:rPr>
        <w:t xml:space="preserve">. </w:t>
      </w:r>
      <w:r w:rsidR="004D6322" w:rsidRPr="002237F0">
        <w:rPr>
          <w:u w:val="single"/>
          <w:lang w:val="nl-NL"/>
        </w:rPr>
        <w:t xml:space="preserve">Derivaten waarbij geen </w:t>
      </w:r>
      <w:proofErr w:type="spellStart"/>
      <w:r w:rsidR="004D6322" w:rsidRPr="002237F0">
        <w:rPr>
          <w:u w:val="single"/>
          <w:lang w:val="nl-NL"/>
        </w:rPr>
        <w:t>hedge</w:t>
      </w:r>
      <w:proofErr w:type="spellEnd"/>
      <w:r w:rsidR="004D6322" w:rsidRPr="002237F0">
        <w:rPr>
          <w:u w:val="single"/>
          <w:lang w:val="nl-NL"/>
        </w:rPr>
        <w:t xml:space="preserve"> accounting wordt toegepast dienen tegen fair </w:t>
      </w:r>
      <w:proofErr w:type="spellStart"/>
      <w:r w:rsidR="004D6322" w:rsidRPr="002237F0">
        <w:rPr>
          <w:u w:val="single"/>
          <w:lang w:val="nl-NL"/>
        </w:rPr>
        <w:t>value</w:t>
      </w:r>
      <w:proofErr w:type="spellEnd"/>
      <w:r w:rsidR="004D6322" w:rsidRPr="002237F0">
        <w:rPr>
          <w:u w:val="single"/>
          <w:lang w:val="nl-NL"/>
        </w:rPr>
        <w:t xml:space="preserve"> gewaardeerd te worden, met wijzigingen verwerkt in het resultaat. </w:t>
      </w:r>
    </w:p>
    <w:p w:rsidR="00FC0541" w:rsidRPr="002237F0" w:rsidRDefault="00FC0541" w:rsidP="00D35170">
      <w:pPr>
        <w:rPr>
          <w:lang w:val="nl-NL"/>
        </w:rPr>
      </w:pPr>
    </w:p>
    <w:p w:rsidR="00090020" w:rsidRPr="002237F0" w:rsidRDefault="00090020" w:rsidP="00D35170">
      <w:pPr>
        <w:rPr>
          <w:lang w:val="nl-NL"/>
        </w:rPr>
      </w:pPr>
      <w:r w:rsidRPr="002237F0">
        <w:rPr>
          <w:b/>
          <w:lang w:val="nl-NL"/>
        </w:rPr>
        <w:t>A</w:t>
      </w:r>
      <w:r w:rsidR="00556222" w:rsidRPr="002237F0">
        <w:rPr>
          <w:b/>
          <w:lang w:val="nl-NL"/>
        </w:rPr>
        <w:t>fgesloten</w:t>
      </w:r>
      <w:r w:rsidR="004D6322" w:rsidRPr="002237F0">
        <w:rPr>
          <w:b/>
          <w:lang w:val="nl-NL"/>
        </w:rPr>
        <w:t xml:space="preserve"> leningen en obligaties</w:t>
      </w:r>
    </w:p>
    <w:p w:rsidR="004D6322" w:rsidRPr="002237F0" w:rsidRDefault="005671D0" w:rsidP="00D35170">
      <w:pPr>
        <w:rPr>
          <w:lang w:val="nl-NL"/>
        </w:rPr>
      </w:pPr>
      <w:r w:rsidRPr="002237F0">
        <w:rPr>
          <w:lang w:val="nl-NL"/>
        </w:rPr>
        <w:t xml:space="preserve">Dit zijn financiële </w:t>
      </w:r>
      <w:r w:rsidR="00556222" w:rsidRPr="002237F0">
        <w:rPr>
          <w:lang w:val="nl-NL"/>
        </w:rPr>
        <w:t>passiva</w:t>
      </w:r>
      <w:r w:rsidRPr="002237F0">
        <w:rPr>
          <w:lang w:val="nl-NL"/>
        </w:rPr>
        <w:t xml:space="preserve"> met vaste of bepaalbare betalingen. </w:t>
      </w:r>
      <w:r w:rsidR="004D6322" w:rsidRPr="002237F0">
        <w:rPr>
          <w:lang w:val="nl-NL"/>
        </w:rPr>
        <w:t>Binnen deze categorie is er sprake van drie subcategorieën</w:t>
      </w:r>
      <w:sdt>
        <w:sdtPr>
          <w:rPr>
            <w:lang w:val="nl-NL"/>
          </w:rPr>
          <w:id w:val="2041106"/>
          <w:citation/>
        </w:sdtPr>
        <w:sdtContent>
          <w:r w:rsidR="003C13F3" w:rsidRPr="002237F0">
            <w:rPr>
              <w:lang w:val="nl-NL"/>
            </w:rPr>
            <w:fldChar w:fldCharType="begin"/>
          </w:r>
          <w:r w:rsidR="00556222" w:rsidRPr="002237F0">
            <w:rPr>
              <w:lang w:val="nl-NL"/>
            </w:rPr>
            <w:instrText xml:space="preserve"> CITATION Fin09 \l 1043 </w:instrText>
          </w:r>
          <w:r w:rsidR="003C13F3" w:rsidRPr="002237F0">
            <w:rPr>
              <w:lang w:val="nl-NL"/>
            </w:rPr>
            <w:fldChar w:fldCharType="separate"/>
          </w:r>
          <w:r w:rsidR="00556222" w:rsidRPr="002237F0">
            <w:rPr>
              <w:noProof/>
              <w:lang w:val="nl-NL"/>
            </w:rPr>
            <w:t xml:space="preserve"> (Financial Instruments: A guide through the official text of IAS 32, IAS 39 &amp; IFRS 7, 2009)</w:t>
          </w:r>
          <w:r w:rsidR="003C13F3" w:rsidRPr="002237F0">
            <w:rPr>
              <w:lang w:val="nl-NL"/>
            </w:rPr>
            <w:fldChar w:fldCharType="end"/>
          </w:r>
        </w:sdtContent>
      </w:sdt>
      <w:r w:rsidR="004D6322" w:rsidRPr="002237F0">
        <w:rPr>
          <w:lang w:val="nl-NL"/>
        </w:rPr>
        <w:t>.</w:t>
      </w:r>
    </w:p>
    <w:p w:rsidR="00D35170" w:rsidRPr="002237F0" w:rsidRDefault="006D75E0" w:rsidP="004D6322">
      <w:pPr>
        <w:pStyle w:val="ListParagraph"/>
        <w:numPr>
          <w:ilvl w:val="0"/>
          <w:numId w:val="13"/>
        </w:numPr>
        <w:rPr>
          <w:lang w:val="nl-NL"/>
        </w:rPr>
      </w:pPr>
      <w:r w:rsidRPr="002237F0">
        <w:rPr>
          <w:lang w:val="nl-NL"/>
        </w:rPr>
        <w:t xml:space="preserve">‘ Held to </w:t>
      </w:r>
      <w:proofErr w:type="spellStart"/>
      <w:r w:rsidRPr="002237F0">
        <w:rPr>
          <w:lang w:val="nl-NL"/>
        </w:rPr>
        <w:t>maturity</w:t>
      </w:r>
      <w:proofErr w:type="spellEnd"/>
      <w:r w:rsidRPr="002237F0">
        <w:rPr>
          <w:lang w:val="nl-NL"/>
        </w:rPr>
        <w:t xml:space="preserve">’: Deze obligaties en leningen worden tot het einde van de looptijd aangehouden. </w:t>
      </w:r>
      <w:r w:rsidRPr="002237F0">
        <w:rPr>
          <w:u w:val="single"/>
          <w:lang w:val="nl-NL"/>
        </w:rPr>
        <w:t>Waardering geschiedt tegen geamortiseerde kostprijs</w:t>
      </w:r>
      <w:r w:rsidR="00090020" w:rsidRPr="002237F0">
        <w:rPr>
          <w:u w:val="single"/>
          <w:lang w:val="nl-NL"/>
        </w:rPr>
        <w:t>.</w:t>
      </w:r>
    </w:p>
    <w:p w:rsidR="006D75E0" w:rsidRPr="002237F0" w:rsidRDefault="006D75E0" w:rsidP="004D6322">
      <w:pPr>
        <w:pStyle w:val="ListParagraph"/>
        <w:numPr>
          <w:ilvl w:val="0"/>
          <w:numId w:val="13"/>
        </w:numPr>
        <w:rPr>
          <w:lang w:val="nl-NL"/>
        </w:rPr>
      </w:pPr>
      <w:r w:rsidRPr="002237F0">
        <w:rPr>
          <w:lang w:val="nl-NL"/>
        </w:rPr>
        <w:t xml:space="preserve">Overige leningen en obligaties met een beursnotering: </w:t>
      </w:r>
      <w:r w:rsidRPr="002237F0">
        <w:rPr>
          <w:u w:val="single"/>
          <w:lang w:val="nl-NL"/>
        </w:rPr>
        <w:t xml:space="preserve">Deze worden gewaardeerd tegen reële waarde met wijziging van waarde in ofwel het eigen vermogen ofwel het resultaat. </w:t>
      </w:r>
    </w:p>
    <w:p w:rsidR="005671D0" w:rsidRPr="002237F0" w:rsidRDefault="006D75E0" w:rsidP="005671D0">
      <w:pPr>
        <w:pStyle w:val="ListParagraph"/>
        <w:numPr>
          <w:ilvl w:val="0"/>
          <w:numId w:val="13"/>
        </w:numPr>
        <w:rPr>
          <w:lang w:val="nl-NL"/>
        </w:rPr>
      </w:pPr>
      <w:r w:rsidRPr="002237F0">
        <w:rPr>
          <w:lang w:val="nl-NL"/>
        </w:rPr>
        <w:t xml:space="preserve">Overige leningen en obligaties zonder een beursnotering: Hierbij is enerzijds een waardering tegen geamortiseerde kostprijs mogelijk, anderzijds wordt er gewaardeerd tegen fair </w:t>
      </w:r>
      <w:proofErr w:type="spellStart"/>
      <w:r w:rsidRPr="002237F0">
        <w:rPr>
          <w:lang w:val="nl-NL"/>
        </w:rPr>
        <w:t>value</w:t>
      </w:r>
      <w:proofErr w:type="spellEnd"/>
      <w:r w:rsidRPr="002237F0">
        <w:rPr>
          <w:lang w:val="nl-NL"/>
        </w:rPr>
        <w:t xml:space="preserve"> met waardewijzigingen verwerkt in het resultaat of in het eigen vermogen(via de herwaarderingsreserve). Bij IFRS mag de herwaarderingsreserve negatief zijn. </w:t>
      </w:r>
    </w:p>
    <w:p w:rsidR="00090020" w:rsidRPr="002237F0" w:rsidRDefault="005671D0" w:rsidP="005671D0">
      <w:pPr>
        <w:rPr>
          <w:b/>
          <w:lang w:val="nl-NL"/>
        </w:rPr>
      </w:pPr>
      <w:r w:rsidRPr="002237F0">
        <w:rPr>
          <w:b/>
          <w:lang w:val="nl-NL"/>
        </w:rPr>
        <w:t>Verstrekte l</w:t>
      </w:r>
      <w:r w:rsidR="00090020" w:rsidRPr="002237F0">
        <w:rPr>
          <w:b/>
          <w:lang w:val="nl-NL"/>
        </w:rPr>
        <w:t>eningen en overige vorderingen</w:t>
      </w:r>
    </w:p>
    <w:p w:rsidR="005671D0" w:rsidRPr="002237F0" w:rsidRDefault="005671D0" w:rsidP="005671D0">
      <w:pPr>
        <w:rPr>
          <w:lang w:val="nl-NL"/>
        </w:rPr>
      </w:pPr>
      <w:r w:rsidRPr="002237F0">
        <w:rPr>
          <w:lang w:val="nl-NL"/>
        </w:rPr>
        <w:t xml:space="preserve">Wanneer leningen en overige vorderingen </w:t>
      </w:r>
      <w:r w:rsidR="004531F7" w:rsidRPr="002237F0">
        <w:rPr>
          <w:lang w:val="nl-NL"/>
        </w:rPr>
        <w:t xml:space="preserve">geen onderdeel uitmaken van de handelsportefeuille, zijn het financiële </w:t>
      </w:r>
      <w:r w:rsidR="0045129E" w:rsidRPr="002237F0">
        <w:rPr>
          <w:lang w:val="nl-NL"/>
        </w:rPr>
        <w:t>instrumenten</w:t>
      </w:r>
      <w:r w:rsidR="004531F7" w:rsidRPr="002237F0">
        <w:rPr>
          <w:lang w:val="nl-NL"/>
        </w:rPr>
        <w:t xml:space="preserve"> met vaste of bepaalbare betalingen die niet op een actieve markt zijn genoteerd. Weer</w:t>
      </w:r>
      <w:r w:rsidR="00556222" w:rsidRPr="002237F0">
        <w:rPr>
          <w:lang w:val="nl-NL"/>
        </w:rPr>
        <w:t xml:space="preserve"> zijn er</w:t>
      </w:r>
      <w:r w:rsidR="004531F7" w:rsidRPr="002237F0">
        <w:rPr>
          <w:lang w:val="nl-NL"/>
        </w:rPr>
        <w:t xml:space="preserve"> drie mogelijkheden</w:t>
      </w:r>
      <w:sdt>
        <w:sdtPr>
          <w:rPr>
            <w:lang w:val="nl-NL"/>
          </w:rPr>
          <w:id w:val="2041107"/>
          <w:citation/>
        </w:sdtPr>
        <w:sdtContent>
          <w:r w:rsidR="003C13F3" w:rsidRPr="002237F0">
            <w:rPr>
              <w:lang w:val="nl-NL"/>
            </w:rPr>
            <w:fldChar w:fldCharType="begin"/>
          </w:r>
          <w:r w:rsidR="00556222" w:rsidRPr="002237F0">
            <w:rPr>
              <w:lang w:val="nl-NL"/>
            </w:rPr>
            <w:instrText xml:space="preserve"> CITATION Fin09 \l 1043 </w:instrText>
          </w:r>
          <w:r w:rsidR="003C13F3" w:rsidRPr="002237F0">
            <w:rPr>
              <w:lang w:val="nl-NL"/>
            </w:rPr>
            <w:fldChar w:fldCharType="separate"/>
          </w:r>
          <w:r w:rsidR="00556222" w:rsidRPr="002237F0">
            <w:rPr>
              <w:noProof/>
              <w:lang w:val="nl-NL"/>
            </w:rPr>
            <w:t xml:space="preserve"> (Financial Instruments: A guide through the official text of IAS 32, IAS 39 &amp; IFRS 7, 2009)</w:t>
          </w:r>
          <w:r w:rsidR="003C13F3" w:rsidRPr="002237F0">
            <w:rPr>
              <w:lang w:val="nl-NL"/>
            </w:rPr>
            <w:fldChar w:fldCharType="end"/>
          </w:r>
        </w:sdtContent>
      </w:sdt>
      <w:r w:rsidR="004531F7" w:rsidRPr="002237F0">
        <w:rPr>
          <w:lang w:val="nl-NL"/>
        </w:rPr>
        <w:t>:</w:t>
      </w:r>
    </w:p>
    <w:p w:rsidR="004531F7" w:rsidRPr="002237F0" w:rsidRDefault="004531F7" w:rsidP="004531F7">
      <w:pPr>
        <w:pStyle w:val="ListParagraph"/>
        <w:numPr>
          <w:ilvl w:val="0"/>
          <w:numId w:val="14"/>
        </w:numPr>
        <w:rPr>
          <w:lang w:val="nl-NL"/>
        </w:rPr>
      </w:pPr>
      <w:proofErr w:type="gramStart"/>
      <w:r w:rsidRPr="002237F0">
        <w:rPr>
          <w:lang w:val="nl-NL"/>
        </w:rPr>
        <w:t>‘</w:t>
      </w:r>
      <w:proofErr w:type="spellStart"/>
      <w:r w:rsidRPr="002237F0">
        <w:rPr>
          <w:lang w:val="nl-NL"/>
        </w:rPr>
        <w:t>loans</w:t>
      </w:r>
      <w:proofErr w:type="spellEnd"/>
      <w:r w:rsidRPr="002237F0">
        <w:rPr>
          <w:lang w:val="nl-NL"/>
        </w:rPr>
        <w:t xml:space="preserve"> and </w:t>
      </w:r>
      <w:proofErr w:type="spellStart"/>
      <w:r w:rsidRPr="002237F0">
        <w:rPr>
          <w:lang w:val="nl-NL"/>
        </w:rPr>
        <w:t>receivables</w:t>
      </w:r>
      <w:proofErr w:type="spellEnd"/>
      <w:r w:rsidRPr="002237F0">
        <w:rPr>
          <w:lang w:val="nl-NL"/>
        </w:rPr>
        <w:t xml:space="preserve">’: </w:t>
      </w:r>
      <w:r w:rsidRPr="002237F0">
        <w:rPr>
          <w:u w:val="single"/>
          <w:lang w:val="nl-NL"/>
        </w:rPr>
        <w:t xml:space="preserve">Deze </w:t>
      </w:r>
      <w:r w:rsidR="00090020" w:rsidRPr="002237F0">
        <w:rPr>
          <w:u w:val="single"/>
          <w:lang w:val="nl-NL"/>
        </w:rPr>
        <w:t>categorie wordt</w:t>
      </w:r>
      <w:r w:rsidRPr="002237F0">
        <w:rPr>
          <w:u w:val="single"/>
          <w:lang w:val="nl-NL"/>
        </w:rPr>
        <w:t xml:space="preserve"> gewaardeerd tegen de geamortiseerde kostprijs</w:t>
      </w:r>
      <w:r w:rsidR="008A0102" w:rsidRPr="002237F0">
        <w:rPr>
          <w:u w:val="single"/>
          <w:lang w:val="nl-NL"/>
        </w:rPr>
        <w:t>;</w:t>
      </w:r>
      <w:proofErr w:type="gramEnd"/>
    </w:p>
    <w:p w:rsidR="004531F7" w:rsidRPr="002237F0" w:rsidRDefault="004531F7" w:rsidP="004531F7">
      <w:pPr>
        <w:pStyle w:val="ListParagraph"/>
        <w:numPr>
          <w:ilvl w:val="0"/>
          <w:numId w:val="14"/>
        </w:numPr>
        <w:rPr>
          <w:lang w:val="nl-NL"/>
        </w:rPr>
      </w:pPr>
      <w:proofErr w:type="gramStart"/>
      <w:r w:rsidRPr="002237F0">
        <w:rPr>
          <w:lang w:val="nl-NL"/>
        </w:rPr>
        <w:t>‘</w:t>
      </w:r>
      <w:proofErr w:type="spellStart"/>
      <w:r w:rsidRPr="002237F0">
        <w:rPr>
          <w:lang w:val="nl-NL"/>
        </w:rPr>
        <w:t>available</w:t>
      </w:r>
      <w:proofErr w:type="spellEnd"/>
      <w:r w:rsidRPr="002237F0">
        <w:rPr>
          <w:lang w:val="nl-NL"/>
        </w:rPr>
        <w:t xml:space="preserve"> </w:t>
      </w:r>
      <w:proofErr w:type="spellStart"/>
      <w:r w:rsidRPr="002237F0">
        <w:rPr>
          <w:lang w:val="nl-NL"/>
        </w:rPr>
        <w:t>for</w:t>
      </w:r>
      <w:proofErr w:type="spellEnd"/>
      <w:r w:rsidRPr="002237F0">
        <w:rPr>
          <w:lang w:val="nl-NL"/>
        </w:rPr>
        <w:t xml:space="preserve"> </w:t>
      </w:r>
      <w:proofErr w:type="spellStart"/>
      <w:r w:rsidRPr="002237F0">
        <w:rPr>
          <w:lang w:val="nl-NL"/>
        </w:rPr>
        <w:t>sale</w:t>
      </w:r>
      <w:proofErr w:type="spellEnd"/>
      <w:r w:rsidRPr="002237F0">
        <w:rPr>
          <w:lang w:val="nl-NL"/>
        </w:rPr>
        <w:t xml:space="preserve">’: </w:t>
      </w:r>
      <w:r w:rsidR="008A0102" w:rsidRPr="002237F0">
        <w:rPr>
          <w:u w:val="single"/>
          <w:lang w:val="nl-NL"/>
        </w:rPr>
        <w:t>W</w:t>
      </w:r>
      <w:r w:rsidRPr="002237F0">
        <w:rPr>
          <w:u w:val="single"/>
          <w:lang w:val="nl-NL"/>
        </w:rPr>
        <w:t xml:space="preserve">aardering tegen de fair </w:t>
      </w:r>
      <w:proofErr w:type="spellStart"/>
      <w:r w:rsidRPr="002237F0">
        <w:rPr>
          <w:u w:val="single"/>
          <w:lang w:val="nl-NL"/>
        </w:rPr>
        <w:t>value</w:t>
      </w:r>
      <w:proofErr w:type="spellEnd"/>
      <w:r w:rsidRPr="002237F0">
        <w:rPr>
          <w:u w:val="single"/>
          <w:lang w:val="nl-NL"/>
        </w:rPr>
        <w:t xml:space="preserve"> met waardeverandering in het eigen vermogen</w:t>
      </w:r>
      <w:r w:rsidR="008A0102" w:rsidRPr="002237F0">
        <w:rPr>
          <w:lang w:val="nl-NL"/>
        </w:rPr>
        <w:t>;</w:t>
      </w:r>
      <w:proofErr w:type="gramEnd"/>
    </w:p>
    <w:p w:rsidR="004531F7" w:rsidRPr="002237F0" w:rsidRDefault="004531F7" w:rsidP="004531F7">
      <w:pPr>
        <w:pStyle w:val="ListParagraph"/>
        <w:numPr>
          <w:ilvl w:val="0"/>
          <w:numId w:val="14"/>
        </w:numPr>
        <w:rPr>
          <w:lang w:val="nl-NL"/>
        </w:rPr>
      </w:pPr>
      <w:r w:rsidRPr="002237F0">
        <w:rPr>
          <w:lang w:val="nl-NL"/>
        </w:rPr>
        <w:t xml:space="preserve">De mogelijkheid waarin de fair </w:t>
      </w:r>
      <w:proofErr w:type="spellStart"/>
      <w:r w:rsidRPr="002237F0">
        <w:rPr>
          <w:lang w:val="nl-NL"/>
        </w:rPr>
        <w:t>value</w:t>
      </w:r>
      <w:proofErr w:type="spellEnd"/>
      <w:r w:rsidRPr="002237F0">
        <w:rPr>
          <w:lang w:val="nl-NL"/>
        </w:rPr>
        <w:t xml:space="preserve"> </w:t>
      </w:r>
      <w:proofErr w:type="spellStart"/>
      <w:r w:rsidRPr="002237F0">
        <w:rPr>
          <w:lang w:val="nl-NL"/>
        </w:rPr>
        <w:t>option</w:t>
      </w:r>
      <w:proofErr w:type="spellEnd"/>
      <w:r w:rsidRPr="002237F0">
        <w:rPr>
          <w:lang w:val="nl-NL"/>
        </w:rPr>
        <w:t xml:space="preserve"> wordt toegepast. Hier worden de veranderingen</w:t>
      </w:r>
      <w:r w:rsidR="00556222" w:rsidRPr="002237F0">
        <w:rPr>
          <w:lang w:val="nl-NL"/>
        </w:rPr>
        <w:t xml:space="preserve"> in de</w:t>
      </w:r>
      <w:r w:rsidRPr="002237F0">
        <w:rPr>
          <w:lang w:val="nl-NL"/>
        </w:rPr>
        <w:t xml:space="preserve"> waarde verwerkt in het resultaat</w:t>
      </w:r>
      <w:r w:rsidR="008A0102" w:rsidRPr="002237F0">
        <w:rPr>
          <w:lang w:val="nl-NL"/>
        </w:rPr>
        <w:t>.</w:t>
      </w:r>
    </w:p>
    <w:p w:rsidR="00090020" w:rsidRPr="002237F0" w:rsidRDefault="008A0102" w:rsidP="008A0102">
      <w:pPr>
        <w:rPr>
          <w:b/>
          <w:lang w:val="nl-NL"/>
        </w:rPr>
      </w:pPr>
      <w:r w:rsidRPr="002237F0">
        <w:rPr>
          <w:b/>
          <w:lang w:val="nl-NL"/>
        </w:rPr>
        <w:t xml:space="preserve">Investeringen in </w:t>
      </w:r>
      <w:proofErr w:type="spellStart"/>
      <w:r w:rsidRPr="002237F0">
        <w:rPr>
          <w:b/>
          <w:lang w:val="nl-NL"/>
        </w:rPr>
        <w:t>eigen-vermogensinstrumenten</w:t>
      </w:r>
      <w:proofErr w:type="spellEnd"/>
      <w:r w:rsidR="00DF574F" w:rsidRPr="002237F0">
        <w:rPr>
          <w:b/>
          <w:lang w:val="nl-NL"/>
        </w:rPr>
        <w:t>(aandelen)</w:t>
      </w:r>
    </w:p>
    <w:p w:rsidR="008A0102" w:rsidRPr="002237F0" w:rsidRDefault="008A0102" w:rsidP="008A0102">
      <w:pPr>
        <w:rPr>
          <w:lang w:val="nl-NL"/>
        </w:rPr>
      </w:pPr>
      <w:r w:rsidRPr="002237F0">
        <w:rPr>
          <w:lang w:val="nl-NL"/>
        </w:rPr>
        <w:t>Deze investeringen vallen onder IFRS onder de categorie ‘</w:t>
      </w:r>
      <w:proofErr w:type="spellStart"/>
      <w:r w:rsidRPr="002237F0">
        <w:rPr>
          <w:lang w:val="nl-NL"/>
        </w:rPr>
        <w:t>available</w:t>
      </w:r>
      <w:proofErr w:type="spellEnd"/>
      <w:r w:rsidRPr="002237F0">
        <w:rPr>
          <w:lang w:val="nl-NL"/>
        </w:rPr>
        <w:t xml:space="preserve"> </w:t>
      </w:r>
      <w:proofErr w:type="spellStart"/>
      <w:r w:rsidRPr="002237F0">
        <w:rPr>
          <w:lang w:val="nl-NL"/>
        </w:rPr>
        <w:t>for</w:t>
      </w:r>
      <w:proofErr w:type="spellEnd"/>
      <w:r w:rsidRPr="002237F0">
        <w:rPr>
          <w:lang w:val="nl-NL"/>
        </w:rPr>
        <w:t xml:space="preserve"> </w:t>
      </w:r>
      <w:proofErr w:type="spellStart"/>
      <w:r w:rsidRPr="002237F0">
        <w:rPr>
          <w:lang w:val="nl-NL"/>
        </w:rPr>
        <w:t>sale</w:t>
      </w:r>
      <w:proofErr w:type="spellEnd"/>
      <w:r w:rsidRPr="002237F0">
        <w:rPr>
          <w:lang w:val="nl-NL"/>
        </w:rPr>
        <w:t xml:space="preserve">’. Ze worden dus gewaardeerd tegen fair </w:t>
      </w:r>
      <w:proofErr w:type="spellStart"/>
      <w:r w:rsidRPr="002237F0">
        <w:rPr>
          <w:lang w:val="nl-NL"/>
        </w:rPr>
        <w:t>value</w:t>
      </w:r>
      <w:proofErr w:type="spellEnd"/>
      <w:r w:rsidRPr="002237F0">
        <w:rPr>
          <w:lang w:val="nl-NL"/>
        </w:rPr>
        <w:t xml:space="preserve"> met waardeveranderingen verwerkt in het eigen vermogen. Ook kan gebruik gemaakt worden van de fair </w:t>
      </w:r>
      <w:proofErr w:type="spellStart"/>
      <w:r w:rsidRPr="002237F0">
        <w:rPr>
          <w:lang w:val="nl-NL"/>
        </w:rPr>
        <w:t>value</w:t>
      </w:r>
      <w:proofErr w:type="spellEnd"/>
      <w:r w:rsidRPr="002237F0">
        <w:rPr>
          <w:lang w:val="nl-NL"/>
        </w:rPr>
        <w:t xml:space="preserve"> </w:t>
      </w:r>
      <w:proofErr w:type="spellStart"/>
      <w:r w:rsidRPr="002237F0">
        <w:rPr>
          <w:lang w:val="nl-NL"/>
        </w:rPr>
        <w:t>option</w:t>
      </w:r>
      <w:proofErr w:type="spellEnd"/>
      <w:r w:rsidRPr="002237F0">
        <w:rPr>
          <w:lang w:val="nl-NL"/>
        </w:rPr>
        <w:t xml:space="preserve">. Enkel wanneer de reële waarde niet betrouwbaar bepaald kan worden is waardering tegen kostprijs toegestaan. </w:t>
      </w:r>
    </w:p>
    <w:p w:rsidR="00090020" w:rsidRPr="002237F0" w:rsidRDefault="00090020" w:rsidP="008A0102">
      <w:pPr>
        <w:rPr>
          <w:b/>
          <w:lang w:val="nl-NL"/>
        </w:rPr>
      </w:pPr>
      <w:r w:rsidRPr="002237F0">
        <w:rPr>
          <w:b/>
          <w:lang w:val="nl-NL"/>
        </w:rPr>
        <w:t>Financiële verplichtingen</w:t>
      </w:r>
    </w:p>
    <w:p w:rsidR="00EE468D" w:rsidRPr="002237F0" w:rsidRDefault="008A0102" w:rsidP="008A0102">
      <w:pPr>
        <w:rPr>
          <w:lang w:val="nl-NL"/>
        </w:rPr>
      </w:pPr>
      <w:r w:rsidRPr="002237F0">
        <w:rPr>
          <w:lang w:val="nl-NL"/>
        </w:rPr>
        <w:t xml:space="preserve">Financiële verplichtingen vallen uiteen in verplichtingen die behoren tot een handelsportefeuille, derivaten, en overige financiële verplichtingen. De eerste twee soorten zijn al besproken, overige financiële verplichtingen(zoals schulden) worden gewaardeerd tegen de geamortiseerde kostprijs. Ook kan </w:t>
      </w:r>
      <w:proofErr w:type="gramStart"/>
      <w:r w:rsidRPr="002237F0">
        <w:rPr>
          <w:lang w:val="nl-NL"/>
        </w:rPr>
        <w:t>de</w:t>
      </w:r>
      <w:proofErr w:type="gramEnd"/>
      <w:r w:rsidRPr="002237F0">
        <w:rPr>
          <w:lang w:val="nl-NL"/>
        </w:rPr>
        <w:t xml:space="preserve"> fair </w:t>
      </w:r>
      <w:proofErr w:type="spellStart"/>
      <w:r w:rsidRPr="002237F0">
        <w:rPr>
          <w:lang w:val="nl-NL"/>
        </w:rPr>
        <w:t>value</w:t>
      </w:r>
      <w:proofErr w:type="spellEnd"/>
      <w:r w:rsidRPr="002237F0">
        <w:rPr>
          <w:lang w:val="nl-NL"/>
        </w:rPr>
        <w:t xml:space="preserve"> </w:t>
      </w:r>
      <w:proofErr w:type="spellStart"/>
      <w:r w:rsidRPr="002237F0">
        <w:rPr>
          <w:lang w:val="nl-NL"/>
        </w:rPr>
        <w:t>option</w:t>
      </w:r>
      <w:proofErr w:type="spellEnd"/>
      <w:r w:rsidRPr="002237F0">
        <w:rPr>
          <w:lang w:val="nl-NL"/>
        </w:rPr>
        <w:t xml:space="preserve"> gebruikt worden</w:t>
      </w:r>
      <w:sdt>
        <w:sdtPr>
          <w:rPr>
            <w:lang w:val="nl-NL"/>
          </w:rPr>
          <w:id w:val="2041108"/>
          <w:citation/>
        </w:sdtPr>
        <w:sdtContent>
          <w:r w:rsidR="003C13F3" w:rsidRPr="002237F0">
            <w:rPr>
              <w:lang w:val="nl-NL"/>
            </w:rPr>
            <w:fldChar w:fldCharType="begin"/>
          </w:r>
          <w:r w:rsidR="00556222" w:rsidRPr="002237F0">
            <w:rPr>
              <w:lang w:val="nl-NL"/>
            </w:rPr>
            <w:instrText xml:space="preserve"> CITATION Böh12 \l 1043 </w:instrText>
          </w:r>
          <w:r w:rsidR="003C13F3" w:rsidRPr="002237F0">
            <w:rPr>
              <w:lang w:val="nl-NL"/>
            </w:rPr>
            <w:fldChar w:fldCharType="separate"/>
          </w:r>
          <w:r w:rsidR="00556222" w:rsidRPr="002237F0">
            <w:rPr>
              <w:noProof/>
              <w:lang w:val="nl-NL"/>
            </w:rPr>
            <w:t xml:space="preserve"> (Böhmer, Hoogendoorn, &amp; Kruit, 2012)</w:t>
          </w:r>
          <w:r w:rsidR="003C13F3" w:rsidRPr="002237F0">
            <w:rPr>
              <w:lang w:val="nl-NL"/>
            </w:rPr>
            <w:fldChar w:fldCharType="end"/>
          </w:r>
        </w:sdtContent>
      </w:sdt>
      <w:r w:rsidRPr="002237F0">
        <w:rPr>
          <w:lang w:val="nl-NL"/>
        </w:rPr>
        <w:t xml:space="preserve">. </w:t>
      </w:r>
    </w:p>
    <w:p w:rsidR="00EE468D" w:rsidRPr="002237F0" w:rsidRDefault="00EE468D" w:rsidP="008A0102">
      <w:pPr>
        <w:rPr>
          <w:b/>
          <w:sz w:val="28"/>
          <w:lang w:val="nl-NL"/>
        </w:rPr>
      </w:pPr>
      <w:r w:rsidRPr="002237F0">
        <w:rPr>
          <w:b/>
          <w:sz w:val="28"/>
          <w:lang w:val="nl-NL"/>
        </w:rPr>
        <w:t xml:space="preserve">1.5. </w:t>
      </w:r>
      <w:proofErr w:type="spellStart"/>
      <w:r w:rsidRPr="002237F0">
        <w:rPr>
          <w:b/>
          <w:sz w:val="28"/>
          <w:lang w:val="nl-NL"/>
        </w:rPr>
        <w:t>Herclassificatie</w:t>
      </w:r>
      <w:proofErr w:type="spellEnd"/>
      <w:r w:rsidR="000D76AB" w:rsidRPr="002237F0">
        <w:rPr>
          <w:b/>
          <w:sz w:val="28"/>
          <w:lang w:val="nl-NL"/>
        </w:rPr>
        <w:t xml:space="preserve"> en bijzondere waardeverminderingen</w:t>
      </w:r>
    </w:p>
    <w:p w:rsidR="00EE468D" w:rsidRPr="002237F0" w:rsidRDefault="00EE468D" w:rsidP="008A0102">
      <w:pPr>
        <w:rPr>
          <w:lang w:val="nl-NL"/>
        </w:rPr>
      </w:pPr>
      <w:proofErr w:type="spellStart"/>
      <w:r w:rsidRPr="002237F0">
        <w:rPr>
          <w:lang w:val="nl-NL"/>
        </w:rPr>
        <w:t>Herclassificatie</w:t>
      </w:r>
      <w:proofErr w:type="spellEnd"/>
      <w:r w:rsidRPr="002237F0">
        <w:rPr>
          <w:lang w:val="nl-NL"/>
        </w:rPr>
        <w:t xml:space="preserve"> is een belangrijk punt binnen het waarderen van financiële ins</w:t>
      </w:r>
      <w:r w:rsidR="00C35C4C" w:rsidRPr="002237F0">
        <w:rPr>
          <w:lang w:val="nl-NL"/>
        </w:rPr>
        <w:t xml:space="preserve">trumenten. </w:t>
      </w:r>
      <w:proofErr w:type="spellStart"/>
      <w:r w:rsidR="00C35C4C" w:rsidRPr="002237F0">
        <w:rPr>
          <w:lang w:val="nl-NL"/>
        </w:rPr>
        <w:t>Herclassificatie</w:t>
      </w:r>
      <w:proofErr w:type="spellEnd"/>
      <w:r w:rsidR="00C35C4C" w:rsidRPr="002237F0">
        <w:rPr>
          <w:lang w:val="nl-NL"/>
        </w:rPr>
        <w:t xml:space="preserve"> kan</w:t>
      </w:r>
      <w:r w:rsidRPr="002237F0">
        <w:rPr>
          <w:lang w:val="nl-NL"/>
        </w:rPr>
        <w:t xml:space="preserve"> van een waardering tegen kostprijs(geamortiseerde kostprijs) naar een waardering tegen reële waarde</w:t>
      </w:r>
      <w:r w:rsidR="00C35C4C" w:rsidRPr="002237F0">
        <w:rPr>
          <w:lang w:val="nl-NL"/>
        </w:rPr>
        <w:t xml:space="preserve"> </w:t>
      </w:r>
      <w:r w:rsidR="003334D4" w:rsidRPr="002237F0">
        <w:rPr>
          <w:lang w:val="nl-NL"/>
        </w:rPr>
        <w:t>plaatsvinden</w:t>
      </w:r>
      <w:r w:rsidR="00C35C4C" w:rsidRPr="002237F0">
        <w:rPr>
          <w:lang w:val="nl-NL"/>
        </w:rPr>
        <w:t>,</w:t>
      </w:r>
      <w:r w:rsidRPr="002237F0">
        <w:rPr>
          <w:lang w:val="nl-NL"/>
        </w:rPr>
        <w:t xml:space="preserve"> of andersom. </w:t>
      </w:r>
      <w:r w:rsidR="00C35C4C" w:rsidRPr="002237F0">
        <w:rPr>
          <w:lang w:val="nl-NL"/>
        </w:rPr>
        <w:t>Tijdens</w:t>
      </w:r>
      <w:r w:rsidRPr="002237F0">
        <w:rPr>
          <w:lang w:val="nl-NL"/>
        </w:rPr>
        <w:t xml:space="preserve"> de crisis heeft</w:t>
      </w:r>
      <w:r w:rsidR="00C35C4C" w:rsidRPr="002237F0">
        <w:rPr>
          <w:lang w:val="nl-NL"/>
        </w:rPr>
        <w:t xml:space="preserve"> de IASB het mogelijk gemaakt</w:t>
      </w:r>
      <w:r w:rsidRPr="002237F0">
        <w:rPr>
          <w:lang w:val="nl-NL"/>
        </w:rPr>
        <w:t xml:space="preserve"> obligaties die</w:t>
      </w:r>
      <w:r w:rsidR="00C35C4C" w:rsidRPr="002237F0">
        <w:rPr>
          <w:lang w:val="nl-NL"/>
        </w:rPr>
        <w:t xml:space="preserve"> in de handelsportefeuille</w:t>
      </w:r>
      <w:r w:rsidRPr="002237F0">
        <w:rPr>
          <w:lang w:val="nl-NL"/>
        </w:rPr>
        <w:t xml:space="preserve"> gehouden worden </w:t>
      </w:r>
      <w:r w:rsidR="00C35C4C" w:rsidRPr="002237F0">
        <w:rPr>
          <w:lang w:val="nl-NL"/>
        </w:rPr>
        <w:t>over te boeken naar</w:t>
      </w:r>
      <w:r w:rsidRPr="002237F0">
        <w:rPr>
          <w:lang w:val="nl-NL"/>
        </w:rPr>
        <w:t xml:space="preserve"> ‘</w:t>
      </w:r>
      <w:proofErr w:type="spellStart"/>
      <w:r w:rsidRPr="002237F0">
        <w:rPr>
          <w:lang w:val="nl-NL"/>
        </w:rPr>
        <w:t>loans</w:t>
      </w:r>
      <w:proofErr w:type="spellEnd"/>
      <w:r w:rsidRPr="002237F0">
        <w:rPr>
          <w:lang w:val="nl-NL"/>
        </w:rPr>
        <w:t xml:space="preserve"> and </w:t>
      </w:r>
      <w:proofErr w:type="spellStart"/>
      <w:r w:rsidRPr="002237F0">
        <w:rPr>
          <w:lang w:val="nl-NL"/>
        </w:rPr>
        <w:t>receivables</w:t>
      </w:r>
      <w:proofErr w:type="spellEnd"/>
      <w:r w:rsidRPr="002237F0">
        <w:rPr>
          <w:lang w:val="nl-NL"/>
        </w:rPr>
        <w:t>’. Dit is een verandering</w:t>
      </w:r>
      <w:r w:rsidR="00C35C4C" w:rsidRPr="002237F0">
        <w:rPr>
          <w:lang w:val="nl-NL"/>
        </w:rPr>
        <w:t xml:space="preserve"> van waardering tegen</w:t>
      </w:r>
      <w:r w:rsidRPr="002237F0">
        <w:rPr>
          <w:lang w:val="nl-NL"/>
        </w:rPr>
        <w:t xml:space="preserve"> reële waarde naar</w:t>
      </w:r>
      <w:r w:rsidR="00C35C4C" w:rsidRPr="002237F0">
        <w:rPr>
          <w:lang w:val="nl-NL"/>
        </w:rPr>
        <w:t xml:space="preserve"> een waardering tegen</w:t>
      </w:r>
      <w:r w:rsidRPr="002237F0">
        <w:rPr>
          <w:lang w:val="nl-NL"/>
        </w:rPr>
        <w:t xml:space="preserve"> geamortiseerde kostprijs. De laatste reële waarde wordt genomen als kostprijs. </w:t>
      </w:r>
      <w:proofErr w:type="spellStart"/>
      <w:r w:rsidRPr="002237F0">
        <w:rPr>
          <w:lang w:val="nl-NL"/>
        </w:rPr>
        <w:t>Herclassificatie</w:t>
      </w:r>
      <w:proofErr w:type="spellEnd"/>
      <w:r w:rsidRPr="002237F0">
        <w:rPr>
          <w:lang w:val="nl-NL"/>
        </w:rPr>
        <w:t xml:space="preserve"> kan leiden tot een bate of een last. </w:t>
      </w:r>
      <w:r w:rsidR="00057E42" w:rsidRPr="002237F0">
        <w:rPr>
          <w:lang w:val="nl-NL"/>
        </w:rPr>
        <w:t xml:space="preserve">Over de aanpassingen die gedaan zijn in 2008 met betrekking tot </w:t>
      </w:r>
      <w:proofErr w:type="spellStart"/>
      <w:r w:rsidR="00057E42" w:rsidRPr="002237F0">
        <w:rPr>
          <w:lang w:val="nl-NL"/>
        </w:rPr>
        <w:t>herclassificatie</w:t>
      </w:r>
      <w:proofErr w:type="spellEnd"/>
      <w:r w:rsidR="00057E42" w:rsidRPr="002237F0">
        <w:rPr>
          <w:lang w:val="nl-NL"/>
        </w:rPr>
        <w:t xml:space="preserve"> volgt in hoofdstuk 2 meer. </w:t>
      </w:r>
    </w:p>
    <w:p w:rsidR="000D76AB" w:rsidRPr="002237F0" w:rsidRDefault="000D76AB" w:rsidP="000D76AB">
      <w:pPr>
        <w:rPr>
          <w:lang w:val="nl-NL"/>
        </w:rPr>
      </w:pPr>
      <w:r w:rsidRPr="002237F0">
        <w:rPr>
          <w:lang w:val="nl-NL"/>
        </w:rPr>
        <w:t>Een onderneming moet op elke balansdatum beoordelen of er aanwijzingen zijn voor bijzondere waardeverminderingen van haar financiële activa. Dit is vereist voor alle activa die tegen (geamortiseerde) gewaardeerd worden en voor ‘</w:t>
      </w:r>
      <w:proofErr w:type="spellStart"/>
      <w:r w:rsidRPr="002237F0">
        <w:rPr>
          <w:lang w:val="nl-NL"/>
        </w:rPr>
        <w:t>available</w:t>
      </w:r>
      <w:proofErr w:type="spellEnd"/>
      <w:r w:rsidRPr="002237F0">
        <w:rPr>
          <w:lang w:val="nl-NL"/>
        </w:rPr>
        <w:t xml:space="preserve"> </w:t>
      </w:r>
      <w:proofErr w:type="spellStart"/>
      <w:r w:rsidRPr="002237F0">
        <w:rPr>
          <w:lang w:val="nl-NL"/>
        </w:rPr>
        <w:t>for</w:t>
      </w:r>
      <w:proofErr w:type="spellEnd"/>
      <w:r w:rsidRPr="002237F0">
        <w:rPr>
          <w:lang w:val="nl-NL"/>
        </w:rPr>
        <w:t xml:space="preserve"> </w:t>
      </w:r>
      <w:proofErr w:type="spellStart"/>
      <w:r w:rsidRPr="002237F0">
        <w:rPr>
          <w:lang w:val="nl-NL"/>
        </w:rPr>
        <w:t>sale</w:t>
      </w:r>
      <w:proofErr w:type="spellEnd"/>
      <w:r w:rsidRPr="002237F0">
        <w:rPr>
          <w:lang w:val="nl-NL"/>
        </w:rPr>
        <w:t>’-instrumenten(waardewijziging in de herwaarderingsreserve). Financiële problemen van de schuldenaar en wanbetaling kunnen aanwijzingen voor een waardevermindering zijn</w:t>
      </w:r>
      <w:sdt>
        <w:sdtPr>
          <w:rPr>
            <w:lang w:val="nl-NL"/>
          </w:rPr>
          <w:id w:val="2041110"/>
          <w:citation/>
        </w:sdtPr>
        <w:sdtContent>
          <w:r w:rsidR="003C13F3" w:rsidRPr="002237F0">
            <w:rPr>
              <w:lang w:val="nl-NL"/>
            </w:rPr>
            <w:fldChar w:fldCharType="begin"/>
          </w:r>
          <w:r w:rsidR="00C35C4C" w:rsidRPr="002237F0">
            <w:rPr>
              <w:lang w:val="nl-NL"/>
            </w:rPr>
            <w:instrText xml:space="preserve"> CITATION Böh12 \l 1043 </w:instrText>
          </w:r>
          <w:r w:rsidR="003C13F3" w:rsidRPr="002237F0">
            <w:rPr>
              <w:lang w:val="nl-NL"/>
            </w:rPr>
            <w:fldChar w:fldCharType="separate"/>
          </w:r>
          <w:r w:rsidR="00C35C4C" w:rsidRPr="002237F0">
            <w:rPr>
              <w:noProof/>
              <w:lang w:val="nl-NL"/>
            </w:rPr>
            <w:t xml:space="preserve"> (Böhmer, Hoogendoorn, &amp; Kruit, 2012)</w:t>
          </w:r>
          <w:r w:rsidR="003C13F3" w:rsidRPr="002237F0">
            <w:rPr>
              <w:lang w:val="nl-NL"/>
            </w:rPr>
            <w:fldChar w:fldCharType="end"/>
          </w:r>
        </w:sdtContent>
      </w:sdt>
      <w:r w:rsidRPr="002237F0">
        <w:rPr>
          <w:lang w:val="nl-NL"/>
        </w:rPr>
        <w:t xml:space="preserve">. </w:t>
      </w:r>
    </w:p>
    <w:p w:rsidR="008A0102" w:rsidRPr="002237F0" w:rsidRDefault="000D76AB" w:rsidP="000D76AB">
      <w:pPr>
        <w:rPr>
          <w:lang w:val="nl-NL"/>
        </w:rPr>
      </w:pPr>
      <w:r w:rsidRPr="002237F0">
        <w:rPr>
          <w:lang w:val="nl-NL"/>
        </w:rPr>
        <w:t xml:space="preserve">Bij aanwijzingen voor een bijzondere waardevermindering, zal de onderneming het verlies door waardevermindering in het resultaat moeten verwerken. </w:t>
      </w:r>
      <w:r w:rsidR="00C80128" w:rsidRPr="002237F0">
        <w:rPr>
          <w:lang w:val="nl-NL"/>
        </w:rPr>
        <w:t>Er mogen geen verliezen worden opgenomen als gevolg van verwachtingen</w:t>
      </w:r>
      <w:sdt>
        <w:sdtPr>
          <w:rPr>
            <w:lang w:val="nl-NL"/>
          </w:rPr>
          <w:id w:val="2041111"/>
          <w:citation/>
        </w:sdtPr>
        <w:sdtContent>
          <w:r w:rsidR="003C13F3" w:rsidRPr="002237F0">
            <w:rPr>
              <w:lang w:val="nl-NL"/>
            </w:rPr>
            <w:fldChar w:fldCharType="begin"/>
          </w:r>
          <w:r w:rsidR="00C35C4C" w:rsidRPr="002237F0">
            <w:rPr>
              <w:lang w:val="nl-NL"/>
            </w:rPr>
            <w:instrText xml:space="preserve"> CITATION Fin09 \l 1043 </w:instrText>
          </w:r>
          <w:r w:rsidR="003C13F3" w:rsidRPr="002237F0">
            <w:rPr>
              <w:lang w:val="nl-NL"/>
            </w:rPr>
            <w:fldChar w:fldCharType="separate"/>
          </w:r>
          <w:r w:rsidR="00C35C4C" w:rsidRPr="002237F0">
            <w:rPr>
              <w:noProof/>
              <w:lang w:val="nl-NL"/>
            </w:rPr>
            <w:t xml:space="preserve"> (Financial Instruments: A guide through the official text of IAS 32, IAS 39 &amp; IFRS 7, 2009)</w:t>
          </w:r>
          <w:r w:rsidR="003C13F3" w:rsidRPr="002237F0">
            <w:rPr>
              <w:lang w:val="nl-NL"/>
            </w:rPr>
            <w:fldChar w:fldCharType="end"/>
          </w:r>
        </w:sdtContent>
      </w:sdt>
      <w:r w:rsidR="00C35C4C" w:rsidRPr="002237F0">
        <w:rPr>
          <w:lang w:val="nl-NL"/>
        </w:rPr>
        <w:t>.</w:t>
      </w:r>
      <w:r w:rsidR="00C80128" w:rsidRPr="002237F0">
        <w:rPr>
          <w:lang w:val="nl-NL"/>
        </w:rPr>
        <w:t xml:space="preserve"> </w:t>
      </w:r>
    </w:p>
    <w:p w:rsidR="00C80128" w:rsidRPr="002237F0" w:rsidRDefault="00C80128" w:rsidP="000D76AB">
      <w:pPr>
        <w:rPr>
          <w:b/>
          <w:sz w:val="28"/>
          <w:lang w:val="nl-NL"/>
        </w:rPr>
      </w:pPr>
      <w:r w:rsidRPr="002237F0">
        <w:rPr>
          <w:b/>
          <w:sz w:val="28"/>
          <w:lang w:val="nl-NL"/>
        </w:rPr>
        <w:t xml:space="preserve">1.6. </w:t>
      </w:r>
      <w:proofErr w:type="spellStart"/>
      <w:r w:rsidRPr="002237F0">
        <w:rPr>
          <w:b/>
          <w:sz w:val="28"/>
          <w:lang w:val="nl-NL"/>
        </w:rPr>
        <w:t>Hedge</w:t>
      </w:r>
      <w:proofErr w:type="spellEnd"/>
      <w:r w:rsidRPr="002237F0">
        <w:rPr>
          <w:b/>
          <w:sz w:val="28"/>
          <w:lang w:val="nl-NL"/>
        </w:rPr>
        <w:t xml:space="preserve"> accounting</w:t>
      </w:r>
    </w:p>
    <w:p w:rsidR="00EA5A72" w:rsidRPr="002237F0" w:rsidRDefault="00EA5A72" w:rsidP="000D76AB">
      <w:pPr>
        <w:rPr>
          <w:lang w:val="nl-NL"/>
        </w:rPr>
      </w:pPr>
      <w:r w:rsidRPr="002237F0">
        <w:rPr>
          <w:lang w:val="nl-NL"/>
        </w:rPr>
        <w:t>Vaak gebeurt het dat een onderneming een financieel instrument aanwendt om risico’s af te dekken. Dit afdekken van risico’s wordt ‘</w:t>
      </w:r>
      <w:proofErr w:type="spellStart"/>
      <w:r w:rsidRPr="002237F0">
        <w:rPr>
          <w:i/>
          <w:lang w:val="nl-NL"/>
        </w:rPr>
        <w:t>hedgen</w:t>
      </w:r>
      <w:proofErr w:type="spellEnd"/>
      <w:r w:rsidRPr="002237F0">
        <w:rPr>
          <w:i/>
          <w:lang w:val="nl-NL"/>
        </w:rPr>
        <w:t xml:space="preserve">’ </w:t>
      </w:r>
      <w:r w:rsidRPr="002237F0">
        <w:rPr>
          <w:lang w:val="nl-NL"/>
        </w:rPr>
        <w:t>genoemd. Een gemiddelde onderneming is aan veel risico’s onderhevig. Niet alleen aan rente- en valutarisico, maar ook aan risico’s betreffende beleggingen en kredietwaardigheid. Wanneer een financieel instrument aangenomen wordt ter dekking van een dergelijk risico, kan een verwerkingswijze worden gev</w:t>
      </w:r>
      <w:r w:rsidR="00C35C4C" w:rsidRPr="002237F0">
        <w:rPr>
          <w:lang w:val="nl-NL"/>
        </w:rPr>
        <w:t xml:space="preserve">olgd die afwijkt van de </w:t>
      </w:r>
      <w:r w:rsidRPr="002237F0">
        <w:rPr>
          <w:lang w:val="nl-NL"/>
        </w:rPr>
        <w:t>geldende grondslagen.</w:t>
      </w:r>
    </w:p>
    <w:p w:rsidR="00EA5A72" w:rsidRPr="002237F0" w:rsidRDefault="00EA5A72" w:rsidP="000D76AB">
      <w:pPr>
        <w:rPr>
          <w:lang w:val="nl-NL"/>
        </w:rPr>
      </w:pPr>
      <w:r w:rsidRPr="002237F0">
        <w:rPr>
          <w:lang w:val="nl-NL"/>
        </w:rPr>
        <w:t xml:space="preserve">De bepalingen van </w:t>
      </w:r>
      <w:proofErr w:type="spellStart"/>
      <w:r w:rsidRPr="002237F0">
        <w:rPr>
          <w:lang w:val="nl-NL"/>
        </w:rPr>
        <w:t>hedge</w:t>
      </w:r>
      <w:proofErr w:type="spellEnd"/>
      <w:r w:rsidRPr="002237F0">
        <w:rPr>
          <w:lang w:val="nl-NL"/>
        </w:rPr>
        <w:t xml:space="preserve"> accounting </w:t>
      </w:r>
      <w:r w:rsidR="00C35C4C" w:rsidRPr="002237F0">
        <w:rPr>
          <w:lang w:val="nl-NL"/>
        </w:rPr>
        <w:t>leiden ertoe</w:t>
      </w:r>
      <w:r w:rsidRPr="002237F0">
        <w:rPr>
          <w:lang w:val="nl-NL"/>
        </w:rPr>
        <w:t xml:space="preserve"> dat de waardeveranderingen van het </w:t>
      </w:r>
      <w:proofErr w:type="spellStart"/>
      <w:r w:rsidRPr="002237F0">
        <w:rPr>
          <w:lang w:val="nl-NL"/>
        </w:rPr>
        <w:t>hedge</w:t>
      </w:r>
      <w:proofErr w:type="spellEnd"/>
      <w:r w:rsidRPr="002237F0">
        <w:rPr>
          <w:lang w:val="nl-NL"/>
        </w:rPr>
        <w:t xml:space="preserve"> instrument en de afgedekte positie tegelijkertijd in het resultaat </w:t>
      </w:r>
      <w:r w:rsidR="00C35C4C" w:rsidRPr="002237F0">
        <w:rPr>
          <w:lang w:val="nl-NL"/>
        </w:rPr>
        <w:t>worden verwerkt</w:t>
      </w:r>
      <w:r w:rsidRPr="002237F0">
        <w:rPr>
          <w:lang w:val="nl-NL"/>
        </w:rPr>
        <w:t xml:space="preserve">, om zo de afdekking van het risico in de verslaggeving tot uitdrukking te brengen. Een onderneming mag er zelf voor kiezen of er </w:t>
      </w:r>
      <w:proofErr w:type="spellStart"/>
      <w:r w:rsidRPr="002237F0">
        <w:rPr>
          <w:lang w:val="nl-NL"/>
        </w:rPr>
        <w:t>hedge</w:t>
      </w:r>
      <w:proofErr w:type="spellEnd"/>
      <w:r w:rsidRPr="002237F0">
        <w:rPr>
          <w:lang w:val="nl-NL"/>
        </w:rPr>
        <w:t xml:space="preserve"> a</w:t>
      </w:r>
      <w:r w:rsidR="00C35C4C" w:rsidRPr="002237F0">
        <w:rPr>
          <w:lang w:val="nl-NL"/>
        </w:rPr>
        <w:t>ccounting gebruikt wordt</w:t>
      </w:r>
      <w:sdt>
        <w:sdtPr>
          <w:rPr>
            <w:lang w:val="nl-NL"/>
          </w:rPr>
          <w:id w:val="2041112"/>
          <w:citation/>
        </w:sdtPr>
        <w:sdtContent>
          <w:r w:rsidR="003C13F3" w:rsidRPr="002237F0">
            <w:rPr>
              <w:lang w:val="nl-NL"/>
            </w:rPr>
            <w:fldChar w:fldCharType="begin"/>
          </w:r>
          <w:r w:rsidR="00C35C4C" w:rsidRPr="002237F0">
            <w:rPr>
              <w:lang w:val="nl-NL"/>
            </w:rPr>
            <w:instrText xml:space="preserve"> CITATION Fin09 \l 1043 </w:instrText>
          </w:r>
          <w:r w:rsidR="003C13F3" w:rsidRPr="002237F0">
            <w:rPr>
              <w:lang w:val="nl-NL"/>
            </w:rPr>
            <w:fldChar w:fldCharType="separate"/>
          </w:r>
          <w:r w:rsidR="00C35C4C" w:rsidRPr="002237F0">
            <w:rPr>
              <w:noProof/>
              <w:lang w:val="nl-NL"/>
            </w:rPr>
            <w:t xml:space="preserve"> (Financial Instruments: A guide through the official text of IAS 32, IAS 39 &amp; IFRS 7, 2009)</w:t>
          </w:r>
          <w:r w:rsidR="003C13F3" w:rsidRPr="002237F0">
            <w:rPr>
              <w:lang w:val="nl-NL"/>
            </w:rPr>
            <w:fldChar w:fldCharType="end"/>
          </w:r>
        </w:sdtContent>
      </w:sdt>
      <w:r w:rsidRPr="002237F0">
        <w:rPr>
          <w:lang w:val="nl-NL"/>
        </w:rPr>
        <w:t>.</w:t>
      </w:r>
    </w:p>
    <w:p w:rsidR="00EA5A72" w:rsidRPr="002237F0" w:rsidRDefault="00EA5A72" w:rsidP="000D76AB">
      <w:pPr>
        <w:rPr>
          <w:lang w:val="nl-NL"/>
        </w:rPr>
      </w:pPr>
      <w:r w:rsidRPr="002237F0">
        <w:rPr>
          <w:lang w:val="nl-NL"/>
        </w:rPr>
        <w:t xml:space="preserve">IFRS maakt onderscheid tussen drie verschillende modellen van </w:t>
      </w:r>
      <w:proofErr w:type="spellStart"/>
      <w:r w:rsidRPr="002237F0">
        <w:rPr>
          <w:lang w:val="nl-NL"/>
        </w:rPr>
        <w:t>hedge</w:t>
      </w:r>
      <w:proofErr w:type="spellEnd"/>
      <w:r w:rsidRPr="002237F0">
        <w:rPr>
          <w:lang w:val="nl-NL"/>
        </w:rPr>
        <w:t xml:space="preserve"> accounting</w:t>
      </w:r>
      <w:sdt>
        <w:sdtPr>
          <w:rPr>
            <w:lang w:val="nl-NL"/>
          </w:rPr>
          <w:id w:val="2041113"/>
          <w:citation/>
        </w:sdtPr>
        <w:sdtContent>
          <w:r w:rsidR="003C13F3" w:rsidRPr="002237F0">
            <w:rPr>
              <w:lang w:val="nl-NL"/>
            </w:rPr>
            <w:fldChar w:fldCharType="begin"/>
          </w:r>
          <w:r w:rsidR="00C35C4C" w:rsidRPr="002237F0">
            <w:rPr>
              <w:lang w:val="nl-NL"/>
            </w:rPr>
            <w:instrText xml:space="preserve"> CITATION Fin09 \l 1043 </w:instrText>
          </w:r>
          <w:r w:rsidR="003C13F3" w:rsidRPr="002237F0">
            <w:rPr>
              <w:lang w:val="nl-NL"/>
            </w:rPr>
            <w:fldChar w:fldCharType="separate"/>
          </w:r>
          <w:r w:rsidR="00C35C4C" w:rsidRPr="002237F0">
            <w:rPr>
              <w:noProof/>
              <w:lang w:val="nl-NL"/>
            </w:rPr>
            <w:t xml:space="preserve"> (Financial Instruments: A guide through the official text of IAS 32, IAS 39 &amp; IFRS 7, 2009)</w:t>
          </w:r>
          <w:r w:rsidR="003C13F3" w:rsidRPr="002237F0">
            <w:rPr>
              <w:lang w:val="nl-NL"/>
            </w:rPr>
            <w:fldChar w:fldCharType="end"/>
          </w:r>
        </w:sdtContent>
      </w:sdt>
      <w:r w:rsidRPr="002237F0">
        <w:rPr>
          <w:lang w:val="nl-NL"/>
        </w:rPr>
        <w:t>:</w:t>
      </w:r>
    </w:p>
    <w:p w:rsidR="00A875A6" w:rsidRPr="002237F0" w:rsidRDefault="00A875A6" w:rsidP="00A875A6">
      <w:pPr>
        <w:pStyle w:val="ListParagraph"/>
        <w:numPr>
          <w:ilvl w:val="0"/>
          <w:numId w:val="14"/>
        </w:numPr>
      </w:pPr>
      <w:r w:rsidRPr="002237F0">
        <w:t>Fair value hedge accounting(</w:t>
      </w:r>
      <w:proofErr w:type="spellStart"/>
      <w:r w:rsidRPr="002237F0">
        <w:t>reële</w:t>
      </w:r>
      <w:proofErr w:type="spellEnd"/>
      <w:r w:rsidRPr="002237F0">
        <w:t>-</w:t>
      </w:r>
      <w:proofErr w:type="spellStart"/>
      <w:r w:rsidRPr="002237F0">
        <w:t>waardehedge</w:t>
      </w:r>
      <w:proofErr w:type="spellEnd"/>
      <w:r w:rsidRPr="002237F0">
        <w:t>-accounting)</w:t>
      </w:r>
    </w:p>
    <w:p w:rsidR="00A875A6" w:rsidRPr="002237F0" w:rsidRDefault="00A875A6" w:rsidP="00A875A6">
      <w:pPr>
        <w:pStyle w:val="ListParagraph"/>
        <w:numPr>
          <w:ilvl w:val="0"/>
          <w:numId w:val="14"/>
        </w:numPr>
      </w:pPr>
      <w:r w:rsidRPr="002237F0">
        <w:t>Cash flow hedge accounting(</w:t>
      </w:r>
      <w:proofErr w:type="spellStart"/>
      <w:r w:rsidRPr="002237F0">
        <w:t>kasstroomhedge</w:t>
      </w:r>
      <w:proofErr w:type="spellEnd"/>
      <w:r w:rsidRPr="002237F0">
        <w:t>-accounting)</w:t>
      </w:r>
    </w:p>
    <w:p w:rsidR="00A875A6" w:rsidRPr="002237F0" w:rsidRDefault="00A875A6" w:rsidP="00A875A6">
      <w:pPr>
        <w:pStyle w:val="ListParagraph"/>
        <w:numPr>
          <w:ilvl w:val="0"/>
          <w:numId w:val="14"/>
        </w:numPr>
        <w:rPr>
          <w:lang w:val="nl-NL"/>
        </w:rPr>
      </w:pPr>
      <w:proofErr w:type="spellStart"/>
      <w:r w:rsidRPr="002237F0">
        <w:rPr>
          <w:lang w:val="nl-NL"/>
        </w:rPr>
        <w:t>Hedge</w:t>
      </w:r>
      <w:proofErr w:type="spellEnd"/>
      <w:r w:rsidRPr="002237F0">
        <w:rPr>
          <w:lang w:val="nl-NL"/>
        </w:rPr>
        <w:t xml:space="preserve"> of a net </w:t>
      </w:r>
      <w:proofErr w:type="spellStart"/>
      <w:r w:rsidRPr="002237F0">
        <w:rPr>
          <w:lang w:val="nl-NL"/>
        </w:rPr>
        <w:t>investment</w:t>
      </w:r>
      <w:proofErr w:type="spellEnd"/>
      <w:r w:rsidRPr="002237F0">
        <w:rPr>
          <w:lang w:val="nl-NL"/>
        </w:rPr>
        <w:t>(</w:t>
      </w:r>
      <w:proofErr w:type="spellStart"/>
      <w:r w:rsidRPr="002237F0">
        <w:rPr>
          <w:lang w:val="nl-NL"/>
        </w:rPr>
        <w:t>hedge</w:t>
      </w:r>
      <w:proofErr w:type="spellEnd"/>
      <w:r w:rsidRPr="002237F0">
        <w:rPr>
          <w:lang w:val="nl-NL"/>
        </w:rPr>
        <w:t xml:space="preserve"> van een </w:t>
      </w:r>
      <w:proofErr w:type="spellStart"/>
      <w:r w:rsidRPr="002237F0">
        <w:rPr>
          <w:lang w:val="nl-NL"/>
        </w:rPr>
        <w:t>netto-investering</w:t>
      </w:r>
      <w:proofErr w:type="spellEnd"/>
      <w:r w:rsidRPr="002237F0">
        <w:rPr>
          <w:lang w:val="nl-NL"/>
        </w:rPr>
        <w:t xml:space="preserve"> in een buitenlandse eenheid)</w:t>
      </w:r>
    </w:p>
    <w:p w:rsidR="00C35C4C" w:rsidRPr="002237F0" w:rsidRDefault="00C35C4C" w:rsidP="00090020">
      <w:pPr>
        <w:rPr>
          <w:b/>
          <w:lang w:val="nl-NL"/>
        </w:rPr>
      </w:pPr>
    </w:p>
    <w:p w:rsidR="00C35C4C" w:rsidRPr="002237F0" w:rsidRDefault="00C35C4C" w:rsidP="00090020">
      <w:pPr>
        <w:rPr>
          <w:b/>
          <w:lang w:val="nl-NL"/>
        </w:rPr>
      </w:pPr>
    </w:p>
    <w:p w:rsidR="00090020" w:rsidRPr="002237F0" w:rsidRDefault="00090020" w:rsidP="00090020">
      <w:pPr>
        <w:rPr>
          <w:b/>
          <w:lang w:val="nl-NL"/>
        </w:rPr>
      </w:pPr>
      <w:r w:rsidRPr="002237F0">
        <w:rPr>
          <w:b/>
          <w:lang w:val="nl-NL"/>
        </w:rPr>
        <w:t>Voorwaarden</w:t>
      </w:r>
    </w:p>
    <w:p w:rsidR="00A875A6" w:rsidRPr="002237F0" w:rsidRDefault="00A875A6" w:rsidP="00A875A6">
      <w:pPr>
        <w:rPr>
          <w:lang w:val="nl-NL"/>
        </w:rPr>
      </w:pPr>
      <w:r w:rsidRPr="002237F0">
        <w:rPr>
          <w:lang w:val="nl-NL"/>
        </w:rPr>
        <w:t xml:space="preserve">Verderop in deze paragraaf zal </w:t>
      </w:r>
      <w:r w:rsidR="00C35C4C" w:rsidRPr="002237F0">
        <w:rPr>
          <w:lang w:val="nl-NL"/>
        </w:rPr>
        <w:t xml:space="preserve">er worden ingegaan op de </w:t>
      </w:r>
      <w:r w:rsidRPr="002237F0">
        <w:rPr>
          <w:lang w:val="nl-NL"/>
        </w:rPr>
        <w:t xml:space="preserve">modellen van </w:t>
      </w:r>
      <w:proofErr w:type="spellStart"/>
      <w:r w:rsidRPr="002237F0">
        <w:rPr>
          <w:lang w:val="nl-NL"/>
        </w:rPr>
        <w:t>hedge</w:t>
      </w:r>
      <w:proofErr w:type="spellEnd"/>
      <w:r w:rsidRPr="002237F0">
        <w:rPr>
          <w:lang w:val="nl-NL"/>
        </w:rPr>
        <w:t xml:space="preserve"> accounting. Eerst zullen de voorwaarden voor </w:t>
      </w:r>
      <w:proofErr w:type="spellStart"/>
      <w:r w:rsidRPr="002237F0">
        <w:rPr>
          <w:lang w:val="nl-NL"/>
        </w:rPr>
        <w:t>hedge</w:t>
      </w:r>
      <w:proofErr w:type="spellEnd"/>
      <w:r w:rsidRPr="002237F0">
        <w:rPr>
          <w:lang w:val="nl-NL"/>
        </w:rPr>
        <w:t xml:space="preserve"> accounting </w:t>
      </w:r>
      <w:r w:rsidR="00C35C4C" w:rsidRPr="002237F0">
        <w:rPr>
          <w:lang w:val="nl-NL"/>
        </w:rPr>
        <w:t>worden besproken</w:t>
      </w:r>
      <w:sdt>
        <w:sdtPr>
          <w:rPr>
            <w:lang w:val="nl-NL"/>
          </w:rPr>
          <w:id w:val="2041114"/>
          <w:citation/>
        </w:sdtPr>
        <w:sdtContent>
          <w:r w:rsidR="003C13F3" w:rsidRPr="002237F0">
            <w:rPr>
              <w:lang w:val="nl-NL"/>
            </w:rPr>
            <w:fldChar w:fldCharType="begin"/>
          </w:r>
          <w:r w:rsidR="00C35C4C" w:rsidRPr="002237F0">
            <w:rPr>
              <w:lang w:val="nl-NL"/>
            </w:rPr>
            <w:instrText xml:space="preserve"> CITATION Böh12 \l 1043 </w:instrText>
          </w:r>
          <w:r w:rsidR="003C13F3" w:rsidRPr="002237F0">
            <w:rPr>
              <w:lang w:val="nl-NL"/>
            </w:rPr>
            <w:fldChar w:fldCharType="separate"/>
          </w:r>
          <w:r w:rsidR="00C35C4C" w:rsidRPr="002237F0">
            <w:rPr>
              <w:noProof/>
              <w:lang w:val="nl-NL"/>
            </w:rPr>
            <w:t xml:space="preserve"> (Böhmer, Hoogendoorn, &amp; Kruit, 2012)</w:t>
          </w:r>
          <w:r w:rsidR="003C13F3" w:rsidRPr="002237F0">
            <w:rPr>
              <w:lang w:val="nl-NL"/>
            </w:rPr>
            <w:fldChar w:fldCharType="end"/>
          </w:r>
        </w:sdtContent>
      </w:sdt>
      <w:r w:rsidRPr="002237F0">
        <w:rPr>
          <w:lang w:val="nl-NL"/>
        </w:rPr>
        <w:t xml:space="preserve">. </w:t>
      </w:r>
    </w:p>
    <w:p w:rsidR="00A875A6" w:rsidRPr="002237F0" w:rsidRDefault="00A875A6" w:rsidP="00A875A6">
      <w:pPr>
        <w:pStyle w:val="ListParagraph"/>
        <w:numPr>
          <w:ilvl w:val="0"/>
          <w:numId w:val="15"/>
        </w:numPr>
        <w:rPr>
          <w:lang w:val="nl-NL"/>
        </w:rPr>
      </w:pPr>
      <w:r w:rsidRPr="002237F0">
        <w:rPr>
          <w:lang w:val="nl-NL"/>
        </w:rPr>
        <w:t xml:space="preserve">Er moet sprake zijn van de juiste </w:t>
      </w:r>
      <w:r w:rsidR="007E2C3F" w:rsidRPr="002237F0">
        <w:rPr>
          <w:lang w:val="nl-NL"/>
        </w:rPr>
        <w:t xml:space="preserve">duidelijke </w:t>
      </w:r>
      <w:r w:rsidRPr="002237F0">
        <w:rPr>
          <w:lang w:val="nl-NL"/>
        </w:rPr>
        <w:t xml:space="preserve">documentatie. De </w:t>
      </w:r>
      <w:proofErr w:type="spellStart"/>
      <w:r w:rsidRPr="002237F0">
        <w:rPr>
          <w:lang w:val="nl-NL"/>
        </w:rPr>
        <w:t>hedge-relatie</w:t>
      </w:r>
      <w:proofErr w:type="spellEnd"/>
      <w:r w:rsidRPr="002237F0">
        <w:rPr>
          <w:lang w:val="nl-NL"/>
        </w:rPr>
        <w:t xml:space="preserve"> wordt formeel gedocumenteerd, en de onderneming moet </w:t>
      </w:r>
      <w:r w:rsidR="003334D4" w:rsidRPr="002237F0">
        <w:rPr>
          <w:lang w:val="nl-NL"/>
        </w:rPr>
        <w:t>haar</w:t>
      </w:r>
      <w:r w:rsidRPr="002237F0">
        <w:rPr>
          <w:lang w:val="nl-NL"/>
        </w:rPr>
        <w:t xml:space="preserve"> doelstelling m.b.t. de </w:t>
      </w:r>
      <w:proofErr w:type="spellStart"/>
      <w:r w:rsidRPr="002237F0">
        <w:rPr>
          <w:lang w:val="nl-NL"/>
        </w:rPr>
        <w:t>afdekkingstransactie</w:t>
      </w:r>
      <w:proofErr w:type="spellEnd"/>
      <w:r w:rsidRPr="002237F0">
        <w:rPr>
          <w:lang w:val="nl-NL"/>
        </w:rPr>
        <w:t xml:space="preserve"> kenbaar maken</w:t>
      </w:r>
    </w:p>
    <w:p w:rsidR="00A875A6" w:rsidRPr="002237F0" w:rsidRDefault="00A875A6" w:rsidP="00A875A6">
      <w:pPr>
        <w:pStyle w:val="ListParagraph"/>
        <w:numPr>
          <w:ilvl w:val="0"/>
          <w:numId w:val="15"/>
        </w:numPr>
        <w:rPr>
          <w:lang w:val="nl-NL"/>
        </w:rPr>
      </w:pPr>
      <w:r w:rsidRPr="002237F0">
        <w:rPr>
          <w:lang w:val="nl-NL"/>
        </w:rPr>
        <w:t>De afdekking is naar verwachting zeer effectief</w:t>
      </w:r>
    </w:p>
    <w:p w:rsidR="00A875A6" w:rsidRPr="002237F0" w:rsidRDefault="00A875A6" w:rsidP="00A875A6">
      <w:pPr>
        <w:pStyle w:val="ListParagraph"/>
        <w:numPr>
          <w:ilvl w:val="0"/>
          <w:numId w:val="15"/>
        </w:numPr>
        <w:rPr>
          <w:lang w:val="nl-NL"/>
        </w:rPr>
      </w:pPr>
      <w:r w:rsidRPr="002237F0">
        <w:rPr>
          <w:lang w:val="nl-NL"/>
        </w:rPr>
        <w:t xml:space="preserve">Bij een </w:t>
      </w:r>
      <w:proofErr w:type="spellStart"/>
      <w:r w:rsidRPr="002237F0">
        <w:rPr>
          <w:lang w:val="nl-NL"/>
        </w:rPr>
        <w:t>kasstroomhedge</w:t>
      </w:r>
      <w:proofErr w:type="spellEnd"/>
      <w:r w:rsidRPr="002237F0">
        <w:rPr>
          <w:lang w:val="nl-NL"/>
        </w:rPr>
        <w:t xml:space="preserve"> moet de transactie zich zeer waarschijnlijk voordoen, en moet de waarschijnlijkheid afhangen van in de markt </w:t>
      </w:r>
      <w:r w:rsidR="00C35C4C" w:rsidRPr="002237F0">
        <w:rPr>
          <w:lang w:val="nl-NL"/>
        </w:rPr>
        <w:t xml:space="preserve">aanwezige </w:t>
      </w:r>
      <w:r w:rsidRPr="002237F0">
        <w:rPr>
          <w:lang w:val="nl-NL"/>
        </w:rPr>
        <w:t xml:space="preserve">factoren. </w:t>
      </w:r>
    </w:p>
    <w:p w:rsidR="00A875A6" w:rsidRPr="002237F0" w:rsidRDefault="00A875A6" w:rsidP="00A875A6">
      <w:pPr>
        <w:pStyle w:val="ListParagraph"/>
        <w:numPr>
          <w:ilvl w:val="0"/>
          <w:numId w:val="15"/>
        </w:numPr>
        <w:rPr>
          <w:lang w:val="nl-NL"/>
        </w:rPr>
      </w:pPr>
      <w:r w:rsidRPr="002237F0">
        <w:rPr>
          <w:lang w:val="nl-NL"/>
        </w:rPr>
        <w:t xml:space="preserve">De effectiviteit van </w:t>
      </w:r>
      <w:proofErr w:type="gramStart"/>
      <w:r w:rsidRPr="002237F0">
        <w:rPr>
          <w:lang w:val="nl-NL"/>
        </w:rPr>
        <w:t>de</w:t>
      </w:r>
      <w:proofErr w:type="gramEnd"/>
      <w:r w:rsidRPr="002237F0">
        <w:rPr>
          <w:lang w:val="nl-NL"/>
        </w:rPr>
        <w:t xml:space="preserve"> </w:t>
      </w:r>
      <w:proofErr w:type="spellStart"/>
      <w:r w:rsidRPr="002237F0">
        <w:rPr>
          <w:lang w:val="nl-NL"/>
        </w:rPr>
        <w:t>hedge</w:t>
      </w:r>
      <w:proofErr w:type="spellEnd"/>
      <w:r w:rsidRPr="002237F0">
        <w:rPr>
          <w:lang w:val="nl-NL"/>
        </w:rPr>
        <w:t xml:space="preserve"> moet betrouwbaar gemeten kunnen worden. Dus niet alleen de reële waarde van het instrument maar ook die van de afgedekte positie moet goed meetbaar zijn.</w:t>
      </w:r>
    </w:p>
    <w:p w:rsidR="00191C5D" w:rsidRPr="002237F0" w:rsidRDefault="00A875A6" w:rsidP="00A875A6">
      <w:pPr>
        <w:pStyle w:val="ListParagraph"/>
        <w:numPr>
          <w:ilvl w:val="0"/>
          <w:numId w:val="15"/>
        </w:numPr>
        <w:rPr>
          <w:lang w:val="nl-NL"/>
        </w:rPr>
      </w:pPr>
      <w:r w:rsidRPr="002237F0">
        <w:rPr>
          <w:lang w:val="nl-NL"/>
        </w:rPr>
        <w:t xml:space="preserve">De effectiviteit moet per rapportageperiode worden getoetst </w:t>
      </w:r>
      <w:r w:rsidR="00191C5D" w:rsidRPr="002237F0">
        <w:rPr>
          <w:lang w:val="nl-NL"/>
        </w:rPr>
        <w:t>en dient</w:t>
      </w:r>
      <w:r w:rsidR="00C35C4C" w:rsidRPr="002237F0">
        <w:rPr>
          <w:lang w:val="nl-NL"/>
        </w:rPr>
        <w:t xml:space="preserve"> als</w:t>
      </w:r>
      <w:r w:rsidR="00191C5D" w:rsidRPr="002237F0">
        <w:rPr>
          <w:lang w:val="nl-NL"/>
        </w:rPr>
        <w:t xml:space="preserve"> voldoende te worden beoordeeld. </w:t>
      </w:r>
    </w:p>
    <w:p w:rsidR="007E2C3F" w:rsidRPr="002237F0" w:rsidRDefault="007E2C3F" w:rsidP="007E2C3F">
      <w:pPr>
        <w:rPr>
          <w:lang w:val="nl-NL"/>
        </w:rPr>
      </w:pPr>
      <w:r w:rsidRPr="002237F0">
        <w:rPr>
          <w:lang w:val="nl-NL"/>
        </w:rPr>
        <w:t xml:space="preserve">IAS 39 bepaalt dat in beginsel alleen derivaten in aanmerking komen voor </w:t>
      </w:r>
      <w:proofErr w:type="spellStart"/>
      <w:r w:rsidRPr="002237F0">
        <w:rPr>
          <w:lang w:val="nl-NL"/>
        </w:rPr>
        <w:t>hedge</w:t>
      </w:r>
      <w:proofErr w:type="spellEnd"/>
      <w:r w:rsidRPr="002237F0">
        <w:rPr>
          <w:lang w:val="nl-NL"/>
        </w:rPr>
        <w:t xml:space="preserve"> accountingrelaties. Enkel bij afdekking van valutaposities mag een ander instrument dan een derivaat gebruikt worden ter afdekking van de </w:t>
      </w:r>
      <w:proofErr w:type="spellStart"/>
      <w:r w:rsidRPr="002237F0">
        <w:rPr>
          <w:lang w:val="nl-NL"/>
        </w:rPr>
        <w:t>hedge</w:t>
      </w:r>
      <w:proofErr w:type="spellEnd"/>
      <w:r w:rsidRPr="002237F0">
        <w:rPr>
          <w:lang w:val="nl-NL"/>
        </w:rPr>
        <w:t xml:space="preserve">. </w:t>
      </w:r>
    </w:p>
    <w:p w:rsidR="007E2C3F" w:rsidRPr="002237F0" w:rsidRDefault="007E2C3F" w:rsidP="007E2C3F">
      <w:pPr>
        <w:rPr>
          <w:lang w:val="nl-NL"/>
        </w:rPr>
      </w:pPr>
      <w:r w:rsidRPr="002237F0">
        <w:rPr>
          <w:lang w:val="nl-NL"/>
        </w:rPr>
        <w:t xml:space="preserve">Effectiviteit is een belangrijk begrip bij de </w:t>
      </w:r>
      <w:proofErr w:type="spellStart"/>
      <w:r w:rsidRPr="002237F0">
        <w:rPr>
          <w:lang w:val="nl-NL"/>
        </w:rPr>
        <w:t>hedgerelatie</w:t>
      </w:r>
      <w:proofErr w:type="spellEnd"/>
      <w:r w:rsidRPr="002237F0">
        <w:rPr>
          <w:lang w:val="nl-NL"/>
        </w:rPr>
        <w:t xml:space="preserve">. Van tevoren moet duidelijk zijn dat de </w:t>
      </w:r>
      <w:proofErr w:type="spellStart"/>
      <w:r w:rsidRPr="002237F0">
        <w:rPr>
          <w:lang w:val="nl-NL"/>
        </w:rPr>
        <w:t>hedgerelatie</w:t>
      </w:r>
      <w:proofErr w:type="spellEnd"/>
      <w:r w:rsidRPr="002237F0">
        <w:rPr>
          <w:lang w:val="nl-NL"/>
        </w:rPr>
        <w:t xml:space="preserve"> voldoende effectief is. Achteraf wordt de inefficiëntie binnen de </w:t>
      </w:r>
      <w:proofErr w:type="spellStart"/>
      <w:r w:rsidRPr="002237F0">
        <w:rPr>
          <w:lang w:val="nl-NL"/>
        </w:rPr>
        <w:t>hedgerelatie</w:t>
      </w:r>
      <w:proofErr w:type="spellEnd"/>
      <w:r w:rsidRPr="002237F0">
        <w:rPr>
          <w:lang w:val="nl-NL"/>
        </w:rPr>
        <w:t xml:space="preserve"> verwerkt in de resultatenrekening. Een </w:t>
      </w:r>
      <w:proofErr w:type="spellStart"/>
      <w:r w:rsidRPr="002237F0">
        <w:rPr>
          <w:lang w:val="nl-NL"/>
        </w:rPr>
        <w:t>hedge</w:t>
      </w:r>
      <w:proofErr w:type="spellEnd"/>
      <w:r w:rsidRPr="002237F0">
        <w:rPr>
          <w:lang w:val="nl-NL"/>
        </w:rPr>
        <w:t xml:space="preserve"> wordt als effectief verondersteld wanneer de waardeveranderingen van het </w:t>
      </w:r>
      <w:proofErr w:type="spellStart"/>
      <w:r w:rsidRPr="002237F0">
        <w:rPr>
          <w:lang w:val="nl-NL"/>
        </w:rPr>
        <w:t>hedge-instrumenten</w:t>
      </w:r>
      <w:proofErr w:type="spellEnd"/>
      <w:r w:rsidRPr="002237F0">
        <w:rPr>
          <w:lang w:val="nl-NL"/>
        </w:rPr>
        <w:t xml:space="preserve"> de waardeveranderingen van het onderliggende voorwerp compenseren. De verwachte en werkelijke effectiviteit dienen binnen een reikwijdte van 80% en 125% te blijven</w:t>
      </w:r>
      <w:sdt>
        <w:sdtPr>
          <w:rPr>
            <w:lang w:val="nl-NL"/>
          </w:rPr>
          <w:id w:val="2041115"/>
          <w:citation/>
        </w:sdtPr>
        <w:sdtContent>
          <w:r w:rsidR="003C13F3" w:rsidRPr="002237F0">
            <w:rPr>
              <w:lang w:val="nl-NL"/>
            </w:rPr>
            <w:fldChar w:fldCharType="begin"/>
          </w:r>
          <w:r w:rsidR="00C35C4C" w:rsidRPr="002237F0">
            <w:rPr>
              <w:lang w:val="nl-NL"/>
            </w:rPr>
            <w:instrText xml:space="preserve"> CITATION Fin09 \l 1043 </w:instrText>
          </w:r>
          <w:r w:rsidR="003C13F3" w:rsidRPr="002237F0">
            <w:rPr>
              <w:lang w:val="nl-NL"/>
            </w:rPr>
            <w:fldChar w:fldCharType="separate"/>
          </w:r>
          <w:r w:rsidR="00C35C4C" w:rsidRPr="002237F0">
            <w:rPr>
              <w:noProof/>
              <w:lang w:val="nl-NL"/>
            </w:rPr>
            <w:t xml:space="preserve"> (Financial Instruments: A guide through the official text of IAS 32, IAS 39 &amp; IFRS 7, 2009)</w:t>
          </w:r>
          <w:r w:rsidR="003C13F3" w:rsidRPr="002237F0">
            <w:rPr>
              <w:lang w:val="nl-NL"/>
            </w:rPr>
            <w:fldChar w:fldCharType="end"/>
          </w:r>
        </w:sdtContent>
      </w:sdt>
      <w:r w:rsidRPr="002237F0">
        <w:rPr>
          <w:lang w:val="nl-NL"/>
        </w:rPr>
        <w:t xml:space="preserve">. Dit wil zeggen, de waardeveranderingen van het </w:t>
      </w:r>
      <w:proofErr w:type="spellStart"/>
      <w:r w:rsidRPr="002237F0">
        <w:rPr>
          <w:lang w:val="nl-NL"/>
        </w:rPr>
        <w:t>hedge-instrument</w:t>
      </w:r>
      <w:proofErr w:type="spellEnd"/>
      <w:r w:rsidRPr="002237F0">
        <w:rPr>
          <w:lang w:val="nl-NL"/>
        </w:rPr>
        <w:t xml:space="preserve"> dienen voor 80 tot 125 procent negatief gecorreleerd te zijn met het onderliggende voorwerp. Zodra de effectiviteit buiten deze bandbreedte komt, dient de </w:t>
      </w:r>
      <w:proofErr w:type="spellStart"/>
      <w:r w:rsidRPr="002237F0">
        <w:rPr>
          <w:lang w:val="nl-NL"/>
        </w:rPr>
        <w:t>hedgerelatie</w:t>
      </w:r>
      <w:proofErr w:type="spellEnd"/>
      <w:r w:rsidRPr="002237F0">
        <w:rPr>
          <w:lang w:val="nl-NL"/>
        </w:rPr>
        <w:t xml:space="preserve"> te worden beëindigd.</w:t>
      </w:r>
      <w:r w:rsidR="006A1FBC" w:rsidRPr="002237F0">
        <w:rPr>
          <w:lang w:val="nl-NL"/>
        </w:rPr>
        <w:t xml:space="preserve"> Nu zullen kort de soorten </w:t>
      </w:r>
      <w:proofErr w:type="spellStart"/>
      <w:r w:rsidR="006A1FBC" w:rsidRPr="002237F0">
        <w:rPr>
          <w:lang w:val="nl-NL"/>
        </w:rPr>
        <w:t>hedge-accounting</w:t>
      </w:r>
      <w:proofErr w:type="spellEnd"/>
      <w:r w:rsidR="006A1FBC" w:rsidRPr="002237F0">
        <w:rPr>
          <w:lang w:val="nl-NL"/>
        </w:rPr>
        <w:t xml:space="preserve"> besproken worden.</w:t>
      </w:r>
    </w:p>
    <w:p w:rsidR="00090020" w:rsidRPr="002237F0" w:rsidRDefault="006A1FBC" w:rsidP="007E2C3F">
      <w:pPr>
        <w:rPr>
          <w:lang w:val="nl-NL"/>
        </w:rPr>
      </w:pPr>
      <w:r w:rsidRPr="002237F0">
        <w:rPr>
          <w:b/>
          <w:lang w:val="nl-NL"/>
        </w:rPr>
        <w:t xml:space="preserve">Fair </w:t>
      </w:r>
      <w:proofErr w:type="spellStart"/>
      <w:r w:rsidRPr="002237F0">
        <w:rPr>
          <w:b/>
          <w:lang w:val="nl-NL"/>
        </w:rPr>
        <w:t>value</w:t>
      </w:r>
      <w:proofErr w:type="spellEnd"/>
      <w:r w:rsidRPr="002237F0">
        <w:rPr>
          <w:b/>
          <w:lang w:val="nl-NL"/>
        </w:rPr>
        <w:t xml:space="preserve"> </w:t>
      </w:r>
      <w:proofErr w:type="spellStart"/>
      <w:r w:rsidRPr="002237F0">
        <w:rPr>
          <w:b/>
          <w:lang w:val="nl-NL"/>
        </w:rPr>
        <w:t>hedge</w:t>
      </w:r>
      <w:proofErr w:type="spellEnd"/>
      <w:r w:rsidRPr="002237F0">
        <w:rPr>
          <w:b/>
          <w:lang w:val="nl-NL"/>
        </w:rPr>
        <w:t xml:space="preserve"> accounting</w:t>
      </w:r>
      <w:r w:rsidRPr="002237F0">
        <w:rPr>
          <w:lang w:val="nl-NL"/>
        </w:rPr>
        <w:t xml:space="preserve"> </w:t>
      </w:r>
    </w:p>
    <w:p w:rsidR="006A1FBC" w:rsidRPr="002237F0" w:rsidRDefault="00090020" w:rsidP="007E2C3F">
      <w:pPr>
        <w:rPr>
          <w:lang w:val="nl-NL"/>
        </w:rPr>
      </w:pPr>
      <w:r w:rsidRPr="002237F0">
        <w:rPr>
          <w:lang w:val="nl-NL"/>
        </w:rPr>
        <w:t>D</w:t>
      </w:r>
      <w:r w:rsidR="00E46865" w:rsidRPr="002237F0">
        <w:rPr>
          <w:lang w:val="nl-NL"/>
        </w:rPr>
        <w:t xml:space="preserve">eze wijze van </w:t>
      </w:r>
      <w:proofErr w:type="spellStart"/>
      <w:r w:rsidR="00E46865" w:rsidRPr="002237F0">
        <w:rPr>
          <w:lang w:val="nl-NL"/>
        </w:rPr>
        <w:t>hedge-accounting</w:t>
      </w:r>
      <w:proofErr w:type="spellEnd"/>
      <w:r w:rsidR="00E46865" w:rsidRPr="002237F0">
        <w:rPr>
          <w:lang w:val="nl-NL"/>
        </w:rPr>
        <w:t xml:space="preserve"> wordt in het Nederlands de </w:t>
      </w:r>
      <w:proofErr w:type="spellStart"/>
      <w:r w:rsidR="00E46865" w:rsidRPr="002237F0">
        <w:rPr>
          <w:lang w:val="nl-NL"/>
        </w:rPr>
        <w:t>reële-waardehedge</w:t>
      </w:r>
      <w:proofErr w:type="spellEnd"/>
      <w:r w:rsidR="00E46865" w:rsidRPr="002237F0">
        <w:rPr>
          <w:lang w:val="nl-NL"/>
        </w:rPr>
        <w:t xml:space="preserve"> genoemd. Waardering van het derivaat gebeurt tegen reële waarde, wijzigingen worden verwerkt in de resultatenrekening. De afgedekte positie wordt ook in het resultaat verwerkt. Beide resultaten worden in de resultatenrekening verwerkt, ook als de </w:t>
      </w:r>
      <w:proofErr w:type="spellStart"/>
      <w:r w:rsidR="00E46865" w:rsidRPr="002237F0">
        <w:rPr>
          <w:lang w:val="nl-NL"/>
        </w:rPr>
        <w:t>hedge</w:t>
      </w:r>
      <w:proofErr w:type="spellEnd"/>
      <w:r w:rsidR="00E46865" w:rsidRPr="002237F0">
        <w:rPr>
          <w:lang w:val="nl-NL"/>
        </w:rPr>
        <w:t xml:space="preserve"> 100% effectief is. </w:t>
      </w:r>
      <w:r w:rsidR="00565FD4" w:rsidRPr="002237F0">
        <w:rPr>
          <w:lang w:val="nl-NL"/>
        </w:rPr>
        <w:t xml:space="preserve">Fair </w:t>
      </w:r>
      <w:proofErr w:type="spellStart"/>
      <w:r w:rsidR="00565FD4" w:rsidRPr="002237F0">
        <w:rPr>
          <w:lang w:val="nl-NL"/>
        </w:rPr>
        <w:t>value</w:t>
      </w:r>
      <w:proofErr w:type="spellEnd"/>
      <w:r w:rsidR="00565FD4" w:rsidRPr="002237F0">
        <w:rPr>
          <w:lang w:val="nl-NL"/>
        </w:rPr>
        <w:t xml:space="preserve"> </w:t>
      </w:r>
      <w:proofErr w:type="spellStart"/>
      <w:r w:rsidR="00565FD4" w:rsidRPr="002237F0">
        <w:rPr>
          <w:lang w:val="nl-NL"/>
        </w:rPr>
        <w:t>hedge</w:t>
      </w:r>
      <w:proofErr w:type="spellEnd"/>
      <w:r w:rsidR="00565FD4" w:rsidRPr="002237F0">
        <w:rPr>
          <w:lang w:val="nl-NL"/>
        </w:rPr>
        <w:t xml:space="preserve"> accounting dient beëindigd te worden indien het </w:t>
      </w:r>
      <w:proofErr w:type="spellStart"/>
      <w:r w:rsidR="00565FD4" w:rsidRPr="002237F0">
        <w:rPr>
          <w:lang w:val="nl-NL"/>
        </w:rPr>
        <w:t>hedge-instrument</w:t>
      </w:r>
      <w:proofErr w:type="spellEnd"/>
      <w:r w:rsidR="00565FD4" w:rsidRPr="002237F0">
        <w:rPr>
          <w:lang w:val="nl-NL"/>
        </w:rPr>
        <w:t xml:space="preserve"> wordt beëindigd of verkocht, indien er niet meer aan de voorwaarden wordt voldaan of indien de onderneming niet langer voor toepassing ervan kiest. </w:t>
      </w:r>
    </w:p>
    <w:p w:rsidR="00090020" w:rsidRPr="002237F0" w:rsidRDefault="00565FD4" w:rsidP="007E2C3F">
      <w:pPr>
        <w:rPr>
          <w:b/>
          <w:lang w:val="nl-NL"/>
        </w:rPr>
      </w:pPr>
      <w:r w:rsidRPr="002237F0">
        <w:rPr>
          <w:b/>
          <w:lang w:val="nl-NL"/>
        </w:rPr>
        <w:t xml:space="preserve">Cash </w:t>
      </w:r>
      <w:proofErr w:type="spellStart"/>
      <w:r w:rsidRPr="002237F0">
        <w:rPr>
          <w:b/>
          <w:lang w:val="nl-NL"/>
        </w:rPr>
        <w:t>flow</w:t>
      </w:r>
      <w:proofErr w:type="spellEnd"/>
      <w:r w:rsidRPr="002237F0">
        <w:rPr>
          <w:b/>
          <w:lang w:val="nl-NL"/>
        </w:rPr>
        <w:t xml:space="preserve"> </w:t>
      </w:r>
      <w:proofErr w:type="spellStart"/>
      <w:r w:rsidRPr="002237F0">
        <w:rPr>
          <w:b/>
          <w:lang w:val="nl-NL"/>
        </w:rPr>
        <w:t>hedge</w:t>
      </w:r>
      <w:proofErr w:type="spellEnd"/>
      <w:r w:rsidRPr="002237F0">
        <w:rPr>
          <w:b/>
          <w:lang w:val="nl-NL"/>
        </w:rPr>
        <w:t xml:space="preserve"> accounting</w:t>
      </w:r>
    </w:p>
    <w:p w:rsidR="00565FD4" w:rsidRPr="002237F0" w:rsidRDefault="00090020" w:rsidP="007E2C3F">
      <w:pPr>
        <w:rPr>
          <w:lang w:val="nl-NL"/>
        </w:rPr>
      </w:pPr>
      <w:r w:rsidRPr="002237F0">
        <w:rPr>
          <w:lang w:val="nl-NL"/>
        </w:rPr>
        <w:t>D</w:t>
      </w:r>
      <w:r w:rsidR="00565FD4" w:rsidRPr="002237F0">
        <w:rPr>
          <w:lang w:val="nl-NL"/>
        </w:rPr>
        <w:t xml:space="preserve">eze wijze van </w:t>
      </w:r>
      <w:proofErr w:type="spellStart"/>
      <w:r w:rsidR="00565FD4" w:rsidRPr="002237F0">
        <w:rPr>
          <w:lang w:val="nl-NL"/>
        </w:rPr>
        <w:t>hedge-accounting</w:t>
      </w:r>
      <w:proofErr w:type="spellEnd"/>
      <w:r w:rsidR="00565FD4" w:rsidRPr="002237F0">
        <w:rPr>
          <w:lang w:val="nl-NL"/>
        </w:rPr>
        <w:t xml:space="preserve"> wordt in </w:t>
      </w:r>
      <w:proofErr w:type="gramStart"/>
      <w:r w:rsidR="00565FD4" w:rsidRPr="002237F0">
        <w:rPr>
          <w:lang w:val="nl-NL"/>
        </w:rPr>
        <w:t>het</w:t>
      </w:r>
      <w:proofErr w:type="gramEnd"/>
      <w:r w:rsidR="00565FD4" w:rsidRPr="002237F0">
        <w:rPr>
          <w:lang w:val="nl-NL"/>
        </w:rPr>
        <w:t xml:space="preserve"> Nederlands </w:t>
      </w:r>
      <w:proofErr w:type="spellStart"/>
      <w:r w:rsidR="00565FD4" w:rsidRPr="002237F0">
        <w:rPr>
          <w:lang w:val="nl-NL"/>
        </w:rPr>
        <w:t>kasstroomhedge-accounting</w:t>
      </w:r>
      <w:proofErr w:type="spellEnd"/>
      <w:r w:rsidR="00565FD4" w:rsidRPr="002237F0">
        <w:rPr>
          <w:lang w:val="nl-NL"/>
        </w:rPr>
        <w:t xml:space="preserve"> genoemd. </w:t>
      </w:r>
      <w:r w:rsidR="00DB76B6" w:rsidRPr="002237F0">
        <w:rPr>
          <w:lang w:val="nl-NL"/>
        </w:rPr>
        <w:t xml:space="preserve">Het wordt toegepast bij bijvoorbeeld toekomstige variabele rentebetalingen. Het deel van de waardeverandering van de </w:t>
      </w:r>
      <w:proofErr w:type="spellStart"/>
      <w:r w:rsidR="00DB76B6" w:rsidRPr="002237F0">
        <w:rPr>
          <w:lang w:val="nl-NL"/>
        </w:rPr>
        <w:t>hedge</w:t>
      </w:r>
      <w:proofErr w:type="spellEnd"/>
      <w:r w:rsidR="00DB76B6" w:rsidRPr="002237F0">
        <w:rPr>
          <w:lang w:val="nl-NL"/>
        </w:rPr>
        <w:t xml:space="preserve"> dat als effectief kan worden bestempeld, wordt rechtstreeks in het eigen vermogen verantwoord. Ineffectieve waardeveranderingen van </w:t>
      </w:r>
      <w:proofErr w:type="gramStart"/>
      <w:r w:rsidR="00DB76B6" w:rsidRPr="002237F0">
        <w:rPr>
          <w:lang w:val="nl-NL"/>
        </w:rPr>
        <w:t>de</w:t>
      </w:r>
      <w:proofErr w:type="gramEnd"/>
      <w:r w:rsidR="00DB76B6" w:rsidRPr="002237F0">
        <w:rPr>
          <w:lang w:val="nl-NL"/>
        </w:rPr>
        <w:t xml:space="preserve"> </w:t>
      </w:r>
      <w:proofErr w:type="spellStart"/>
      <w:r w:rsidR="00DB76B6" w:rsidRPr="002237F0">
        <w:rPr>
          <w:lang w:val="nl-NL"/>
        </w:rPr>
        <w:t>hedge</w:t>
      </w:r>
      <w:proofErr w:type="spellEnd"/>
      <w:r w:rsidR="00DB76B6" w:rsidRPr="002237F0">
        <w:rPr>
          <w:lang w:val="nl-NL"/>
        </w:rPr>
        <w:t xml:space="preserve"> worden in de resultatenrekening verantwoord. Op het moment dat de resultaten van de afgedekte positie worden verwerkt, worden de resultaten van de </w:t>
      </w:r>
      <w:proofErr w:type="spellStart"/>
      <w:r w:rsidR="00DB76B6" w:rsidRPr="002237F0">
        <w:rPr>
          <w:lang w:val="nl-NL"/>
        </w:rPr>
        <w:t>hedge</w:t>
      </w:r>
      <w:proofErr w:type="spellEnd"/>
      <w:r w:rsidR="00DB76B6" w:rsidRPr="002237F0">
        <w:rPr>
          <w:lang w:val="nl-NL"/>
        </w:rPr>
        <w:t xml:space="preserve"> van het eigen vermogen naar de resultatenrekening gebracht. </w:t>
      </w:r>
    </w:p>
    <w:p w:rsidR="00090020" w:rsidRPr="002237F0" w:rsidRDefault="00F37899" w:rsidP="007E2C3F">
      <w:r w:rsidRPr="002237F0">
        <w:rPr>
          <w:b/>
        </w:rPr>
        <w:t>Hedge of a net investment abroad</w:t>
      </w:r>
      <w:r w:rsidRPr="002237F0">
        <w:t xml:space="preserve"> </w:t>
      </w:r>
    </w:p>
    <w:p w:rsidR="008247BD" w:rsidRPr="002237F0" w:rsidRDefault="00F37899" w:rsidP="007E2C3F">
      <w:pPr>
        <w:rPr>
          <w:lang w:val="nl-NL"/>
        </w:rPr>
      </w:pPr>
      <w:r w:rsidRPr="002237F0">
        <w:rPr>
          <w:lang w:val="nl-NL"/>
        </w:rPr>
        <w:t xml:space="preserve">Hier is vaak sprake van wanneer een onderneming een belang heeft in een buitenlandse onderneming. </w:t>
      </w:r>
      <w:r w:rsidR="008247BD" w:rsidRPr="002237F0">
        <w:rPr>
          <w:lang w:val="nl-NL"/>
        </w:rPr>
        <w:t>Wanneer deze buitenlandse onderneming een functionele valuta anders dan die van de rapporterende onderneming</w:t>
      </w:r>
      <w:r w:rsidR="00C35C4C" w:rsidRPr="002237F0">
        <w:rPr>
          <w:lang w:val="nl-NL"/>
        </w:rPr>
        <w:t xml:space="preserve"> hanteert</w:t>
      </w:r>
      <w:r w:rsidR="008247BD" w:rsidRPr="002237F0">
        <w:rPr>
          <w:lang w:val="nl-NL"/>
        </w:rPr>
        <w:t xml:space="preserve">, kan er besloten worden het valutarisico te </w:t>
      </w:r>
      <w:proofErr w:type="spellStart"/>
      <w:r w:rsidR="008247BD" w:rsidRPr="002237F0">
        <w:rPr>
          <w:lang w:val="nl-NL"/>
        </w:rPr>
        <w:t>hedgen</w:t>
      </w:r>
      <w:proofErr w:type="spellEnd"/>
      <w:r w:rsidR="008247BD" w:rsidRPr="002237F0">
        <w:rPr>
          <w:lang w:val="nl-NL"/>
        </w:rPr>
        <w:t xml:space="preserve">. De verwerking van een </w:t>
      </w:r>
      <w:proofErr w:type="spellStart"/>
      <w:r w:rsidR="008247BD" w:rsidRPr="002237F0">
        <w:rPr>
          <w:lang w:val="nl-NL"/>
        </w:rPr>
        <w:t>valuta-hedge</w:t>
      </w:r>
      <w:proofErr w:type="spellEnd"/>
      <w:r w:rsidR="008247BD" w:rsidRPr="002237F0">
        <w:rPr>
          <w:lang w:val="nl-NL"/>
        </w:rPr>
        <w:t xml:space="preserve"> verloopt </w:t>
      </w:r>
      <w:r w:rsidR="00C35C4C" w:rsidRPr="002237F0">
        <w:rPr>
          <w:lang w:val="nl-NL"/>
        </w:rPr>
        <w:t>op dezelfde wijze</w:t>
      </w:r>
      <w:r w:rsidR="008247BD" w:rsidRPr="002237F0">
        <w:rPr>
          <w:lang w:val="nl-NL"/>
        </w:rPr>
        <w:t xml:space="preserve"> als die van de </w:t>
      </w:r>
      <w:proofErr w:type="spellStart"/>
      <w:r w:rsidR="008247BD" w:rsidRPr="002237F0">
        <w:rPr>
          <w:lang w:val="nl-NL"/>
        </w:rPr>
        <w:t>kasstroomhedge-accounting</w:t>
      </w:r>
      <w:proofErr w:type="spellEnd"/>
      <w:sdt>
        <w:sdtPr>
          <w:rPr>
            <w:lang w:val="nl-NL"/>
          </w:rPr>
          <w:id w:val="2041116"/>
          <w:citation/>
        </w:sdtPr>
        <w:sdtContent>
          <w:r w:rsidR="003C13F3" w:rsidRPr="002237F0">
            <w:rPr>
              <w:lang w:val="nl-NL"/>
            </w:rPr>
            <w:fldChar w:fldCharType="begin"/>
          </w:r>
          <w:r w:rsidR="00C35C4C" w:rsidRPr="002237F0">
            <w:rPr>
              <w:lang w:val="nl-NL"/>
            </w:rPr>
            <w:instrText xml:space="preserve"> CITATION Böh12 \l 1043 </w:instrText>
          </w:r>
          <w:r w:rsidR="003C13F3" w:rsidRPr="002237F0">
            <w:rPr>
              <w:lang w:val="nl-NL"/>
            </w:rPr>
            <w:fldChar w:fldCharType="separate"/>
          </w:r>
          <w:r w:rsidR="00C35C4C" w:rsidRPr="002237F0">
            <w:rPr>
              <w:noProof/>
              <w:lang w:val="nl-NL"/>
            </w:rPr>
            <w:t xml:space="preserve"> (Böhmer, Hoogendoorn, &amp; Kruit, 2012)</w:t>
          </w:r>
          <w:r w:rsidR="003C13F3" w:rsidRPr="002237F0">
            <w:rPr>
              <w:lang w:val="nl-NL"/>
            </w:rPr>
            <w:fldChar w:fldCharType="end"/>
          </w:r>
        </w:sdtContent>
      </w:sdt>
      <w:r w:rsidR="008247BD" w:rsidRPr="002237F0">
        <w:rPr>
          <w:lang w:val="nl-NL"/>
        </w:rPr>
        <w:t xml:space="preserve">. </w:t>
      </w:r>
    </w:p>
    <w:p w:rsidR="00DF574F" w:rsidRPr="002237F0" w:rsidRDefault="00DF574F" w:rsidP="007E2C3F">
      <w:pPr>
        <w:rPr>
          <w:lang w:val="nl-NL"/>
        </w:rPr>
      </w:pPr>
    </w:p>
    <w:p w:rsidR="00EB50FF" w:rsidRPr="002237F0" w:rsidRDefault="00EB50FF" w:rsidP="007E2C3F">
      <w:pPr>
        <w:rPr>
          <w:b/>
          <w:sz w:val="28"/>
          <w:lang w:val="nl-NL"/>
        </w:rPr>
      </w:pPr>
      <w:r w:rsidRPr="002237F0">
        <w:rPr>
          <w:b/>
          <w:sz w:val="28"/>
          <w:lang w:val="nl-NL"/>
        </w:rPr>
        <w:t>1.7. Afsluiting</w:t>
      </w:r>
    </w:p>
    <w:p w:rsidR="00090020" w:rsidRPr="002237F0" w:rsidRDefault="00090020" w:rsidP="007E2C3F">
      <w:pPr>
        <w:rPr>
          <w:lang w:val="nl-NL"/>
        </w:rPr>
      </w:pPr>
      <w:r w:rsidRPr="002237F0">
        <w:rPr>
          <w:lang w:val="nl-NL"/>
        </w:rPr>
        <w:t xml:space="preserve">Belangrijk </w:t>
      </w:r>
      <w:r w:rsidR="00C35C4C" w:rsidRPr="002237F0">
        <w:rPr>
          <w:lang w:val="nl-NL"/>
        </w:rPr>
        <w:t xml:space="preserve">is te onthouden </w:t>
      </w:r>
      <w:r w:rsidRPr="002237F0">
        <w:rPr>
          <w:lang w:val="nl-NL"/>
        </w:rPr>
        <w:t xml:space="preserve">dat er binnen IAS 39 </w:t>
      </w:r>
      <w:r w:rsidR="00DF574F" w:rsidRPr="002237F0">
        <w:rPr>
          <w:lang w:val="nl-NL"/>
        </w:rPr>
        <w:t>vier categorieën z</w:t>
      </w:r>
      <w:r w:rsidR="00C35C4C" w:rsidRPr="002237F0">
        <w:rPr>
          <w:lang w:val="nl-NL"/>
        </w:rPr>
        <w:t>ijn waarnaar</w:t>
      </w:r>
      <w:r w:rsidR="00DF574F" w:rsidRPr="002237F0">
        <w:rPr>
          <w:lang w:val="nl-NL"/>
        </w:rPr>
        <w:t xml:space="preserve"> financiële instrumenten ingedeeld kunnen worden. Deze vier categorieën zijn van belang voor het vervolg van h</w:t>
      </w:r>
      <w:r w:rsidR="00C35C4C" w:rsidRPr="002237F0">
        <w:rPr>
          <w:lang w:val="nl-NL"/>
        </w:rPr>
        <w:t xml:space="preserve">et onderzoek. Schematisch </w:t>
      </w:r>
      <w:r w:rsidR="00574D49" w:rsidRPr="002237F0">
        <w:rPr>
          <w:lang w:val="nl-NL"/>
        </w:rPr>
        <w:t>kunnen deze</w:t>
      </w:r>
      <w:r w:rsidR="00DF574F" w:rsidRPr="002237F0">
        <w:rPr>
          <w:lang w:val="nl-NL"/>
        </w:rPr>
        <w:t xml:space="preserve"> als volgt weergegeven worden: </w:t>
      </w:r>
    </w:p>
    <w:tbl>
      <w:tblPr>
        <w:tblStyle w:val="TableGrid"/>
        <w:tblW w:w="0" w:type="auto"/>
        <w:tblLook w:val="04A0"/>
      </w:tblPr>
      <w:tblGrid>
        <w:gridCol w:w="4621"/>
        <w:gridCol w:w="4621"/>
      </w:tblGrid>
      <w:tr w:rsidR="003334D4" w:rsidRPr="002237F0" w:rsidTr="00DF574F">
        <w:tc>
          <w:tcPr>
            <w:tcW w:w="4621" w:type="dxa"/>
          </w:tcPr>
          <w:p w:rsidR="00DF574F" w:rsidRPr="002237F0" w:rsidRDefault="00DF574F" w:rsidP="007E2C3F">
            <w:pPr>
              <w:rPr>
                <w:b/>
                <w:u w:val="single"/>
                <w:lang w:val="nl-NL"/>
              </w:rPr>
            </w:pPr>
            <w:r w:rsidRPr="002237F0">
              <w:rPr>
                <w:b/>
                <w:u w:val="single"/>
                <w:lang w:val="nl-NL"/>
              </w:rPr>
              <w:t>Categorie</w:t>
            </w:r>
          </w:p>
        </w:tc>
        <w:tc>
          <w:tcPr>
            <w:tcW w:w="4621" w:type="dxa"/>
          </w:tcPr>
          <w:p w:rsidR="00DF574F" w:rsidRPr="002237F0" w:rsidRDefault="00DF574F" w:rsidP="00DF574F">
            <w:pPr>
              <w:rPr>
                <w:b/>
                <w:u w:val="single"/>
                <w:lang w:val="nl-NL"/>
              </w:rPr>
            </w:pPr>
            <w:r w:rsidRPr="002237F0">
              <w:rPr>
                <w:b/>
                <w:u w:val="single"/>
                <w:lang w:val="nl-NL"/>
              </w:rPr>
              <w:t>Manier van waarderen</w:t>
            </w:r>
          </w:p>
        </w:tc>
      </w:tr>
      <w:tr w:rsidR="003334D4" w:rsidRPr="002237F0" w:rsidTr="00DF574F">
        <w:tc>
          <w:tcPr>
            <w:tcW w:w="4621" w:type="dxa"/>
          </w:tcPr>
          <w:p w:rsidR="00DF574F" w:rsidRPr="002237F0" w:rsidRDefault="00DF574F" w:rsidP="007E2C3F">
            <w:pPr>
              <w:rPr>
                <w:lang w:val="nl-NL"/>
              </w:rPr>
            </w:pPr>
            <w:r w:rsidRPr="002237F0">
              <w:rPr>
                <w:lang w:val="nl-NL"/>
              </w:rPr>
              <w:t xml:space="preserve">Held to </w:t>
            </w:r>
            <w:proofErr w:type="spellStart"/>
            <w:r w:rsidRPr="002237F0">
              <w:rPr>
                <w:lang w:val="nl-NL"/>
              </w:rPr>
              <w:t>Maturity</w:t>
            </w:r>
            <w:proofErr w:type="spellEnd"/>
            <w:r w:rsidRPr="002237F0">
              <w:rPr>
                <w:lang w:val="nl-NL"/>
              </w:rPr>
              <w:t xml:space="preserve"> (HTM)</w:t>
            </w:r>
          </w:p>
        </w:tc>
        <w:tc>
          <w:tcPr>
            <w:tcW w:w="4621" w:type="dxa"/>
          </w:tcPr>
          <w:p w:rsidR="00DF574F" w:rsidRPr="002237F0" w:rsidRDefault="00DF574F" w:rsidP="007E2C3F">
            <w:pPr>
              <w:rPr>
                <w:lang w:val="nl-NL"/>
              </w:rPr>
            </w:pPr>
            <w:r w:rsidRPr="002237F0">
              <w:rPr>
                <w:lang w:val="nl-NL"/>
              </w:rPr>
              <w:t>Geamortiseerde kostprijs</w:t>
            </w:r>
          </w:p>
        </w:tc>
      </w:tr>
      <w:tr w:rsidR="003334D4" w:rsidRPr="002237F0" w:rsidTr="00DF574F">
        <w:tc>
          <w:tcPr>
            <w:tcW w:w="4621" w:type="dxa"/>
          </w:tcPr>
          <w:p w:rsidR="00DF574F" w:rsidRPr="002237F0" w:rsidRDefault="00DF574F" w:rsidP="007E2C3F">
            <w:pPr>
              <w:rPr>
                <w:lang w:val="nl-NL"/>
              </w:rPr>
            </w:pPr>
            <w:proofErr w:type="spellStart"/>
            <w:r w:rsidRPr="002237F0">
              <w:rPr>
                <w:lang w:val="nl-NL"/>
              </w:rPr>
              <w:t>Loans</w:t>
            </w:r>
            <w:proofErr w:type="spellEnd"/>
            <w:r w:rsidRPr="002237F0">
              <w:rPr>
                <w:lang w:val="nl-NL"/>
              </w:rPr>
              <w:t xml:space="preserve"> &amp; </w:t>
            </w:r>
            <w:proofErr w:type="spellStart"/>
            <w:r w:rsidRPr="002237F0">
              <w:rPr>
                <w:lang w:val="nl-NL"/>
              </w:rPr>
              <w:t>Receivables</w:t>
            </w:r>
            <w:proofErr w:type="spellEnd"/>
            <w:r w:rsidRPr="002237F0">
              <w:rPr>
                <w:lang w:val="nl-NL"/>
              </w:rPr>
              <w:t xml:space="preserve"> (L&amp;R)</w:t>
            </w:r>
          </w:p>
        </w:tc>
        <w:tc>
          <w:tcPr>
            <w:tcW w:w="4621" w:type="dxa"/>
          </w:tcPr>
          <w:p w:rsidR="00DF574F" w:rsidRPr="002237F0" w:rsidRDefault="00DF574F" w:rsidP="007E2C3F">
            <w:pPr>
              <w:rPr>
                <w:lang w:val="nl-NL"/>
              </w:rPr>
            </w:pPr>
            <w:r w:rsidRPr="002237F0">
              <w:rPr>
                <w:lang w:val="nl-NL"/>
              </w:rPr>
              <w:t>Geamortiseerde kostprijs</w:t>
            </w:r>
          </w:p>
        </w:tc>
      </w:tr>
      <w:tr w:rsidR="003334D4" w:rsidRPr="004A1FC7" w:rsidTr="00DF574F">
        <w:tc>
          <w:tcPr>
            <w:tcW w:w="4621" w:type="dxa"/>
          </w:tcPr>
          <w:p w:rsidR="00DF574F" w:rsidRPr="002237F0" w:rsidRDefault="00DF574F" w:rsidP="007E2C3F">
            <w:pPr>
              <w:rPr>
                <w:lang w:val="nl-NL"/>
              </w:rPr>
            </w:pPr>
            <w:proofErr w:type="spellStart"/>
            <w:r w:rsidRPr="002237F0">
              <w:rPr>
                <w:lang w:val="nl-NL"/>
              </w:rPr>
              <w:t>Available</w:t>
            </w:r>
            <w:proofErr w:type="spellEnd"/>
            <w:r w:rsidRPr="002237F0">
              <w:rPr>
                <w:lang w:val="nl-NL"/>
              </w:rPr>
              <w:t xml:space="preserve"> </w:t>
            </w:r>
            <w:proofErr w:type="spellStart"/>
            <w:r w:rsidRPr="002237F0">
              <w:rPr>
                <w:lang w:val="nl-NL"/>
              </w:rPr>
              <w:t>for</w:t>
            </w:r>
            <w:proofErr w:type="spellEnd"/>
            <w:r w:rsidRPr="002237F0">
              <w:rPr>
                <w:lang w:val="nl-NL"/>
              </w:rPr>
              <w:t xml:space="preserve"> </w:t>
            </w:r>
            <w:proofErr w:type="spellStart"/>
            <w:r w:rsidRPr="002237F0">
              <w:rPr>
                <w:lang w:val="nl-NL"/>
              </w:rPr>
              <w:t>sale</w:t>
            </w:r>
            <w:proofErr w:type="spellEnd"/>
            <w:r w:rsidRPr="002237F0">
              <w:rPr>
                <w:lang w:val="nl-NL"/>
              </w:rPr>
              <w:t xml:space="preserve"> (AFS)</w:t>
            </w:r>
          </w:p>
        </w:tc>
        <w:tc>
          <w:tcPr>
            <w:tcW w:w="4621" w:type="dxa"/>
          </w:tcPr>
          <w:p w:rsidR="00DF574F" w:rsidRPr="002237F0" w:rsidRDefault="00DF574F" w:rsidP="00345B2F">
            <w:pPr>
              <w:rPr>
                <w:lang w:val="nl-NL"/>
              </w:rPr>
            </w:pPr>
            <w:r w:rsidRPr="002237F0">
              <w:rPr>
                <w:lang w:val="nl-NL"/>
              </w:rPr>
              <w:t xml:space="preserve">Fair </w:t>
            </w:r>
            <w:proofErr w:type="spellStart"/>
            <w:r w:rsidRPr="002237F0">
              <w:rPr>
                <w:lang w:val="nl-NL"/>
              </w:rPr>
              <w:t>value</w:t>
            </w:r>
            <w:proofErr w:type="spellEnd"/>
            <w:r w:rsidRPr="002237F0">
              <w:rPr>
                <w:lang w:val="nl-NL"/>
              </w:rPr>
              <w:t>, waardeveranderingen via het eigen vermogen</w:t>
            </w:r>
          </w:p>
        </w:tc>
      </w:tr>
      <w:tr w:rsidR="003334D4" w:rsidRPr="004A1FC7" w:rsidTr="00DF574F">
        <w:tc>
          <w:tcPr>
            <w:tcW w:w="4621" w:type="dxa"/>
          </w:tcPr>
          <w:p w:rsidR="00DF574F" w:rsidRPr="002237F0" w:rsidRDefault="00DF574F" w:rsidP="007E2C3F">
            <w:pPr>
              <w:rPr>
                <w:lang w:val="nl-NL"/>
              </w:rPr>
            </w:pPr>
            <w:r w:rsidRPr="002237F0">
              <w:rPr>
                <w:lang w:val="nl-NL"/>
              </w:rPr>
              <w:t xml:space="preserve">Held </w:t>
            </w:r>
            <w:proofErr w:type="spellStart"/>
            <w:r w:rsidRPr="002237F0">
              <w:rPr>
                <w:lang w:val="nl-NL"/>
              </w:rPr>
              <w:t>for</w:t>
            </w:r>
            <w:proofErr w:type="spellEnd"/>
            <w:r w:rsidRPr="002237F0">
              <w:rPr>
                <w:lang w:val="nl-NL"/>
              </w:rPr>
              <w:t xml:space="preserve"> Trading (HFT)</w:t>
            </w:r>
          </w:p>
        </w:tc>
        <w:tc>
          <w:tcPr>
            <w:tcW w:w="4621" w:type="dxa"/>
          </w:tcPr>
          <w:p w:rsidR="00DF574F" w:rsidRPr="002237F0" w:rsidRDefault="00DF574F" w:rsidP="007E2C3F">
            <w:pPr>
              <w:rPr>
                <w:lang w:val="nl-NL"/>
              </w:rPr>
            </w:pPr>
            <w:r w:rsidRPr="002237F0">
              <w:rPr>
                <w:lang w:val="nl-NL"/>
              </w:rPr>
              <w:t xml:space="preserve">Fair </w:t>
            </w:r>
            <w:proofErr w:type="spellStart"/>
            <w:r w:rsidRPr="002237F0">
              <w:rPr>
                <w:lang w:val="nl-NL"/>
              </w:rPr>
              <w:t>value</w:t>
            </w:r>
            <w:proofErr w:type="spellEnd"/>
            <w:r w:rsidRPr="002237F0">
              <w:rPr>
                <w:lang w:val="nl-NL"/>
              </w:rPr>
              <w:t>, waardeveranderingen via het resultaat</w:t>
            </w:r>
          </w:p>
        </w:tc>
      </w:tr>
    </w:tbl>
    <w:p w:rsidR="00DF574F" w:rsidRPr="002237F0" w:rsidRDefault="00DF574F" w:rsidP="007E2C3F">
      <w:pPr>
        <w:rPr>
          <w:lang w:val="nl-NL"/>
        </w:rPr>
      </w:pPr>
    </w:p>
    <w:p w:rsidR="00EB50FF" w:rsidRPr="002237F0" w:rsidRDefault="007F4038" w:rsidP="007E2C3F">
      <w:pPr>
        <w:rPr>
          <w:lang w:val="nl-NL"/>
        </w:rPr>
      </w:pPr>
      <w:r w:rsidRPr="002237F0">
        <w:rPr>
          <w:lang w:val="nl-NL"/>
        </w:rPr>
        <w:t>Nu de basis is gelegd door de verwerking van financiële instrumenten en hun gebruik</w:t>
      </w:r>
      <w:r w:rsidR="0067557B" w:rsidRPr="002237F0">
        <w:rPr>
          <w:lang w:val="nl-NL"/>
        </w:rPr>
        <w:t xml:space="preserve"> weer te geven</w:t>
      </w:r>
      <w:r w:rsidRPr="002237F0">
        <w:rPr>
          <w:lang w:val="nl-NL"/>
        </w:rPr>
        <w:t xml:space="preserve"> kan dit hoofdstuk afgesloten worden. In de komende deelvrag</w:t>
      </w:r>
      <w:r w:rsidR="00C35C4C" w:rsidRPr="002237F0">
        <w:rPr>
          <w:lang w:val="nl-NL"/>
        </w:rPr>
        <w:t>en zal naar voren komen</w:t>
      </w:r>
      <w:r w:rsidRPr="002237F0">
        <w:rPr>
          <w:lang w:val="nl-NL"/>
        </w:rPr>
        <w:t xml:space="preserve"> in welke mate financiële instrumenten van belang zijn voor banken, hoe de regelgeving voorafgaand aan en in navo</w:t>
      </w:r>
      <w:r w:rsidR="003334D4" w:rsidRPr="002237F0">
        <w:rPr>
          <w:lang w:val="nl-NL"/>
        </w:rPr>
        <w:t>lging op de crisis veranderd is</w:t>
      </w:r>
      <w:r w:rsidRPr="002237F0">
        <w:rPr>
          <w:lang w:val="nl-NL"/>
        </w:rPr>
        <w:t xml:space="preserve"> en welke rol de waardering van financiële instrumenten gespeeld heeft </w:t>
      </w:r>
      <w:r w:rsidR="00C35C4C" w:rsidRPr="002237F0">
        <w:rPr>
          <w:lang w:val="nl-NL"/>
        </w:rPr>
        <w:t xml:space="preserve">in </w:t>
      </w:r>
      <w:r w:rsidRPr="002237F0">
        <w:rPr>
          <w:lang w:val="nl-NL"/>
        </w:rPr>
        <w:t xml:space="preserve">de crisis. </w:t>
      </w:r>
    </w:p>
    <w:p w:rsidR="00DF574F" w:rsidRPr="002237F0" w:rsidRDefault="00DF574F" w:rsidP="007E2C3F">
      <w:pPr>
        <w:rPr>
          <w:lang w:val="nl-NL"/>
        </w:rPr>
      </w:pPr>
    </w:p>
    <w:p w:rsidR="00DF574F" w:rsidRPr="002237F0" w:rsidRDefault="00DF574F" w:rsidP="007E2C3F">
      <w:pPr>
        <w:rPr>
          <w:lang w:val="nl-NL"/>
        </w:rPr>
      </w:pPr>
    </w:p>
    <w:p w:rsidR="00DF574F" w:rsidRPr="002237F0" w:rsidRDefault="00DF574F" w:rsidP="007E2C3F">
      <w:pPr>
        <w:rPr>
          <w:lang w:val="nl-NL"/>
        </w:rPr>
      </w:pPr>
    </w:p>
    <w:p w:rsidR="00DF574F" w:rsidRPr="002237F0" w:rsidRDefault="00DF574F" w:rsidP="007E2C3F">
      <w:pPr>
        <w:rPr>
          <w:lang w:val="nl-NL"/>
        </w:rPr>
      </w:pPr>
    </w:p>
    <w:p w:rsidR="00435082" w:rsidRPr="002237F0" w:rsidRDefault="00435082" w:rsidP="007E2C3F">
      <w:pPr>
        <w:rPr>
          <w:lang w:val="nl-NL"/>
        </w:rPr>
      </w:pPr>
    </w:p>
    <w:p w:rsidR="00574D49" w:rsidRPr="002237F0" w:rsidRDefault="00574D49" w:rsidP="007E2C3F">
      <w:pPr>
        <w:rPr>
          <w:lang w:val="nl-NL"/>
        </w:rPr>
      </w:pPr>
    </w:p>
    <w:p w:rsidR="005A0602" w:rsidRPr="002237F0" w:rsidRDefault="005A0602" w:rsidP="007E2C3F">
      <w:pPr>
        <w:rPr>
          <w:lang w:val="nl-NL"/>
        </w:rPr>
      </w:pPr>
    </w:p>
    <w:p w:rsidR="003F3C4E" w:rsidRPr="002237F0" w:rsidRDefault="003F3C4E" w:rsidP="007E2C3F">
      <w:pPr>
        <w:rPr>
          <w:lang w:val="nl-NL"/>
        </w:rPr>
      </w:pPr>
      <w:r w:rsidRPr="002237F0">
        <w:rPr>
          <w:b/>
          <w:sz w:val="32"/>
          <w:lang w:val="nl-NL"/>
        </w:rPr>
        <w:t xml:space="preserve">2. </w:t>
      </w:r>
      <w:r w:rsidR="00574D49" w:rsidRPr="002237F0">
        <w:rPr>
          <w:b/>
          <w:sz w:val="32"/>
          <w:lang w:val="nl-NL"/>
        </w:rPr>
        <w:t>Verandering aan de regelgeving: Aanleiding en inhoud</w:t>
      </w:r>
    </w:p>
    <w:p w:rsidR="00376AE6" w:rsidRPr="002237F0" w:rsidRDefault="0069051A" w:rsidP="007E2C3F">
      <w:pPr>
        <w:rPr>
          <w:lang w:val="nl-NL"/>
        </w:rPr>
      </w:pPr>
      <w:r w:rsidRPr="002237F0">
        <w:rPr>
          <w:lang w:val="nl-NL"/>
        </w:rPr>
        <w:t xml:space="preserve">Ter beantwoording van deze deelvraag wordt er eerst gekeken naar de geschiedenis rondom de waardering van financiële instrumenten, zowel in Europa als in de Verenigde Staten. </w:t>
      </w:r>
      <w:r w:rsidR="00573C0E" w:rsidRPr="002237F0">
        <w:rPr>
          <w:lang w:val="nl-NL"/>
        </w:rPr>
        <w:t>Literatuur uit het verleden wordt bestudeerd</w:t>
      </w:r>
      <w:r w:rsidR="00574D49" w:rsidRPr="002237F0">
        <w:rPr>
          <w:lang w:val="nl-NL"/>
        </w:rPr>
        <w:t xml:space="preserve">. Zo kan geconstateerd worden welke motieven ten grondslag lagen aan </w:t>
      </w:r>
      <w:r w:rsidR="003334D4" w:rsidRPr="002237F0">
        <w:rPr>
          <w:lang w:val="nl-NL"/>
        </w:rPr>
        <w:t>de</w:t>
      </w:r>
      <w:r w:rsidR="00574D49" w:rsidRPr="002237F0">
        <w:rPr>
          <w:lang w:val="nl-NL"/>
        </w:rPr>
        <w:t xml:space="preserve"> aanpassingen.</w:t>
      </w:r>
      <w:r w:rsidR="00376AE6" w:rsidRPr="002237F0">
        <w:rPr>
          <w:lang w:val="nl-NL"/>
        </w:rPr>
        <w:t xml:space="preserve"> Vervolgens wordt er ingegaan op de problemen die zich voordeden bij banken ten tijde van de crisis. Niet alleen de problemen bij de banken </w:t>
      </w:r>
      <w:proofErr w:type="gramStart"/>
      <w:r w:rsidR="00376AE6" w:rsidRPr="002237F0">
        <w:rPr>
          <w:lang w:val="nl-NL"/>
        </w:rPr>
        <w:t>in het algemeen</w:t>
      </w:r>
      <w:proofErr w:type="gramEnd"/>
      <w:r w:rsidR="00376AE6" w:rsidRPr="002237F0">
        <w:rPr>
          <w:lang w:val="nl-NL"/>
        </w:rPr>
        <w:t xml:space="preserve"> worden besproken, maar er wordt ook gekeken naar in hoeverre financiële instrumenten hier </w:t>
      </w:r>
      <w:r w:rsidR="00057E42" w:rsidRPr="002237F0">
        <w:rPr>
          <w:lang w:val="nl-NL"/>
        </w:rPr>
        <w:t xml:space="preserve">in het bijzonder </w:t>
      </w:r>
      <w:r w:rsidR="00574D49" w:rsidRPr="002237F0">
        <w:rPr>
          <w:lang w:val="nl-NL"/>
        </w:rPr>
        <w:t>een rol</w:t>
      </w:r>
      <w:r w:rsidR="00376AE6" w:rsidRPr="002237F0">
        <w:rPr>
          <w:lang w:val="nl-NL"/>
        </w:rPr>
        <w:t xml:space="preserve"> speelden. Tot slot wordt geëvalueerd wat er als gevolg van alle problemen en kritiek veranderd is aan de waardering en resultaatbepaling van financiële instrumenten. </w:t>
      </w:r>
    </w:p>
    <w:p w:rsidR="0069051A" w:rsidRPr="002237F0" w:rsidRDefault="00376AE6" w:rsidP="007E2C3F">
      <w:pPr>
        <w:rPr>
          <w:lang w:val="nl-NL"/>
        </w:rPr>
      </w:pPr>
      <w:r w:rsidRPr="002237F0">
        <w:rPr>
          <w:lang w:val="nl-NL"/>
        </w:rPr>
        <w:t>Daar het een internationale kredietcrisis betreft</w:t>
      </w:r>
      <w:r w:rsidR="00574D49" w:rsidRPr="002237F0">
        <w:rPr>
          <w:lang w:val="nl-NL"/>
        </w:rPr>
        <w:t>,</w:t>
      </w:r>
      <w:r w:rsidRPr="002237F0">
        <w:rPr>
          <w:lang w:val="nl-NL"/>
        </w:rPr>
        <w:t xml:space="preserve"> is er reden om daar waar nodig de Amerikaanse regelgeving(US GAAP) er bij te </w:t>
      </w:r>
      <w:r w:rsidR="001C5D90" w:rsidRPr="002237F0">
        <w:rPr>
          <w:lang w:val="nl-NL"/>
        </w:rPr>
        <w:t xml:space="preserve">betrekken. </w:t>
      </w:r>
    </w:p>
    <w:p w:rsidR="00B803F4" w:rsidRPr="002237F0" w:rsidRDefault="00B803F4" w:rsidP="007E2C3F">
      <w:pPr>
        <w:rPr>
          <w:b/>
          <w:sz w:val="28"/>
          <w:lang w:val="nl-NL"/>
        </w:rPr>
      </w:pPr>
      <w:r w:rsidRPr="002237F0">
        <w:rPr>
          <w:b/>
          <w:sz w:val="28"/>
          <w:lang w:val="nl-NL"/>
        </w:rPr>
        <w:t>2.1. Hoe zag de regelgeving voor financiële instrumenten er aanvankelijk</w:t>
      </w:r>
      <w:r w:rsidR="00CF616D" w:rsidRPr="002237F0">
        <w:rPr>
          <w:b/>
          <w:sz w:val="28"/>
          <w:lang w:val="nl-NL"/>
        </w:rPr>
        <w:t>, voor de crisis</w:t>
      </w:r>
      <w:r w:rsidRPr="002237F0">
        <w:rPr>
          <w:b/>
          <w:sz w:val="28"/>
          <w:lang w:val="nl-NL"/>
        </w:rPr>
        <w:t xml:space="preserve"> uit?</w:t>
      </w:r>
    </w:p>
    <w:p w:rsidR="0010770D" w:rsidRPr="002237F0" w:rsidRDefault="0010770D" w:rsidP="007E2C3F">
      <w:pPr>
        <w:rPr>
          <w:b/>
          <w:lang w:val="nl-NL"/>
        </w:rPr>
      </w:pPr>
      <w:r w:rsidRPr="002237F0">
        <w:rPr>
          <w:b/>
          <w:lang w:val="nl-NL"/>
        </w:rPr>
        <w:t>1987-2000</w:t>
      </w:r>
      <w:r w:rsidRPr="002237F0">
        <w:rPr>
          <w:lang w:val="nl-NL"/>
        </w:rPr>
        <w:t xml:space="preserve">: </w:t>
      </w:r>
      <w:r w:rsidR="00DF574F" w:rsidRPr="002237F0">
        <w:rPr>
          <w:b/>
          <w:lang w:val="nl-NL"/>
        </w:rPr>
        <w:t>IAS 25</w:t>
      </w:r>
      <w:r w:rsidRPr="002237F0">
        <w:rPr>
          <w:b/>
          <w:lang w:val="nl-NL"/>
        </w:rPr>
        <w:t xml:space="preserve"> </w:t>
      </w:r>
    </w:p>
    <w:p w:rsidR="00333A6E" w:rsidRPr="002237F0" w:rsidRDefault="00376AE6" w:rsidP="00E439ED">
      <w:pPr>
        <w:rPr>
          <w:lang w:val="nl-NL"/>
        </w:rPr>
      </w:pPr>
      <w:r w:rsidRPr="002237F0">
        <w:rPr>
          <w:lang w:val="nl-NL"/>
        </w:rPr>
        <w:t xml:space="preserve">De belangrijkste regeling die </w:t>
      </w:r>
      <w:r w:rsidR="00345B2F" w:rsidRPr="002237F0">
        <w:rPr>
          <w:lang w:val="nl-NL"/>
        </w:rPr>
        <w:t>op dit moment bestaat</w:t>
      </w:r>
      <w:r w:rsidRPr="002237F0">
        <w:rPr>
          <w:lang w:val="nl-NL"/>
        </w:rPr>
        <w:t xml:space="preserve"> met betrekking tot financiële instrumenten is IAS 39. Voordat IAS 39 gebruikt werd, </w:t>
      </w:r>
      <w:r w:rsidR="00DA2934" w:rsidRPr="002237F0">
        <w:rPr>
          <w:lang w:val="nl-NL"/>
        </w:rPr>
        <w:t>berustte</w:t>
      </w:r>
      <w:r w:rsidRPr="002237F0">
        <w:rPr>
          <w:lang w:val="nl-NL"/>
        </w:rPr>
        <w:t xml:space="preserve"> de waardering en resultaatbepaling</w:t>
      </w:r>
      <w:r w:rsidR="00DA2934" w:rsidRPr="002237F0">
        <w:rPr>
          <w:lang w:val="nl-NL"/>
        </w:rPr>
        <w:t xml:space="preserve"> van financiële instrumenten op</w:t>
      </w:r>
      <w:r w:rsidRPr="002237F0">
        <w:rPr>
          <w:lang w:val="nl-NL"/>
        </w:rPr>
        <w:t xml:space="preserve"> IAS 25: </w:t>
      </w:r>
      <w:r w:rsidRPr="002237F0">
        <w:rPr>
          <w:i/>
          <w:lang w:val="nl-NL"/>
        </w:rPr>
        <w:t xml:space="preserve">‘Accounting </w:t>
      </w:r>
      <w:proofErr w:type="spellStart"/>
      <w:r w:rsidRPr="002237F0">
        <w:rPr>
          <w:i/>
          <w:lang w:val="nl-NL"/>
        </w:rPr>
        <w:t>for</w:t>
      </w:r>
      <w:proofErr w:type="spellEnd"/>
      <w:r w:rsidRPr="002237F0">
        <w:rPr>
          <w:i/>
          <w:lang w:val="nl-NL"/>
        </w:rPr>
        <w:t xml:space="preserve"> </w:t>
      </w:r>
      <w:proofErr w:type="spellStart"/>
      <w:r w:rsidRPr="002237F0">
        <w:rPr>
          <w:i/>
          <w:lang w:val="nl-NL"/>
        </w:rPr>
        <w:t>Investments</w:t>
      </w:r>
      <w:proofErr w:type="spellEnd"/>
      <w:r w:rsidRPr="002237F0">
        <w:rPr>
          <w:i/>
          <w:lang w:val="nl-NL"/>
        </w:rPr>
        <w:t>’</w:t>
      </w:r>
      <w:r w:rsidR="00E439ED" w:rsidRPr="002237F0">
        <w:rPr>
          <w:i/>
          <w:lang w:val="nl-NL"/>
        </w:rPr>
        <w:t>.</w:t>
      </w:r>
      <w:r w:rsidR="00E439ED" w:rsidRPr="002237F0">
        <w:rPr>
          <w:lang w:val="nl-NL"/>
        </w:rPr>
        <w:t>Een aparte regeling voor financiële instrumenten bestond er niet</w:t>
      </w:r>
      <w:sdt>
        <w:sdtPr>
          <w:rPr>
            <w:lang w:val="nl-NL"/>
          </w:rPr>
          <w:id w:val="-1742092257"/>
          <w:citation/>
        </w:sdtPr>
        <w:sdtContent>
          <w:r w:rsidR="003C13F3" w:rsidRPr="002237F0">
            <w:rPr>
              <w:lang w:val="nl-NL"/>
            </w:rPr>
            <w:fldChar w:fldCharType="begin"/>
          </w:r>
          <w:r w:rsidR="00DF574F" w:rsidRPr="002237F0">
            <w:rPr>
              <w:lang w:val="nl-NL"/>
            </w:rPr>
            <w:instrText xml:space="preserve">CITATION GGe02 \t  \l 1033 </w:instrText>
          </w:r>
          <w:r w:rsidR="003C13F3" w:rsidRPr="002237F0">
            <w:rPr>
              <w:lang w:val="nl-NL"/>
            </w:rPr>
            <w:fldChar w:fldCharType="separate"/>
          </w:r>
          <w:r w:rsidR="00DF574F" w:rsidRPr="002237F0">
            <w:rPr>
              <w:noProof/>
              <w:lang w:val="nl-NL"/>
            </w:rPr>
            <w:t xml:space="preserve"> (Gebhardt, Reichardt, &amp; Wittenbrink, 2002)</w:t>
          </w:r>
          <w:r w:rsidR="003C13F3" w:rsidRPr="002237F0">
            <w:rPr>
              <w:lang w:val="nl-NL"/>
            </w:rPr>
            <w:fldChar w:fldCharType="end"/>
          </w:r>
        </w:sdtContent>
      </w:sdt>
      <w:r w:rsidR="00E439ED" w:rsidRPr="002237F0">
        <w:rPr>
          <w:lang w:val="nl-NL"/>
        </w:rPr>
        <w:t>.</w:t>
      </w:r>
      <w:r w:rsidR="00E439ED" w:rsidRPr="002237F0">
        <w:rPr>
          <w:i/>
          <w:lang w:val="nl-NL"/>
        </w:rPr>
        <w:t xml:space="preserve"> </w:t>
      </w:r>
      <w:r w:rsidR="00E439ED" w:rsidRPr="002237F0">
        <w:rPr>
          <w:lang w:val="nl-NL"/>
        </w:rPr>
        <w:t>De</w:t>
      </w:r>
      <w:r w:rsidR="00333A6E" w:rsidRPr="002237F0">
        <w:rPr>
          <w:lang w:val="nl-NL"/>
        </w:rPr>
        <w:t xml:space="preserve"> regeling</w:t>
      </w:r>
      <w:r w:rsidR="0010770D" w:rsidRPr="002237F0">
        <w:rPr>
          <w:lang w:val="nl-NL"/>
        </w:rPr>
        <w:t xml:space="preserve"> </w:t>
      </w:r>
      <w:r w:rsidR="001C5D90" w:rsidRPr="002237F0">
        <w:rPr>
          <w:lang w:val="nl-NL"/>
        </w:rPr>
        <w:t>betreffende</w:t>
      </w:r>
      <w:r w:rsidR="00E439ED" w:rsidRPr="002237F0">
        <w:rPr>
          <w:lang w:val="nl-NL"/>
        </w:rPr>
        <w:t xml:space="preserve"> investeringen</w:t>
      </w:r>
      <w:r w:rsidR="00333A6E" w:rsidRPr="002237F0">
        <w:rPr>
          <w:lang w:val="nl-NL"/>
        </w:rPr>
        <w:t xml:space="preserve"> kende als eerste waardering de historische kostprijs. Vervolgwaarderingen waren mogelijk tegen</w:t>
      </w:r>
      <w:sdt>
        <w:sdtPr>
          <w:rPr>
            <w:lang w:val="nl-NL"/>
          </w:rPr>
          <w:id w:val="2041117"/>
          <w:citation/>
        </w:sdtPr>
        <w:sdtContent>
          <w:r w:rsidR="003C13F3" w:rsidRPr="002237F0">
            <w:rPr>
              <w:lang w:val="nl-NL"/>
            </w:rPr>
            <w:fldChar w:fldCharType="begin"/>
          </w:r>
          <w:r w:rsidR="00DA2934" w:rsidRPr="002237F0">
            <w:rPr>
              <w:lang w:val="nl-NL"/>
            </w:rPr>
            <w:instrText xml:space="preserve"> CITATION GGe02 \t  \l 1043  </w:instrText>
          </w:r>
          <w:r w:rsidR="003C13F3" w:rsidRPr="002237F0">
            <w:rPr>
              <w:lang w:val="nl-NL"/>
            </w:rPr>
            <w:fldChar w:fldCharType="separate"/>
          </w:r>
          <w:r w:rsidR="00DA2934" w:rsidRPr="002237F0">
            <w:rPr>
              <w:noProof/>
              <w:lang w:val="nl-NL"/>
            </w:rPr>
            <w:t xml:space="preserve"> (Gebhardt, Reichardt, &amp; Wittenbrink, 2002)</w:t>
          </w:r>
          <w:r w:rsidR="003C13F3" w:rsidRPr="002237F0">
            <w:rPr>
              <w:lang w:val="nl-NL"/>
            </w:rPr>
            <w:fldChar w:fldCharType="end"/>
          </w:r>
        </w:sdtContent>
      </w:sdt>
      <w:r w:rsidR="00333A6E" w:rsidRPr="002237F0">
        <w:rPr>
          <w:lang w:val="nl-NL"/>
        </w:rPr>
        <w:t>:</w:t>
      </w:r>
    </w:p>
    <w:p w:rsidR="00333A6E" w:rsidRPr="002237F0" w:rsidRDefault="00333A6E" w:rsidP="00333A6E">
      <w:pPr>
        <w:pStyle w:val="ListParagraph"/>
        <w:numPr>
          <w:ilvl w:val="0"/>
          <w:numId w:val="16"/>
        </w:numPr>
        <w:rPr>
          <w:lang w:val="en-GB"/>
        </w:rPr>
      </w:pPr>
      <w:r w:rsidRPr="002237F0">
        <w:rPr>
          <w:lang w:val="en-GB"/>
        </w:rPr>
        <w:t>Lower of cost or market value</w:t>
      </w:r>
    </w:p>
    <w:p w:rsidR="00333A6E" w:rsidRPr="002237F0" w:rsidRDefault="00E439ED" w:rsidP="00333A6E">
      <w:pPr>
        <w:pStyle w:val="ListParagraph"/>
        <w:numPr>
          <w:ilvl w:val="0"/>
          <w:numId w:val="16"/>
        </w:numPr>
        <w:rPr>
          <w:lang w:val="nl-NL"/>
        </w:rPr>
      </w:pPr>
      <w:r w:rsidRPr="002237F0">
        <w:rPr>
          <w:lang w:val="nl-NL"/>
        </w:rPr>
        <w:t xml:space="preserve">Fair </w:t>
      </w:r>
      <w:proofErr w:type="spellStart"/>
      <w:r w:rsidRPr="002237F0">
        <w:rPr>
          <w:lang w:val="nl-NL"/>
        </w:rPr>
        <w:t>value</w:t>
      </w:r>
      <w:proofErr w:type="spellEnd"/>
      <w:r w:rsidR="00333A6E" w:rsidRPr="002237F0">
        <w:rPr>
          <w:lang w:val="nl-NL"/>
        </w:rPr>
        <w:t xml:space="preserve"> (</w:t>
      </w:r>
      <w:r w:rsidRPr="002237F0">
        <w:rPr>
          <w:lang w:val="nl-NL"/>
        </w:rPr>
        <w:t xml:space="preserve">voor </w:t>
      </w:r>
      <w:r w:rsidR="00333A6E" w:rsidRPr="002237F0">
        <w:rPr>
          <w:lang w:val="nl-NL"/>
        </w:rPr>
        <w:t>kortlopende investeringen)</w:t>
      </w:r>
    </w:p>
    <w:p w:rsidR="00333A6E" w:rsidRPr="002237F0" w:rsidRDefault="00333A6E" w:rsidP="00333A6E">
      <w:pPr>
        <w:pStyle w:val="ListParagraph"/>
        <w:numPr>
          <w:ilvl w:val="0"/>
          <w:numId w:val="16"/>
        </w:numPr>
        <w:rPr>
          <w:lang w:val="nl-NL"/>
        </w:rPr>
      </w:pPr>
      <w:r w:rsidRPr="002237F0">
        <w:rPr>
          <w:lang w:val="nl-NL"/>
        </w:rPr>
        <w:t>Portfolio Accounting (kortlopende investeringen)</w:t>
      </w:r>
      <w:r w:rsidR="00E439ED" w:rsidRPr="002237F0">
        <w:rPr>
          <w:lang w:val="nl-NL"/>
        </w:rPr>
        <w:t xml:space="preserve">: Deze manier van waardering is </w:t>
      </w:r>
      <w:r w:rsidR="007415B1" w:rsidRPr="002237F0">
        <w:rPr>
          <w:lang w:val="nl-NL"/>
        </w:rPr>
        <w:t xml:space="preserve">meer </w:t>
      </w:r>
      <w:r w:rsidR="00E439ED" w:rsidRPr="002237F0">
        <w:rPr>
          <w:lang w:val="nl-NL"/>
        </w:rPr>
        <w:t xml:space="preserve">gericht op het beheer van geldstromen, de in- en uitgaven, dan op het weergeven van de werkelijke waarde. </w:t>
      </w:r>
    </w:p>
    <w:p w:rsidR="00333A6E" w:rsidRPr="002237F0" w:rsidRDefault="00333A6E" w:rsidP="00333A6E">
      <w:pPr>
        <w:pStyle w:val="ListParagraph"/>
        <w:numPr>
          <w:ilvl w:val="0"/>
          <w:numId w:val="16"/>
        </w:numPr>
        <w:rPr>
          <w:lang w:val="nl-NL"/>
        </w:rPr>
      </w:pPr>
      <w:r w:rsidRPr="002237F0">
        <w:rPr>
          <w:lang w:val="nl-NL"/>
        </w:rPr>
        <w:t xml:space="preserve">At </w:t>
      </w:r>
      <w:proofErr w:type="spellStart"/>
      <w:r w:rsidRPr="002237F0">
        <w:rPr>
          <w:lang w:val="nl-NL"/>
        </w:rPr>
        <w:t>cost</w:t>
      </w:r>
      <w:proofErr w:type="spellEnd"/>
      <w:r w:rsidRPr="002237F0">
        <w:rPr>
          <w:lang w:val="nl-NL"/>
        </w:rPr>
        <w:t xml:space="preserve"> (lange termijn investeringen)</w:t>
      </w:r>
    </w:p>
    <w:p w:rsidR="00333A6E" w:rsidRPr="002237F0" w:rsidRDefault="00333A6E" w:rsidP="00333A6E">
      <w:pPr>
        <w:pStyle w:val="ListParagraph"/>
        <w:numPr>
          <w:ilvl w:val="0"/>
          <w:numId w:val="16"/>
        </w:numPr>
        <w:rPr>
          <w:lang w:val="nl-NL"/>
        </w:rPr>
      </w:pPr>
      <w:proofErr w:type="spellStart"/>
      <w:r w:rsidRPr="002237F0">
        <w:rPr>
          <w:lang w:val="nl-NL"/>
        </w:rPr>
        <w:t>Revalued</w:t>
      </w:r>
      <w:proofErr w:type="spellEnd"/>
      <w:r w:rsidRPr="002237F0">
        <w:rPr>
          <w:lang w:val="nl-NL"/>
        </w:rPr>
        <w:t xml:space="preserve"> </w:t>
      </w:r>
      <w:proofErr w:type="spellStart"/>
      <w:r w:rsidRPr="002237F0">
        <w:rPr>
          <w:lang w:val="nl-NL"/>
        </w:rPr>
        <w:t>Amounts</w:t>
      </w:r>
      <w:proofErr w:type="spellEnd"/>
      <w:r w:rsidRPr="002237F0">
        <w:rPr>
          <w:lang w:val="nl-NL"/>
        </w:rPr>
        <w:t xml:space="preserve"> (lange termijn investeringen)</w:t>
      </w:r>
      <w:r w:rsidR="00E439ED" w:rsidRPr="002237F0">
        <w:rPr>
          <w:lang w:val="nl-NL"/>
        </w:rPr>
        <w:t xml:space="preserve">: Hiermee wordt bepaald wat de waarde van het instrument </w:t>
      </w:r>
      <w:r w:rsidR="00DA2934" w:rsidRPr="002237F0">
        <w:rPr>
          <w:lang w:val="nl-NL"/>
        </w:rPr>
        <w:t>op een gegeven moment</w:t>
      </w:r>
      <w:r w:rsidR="00E439ED" w:rsidRPr="002237F0">
        <w:rPr>
          <w:lang w:val="nl-NL"/>
        </w:rPr>
        <w:t xml:space="preserve"> waard is voor het bedrijf. </w:t>
      </w:r>
    </w:p>
    <w:p w:rsidR="00E439ED" w:rsidRPr="002237F0" w:rsidRDefault="00E439ED" w:rsidP="00E439ED">
      <w:pPr>
        <w:rPr>
          <w:lang w:val="nl-NL"/>
        </w:rPr>
      </w:pPr>
      <w:r w:rsidRPr="002237F0">
        <w:rPr>
          <w:lang w:val="nl-NL"/>
        </w:rPr>
        <w:t>Hierbij moet rekening gehouden worden</w:t>
      </w:r>
      <w:r w:rsidR="007415B1" w:rsidRPr="002237F0">
        <w:rPr>
          <w:lang w:val="nl-NL"/>
        </w:rPr>
        <w:t xml:space="preserve"> met het gegeven</w:t>
      </w:r>
      <w:r w:rsidRPr="002237F0">
        <w:rPr>
          <w:lang w:val="nl-NL"/>
        </w:rPr>
        <w:t xml:space="preserve"> dat het voor financiële instrumenten niet goed mogelijk is Portfolio accounting en de </w:t>
      </w:r>
      <w:proofErr w:type="spellStart"/>
      <w:r w:rsidRPr="002237F0">
        <w:rPr>
          <w:lang w:val="nl-NL"/>
        </w:rPr>
        <w:t>revalued</w:t>
      </w:r>
      <w:proofErr w:type="spellEnd"/>
      <w:r w:rsidRPr="002237F0">
        <w:rPr>
          <w:lang w:val="nl-NL"/>
        </w:rPr>
        <w:t xml:space="preserve"> </w:t>
      </w:r>
      <w:proofErr w:type="spellStart"/>
      <w:r w:rsidRPr="002237F0">
        <w:rPr>
          <w:lang w:val="nl-NL"/>
        </w:rPr>
        <w:t>amounts</w:t>
      </w:r>
      <w:proofErr w:type="spellEnd"/>
      <w:r w:rsidRPr="002237F0">
        <w:rPr>
          <w:lang w:val="nl-NL"/>
        </w:rPr>
        <w:t xml:space="preserve"> methode te gebruiken. In feite bestond er de keuze tussen waardering tegen kostprijs en</w:t>
      </w:r>
      <w:r w:rsidR="00CA7F8E" w:rsidRPr="002237F0">
        <w:rPr>
          <w:lang w:val="nl-NL"/>
        </w:rPr>
        <w:t xml:space="preserve"> waardering tegen reële waarde, of de laagste daarvan</w:t>
      </w:r>
      <w:sdt>
        <w:sdtPr>
          <w:rPr>
            <w:lang w:val="nl-NL"/>
          </w:rPr>
          <w:id w:val="2041118"/>
          <w:citation/>
        </w:sdtPr>
        <w:sdtContent>
          <w:r w:rsidR="003C13F3" w:rsidRPr="002237F0">
            <w:rPr>
              <w:lang w:val="nl-NL"/>
            </w:rPr>
            <w:fldChar w:fldCharType="begin"/>
          </w:r>
          <w:r w:rsidR="007415B1" w:rsidRPr="002237F0">
            <w:rPr>
              <w:lang w:val="nl-NL"/>
            </w:rPr>
            <w:instrText xml:space="preserve"> CITATION GGe02 \t  \l 1043  </w:instrText>
          </w:r>
          <w:r w:rsidR="003C13F3" w:rsidRPr="002237F0">
            <w:rPr>
              <w:lang w:val="nl-NL"/>
            </w:rPr>
            <w:fldChar w:fldCharType="separate"/>
          </w:r>
          <w:r w:rsidR="007415B1" w:rsidRPr="002237F0">
            <w:rPr>
              <w:noProof/>
              <w:lang w:val="nl-NL"/>
            </w:rPr>
            <w:t xml:space="preserve"> (Gebhardt, Reichardt, &amp; Wittenbrink, 2002)</w:t>
          </w:r>
          <w:r w:rsidR="003C13F3" w:rsidRPr="002237F0">
            <w:rPr>
              <w:lang w:val="nl-NL"/>
            </w:rPr>
            <w:fldChar w:fldCharType="end"/>
          </w:r>
        </w:sdtContent>
      </w:sdt>
      <w:r w:rsidR="00CA7F8E" w:rsidRPr="002237F0">
        <w:rPr>
          <w:lang w:val="nl-NL"/>
        </w:rPr>
        <w:t xml:space="preserve">. </w:t>
      </w:r>
    </w:p>
    <w:p w:rsidR="00B07068" w:rsidRPr="002237F0" w:rsidRDefault="00CA7F8E" w:rsidP="00E439ED">
      <w:pPr>
        <w:rPr>
          <w:lang w:val="nl-NL"/>
        </w:rPr>
      </w:pPr>
      <w:r w:rsidRPr="002237F0">
        <w:rPr>
          <w:lang w:val="nl-NL"/>
        </w:rPr>
        <w:t xml:space="preserve">Door het gebrek aan duidelijke regelgeving voor financiële instrumenten ontstond er binnen de financiële wereld een ‘best </w:t>
      </w:r>
      <w:proofErr w:type="spellStart"/>
      <w:r w:rsidRPr="002237F0">
        <w:rPr>
          <w:lang w:val="nl-NL"/>
        </w:rPr>
        <w:t>industry</w:t>
      </w:r>
      <w:proofErr w:type="spellEnd"/>
      <w:r w:rsidRPr="002237F0">
        <w:rPr>
          <w:lang w:val="nl-NL"/>
        </w:rPr>
        <w:t xml:space="preserve"> </w:t>
      </w:r>
      <w:proofErr w:type="spellStart"/>
      <w:r w:rsidRPr="002237F0">
        <w:rPr>
          <w:lang w:val="nl-NL"/>
        </w:rPr>
        <w:t>practice</w:t>
      </w:r>
      <w:proofErr w:type="spellEnd"/>
      <w:r w:rsidRPr="002237F0">
        <w:rPr>
          <w:lang w:val="nl-NL"/>
        </w:rPr>
        <w:t>’</w:t>
      </w:r>
      <w:sdt>
        <w:sdtPr>
          <w:rPr>
            <w:b/>
            <w:lang w:val="nl-NL"/>
          </w:rPr>
          <w:id w:val="952595153"/>
          <w:citation/>
        </w:sdtPr>
        <w:sdtContent>
          <w:r w:rsidR="003C13F3" w:rsidRPr="002237F0">
            <w:rPr>
              <w:b/>
              <w:lang w:val="nl-NL"/>
            </w:rPr>
            <w:fldChar w:fldCharType="begin"/>
          </w:r>
          <w:r w:rsidR="00783A9D" w:rsidRPr="002237F0">
            <w:rPr>
              <w:b/>
              <w:lang w:val="nl-NL"/>
            </w:rPr>
            <w:instrText xml:space="preserve">CITATION GGe02 \t  \l 1033 </w:instrText>
          </w:r>
          <w:r w:rsidR="003C13F3" w:rsidRPr="002237F0">
            <w:rPr>
              <w:b/>
              <w:lang w:val="nl-NL"/>
            </w:rPr>
            <w:fldChar w:fldCharType="separate"/>
          </w:r>
          <w:r w:rsidR="00721EC3" w:rsidRPr="002237F0">
            <w:rPr>
              <w:b/>
              <w:noProof/>
              <w:lang w:val="nl-NL"/>
            </w:rPr>
            <w:t xml:space="preserve"> </w:t>
          </w:r>
          <w:r w:rsidR="00721EC3" w:rsidRPr="002237F0">
            <w:rPr>
              <w:noProof/>
              <w:lang w:val="nl-NL"/>
            </w:rPr>
            <w:t>(Gebhardt, Reichardt, &amp; Wittenbrink, 2002)</w:t>
          </w:r>
          <w:r w:rsidR="003C13F3" w:rsidRPr="002237F0">
            <w:rPr>
              <w:b/>
              <w:lang w:val="nl-NL"/>
            </w:rPr>
            <w:fldChar w:fldCharType="end"/>
          </w:r>
        </w:sdtContent>
      </w:sdt>
      <w:r w:rsidRPr="002237F0">
        <w:rPr>
          <w:lang w:val="nl-NL"/>
        </w:rPr>
        <w:t>.</w:t>
      </w:r>
      <w:r w:rsidR="0010770D" w:rsidRPr="002237F0">
        <w:rPr>
          <w:lang w:val="nl-NL"/>
        </w:rPr>
        <w:t xml:space="preserve"> </w:t>
      </w:r>
      <w:r w:rsidR="00B07068" w:rsidRPr="002237F0">
        <w:rPr>
          <w:lang w:val="nl-NL"/>
        </w:rPr>
        <w:t>Dit kwam erop neer dat de meeste financiële activa en passiva gewaa</w:t>
      </w:r>
      <w:r w:rsidR="007415B1" w:rsidRPr="002237F0">
        <w:rPr>
          <w:lang w:val="nl-NL"/>
        </w:rPr>
        <w:t>rdeerd werden naar reële waarde</w:t>
      </w:r>
      <w:r w:rsidR="00B07068" w:rsidRPr="002237F0">
        <w:rPr>
          <w:lang w:val="nl-NL"/>
        </w:rPr>
        <w:t xml:space="preserve"> en veranderingen in waardering kwamen ten laste van het resultaat. </w:t>
      </w:r>
    </w:p>
    <w:p w:rsidR="00426FD0" w:rsidRPr="002237F0" w:rsidRDefault="00B07068" w:rsidP="00E439ED">
      <w:pPr>
        <w:rPr>
          <w:lang w:val="nl-NL"/>
        </w:rPr>
      </w:pPr>
      <w:r w:rsidRPr="002237F0">
        <w:rPr>
          <w:lang w:val="nl-NL"/>
        </w:rPr>
        <w:t xml:space="preserve">Met betrekking tot </w:t>
      </w:r>
      <w:proofErr w:type="spellStart"/>
      <w:r w:rsidRPr="002237F0">
        <w:rPr>
          <w:lang w:val="nl-NL"/>
        </w:rPr>
        <w:t>hedge</w:t>
      </w:r>
      <w:proofErr w:type="spellEnd"/>
      <w:r w:rsidRPr="002237F0">
        <w:rPr>
          <w:lang w:val="nl-NL"/>
        </w:rPr>
        <w:t xml:space="preserve"> accounting verschilden de regels nog</w:t>
      </w:r>
      <w:r w:rsidR="00E6176E" w:rsidRPr="002237F0">
        <w:rPr>
          <w:lang w:val="nl-NL"/>
        </w:rPr>
        <w:t xml:space="preserve">al ten opzichte van de huidige regelgeving. Er was sprake van een </w:t>
      </w:r>
      <w:proofErr w:type="spellStart"/>
      <w:r w:rsidR="00E6176E" w:rsidRPr="002237F0">
        <w:rPr>
          <w:lang w:val="nl-NL"/>
        </w:rPr>
        <w:t>off-balance-sheet</w:t>
      </w:r>
      <w:proofErr w:type="spellEnd"/>
      <w:r w:rsidR="00E6176E" w:rsidRPr="002237F0">
        <w:rPr>
          <w:lang w:val="nl-NL"/>
        </w:rPr>
        <w:t xml:space="preserve"> benadering. Derivaten werden niet erkend als activa of passiva, omdat deze </w:t>
      </w:r>
      <w:proofErr w:type="spellStart"/>
      <w:r w:rsidR="00E6176E" w:rsidRPr="002237F0">
        <w:rPr>
          <w:lang w:val="nl-NL"/>
        </w:rPr>
        <w:t>hedge</w:t>
      </w:r>
      <w:proofErr w:type="spellEnd"/>
      <w:r w:rsidR="00E6176E" w:rsidRPr="002237F0">
        <w:rPr>
          <w:lang w:val="nl-NL"/>
        </w:rPr>
        <w:t xml:space="preserve"> instrumenten geen historische kostprijs hebben. Deze benadering impliceert dat er sprake is van een perfecte </w:t>
      </w:r>
      <w:proofErr w:type="spellStart"/>
      <w:r w:rsidR="00E6176E" w:rsidRPr="002237F0">
        <w:rPr>
          <w:lang w:val="nl-NL"/>
        </w:rPr>
        <w:t>hedge</w:t>
      </w:r>
      <w:r w:rsidR="007415B1" w:rsidRPr="002237F0">
        <w:rPr>
          <w:lang w:val="nl-NL"/>
        </w:rPr>
        <w:t>-</w:t>
      </w:r>
      <w:r w:rsidR="00E6176E" w:rsidRPr="002237F0">
        <w:rPr>
          <w:lang w:val="nl-NL"/>
        </w:rPr>
        <w:t>relatie</w:t>
      </w:r>
      <w:proofErr w:type="spellEnd"/>
      <w:r w:rsidR="00E6176E" w:rsidRPr="002237F0">
        <w:rPr>
          <w:lang w:val="nl-NL"/>
        </w:rPr>
        <w:t xml:space="preserve">, </w:t>
      </w:r>
      <w:r w:rsidR="007415B1" w:rsidRPr="002237F0">
        <w:rPr>
          <w:lang w:val="nl-NL"/>
        </w:rPr>
        <w:t>door</w:t>
      </w:r>
      <w:r w:rsidR="00E6176E" w:rsidRPr="002237F0">
        <w:rPr>
          <w:lang w:val="nl-NL"/>
        </w:rPr>
        <w:t xml:space="preserve">dat er niet gecorrigeerd kan worden voor inefficiënties. Het </w:t>
      </w:r>
      <w:proofErr w:type="spellStart"/>
      <w:r w:rsidR="00E6176E" w:rsidRPr="002237F0">
        <w:rPr>
          <w:lang w:val="nl-NL"/>
        </w:rPr>
        <w:t>hedge</w:t>
      </w:r>
      <w:r w:rsidR="007415B1" w:rsidRPr="002237F0">
        <w:rPr>
          <w:lang w:val="nl-NL"/>
        </w:rPr>
        <w:t>-</w:t>
      </w:r>
      <w:r w:rsidR="00E6176E" w:rsidRPr="002237F0">
        <w:rPr>
          <w:lang w:val="nl-NL"/>
        </w:rPr>
        <w:t>resultaat</w:t>
      </w:r>
      <w:proofErr w:type="spellEnd"/>
      <w:r w:rsidR="00E6176E" w:rsidRPr="002237F0">
        <w:rPr>
          <w:lang w:val="nl-NL"/>
        </w:rPr>
        <w:t xml:space="preserve"> wordt niet herkend, tenzij er sprake is van een verlies op de </w:t>
      </w:r>
      <w:proofErr w:type="spellStart"/>
      <w:r w:rsidR="00E6176E" w:rsidRPr="002237F0">
        <w:rPr>
          <w:lang w:val="nl-NL"/>
        </w:rPr>
        <w:t>hedge</w:t>
      </w:r>
      <w:r w:rsidR="007415B1" w:rsidRPr="002237F0">
        <w:rPr>
          <w:lang w:val="nl-NL"/>
        </w:rPr>
        <w:t>-</w:t>
      </w:r>
      <w:r w:rsidR="00E6176E" w:rsidRPr="002237F0">
        <w:rPr>
          <w:lang w:val="nl-NL"/>
        </w:rPr>
        <w:t>relatie</w:t>
      </w:r>
      <w:proofErr w:type="spellEnd"/>
      <w:r w:rsidR="00E6176E" w:rsidRPr="002237F0">
        <w:rPr>
          <w:lang w:val="nl-NL"/>
        </w:rPr>
        <w:t xml:space="preserve">. Dat wil zeggen, als het </w:t>
      </w:r>
      <w:proofErr w:type="spellStart"/>
      <w:r w:rsidR="00E6176E" w:rsidRPr="002237F0">
        <w:rPr>
          <w:lang w:val="nl-NL"/>
        </w:rPr>
        <w:t>hedge</w:t>
      </w:r>
      <w:r w:rsidR="007415B1" w:rsidRPr="002237F0">
        <w:rPr>
          <w:lang w:val="nl-NL"/>
        </w:rPr>
        <w:t>-</w:t>
      </w:r>
      <w:r w:rsidR="00E6176E" w:rsidRPr="002237F0">
        <w:rPr>
          <w:lang w:val="nl-NL"/>
        </w:rPr>
        <w:t>instrument</w:t>
      </w:r>
      <w:proofErr w:type="spellEnd"/>
      <w:r w:rsidR="00E6176E" w:rsidRPr="002237F0">
        <w:rPr>
          <w:lang w:val="nl-NL"/>
        </w:rPr>
        <w:t xml:space="preserve"> meer dan proportioneel negatief reageert op het afgeleide instrument. Dit is het geval wanneer het afgeleide instrument met 20% stijgt, terwijl het derivaat met 30% in waarde daalt. Hier wordt dan een provisie voor aangemaakt. Andersom wordt er geen resultaat erkend, als het </w:t>
      </w:r>
      <w:proofErr w:type="spellStart"/>
      <w:r w:rsidR="00E6176E" w:rsidRPr="002237F0">
        <w:rPr>
          <w:lang w:val="nl-NL"/>
        </w:rPr>
        <w:t>hedge</w:t>
      </w:r>
      <w:r w:rsidR="007415B1" w:rsidRPr="002237F0">
        <w:rPr>
          <w:lang w:val="nl-NL"/>
        </w:rPr>
        <w:t>-</w:t>
      </w:r>
      <w:r w:rsidR="00E6176E" w:rsidRPr="002237F0">
        <w:rPr>
          <w:lang w:val="nl-NL"/>
        </w:rPr>
        <w:t>instrument</w:t>
      </w:r>
      <w:proofErr w:type="spellEnd"/>
      <w:r w:rsidR="00E6176E" w:rsidRPr="002237F0">
        <w:rPr>
          <w:lang w:val="nl-NL"/>
        </w:rPr>
        <w:t xml:space="preserve"> meer dan evenredig positief reageert. Het is ten tijde van IAS 25 altijd een discussie geweest in hoe ver het negeren van resultaat op ineffectieve </w:t>
      </w:r>
      <w:proofErr w:type="spellStart"/>
      <w:r w:rsidR="00E6176E" w:rsidRPr="002237F0">
        <w:rPr>
          <w:lang w:val="nl-NL"/>
        </w:rPr>
        <w:t>hedges</w:t>
      </w:r>
      <w:proofErr w:type="spellEnd"/>
      <w:r w:rsidR="00E6176E" w:rsidRPr="002237F0">
        <w:rPr>
          <w:lang w:val="nl-NL"/>
        </w:rPr>
        <w:t xml:space="preserve"> kon gaan, en hoe inefficiënt een </w:t>
      </w:r>
      <w:proofErr w:type="spellStart"/>
      <w:r w:rsidR="00E6176E" w:rsidRPr="002237F0">
        <w:rPr>
          <w:lang w:val="nl-NL"/>
        </w:rPr>
        <w:t>hedge</w:t>
      </w:r>
      <w:r w:rsidR="007415B1" w:rsidRPr="002237F0">
        <w:rPr>
          <w:lang w:val="nl-NL"/>
        </w:rPr>
        <w:t>-</w:t>
      </w:r>
      <w:r w:rsidR="00E6176E" w:rsidRPr="002237F0">
        <w:rPr>
          <w:lang w:val="nl-NL"/>
        </w:rPr>
        <w:t>relatie</w:t>
      </w:r>
      <w:proofErr w:type="spellEnd"/>
      <w:r w:rsidR="00E6176E" w:rsidRPr="002237F0">
        <w:rPr>
          <w:lang w:val="nl-NL"/>
        </w:rPr>
        <w:t xml:space="preserve"> mocht zijn</w:t>
      </w:r>
      <w:sdt>
        <w:sdtPr>
          <w:rPr>
            <w:lang w:val="nl-NL"/>
          </w:rPr>
          <w:id w:val="2041119"/>
          <w:citation/>
        </w:sdtPr>
        <w:sdtContent>
          <w:r w:rsidR="003C13F3" w:rsidRPr="002237F0">
            <w:rPr>
              <w:lang w:val="nl-NL"/>
            </w:rPr>
            <w:fldChar w:fldCharType="begin"/>
          </w:r>
          <w:r w:rsidR="007415B1" w:rsidRPr="002237F0">
            <w:rPr>
              <w:lang w:val="nl-NL"/>
            </w:rPr>
            <w:instrText xml:space="preserve"> CITATION GGe02 \t  \l 1043  </w:instrText>
          </w:r>
          <w:r w:rsidR="003C13F3" w:rsidRPr="002237F0">
            <w:rPr>
              <w:lang w:val="nl-NL"/>
            </w:rPr>
            <w:fldChar w:fldCharType="separate"/>
          </w:r>
          <w:r w:rsidR="007415B1" w:rsidRPr="002237F0">
            <w:rPr>
              <w:noProof/>
              <w:lang w:val="nl-NL"/>
            </w:rPr>
            <w:t xml:space="preserve"> (Gebhardt, Reichardt, &amp; Wittenbrink, 2002)</w:t>
          </w:r>
          <w:r w:rsidR="003C13F3" w:rsidRPr="002237F0">
            <w:rPr>
              <w:lang w:val="nl-NL"/>
            </w:rPr>
            <w:fldChar w:fldCharType="end"/>
          </w:r>
        </w:sdtContent>
      </w:sdt>
      <w:r w:rsidR="00E6176E" w:rsidRPr="002237F0">
        <w:rPr>
          <w:lang w:val="nl-NL"/>
        </w:rPr>
        <w:t>.</w:t>
      </w:r>
    </w:p>
    <w:p w:rsidR="00426FD0" w:rsidRPr="002237F0" w:rsidRDefault="00426FD0" w:rsidP="00E439ED">
      <w:pPr>
        <w:rPr>
          <w:lang w:val="nl-NL"/>
        </w:rPr>
      </w:pPr>
      <w:r w:rsidRPr="002237F0">
        <w:rPr>
          <w:b/>
          <w:lang w:val="nl-NL"/>
        </w:rPr>
        <w:t>2001-</w:t>
      </w:r>
      <w:proofErr w:type="gramStart"/>
      <w:r w:rsidRPr="002237F0">
        <w:rPr>
          <w:b/>
          <w:lang w:val="nl-NL"/>
        </w:rPr>
        <w:t>heden</w:t>
      </w:r>
      <w:proofErr w:type="gramEnd"/>
      <w:r w:rsidRPr="002237F0">
        <w:rPr>
          <w:b/>
          <w:lang w:val="nl-NL"/>
        </w:rPr>
        <w:t>: IAS 39</w:t>
      </w:r>
      <w:r w:rsidR="00DE1C16" w:rsidRPr="002237F0">
        <w:rPr>
          <w:b/>
          <w:lang w:val="nl-NL"/>
        </w:rPr>
        <w:t>(zonder aanpassingen naar aanleiding van de crisis)</w:t>
      </w:r>
      <w:r w:rsidRPr="002237F0">
        <w:rPr>
          <w:b/>
          <w:lang w:val="nl-NL"/>
        </w:rPr>
        <w:t>.</w:t>
      </w:r>
      <w:r w:rsidRPr="002237F0">
        <w:rPr>
          <w:lang w:val="nl-NL"/>
        </w:rPr>
        <w:t xml:space="preserve"> </w:t>
      </w:r>
    </w:p>
    <w:p w:rsidR="000E4912" w:rsidRPr="002237F0" w:rsidRDefault="00426FD0" w:rsidP="00E439ED">
      <w:pPr>
        <w:rPr>
          <w:lang w:val="nl-NL"/>
        </w:rPr>
      </w:pPr>
      <w:r w:rsidRPr="002237F0">
        <w:rPr>
          <w:lang w:val="nl-NL"/>
        </w:rPr>
        <w:t>Al snel werd duidelijk dat er een aparte richtlijn voor financiële instrumenten nodig was</w:t>
      </w:r>
      <w:r w:rsidR="00D5769B" w:rsidRPr="002237F0">
        <w:rPr>
          <w:lang w:val="nl-NL"/>
        </w:rPr>
        <w:t xml:space="preserve">. Het grootste probleem was dat er geen duidelijke regelgeving was voor </w:t>
      </w:r>
      <w:r w:rsidR="007415B1" w:rsidRPr="002237F0">
        <w:rPr>
          <w:lang w:val="nl-NL"/>
        </w:rPr>
        <w:t>derivaten. Het was de vraag of derivaten wel of niet op de balans dienden te staan</w:t>
      </w:r>
      <w:sdt>
        <w:sdtPr>
          <w:rPr>
            <w:lang w:val="nl-NL"/>
          </w:rPr>
          <w:id w:val="2125645939"/>
          <w:citation/>
        </w:sdtPr>
        <w:sdtContent>
          <w:r w:rsidR="003C13F3" w:rsidRPr="002237F0">
            <w:rPr>
              <w:lang w:val="nl-NL"/>
            </w:rPr>
            <w:fldChar w:fldCharType="begin"/>
          </w:r>
          <w:r w:rsidR="00D5769B" w:rsidRPr="002237F0">
            <w:rPr>
              <w:lang w:val="nl-NL"/>
            </w:rPr>
            <w:instrText xml:space="preserve">CITATION Man11 \t  \l 1033 </w:instrText>
          </w:r>
          <w:r w:rsidR="003C13F3" w:rsidRPr="002237F0">
            <w:rPr>
              <w:lang w:val="nl-NL"/>
            </w:rPr>
            <w:fldChar w:fldCharType="separate"/>
          </w:r>
          <w:r w:rsidR="00D5769B" w:rsidRPr="002237F0">
            <w:rPr>
              <w:noProof/>
              <w:lang w:val="nl-NL"/>
            </w:rPr>
            <w:t xml:space="preserve"> (Gebhardt &amp; Novotny-Farkas, 2011)</w:t>
          </w:r>
          <w:r w:rsidR="003C13F3" w:rsidRPr="002237F0">
            <w:rPr>
              <w:lang w:val="nl-NL"/>
            </w:rPr>
            <w:fldChar w:fldCharType="end"/>
          </w:r>
        </w:sdtContent>
      </w:sdt>
      <w:r w:rsidR="007415B1" w:rsidRPr="002237F0">
        <w:rPr>
          <w:lang w:val="nl-NL"/>
        </w:rPr>
        <w:t>.</w:t>
      </w:r>
      <w:r w:rsidRPr="002237F0">
        <w:rPr>
          <w:lang w:val="nl-NL"/>
        </w:rPr>
        <w:t xml:space="preserve"> In </w:t>
      </w:r>
      <w:proofErr w:type="gramStart"/>
      <w:r w:rsidRPr="002237F0">
        <w:rPr>
          <w:lang w:val="nl-NL"/>
        </w:rPr>
        <w:t>Januari</w:t>
      </w:r>
      <w:proofErr w:type="gramEnd"/>
      <w:r w:rsidRPr="002237F0">
        <w:rPr>
          <w:lang w:val="nl-NL"/>
        </w:rPr>
        <w:t xml:space="preserve"> 2001 was het dan zover: IAS 39 werd van kracht.</w:t>
      </w:r>
      <w:r w:rsidR="00A0309E" w:rsidRPr="002237F0">
        <w:rPr>
          <w:lang w:val="nl-NL"/>
        </w:rPr>
        <w:t xml:space="preserve"> </w:t>
      </w:r>
    </w:p>
    <w:p w:rsidR="00CA7F8E" w:rsidRPr="002237F0" w:rsidRDefault="00A0309E" w:rsidP="00E439ED">
      <w:pPr>
        <w:rPr>
          <w:lang w:val="nl-NL"/>
        </w:rPr>
      </w:pPr>
      <w:r w:rsidRPr="002237F0">
        <w:rPr>
          <w:lang w:val="nl-NL"/>
        </w:rPr>
        <w:t xml:space="preserve">Omdat er al lange tijd getracht wordt de Amerikaanse regelgeving te congrueren met die van Europa en overige landen zijn de IASB en zijn Amerikaanse tegenhanger, de FASB(Financial Accounting </w:t>
      </w:r>
      <w:proofErr w:type="spellStart"/>
      <w:r w:rsidRPr="002237F0">
        <w:rPr>
          <w:lang w:val="nl-NL"/>
        </w:rPr>
        <w:t>Standards</w:t>
      </w:r>
      <w:proofErr w:type="spellEnd"/>
      <w:r w:rsidRPr="002237F0">
        <w:rPr>
          <w:lang w:val="nl-NL"/>
        </w:rPr>
        <w:t xml:space="preserve"> Board) al geruime tijd bezig hun regelgeving op elkaar af te stemmen. De IASB e</w:t>
      </w:r>
      <w:r w:rsidR="007415B1" w:rsidRPr="002237F0">
        <w:rPr>
          <w:lang w:val="nl-NL"/>
        </w:rPr>
        <w:t>n FASB kwamen al snel overeen</w:t>
      </w:r>
      <w:r w:rsidRPr="002237F0">
        <w:rPr>
          <w:lang w:val="nl-NL"/>
        </w:rPr>
        <w:t xml:space="preserve"> voortaan derivaten te waarderen naar de reële waarde, en niet naar historische kostprijs. Er moet wel gezegd wo</w:t>
      </w:r>
      <w:r w:rsidR="00DE1C16" w:rsidRPr="002237F0">
        <w:rPr>
          <w:lang w:val="nl-NL"/>
        </w:rPr>
        <w:t>rden dat de IASB wat verder ging</w:t>
      </w:r>
      <w:r w:rsidRPr="002237F0">
        <w:rPr>
          <w:lang w:val="nl-NL"/>
        </w:rPr>
        <w:t xml:space="preserve"> in het waarderen naar reële waarde dan de FASB</w:t>
      </w:r>
      <w:sdt>
        <w:sdtPr>
          <w:rPr>
            <w:lang w:val="nl-NL"/>
          </w:rPr>
          <w:id w:val="6543525"/>
          <w:citation/>
        </w:sdtPr>
        <w:sdtContent>
          <w:r w:rsidR="003C13F3" w:rsidRPr="002237F0">
            <w:rPr>
              <w:lang w:val="nl-NL"/>
            </w:rPr>
            <w:fldChar w:fldCharType="begin"/>
          </w:r>
          <w:r w:rsidR="00783A9D" w:rsidRPr="002237F0">
            <w:rPr>
              <w:lang w:val="nl-NL"/>
            </w:rPr>
            <w:instrText xml:space="preserve">CITATION GGe02 \t  \l 1043 </w:instrText>
          </w:r>
          <w:r w:rsidR="003C13F3" w:rsidRPr="002237F0">
            <w:rPr>
              <w:lang w:val="nl-NL"/>
            </w:rPr>
            <w:fldChar w:fldCharType="separate"/>
          </w:r>
          <w:r w:rsidR="00721EC3" w:rsidRPr="002237F0">
            <w:rPr>
              <w:noProof/>
              <w:lang w:val="nl-NL"/>
            </w:rPr>
            <w:t xml:space="preserve"> (Gebhardt, Reichardt, &amp; Wittenbrink, 2002)</w:t>
          </w:r>
          <w:r w:rsidR="003C13F3" w:rsidRPr="002237F0">
            <w:rPr>
              <w:lang w:val="nl-NL"/>
            </w:rPr>
            <w:fldChar w:fldCharType="end"/>
          </w:r>
        </w:sdtContent>
      </w:sdt>
      <w:proofErr w:type="gramStart"/>
      <w:r w:rsidRPr="002237F0">
        <w:rPr>
          <w:lang w:val="nl-NL"/>
        </w:rPr>
        <w:t xml:space="preserve">.  </w:t>
      </w:r>
      <w:r w:rsidR="00426FD0" w:rsidRPr="002237F0">
        <w:rPr>
          <w:lang w:val="nl-NL"/>
        </w:rPr>
        <w:t xml:space="preserve"> </w:t>
      </w:r>
      <w:r w:rsidR="00E6176E" w:rsidRPr="002237F0">
        <w:rPr>
          <w:lang w:val="nl-NL"/>
        </w:rPr>
        <w:t xml:space="preserve"> </w:t>
      </w:r>
      <w:proofErr w:type="gramEnd"/>
    </w:p>
    <w:p w:rsidR="00DE1C16" w:rsidRPr="002237F0" w:rsidRDefault="00DE1C16" w:rsidP="00E439ED">
      <w:pPr>
        <w:rPr>
          <w:lang w:val="nl-NL"/>
        </w:rPr>
      </w:pPr>
      <w:r w:rsidRPr="002237F0">
        <w:rPr>
          <w:lang w:val="nl-NL"/>
        </w:rPr>
        <w:t xml:space="preserve">Bij een </w:t>
      </w:r>
      <w:proofErr w:type="spellStart"/>
      <w:r w:rsidRPr="002237F0">
        <w:rPr>
          <w:lang w:val="nl-NL"/>
        </w:rPr>
        <w:t>hedge</w:t>
      </w:r>
      <w:r w:rsidR="00345B2F" w:rsidRPr="002237F0">
        <w:rPr>
          <w:lang w:val="nl-NL"/>
        </w:rPr>
        <w:t>-</w:t>
      </w:r>
      <w:r w:rsidRPr="002237F0">
        <w:rPr>
          <w:lang w:val="nl-NL"/>
        </w:rPr>
        <w:t>instrument</w:t>
      </w:r>
      <w:proofErr w:type="spellEnd"/>
      <w:r w:rsidRPr="002237F0">
        <w:rPr>
          <w:lang w:val="nl-NL"/>
        </w:rPr>
        <w:t xml:space="preserve"> zonder de toepassing van </w:t>
      </w:r>
      <w:proofErr w:type="spellStart"/>
      <w:r w:rsidRPr="002237F0">
        <w:rPr>
          <w:lang w:val="nl-NL"/>
        </w:rPr>
        <w:t>hedge</w:t>
      </w:r>
      <w:proofErr w:type="spellEnd"/>
      <w:r w:rsidRPr="002237F0">
        <w:rPr>
          <w:lang w:val="nl-NL"/>
        </w:rPr>
        <w:t xml:space="preserve"> accounting levert dit we</w:t>
      </w:r>
      <w:r w:rsidR="002E7830" w:rsidRPr="002237F0">
        <w:rPr>
          <w:lang w:val="nl-NL"/>
        </w:rPr>
        <w:t>d</w:t>
      </w:r>
      <w:r w:rsidRPr="002237F0">
        <w:rPr>
          <w:lang w:val="nl-NL"/>
        </w:rPr>
        <w:t>er</w:t>
      </w:r>
      <w:r w:rsidR="002E7830" w:rsidRPr="002237F0">
        <w:rPr>
          <w:lang w:val="nl-NL"/>
        </w:rPr>
        <w:t>om</w:t>
      </w:r>
      <w:r w:rsidRPr="002237F0">
        <w:rPr>
          <w:lang w:val="nl-NL"/>
        </w:rPr>
        <w:t xml:space="preserve"> problemen op. Derivaten worden namelijk gewaardeerd tegen de reële waarde, met waardeveranderingen direct verwerkt in het resultaat.</w:t>
      </w:r>
      <w:r w:rsidR="00D700E6" w:rsidRPr="002237F0">
        <w:rPr>
          <w:lang w:val="nl-NL"/>
        </w:rPr>
        <w:t xml:space="preserve"> </w:t>
      </w:r>
      <w:proofErr w:type="spellStart"/>
      <w:r w:rsidR="002E7830" w:rsidRPr="002237F0">
        <w:rPr>
          <w:lang w:val="nl-NL"/>
        </w:rPr>
        <w:t>Held-to-maturity</w:t>
      </w:r>
      <w:proofErr w:type="spellEnd"/>
      <w:r w:rsidR="002E7830" w:rsidRPr="002237F0">
        <w:rPr>
          <w:lang w:val="nl-NL"/>
        </w:rPr>
        <w:t xml:space="preserve"> instrumenten en niet verhandelbare schulden worden echter gewaardee</w:t>
      </w:r>
      <w:r w:rsidR="007415B1" w:rsidRPr="002237F0">
        <w:rPr>
          <w:lang w:val="nl-NL"/>
        </w:rPr>
        <w:t>rd tegen het interestpercentage. W</w:t>
      </w:r>
      <w:r w:rsidR="002E7830" w:rsidRPr="002237F0">
        <w:rPr>
          <w:lang w:val="nl-NL"/>
        </w:rPr>
        <w:t>aardeveranderingen</w:t>
      </w:r>
      <w:r w:rsidR="007415B1" w:rsidRPr="002237F0">
        <w:rPr>
          <w:lang w:val="nl-NL"/>
        </w:rPr>
        <w:t xml:space="preserve"> hiervan</w:t>
      </w:r>
      <w:r w:rsidR="002E7830" w:rsidRPr="002237F0">
        <w:rPr>
          <w:lang w:val="nl-NL"/>
        </w:rPr>
        <w:t xml:space="preserve"> zijn niet zo acuut als die van het derivaat</w:t>
      </w:r>
      <w:sdt>
        <w:sdtPr>
          <w:rPr>
            <w:lang w:val="nl-NL"/>
          </w:rPr>
          <w:id w:val="2041120"/>
          <w:citation/>
        </w:sdtPr>
        <w:sdtContent>
          <w:r w:rsidR="003C13F3" w:rsidRPr="002237F0">
            <w:rPr>
              <w:lang w:val="nl-NL"/>
            </w:rPr>
            <w:fldChar w:fldCharType="begin"/>
          </w:r>
          <w:r w:rsidR="000D1E6D" w:rsidRPr="002237F0">
            <w:rPr>
              <w:lang w:val="nl-NL"/>
            </w:rPr>
            <w:instrText xml:space="preserve"> CITATION Woo04 \l 1043 </w:instrText>
          </w:r>
          <w:r w:rsidR="003C13F3" w:rsidRPr="002237F0">
            <w:rPr>
              <w:lang w:val="nl-NL"/>
            </w:rPr>
            <w:fldChar w:fldCharType="separate"/>
          </w:r>
          <w:r w:rsidR="000D1E6D" w:rsidRPr="002237F0">
            <w:rPr>
              <w:noProof/>
              <w:lang w:val="nl-NL"/>
            </w:rPr>
            <w:t xml:space="preserve"> (Woods &amp; Marginson, 2004)</w:t>
          </w:r>
          <w:r w:rsidR="003C13F3" w:rsidRPr="002237F0">
            <w:rPr>
              <w:lang w:val="nl-NL"/>
            </w:rPr>
            <w:fldChar w:fldCharType="end"/>
          </w:r>
        </w:sdtContent>
      </w:sdt>
      <w:r w:rsidR="002E7830" w:rsidRPr="002237F0">
        <w:rPr>
          <w:lang w:val="nl-NL"/>
        </w:rPr>
        <w:t>.</w:t>
      </w:r>
      <w:r w:rsidRPr="002237F0">
        <w:rPr>
          <w:lang w:val="nl-NL"/>
        </w:rPr>
        <w:t xml:space="preserve"> </w:t>
      </w:r>
    </w:p>
    <w:p w:rsidR="00D700E6" w:rsidRPr="002237F0" w:rsidRDefault="00370A32" w:rsidP="00E439ED">
      <w:pPr>
        <w:rPr>
          <w:lang w:val="nl-NL"/>
        </w:rPr>
      </w:pPr>
      <w:r w:rsidRPr="002237F0">
        <w:rPr>
          <w:lang w:val="nl-NL"/>
        </w:rPr>
        <w:t xml:space="preserve">De nieuwe toepassing voor het gebruik van </w:t>
      </w:r>
      <w:proofErr w:type="spellStart"/>
      <w:r w:rsidRPr="002237F0">
        <w:rPr>
          <w:lang w:val="nl-NL"/>
        </w:rPr>
        <w:t>hedge</w:t>
      </w:r>
      <w:proofErr w:type="spellEnd"/>
      <w:r w:rsidRPr="002237F0">
        <w:rPr>
          <w:lang w:val="nl-NL"/>
        </w:rPr>
        <w:t xml:space="preserve"> accounting die in 2001 is geïntroduceerd i</w:t>
      </w:r>
      <w:r w:rsidR="007415B1" w:rsidRPr="002237F0">
        <w:rPr>
          <w:lang w:val="nl-NL"/>
        </w:rPr>
        <w:t>s nog steeds geldig</w:t>
      </w:r>
      <w:r w:rsidR="00D700E6" w:rsidRPr="002237F0">
        <w:rPr>
          <w:lang w:val="nl-NL"/>
        </w:rPr>
        <w:t xml:space="preserve">. Het huidige verschil dat wij kennen tussen reële waarde </w:t>
      </w:r>
      <w:proofErr w:type="spellStart"/>
      <w:r w:rsidR="00D700E6" w:rsidRPr="002237F0">
        <w:rPr>
          <w:lang w:val="nl-NL"/>
        </w:rPr>
        <w:t>hedge</w:t>
      </w:r>
      <w:proofErr w:type="spellEnd"/>
      <w:r w:rsidR="00D700E6" w:rsidRPr="002237F0">
        <w:rPr>
          <w:lang w:val="nl-NL"/>
        </w:rPr>
        <w:t xml:space="preserve"> accounting en </w:t>
      </w:r>
      <w:proofErr w:type="spellStart"/>
      <w:r w:rsidR="00D700E6" w:rsidRPr="002237F0">
        <w:rPr>
          <w:lang w:val="nl-NL"/>
        </w:rPr>
        <w:t>kasstroomhedge</w:t>
      </w:r>
      <w:proofErr w:type="spellEnd"/>
      <w:r w:rsidR="00D700E6" w:rsidRPr="002237F0">
        <w:rPr>
          <w:lang w:val="nl-NL"/>
        </w:rPr>
        <w:t xml:space="preserve"> accounting werd</w:t>
      </w:r>
      <w:r w:rsidRPr="002237F0">
        <w:rPr>
          <w:lang w:val="nl-NL"/>
        </w:rPr>
        <w:t xml:space="preserve"> destijds</w:t>
      </w:r>
      <w:r w:rsidR="00D700E6" w:rsidRPr="002237F0">
        <w:rPr>
          <w:lang w:val="nl-NL"/>
        </w:rPr>
        <w:t xml:space="preserve"> </w:t>
      </w:r>
      <w:r w:rsidR="00533A53" w:rsidRPr="002237F0">
        <w:rPr>
          <w:lang w:val="nl-NL"/>
        </w:rPr>
        <w:t xml:space="preserve">gemaakt. </w:t>
      </w:r>
    </w:p>
    <w:p w:rsidR="00CF616D" w:rsidRPr="002237F0" w:rsidRDefault="00CF616D" w:rsidP="007E2C3F">
      <w:pPr>
        <w:rPr>
          <w:b/>
          <w:sz w:val="28"/>
          <w:lang w:val="nl-NL"/>
        </w:rPr>
      </w:pPr>
      <w:r w:rsidRPr="002237F0">
        <w:rPr>
          <w:b/>
          <w:sz w:val="28"/>
          <w:lang w:val="nl-NL"/>
        </w:rPr>
        <w:t>2.2. Problemen bij banken</w:t>
      </w:r>
      <w:r w:rsidR="000D1E6D" w:rsidRPr="002237F0">
        <w:rPr>
          <w:b/>
          <w:sz w:val="28"/>
          <w:lang w:val="nl-NL"/>
        </w:rPr>
        <w:t xml:space="preserve"> en </w:t>
      </w:r>
      <w:r w:rsidR="000720BB" w:rsidRPr="002237F0">
        <w:rPr>
          <w:b/>
          <w:sz w:val="28"/>
          <w:lang w:val="nl-NL"/>
        </w:rPr>
        <w:t>de rol van de bankensector in de crisis</w:t>
      </w:r>
    </w:p>
    <w:p w:rsidR="00D5769B" w:rsidRPr="002237F0" w:rsidRDefault="00E1116F" w:rsidP="007E2C3F">
      <w:pPr>
        <w:rPr>
          <w:lang w:val="nl-NL"/>
        </w:rPr>
      </w:pPr>
      <w:r w:rsidRPr="002237F0">
        <w:rPr>
          <w:lang w:val="nl-NL"/>
        </w:rPr>
        <w:t>Naar aanleiding van de kredietcrisis zijn er enkele aanpassing</w:t>
      </w:r>
      <w:r w:rsidR="000720BB" w:rsidRPr="002237F0">
        <w:rPr>
          <w:lang w:val="nl-NL"/>
        </w:rPr>
        <w:t>en</w:t>
      </w:r>
      <w:r w:rsidRPr="002237F0">
        <w:rPr>
          <w:lang w:val="nl-NL"/>
        </w:rPr>
        <w:t xml:space="preserve"> gedaan aan zowel</w:t>
      </w:r>
      <w:r w:rsidR="000D1E6D" w:rsidRPr="002237F0">
        <w:rPr>
          <w:lang w:val="nl-NL"/>
        </w:rPr>
        <w:t xml:space="preserve"> de</w:t>
      </w:r>
      <w:r w:rsidRPr="002237F0">
        <w:rPr>
          <w:lang w:val="nl-NL"/>
        </w:rPr>
        <w:t xml:space="preserve"> IFRS als aan de Amerikaanse regelgeving. Voordat de aangepaste regelgeving bespro</w:t>
      </w:r>
      <w:r w:rsidR="000D1E6D" w:rsidRPr="002237F0">
        <w:rPr>
          <w:lang w:val="nl-NL"/>
        </w:rPr>
        <w:t>ken wordt is het verstandig</w:t>
      </w:r>
      <w:r w:rsidRPr="002237F0">
        <w:rPr>
          <w:lang w:val="nl-NL"/>
        </w:rPr>
        <w:t xml:space="preserve"> op de aard van de kredietcrisis in te gaan en </w:t>
      </w:r>
      <w:r w:rsidR="000D1E6D" w:rsidRPr="002237F0">
        <w:rPr>
          <w:lang w:val="nl-NL"/>
        </w:rPr>
        <w:t xml:space="preserve">op </w:t>
      </w:r>
      <w:r w:rsidRPr="002237F0">
        <w:rPr>
          <w:lang w:val="nl-NL"/>
        </w:rPr>
        <w:t xml:space="preserve">de problemen die zich voordeden bij banken. Het is </w:t>
      </w:r>
      <w:r w:rsidR="001C5D90" w:rsidRPr="002237F0">
        <w:rPr>
          <w:lang w:val="nl-NL"/>
        </w:rPr>
        <w:t>vandaag de dag</w:t>
      </w:r>
      <w:r w:rsidRPr="002237F0">
        <w:rPr>
          <w:lang w:val="nl-NL"/>
        </w:rPr>
        <w:t xml:space="preserve"> </w:t>
      </w:r>
      <w:r w:rsidR="000D1E6D" w:rsidRPr="002237F0">
        <w:rPr>
          <w:lang w:val="nl-NL"/>
        </w:rPr>
        <w:t>algemeen aanvaard</w:t>
      </w:r>
      <w:r w:rsidRPr="002237F0">
        <w:rPr>
          <w:lang w:val="nl-NL"/>
        </w:rPr>
        <w:t xml:space="preserve"> dat </w:t>
      </w:r>
      <w:r w:rsidR="00533A53" w:rsidRPr="002237F0">
        <w:rPr>
          <w:lang w:val="nl-NL"/>
        </w:rPr>
        <w:t xml:space="preserve">de crisis op </w:t>
      </w:r>
      <w:r w:rsidRPr="002237F0">
        <w:rPr>
          <w:lang w:val="nl-NL"/>
        </w:rPr>
        <w:t xml:space="preserve">de Amerikaanse hypothekenmarkt </w:t>
      </w:r>
      <w:r w:rsidR="00EE449F" w:rsidRPr="002237F0">
        <w:rPr>
          <w:lang w:val="nl-NL"/>
        </w:rPr>
        <w:t>begon</w:t>
      </w:r>
      <w:sdt>
        <w:sdtPr>
          <w:rPr>
            <w:lang w:val="nl-NL"/>
          </w:rPr>
          <w:id w:val="-304165799"/>
          <w:citation/>
        </w:sdtPr>
        <w:sdtContent>
          <w:r w:rsidR="003C13F3" w:rsidRPr="002237F0">
            <w:rPr>
              <w:lang w:val="nl-NL"/>
            </w:rPr>
            <w:fldChar w:fldCharType="begin"/>
          </w:r>
          <w:r w:rsidR="0002481A" w:rsidRPr="002237F0">
            <w:rPr>
              <w:lang w:val="nl-NL"/>
            </w:rPr>
            <w:instrText xml:space="preserve"> CITATION Ach09 \l 1033 </w:instrText>
          </w:r>
          <w:r w:rsidR="003C13F3" w:rsidRPr="002237F0">
            <w:rPr>
              <w:lang w:val="nl-NL"/>
            </w:rPr>
            <w:fldChar w:fldCharType="separate"/>
          </w:r>
          <w:r w:rsidR="00721EC3" w:rsidRPr="002237F0">
            <w:rPr>
              <w:noProof/>
              <w:lang w:val="nl-NL"/>
            </w:rPr>
            <w:t xml:space="preserve"> (Richardson &amp; Acharya, 2009)</w:t>
          </w:r>
          <w:r w:rsidR="003C13F3" w:rsidRPr="002237F0">
            <w:rPr>
              <w:lang w:val="nl-NL"/>
            </w:rPr>
            <w:fldChar w:fldCharType="end"/>
          </w:r>
        </w:sdtContent>
      </w:sdt>
      <w:r w:rsidR="00EE449F" w:rsidRPr="002237F0">
        <w:rPr>
          <w:lang w:val="nl-NL"/>
        </w:rPr>
        <w:t>.</w:t>
      </w:r>
    </w:p>
    <w:p w:rsidR="00345B2F" w:rsidRPr="002237F0" w:rsidRDefault="00345B2F" w:rsidP="007E2C3F">
      <w:pPr>
        <w:rPr>
          <w:b/>
          <w:lang w:val="nl-NL"/>
        </w:rPr>
      </w:pPr>
    </w:p>
    <w:p w:rsidR="00345B2F" w:rsidRPr="002237F0" w:rsidRDefault="00345B2F" w:rsidP="007E2C3F">
      <w:pPr>
        <w:rPr>
          <w:b/>
          <w:lang w:val="nl-NL"/>
        </w:rPr>
      </w:pPr>
    </w:p>
    <w:p w:rsidR="00D5769B" w:rsidRPr="002237F0" w:rsidRDefault="00D5769B" w:rsidP="007E2C3F">
      <w:pPr>
        <w:rPr>
          <w:b/>
          <w:lang w:val="nl-NL"/>
        </w:rPr>
      </w:pPr>
      <w:r w:rsidRPr="002237F0">
        <w:rPr>
          <w:b/>
          <w:lang w:val="nl-NL"/>
        </w:rPr>
        <w:t>Onrust op de hypothekenmarkt</w:t>
      </w:r>
      <w:r w:rsidR="00EE449F" w:rsidRPr="002237F0">
        <w:rPr>
          <w:lang w:val="nl-NL"/>
        </w:rPr>
        <w:t xml:space="preserve"> </w:t>
      </w:r>
      <w:r w:rsidRPr="002237F0">
        <w:rPr>
          <w:b/>
          <w:lang w:val="nl-NL"/>
        </w:rPr>
        <w:t>en bankencrisis</w:t>
      </w:r>
    </w:p>
    <w:p w:rsidR="00370A32" w:rsidRPr="002237F0" w:rsidRDefault="00EE449F" w:rsidP="007E2C3F">
      <w:pPr>
        <w:rPr>
          <w:lang w:val="nl-NL"/>
        </w:rPr>
      </w:pPr>
      <w:r w:rsidRPr="002237F0">
        <w:rPr>
          <w:lang w:val="nl-NL"/>
        </w:rPr>
        <w:t xml:space="preserve">Door een kunstmatig lage rente konden leningen tegen een zeer laag tarief afgesloten worden. Banken kwamen </w:t>
      </w:r>
      <w:r w:rsidR="00533A53" w:rsidRPr="002237F0">
        <w:rPr>
          <w:lang w:val="nl-NL"/>
        </w:rPr>
        <w:t>ge</w:t>
      </w:r>
      <w:r w:rsidRPr="002237F0">
        <w:rPr>
          <w:lang w:val="nl-NL"/>
        </w:rPr>
        <w:t xml:space="preserve">makkelijk aan geld, en begonnen ook hypotheken te verstrekken aan mensen die het </w:t>
      </w:r>
      <w:r w:rsidR="000D1E6D" w:rsidRPr="002237F0">
        <w:rPr>
          <w:lang w:val="nl-NL"/>
        </w:rPr>
        <w:t>zich eigenlijk niet konden veroorloven</w:t>
      </w:r>
      <w:r w:rsidRPr="002237F0">
        <w:rPr>
          <w:lang w:val="nl-NL"/>
        </w:rPr>
        <w:t xml:space="preserve">. Deze hypotheken werden in verschillende </w:t>
      </w:r>
      <w:proofErr w:type="spellStart"/>
      <w:r w:rsidRPr="002237F0">
        <w:rPr>
          <w:lang w:val="nl-NL"/>
        </w:rPr>
        <w:t>kredietwaardigheidspaketten</w:t>
      </w:r>
      <w:proofErr w:type="spellEnd"/>
      <w:r w:rsidRPr="002237F0">
        <w:rPr>
          <w:lang w:val="nl-NL"/>
        </w:rPr>
        <w:t xml:space="preserve"> doorverkocht aan derde</w:t>
      </w:r>
      <w:r w:rsidR="000D1E6D" w:rsidRPr="002237F0">
        <w:rPr>
          <w:lang w:val="nl-NL"/>
        </w:rPr>
        <w:t>n</w:t>
      </w:r>
      <w:r w:rsidRPr="002237F0">
        <w:rPr>
          <w:lang w:val="nl-NL"/>
        </w:rPr>
        <w:t>. Door een groeiende vraag naar huizen(meer mensen konden een hypoth</w:t>
      </w:r>
      <w:r w:rsidR="000D1E6D" w:rsidRPr="002237F0">
        <w:rPr>
          <w:lang w:val="nl-NL"/>
        </w:rPr>
        <w:t>ecaire lening afsluiten</w:t>
      </w:r>
      <w:r w:rsidRPr="002237F0">
        <w:rPr>
          <w:lang w:val="nl-NL"/>
        </w:rPr>
        <w:t>) steeg</w:t>
      </w:r>
      <w:r w:rsidR="000D1E6D" w:rsidRPr="002237F0">
        <w:rPr>
          <w:lang w:val="nl-NL"/>
        </w:rPr>
        <w:t xml:space="preserve"> de huizenprijs. Toen er echter </w:t>
      </w:r>
      <w:r w:rsidRPr="002237F0">
        <w:rPr>
          <w:lang w:val="nl-NL"/>
        </w:rPr>
        <w:t xml:space="preserve">wanbetalers kwamen begon de huizenprijs langzamerhand te dalen. Veel financiële instellingen hadden pakketten aan samengevoegde hypotheken die </w:t>
      </w:r>
      <w:r w:rsidR="000D1E6D" w:rsidRPr="002237F0">
        <w:rPr>
          <w:lang w:val="nl-NL"/>
        </w:rPr>
        <w:t>vrijwel niets</w:t>
      </w:r>
      <w:r w:rsidRPr="002237F0">
        <w:rPr>
          <w:lang w:val="nl-NL"/>
        </w:rPr>
        <w:t xml:space="preserve"> meer waard waren. Grote financiële instellingen kwamen hierdoor in de problemen</w:t>
      </w:r>
      <w:sdt>
        <w:sdtPr>
          <w:rPr>
            <w:lang w:val="nl-NL"/>
          </w:rPr>
          <w:id w:val="1137532522"/>
          <w:citation/>
        </w:sdtPr>
        <w:sdtContent>
          <w:r w:rsidR="003C13F3" w:rsidRPr="002237F0">
            <w:rPr>
              <w:lang w:val="nl-NL"/>
            </w:rPr>
            <w:fldChar w:fldCharType="begin"/>
          </w:r>
          <w:r w:rsidR="00A26D12" w:rsidRPr="002237F0">
            <w:rPr>
              <w:lang w:val="nl-NL"/>
            </w:rPr>
            <w:instrText xml:space="preserve"> CITATION Kot12 \l 1033 </w:instrText>
          </w:r>
          <w:r w:rsidR="003C13F3" w:rsidRPr="002237F0">
            <w:rPr>
              <w:lang w:val="nl-NL"/>
            </w:rPr>
            <w:fldChar w:fldCharType="separate"/>
          </w:r>
          <w:r w:rsidR="00721EC3" w:rsidRPr="002237F0">
            <w:rPr>
              <w:noProof/>
              <w:lang w:val="nl-NL"/>
            </w:rPr>
            <w:t xml:space="preserve"> (Kothari &amp; Lester, 2012)</w:t>
          </w:r>
          <w:r w:rsidR="003C13F3" w:rsidRPr="002237F0">
            <w:rPr>
              <w:lang w:val="nl-NL"/>
            </w:rPr>
            <w:fldChar w:fldCharType="end"/>
          </w:r>
        </w:sdtContent>
      </w:sdt>
      <w:r w:rsidRPr="002237F0">
        <w:rPr>
          <w:lang w:val="nl-NL"/>
        </w:rPr>
        <w:t xml:space="preserve">. Immers, hun financiële activa waren een stuk minder waard dan aanvankelijk gedacht. Daarnaast kwamen veel gezinnen in problemen doordat hun hypotheekschuld veel groter was dan de waarde van hun huis, die </w:t>
      </w:r>
      <w:proofErr w:type="gramStart"/>
      <w:r w:rsidR="003334D4" w:rsidRPr="002237F0">
        <w:rPr>
          <w:lang w:val="nl-NL"/>
        </w:rPr>
        <w:t>inmiddels</w:t>
      </w:r>
      <w:proofErr w:type="gramEnd"/>
      <w:r w:rsidR="00D5769B" w:rsidRPr="002237F0">
        <w:rPr>
          <w:lang w:val="nl-NL"/>
        </w:rPr>
        <w:t xml:space="preserve"> </w:t>
      </w:r>
      <w:r w:rsidRPr="002237F0">
        <w:rPr>
          <w:lang w:val="nl-NL"/>
        </w:rPr>
        <w:t xml:space="preserve">ver </w:t>
      </w:r>
      <w:r w:rsidR="000D1E6D" w:rsidRPr="002237F0">
        <w:rPr>
          <w:lang w:val="nl-NL"/>
        </w:rPr>
        <w:t>gedaald</w:t>
      </w:r>
      <w:r w:rsidRPr="002237F0">
        <w:rPr>
          <w:lang w:val="nl-NL"/>
        </w:rPr>
        <w:t xml:space="preserve"> was. </w:t>
      </w:r>
    </w:p>
    <w:p w:rsidR="00A600DB" w:rsidRPr="002237F0" w:rsidRDefault="00A600DB" w:rsidP="007E2C3F">
      <w:pPr>
        <w:rPr>
          <w:lang w:val="nl-NL"/>
        </w:rPr>
      </w:pPr>
      <w:r w:rsidRPr="002237F0">
        <w:rPr>
          <w:lang w:val="nl-NL"/>
        </w:rPr>
        <w:t xml:space="preserve">Nu bekend werd dat veel financiële instellingen veel waardeloze financiële producten in bezit hadden, waren banken minder bereid aan elkaar te lenen. Dit wordt ook wel </w:t>
      </w:r>
      <w:proofErr w:type="gramStart"/>
      <w:r w:rsidRPr="002237F0">
        <w:rPr>
          <w:lang w:val="nl-NL"/>
        </w:rPr>
        <w:t>de</w:t>
      </w:r>
      <w:proofErr w:type="gramEnd"/>
      <w:r w:rsidRPr="002237F0">
        <w:rPr>
          <w:lang w:val="nl-NL"/>
        </w:rPr>
        <w:t xml:space="preserve"> </w:t>
      </w:r>
      <w:r w:rsidRPr="002237F0">
        <w:rPr>
          <w:i/>
          <w:lang w:val="nl-NL"/>
        </w:rPr>
        <w:t xml:space="preserve">credit </w:t>
      </w:r>
      <w:proofErr w:type="spellStart"/>
      <w:r w:rsidRPr="002237F0">
        <w:rPr>
          <w:i/>
          <w:lang w:val="nl-NL"/>
        </w:rPr>
        <w:t>crunch</w:t>
      </w:r>
      <w:proofErr w:type="spellEnd"/>
      <w:r w:rsidRPr="002237F0">
        <w:rPr>
          <w:lang w:val="nl-NL"/>
        </w:rPr>
        <w:t xml:space="preserve"> genoemd. Uiteindelijk kwamen de eerste grote banken</w:t>
      </w:r>
      <w:r w:rsidR="00D5769B" w:rsidRPr="002237F0">
        <w:rPr>
          <w:lang w:val="nl-NL"/>
        </w:rPr>
        <w:t xml:space="preserve"> dus</w:t>
      </w:r>
      <w:r w:rsidRPr="002237F0">
        <w:rPr>
          <w:lang w:val="nl-NL"/>
        </w:rPr>
        <w:t xml:space="preserve"> in de problemen. </w:t>
      </w:r>
      <w:proofErr w:type="spellStart"/>
      <w:r w:rsidRPr="002237F0">
        <w:rPr>
          <w:lang w:val="nl-NL"/>
        </w:rPr>
        <w:t>Lehman</w:t>
      </w:r>
      <w:proofErr w:type="spellEnd"/>
      <w:r w:rsidRPr="002237F0">
        <w:rPr>
          <w:lang w:val="nl-NL"/>
        </w:rPr>
        <w:t xml:space="preserve"> </w:t>
      </w:r>
      <w:proofErr w:type="spellStart"/>
      <w:r w:rsidRPr="002237F0">
        <w:rPr>
          <w:lang w:val="nl-NL"/>
        </w:rPr>
        <w:t>Brothers</w:t>
      </w:r>
      <w:proofErr w:type="spellEnd"/>
      <w:r w:rsidRPr="002237F0">
        <w:rPr>
          <w:lang w:val="nl-NL"/>
        </w:rPr>
        <w:t xml:space="preserve"> in de Verenigde Staten is daarvan het beste voorbeeld. Ook in Nederl</w:t>
      </w:r>
      <w:r w:rsidR="006D3A03" w:rsidRPr="002237F0">
        <w:rPr>
          <w:lang w:val="nl-NL"/>
        </w:rPr>
        <w:t>and ging het mis,</w:t>
      </w:r>
      <w:r w:rsidRPr="002237F0">
        <w:rPr>
          <w:lang w:val="nl-NL"/>
        </w:rPr>
        <w:t xml:space="preserve"> hierbij</w:t>
      </w:r>
      <w:r w:rsidR="006D3A03" w:rsidRPr="002237F0">
        <w:rPr>
          <w:lang w:val="nl-NL"/>
        </w:rPr>
        <w:t xml:space="preserve"> kan gedacht worden</w:t>
      </w:r>
      <w:r w:rsidRPr="002237F0">
        <w:rPr>
          <w:lang w:val="nl-NL"/>
        </w:rPr>
        <w:t xml:space="preserve"> aan de FORTIS bank. </w:t>
      </w:r>
      <w:r w:rsidR="00D61D65" w:rsidRPr="002237F0">
        <w:rPr>
          <w:lang w:val="nl-NL"/>
        </w:rPr>
        <w:t>In veel gevallen moest de Staat ingrijpen en de bank redden.</w:t>
      </w:r>
      <w:r w:rsidR="006D3A03" w:rsidRPr="002237F0">
        <w:rPr>
          <w:lang w:val="nl-NL"/>
        </w:rPr>
        <w:t xml:space="preserve"> Dit gebeurde in Nederland in 2008 met de ABN AMRO bank en de FORTIS bank</w:t>
      </w:r>
      <w:r w:rsidR="006D3A03" w:rsidRPr="002237F0">
        <w:rPr>
          <w:rStyle w:val="FootnoteReference"/>
          <w:lang w:val="nl-NL"/>
        </w:rPr>
        <w:footnoteReference w:id="1"/>
      </w:r>
      <w:r w:rsidR="006D3A03" w:rsidRPr="002237F0">
        <w:rPr>
          <w:lang w:val="nl-NL"/>
        </w:rPr>
        <w:t>, in 2013 gebeurde dit met de SNS bank</w:t>
      </w:r>
      <w:r w:rsidR="006D3A03" w:rsidRPr="002237F0">
        <w:rPr>
          <w:rStyle w:val="FootnoteReference"/>
          <w:lang w:val="nl-NL"/>
        </w:rPr>
        <w:footnoteReference w:id="2"/>
      </w:r>
      <w:r w:rsidR="006D3A03" w:rsidRPr="002237F0">
        <w:rPr>
          <w:lang w:val="nl-NL"/>
        </w:rPr>
        <w:t xml:space="preserve">. </w:t>
      </w:r>
      <w:r w:rsidR="008C2E58" w:rsidRPr="002237F0">
        <w:rPr>
          <w:lang w:val="nl-NL"/>
        </w:rPr>
        <w:t xml:space="preserve">Internationaal gezien zijn </w:t>
      </w:r>
      <w:r w:rsidR="003334D4" w:rsidRPr="002237F0">
        <w:rPr>
          <w:lang w:val="nl-NL"/>
        </w:rPr>
        <w:t xml:space="preserve">de </w:t>
      </w:r>
      <w:r w:rsidR="008C2E58" w:rsidRPr="002237F0">
        <w:rPr>
          <w:lang w:val="nl-NL"/>
        </w:rPr>
        <w:t xml:space="preserve">Royal Bank of Scotland en </w:t>
      </w:r>
      <w:proofErr w:type="spellStart"/>
      <w:r w:rsidR="008C2E58" w:rsidRPr="002237F0">
        <w:rPr>
          <w:lang w:val="nl-NL"/>
        </w:rPr>
        <w:t>Northern</w:t>
      </w:r>
      <w:proofErr w:type="spellEnd"/>
      <w:r w:rsidR="008C2E58" w:rsidRPr="002237F0">
        <w:rPr>
          <w:lang w:val="nl-NL"/>
        </w:rPr>
        <w:t xml:space="preserve"> Rock bekende voorbeelden</w:t>
      </w:r>
      <w:r w:rsidR="008C2E58" w:rsidRPr="002237F0">
        <w:rPr>
          <w:rStyle w:val="FootnoteReference"/>
          <w:lang w:val="nl-NL"/>
        </w:rPr>
        <w:footnoteReference w:id="3"/>
      </w:r>
      <w:r w:rsidR="008C2E58" w:rsidRPr="002237F0">
        <w:rPr>
          <w:lang w:val="nl-NL"/>
        </w:rPr>
        <w:t>.</w:t>
      </w:r>
    </w:p>
    <w:p w:rsidR="00D5769B" w:rsidRPr="002237F0" w:rsidRDefault="00D5769B" w:rsidP="007E2C3F">
      <w:pPr>
        <w:rPr>
          <w:b/>
          <w:lang w:val="nl-NL"/>
        </w:rPr>
      </w:pPr>
      <w:r w:rsidRPr="002237F0">
        <w:rPr>
          <w:b/>
          <w:lang w:val="nl-NL"/>
        </w:rPr>
        <w:t>Rol van waarderingsmethoden</w:t>
      </w:r>
    </w:p>
    <w:p w:rsidR="000B12F6" w:rsidRPr="002237F0" w:rsidRDefault="000B12F6" w:rsidP="000B12F6">
      <w:pPr>
        <w:rPr>
          <w:lang w:val="nl-NL"/>
        </w:rPr>
      </w:pPr>
      <w:r w:rsidRPr="002237F0">
        <w:rPr>
          <w:lang w:val="nl-NL"/>
        </w:rPr>
        <w:t xml:space="preserve">Belangrijk was de manier waarop de hypotheekpakketten ofwel de </w:t>
      </w:r>
      <w:proofErr w:type="spellStart"/>
      <w:r w:rsidRPr="002237F0">
        <w:rPr>
          <w:lang w:val="nl-NL"/>
        </w:rPr>
        <w:t>Collateralized</w:t>
      </w:r>
      <w:proofErr w:type="spellEnd"/>
      <w:r w:rsidRPr="002237F0">
        <w:rPr>
          <w:lang w:val="nl-NL"/>
        </w:rPr>
        <w:t xml:space="preserve"> </w:t>
      </w:r>
      <w:proofErr w:type="spellStart"/>
      <w:r w:rsidRPr="002237F0">
        <w:rPr>
          <w:lang w:val="nl-NL"/>
        </w:rPr>
        <w:t>Debt</w:t>
      </w:r>
      <w:proofErr w:type="spellEnd"/>
      <w:r w:rsidRPr="002237F0">
        <w:rPr>
          <w:lang w:val="nl-NL"/>
        </w:rPr>
        <w:t xml:space="preserve"> </w:t>
      </w:r>
      <w:proofErr w:type="spellStart"/>
      <w:r w:rsidRPr="002237F0">
        <w:rPr>
          <w:lang w:val="nl-NL"/>
        </w:rPr>
        <w:t>Obligations</w:t>
      </w:r>
      <w:proofErr w:type="spellEnd"/>
      <w:r w:rsidRPr="002237F0">
        <w:rPr>
          <w:lang w:val="nl-NL"/>
        </w:rPr>
        <w:t>(</w:t>
      </w:r>
      <w:proofErr w:type="spellStart"/>
      <w:r w:rsidRPr="002237F0">
        <w:rPr>
          <w:lang w:val="nl-NL"/>
        </w:rPr>
        <w:t>CDO’s</w:t>
      </w:r>
      <w:proofErr w:type="spellEnd"/>
      <w:r w:rsidRPr="002237F0">
        <w:rPr>
          <w:lang w:val="nl-NL"/>
        </w:rPr>
        <w:t>) gewaa</w:t>
      </w:r>
      <w:r w:rsidR="008C2E58" w:rsidRPr="002237F0">
        <w:rPr>
          <w:lang w:val="nl-NL"/>
        </w:rPr>
        <w:t>rdeerd werden. Een reële waarde</w:t>
      </w:r>
      <w:r w:rsidRPr="002237F0">
        <w:rPr>
          <w:lang w:val="nl-NL"/>
        </w:rPr>
        <w:t>benadering was niet altijd mogelijk, en daarom geschiedde waardering door</w:t>
      </w:r>
      <w:r w:rsidR="008C2E58" w:rsidRPr="002237F0">
        <w:rPr>
          <w:lang w:val="nl-NL"/>
        </w:rPr>
        <w:t xml:space="preserve"> een</w:t>
      </w:r>
      <w:r w:rsidRPr="002237F0">
        <w:rPr>
          <w:lang w:val="nl-NL"/>
        </w:rPr>
        <w:t xml:space="preserve"> vergelijking met staatsobligaties. Hierbij werd wel rekening gehouden met kredietwaardigheid en kans op wanbetaling. Deze methode wordt de mark to model methode genoemd. Uiteindelijk werden de betalingsachterstanden zo groot dat de mark to model methode niet meer volstond, de </w:t>
      </w:r>
      <w:proofErr w:type="spellStart"/>
      <w:r w:rsidRPr="002237F0">
        <w:rPr>
          <w:lang w:val="nl-NL"/>
        </w:rPr>
        <w:t>CDO’s</w:t>
      </w:r>
      <w:proofErr w:type="spellEnd"/>
      <w:r w:rsidRPr="002237F0">
        <w:rPr>
          <w:lang w:val="nl-NL"/>
        </w:rPr>
        <w:t xml:space="preserve"> werden waardeloos</w:t>
      </w:r>
      <w:sdt>
        <w:sdtPr>
          <w:rPr>
            <w:lang w:val="nl-NL"/>
          </w:rPr>
          <w:id w:val="2041121"/>
          <w:citation/>
        </w:sdtPr>
        <w:sdtContent>
          <w:r w:rsidR="003C13F3" w:rsidRPr="002237F0">
            <w:rPr>
              <w:lang w:val="nl-NL"/>
            </w:rPr>
            <w:fldChar w:fldCharType="begin"/>
          </w:r>
          <w:r w:rsidR="008C2E58" w:rsidRPr="002237F0">
            <w:rPr>
              <w:lang w:val="nl-NL"/>
            </w:rPr>
            <w:instrText xml:space="preserve"> CITATION Bow10 \l 1043 </w:instrText>
          </w:r>
          <w:r w:rsidR="003C13F3" w:rsidRPr="002237F0">
            <w:rPr>
              <w:lang w:val="nl-NL"/>
            </w:rPr>
            <w:fldChar w:fldCharType="separate"/>
          </w:r>
          <w:r w:rsidR="008C2E58" w:rsidRPr="002237F0">
            <w:rPr>
              <w:noProof/>
              <w:lang w:val="nl-NL"/>
            </w:rPr>
            <w:t xml:space="preserve"> (Bowen, Khan, &amp; Rajgopal, 2010)</w:t>
          </w:r>
          <w:r w:rsidR="003C13F3" w:rsidRPr="002237F0">
            <w:rPr>
              <w:lang w:val="nl-NL"/>
            </w:rPr>
            <w:fldChar w:fldCharType="end"/>
          </w:r>
        </w:sdtContent>
      </w:sdt>
      <w:r w:rsidRPr="002237F0">
        <w:rPr>
          <w:lang w:val="nl-NL"/>
        </w:rPr>
        <w:t>.</w:t>
      </w:r>
    </w:p>
    <w:p w:rsidR="0069134C" w:rsidRPr="002237F0" w:rsidRDefault="00ED6910" w:rsidP="000B12F6">
      <w:pPr>
        <w:rPr>
          <w:lang w:val="nl-NL"/>
        </w:rPr>
      </w:pPr>
      <w:r w:rsidRPr="002237F0">
        <w:rPr>
          <w:lang w:val="nl-NL"/>
        </w:rPr>
        <w:t xml:space="preserve">In de literatuur is er veel geschreven over de rol van </w:t>
      </w:r>
      <w:r w:rsidR="0069134C" w:rsidRPr="002237F0">
        <w:rPr>
          <w:lang w:val="nl-NL"/>
        </w:rPr>
        <w:t xml:space="preserve">waarderingsmaatstaven binnen de bankensector tijdens de crisis. Niet alleen de fair </w:t>
      </w:r>
      <w:proofErr w:type="spellStart"/>
      <w:r w:rsidR="0069134C" w:rsidRPr="002237F0">
        <w:rPr>
          <w:lang w:val="nl-NL"/>
        </w:rPr>
        <w:t>value</w:t>
      </w:r>
      <w:proofErr w:type="spellEnd"/>
      <w:r w:rsidR="0069134C" w:rsidRPr="002237F0">
        <w:rPr>
          <w:lang w:val="nl-NL"/>
        </w:rPr>
        <w:t xml:space="preserve"> methode komt daarbij ter sprake. Zo zou de geamortiseerde kostprijs zich niet snel genoeg aanpassen aan de werkelijkheid, zodat verlies door waardedaling op bijvoorbeeld uitstaande leningen te laat genomen wordt</w:t>
      </w:r>
      <w:sdt>
        <w:sdtPr>
          <w:rPr>
            <w:lang w:val="nl-NL"/>
          </w:rPr>
          <w:id w:val="6811379"/>
          <w:citation/>
        </w:sdtPr>
        <w:sdtEndPr>
          <w:rPr>
            <w:b/>
          </w:rPr>
        </w:sdtEndPr>
        <w:sdtContent>
          <w:r w:rsidR="003C13F3" w:rsidRPr="002237F0">
            <w:rPr>
              <w:b/>
              <w:lang w:val="nl-NL"/>
            </w:rPr>
            <w:fldChar w:fldCharType="begin"/>
          </w:r>
          <w:r w:rsidR="0069134C" w:rsidRPr="002237F0">
            <w:rPr>
              <w:b/>
              <w:lang w:val="nl-NL"/>
            </w:rPr>
            <w:instrText xml:space="preserve"> CITATION Tho11 \l 1043 </w:instrText>
          </w:r>
          <w:r w:rsidR="003C13F3" w:rsidRPr="002237F0">
            <w:rPr>
              <w:b/>
              <w:lang w:val="nl-NL"/>
            </w:rPr>
            <w:fldChar w:fldCharType="separate"/>
          </w:r>
          <w:r w:rsidR="00721EC3" w:rsidRPr="002237F0">
            <w:rPr>
              <w:b/>
              <w:noProof/>
              <w:lang w:val="nl-NL"/>
            </w:rPr>
            <w:t xml:space="preserve"> </w:t>
          </w:r>
          <w:r w:rsidR="00721EC3" w:rsidRPr="002237F0">
            <w:rPr>
              <w:noProof/>
              <w:lang w:val="nl-NL"/>
            </w:rPr>
            <w:t>(Linsmeier, 2011)</w:t>
          </w:r>
          <w:r w:rsidR="003C13F3" w:rsidRPr="002237F0">
            <w:rPr>
              <w:b/>
              <w:lang w:val="nl-NL"/>
            </w:rPr>
            <w:fldChar w:fldCharType="end"/>
          </w:r>
        </w:sdtContent>
      </w:sdt>
      <w:r w:rsidR="0069134C" w:rsidRPr="002237F0">
        <w:rPr>
          <w:lang w:val="nl-NL"/>
        </w:rPr>
        <w:t xml:space="preserve">. Dit is gedurende de crisis bijvoorbeeld gebeurd bij partijen die een hypotheek hadden verleend aan mensen </w:t>
      </w:r>
      <w:r w:rsidR="008C2E58" w:rsidRPr="002237F0">
        <w:rPr>
          <w:lang w:val="nl-NL"/>
        </w:rPr>
        <w:t>die de interest en de aflossing</w:t>
      </w:r>
      <w:r w:rsidR="0069134C" w:rsidRPr="002237F0">
        <w:rPr>
          <w:lang w:val="nl-NL"/>
        </w:rPr>
        <w:t xml:space="preserve"> niet konden betalen. </w:t>
      </w:r>
      <w:r w:rsidR="008C2E58" w:rsidRPr="002237F0">
        <w:rPr>
          <w:lang w:val="nl-NL"/>
        </w:rPr>
        <w:t xml:space="preserve">Wanneer er gewaardeerd wordt tegen geamortiseerde kostprijs kan het zo zijn dat een bank minder snel in de gaten heeft dat een instrument minder waard wordt. Hierdoor kan er een </w:t>
      </w:r>
      <w:r w:rsidR="00A46B73" w:rsidRPr="002237F0">
        <w:rPr>
          <w:lang w:val="nl-NL"/>
        </w:rPr>
        <w:t>hausse</w:t>
      </w:r>
      <w:r w:rsidR="008C2E58" w:rsidRPr="002237F0">
        <w:rPr>
          <w:lang w:val="nl-NL"/>
        </w:rPr>
        <w:t xml:space="preserve"> ontstaan en kan er veel in waardeloze instrumenten geïnvesteerd worden</w:t>
      </w:r>
      <w:sdt>
        <w:sdtPr>
          <w:rPr>
            <w:lang w:val="nl-NL"/>
          </w:rPr>
          <w:id w:val="2041122"/>
          <w:citation/>
        </w:sdtPr>
        <w:sdtContent>
          <w:r w:rsidR="003C13F3" w:rsidRPr="002237F0">
            <w:rPr>
              <w:lang w:val="nl-NL"/>
            </w:rPr>
            <w:fldChar w:fldCharType="begin"/>
          </w:r>
          <w:r w:rsidR="008C2E58" w:rsidRPr="002237F0">
            <w:rPr>
              <w:lang w:val="nl-NL"/>
            </w:rPr>
            <w:instrText xml:space="preserve"> CITATION Tho11 \l 1043 </w:instrText>
          </w:r>
          <w:r w:rsidR="003C13F3" w:rsidRPr="002237F0">
            <w:rPr>
              <w:lang w:val="nl-NL"/>
            </w:rPr>
            <w:fldChar w:fldCharType="separate"/>
          </w:r>
          <w:r w:rsidR="008C2E58" w:rsidRPr="002237F0">
            <w:rPr>
              <w:noProof/>
              <w:lang w:val="nl-NL"/>
            </w:rPr>
            <w:t xml:space="preserve"> (Linsmeier, 2011)</w:t>
          </w:r>
          <w:r w:rsidR="003C13F3" w:rsidRPr="002237F0">
            <w:rPr>
              <w:lang w:val="nl-NL"/>
            </w:rPr>
            <w:fldChar w:fldCharType="end"/>
          </w:r>
        </w:sdtContent>
      </w:sdt>
      <w:r w:rsidR="008C2E58" w:rsidRPr="002237F0">
        <w:rPr>
          <w:lang w:val="nl-NL"/>
        </w:rPr>
        <w:t xml:space="preserve">. Van een </w:t>
      </w:r>
      <w:r w:rsidR="00A46B73" w:rsidRPr="002237F0">
        <w:rPr>
          <w:lang w:val="nl-NL"/>
        </w:rPr>
        <w:t>hausse</w:t>
      </w:r>
      <w:r w:rsidR="008C2E58" w:rsidRPr="002237F0">
        <w:rPr>
          <w:lang w:val="nl-NL"/>
        </w:rPr>
        <w:t xml:space="preserve"> is sprake wanneer er gedurende een periode</w:t>
      </w:r>
      <w:r w:rsidR="00A46B73" w:rsidRPr="002237F0">
        <w:rPr>
          <w:lang w:val="nl-NL"/>
        </w:rPr>
        <w:t xml:space="preserve"> als gevolg van een verhoogde vraag</w:t>
      </w:r>
      <w:r w:rsidR="008C2E58" w:rsidRPr="002237F0">
        <w:rPr>
          <w:lang w:val="nl-NL"/>
        </w:rPr>
        <w:t xml:space="preserve"> de marktwaarde van een bepaald goed hoger is dan de werkelijke waarde. </w:t>
      </w:r>
      <w:r w:rsidR="00A46B73" w:rsidRPr="002237F0">
        <w:rPr>
          <w:lang w:val="nl-NL"/>
        </w:rPr>
        <w:t>Een hausse is tijdelijk van duur</w:t>
      </w:r>
      <w:sdt>
        <w:sdtPr>
          <w:rPr>
            <w:lang w:val="nl-NL"/>
          </w:rPr>
          <w:id w:val="2041123"/>
          <w:citation/>
        </w:sdtPr>
        <w:sdtContent>
          <w:r w:rsidR="003C13F3" w:rsidRPr="002237F0">
            <w:rPr>
              <w:lang w:val="nl-NL"/>
            </w:rPr>
            <w:fldChar w:fldCharType="begin"/>
          </w:r>
          <w:r w:rsidR="00A46B73" w:rsidRPr="002237F0">
            <w:rPr>
              <w:lang w:val="nl-NL"/>
            </w:rPr>
            <w:instrText xml:space="preserve"> CITATION Ach09 \l 1043 </w:instrText>
          </w:r>
          <w:r w:rsidR="003C13F3" w:rsidRPr="002237F0">
            <w:rPr>
              <w:lang w:val="nl-NL"/>
            </w:rPr>
            <w:fldChar w:fldCharType="separate"/>
          </w:r>
          <w:r w:rsidR="00A46B73" w:rsidRPr="002237F0">
            <w:rPr>
              <w:noProof/>
              <w:lang w:val="nl-NL"/>
            </w:rPr>
            <w:t xml:space="preserve"> (Richardson &amp; Acharya, 2009)</w:t>
          </w:r>
          <w:r w:rsidR="003C13F3" w:rsidRPr="002237F0">
            <w:rPr>
              <w:lang w:val="nl-NL"/>
            </w:rPr>
            <w:fldChar w:fldCharType="end"/>
          </w:r>
        </w:sdtContent>
      </w:sdt>
      <w:r w:rsidR="008C2E58" w:rsidRPr="002237F0">
        <w:rPr>
          <w:lang w:val="nl-NL"/>
        </w:rPr>
        <w:t xml:space="preserve">. </w:t>
      </w:r>
    </w:p>
    <w:p w:rsidR="000E4912" w:rsidRPr="002237F0" w:rsidRDefault="00BE6417" w:rsidP="000B12F6">
      <w:pPr>
        <w:rPr>
          <w:lang w:val="nl-NL"/>
        </w:rPr>
      </w:pPr>
      <w:r w:rsidRPr="002237F0">
        <w:rPr>
          <w:lang w:val="nl-NL"/>
        </w:rPr>
        <w:t>F</w:t>
      </w:r>
      <w:r w:rsidR="00A46B73" w:rsidRPr="002237F0">
        <w:rPr>
          <w:lang w:val="nl-NL"/>
        </w:rPr>
        <w:t xml:space="preserve">air </w:t>
      </w:r>
      <w:proofErr w:type="spellStart"/>
      <w:r w:rsidR="00A46B73" w:rsidRPr="002237F0">
        <w:rPr>
          <w:lang w:val="nl-NL"/>
        </w:rPr>
        <w:t>value</w:t>
      </w:r>
      <w:proofErr w:type="spellEnd"/>
      <w:r w:rsidR="00A46B73" w:rsidRPr="002237F0">
        <w:rPr>
          <w:lang w:val="nl-NL"/>
        </w:rPr>
        <w:t xml:space="preserve"> accounting heeft bij het beginnen</w:t>
      </w:r>
      <w:r w:rsidRPr="002237F0">
        <w:rPr>
          <w:lang w:val="nl-NL"/>
        </w:rPr>
        <w:t xml:space="preserve"> van de crisis </w:t>
      </w:r>
      <w:r w:rsidR="00A46B73" w:rsidRPr="002237F0">
        <w:rPr>
          <w:lang w:val="nl-NL"/>
        </w:rPr>
        <w:t>veel</w:t>
      </w:r>
      <w:r w:rsidRPr="002237F0">
        <w:rPr>
          <w:lang w:val="nl-NL"/>
        </w:rPr>
        <w:t xml:space="preserve"> kritiek gekregen. Het zou de situatie alleen maar verergerd hebben. Of dit werkelijk zo is, daar wordt in een andere deelvraag op in gegaan. Nu wordt er slechts</w:t>
      </w:r>
      <w:r w:rsidR="00A46B73" w:rsidRPr="002237F0">
        <w:rPr>
          <w:lang w:val="nl-NL"/>
        </w:rPr>
        <w:t xml:space="preserve"> onderzocht</w:t>
      </w:r>
      <w:r w:rsidRPr="002237F0">
        <w:rPr>
          <w:lang w:val="nl-NL"/>
        </w:rPr>
        <w:t xml:space="preserve"> hoe waardering op reële waarde zich manifesteerde tijdens de crisis. </w:t>
      </w:r>
    </w:p>
    <w:p w:rsidR="00D5769B" w:rsidRPr="002237F0" w:rsidRDefault="00D5769B" w:rsidP="000B12F6">
      <w:pPr>
        <w:rPr>
          <w:b/>
          <w:lang w:val="nl-NL"/>
        </w:rPr>
      </w:pPr>
      <w:r w:rsidRPr="002237F0">
        <w:rPr>
          <w:b/>
          <w:lang w:val="nl-NL"/>
        </w:rPr>
        <w:t>Overige factoren</w:t>
      </w:r>
    </w:p>
    <w:p w:rsidR="00D5769B" w:rsidRPr="002237F0" w:rsidRDefault="00D5769B" w:rsidP="007E2C3F">
      <w:pPr>
        <w:rPr>
          <w:lang w:val="nl-NL"/>
        </w:rPr>
      </w:pPr>
      <w:r w:rsidRPr="002237F0">
        <w:rPr>
          <w:lang w:val="nl-NL"/>
        </w:rPr>
        <w:t xml:space="preserve">Een andere oorzaak wordt gezocht bij het minimum garantievermogen dat banken moeten aanhouden. </w:t>
      </w:r>
      <w:r w:rsidR="001A5B0B" w:rsidRPr="002237F0">
        <w:rPr>
          <w:lang w:val="nl-NL"/>
        </w:rPr>
        <w:t>Commerciële banken dienen van regulerende instanties een minimumkapitaal aan te houden tegenover risicovolle bezittingen</w:t>
      </w:r>
      <w:sdt>
        <w:sdtPr>
          <w:rPr>
            <w:lang w:val="nl-NL"/>
          </w:rPr>
          <w:id w:val="88674502"/>
          <w:citation/>
        </w:sdtPr>
        <w:sdtContent>
          <w:r w:rsidR="003C13F3" w:rsidRPr="002237F0">
            <w:rPr>
              <w:lang w:val="nl-NL"/>
            </w:rPr>
            <w:fldChar w:fldCharType="begin"/>
          </w:r>
          <w:r w:rsidR="00C47299" w:rsidRPr="002237F0">
            <w:rPr>
              <w:lang w:val="nl-NL"/>
            </w:rPr>
            <w:instrText xml:space="preserve"> CITATION Dru09 \l 1033 </w:instrText>
          </w:r>
          <w:r w:rsidR="003C13F3" w:rsidRPr="002237F0">
            <w:rPr>
              <w:lang w:val="nl-NL"/>
            </w:rPr>
            <w:fldChar w:fldCharType="separate"/>
          </w:r>
          <w:r w:rsidR="00C47299" w:rsidRPr="002237F0">
            <w:rPr>
              <w:noProof/>
              <w:lang w:val="nl-NL"/>
            </w:rPr>
            <w:t xml:space="preserve"> (Drumond, 2009)</w:t>
          </w:r>
          <w:r w:rsidR="003C13F3" w:rsidRPr="002237F0">
            <w:rPr>
              <w:lang w:val="nl-NL"/>
            </w:rPr>
            <w:fldChar w:fldCharType="end"/>
          </w:r>
        </w:sdtContent>
      </w:sdt>
      <w:r w:rsidR="00A46B73" w:rsidRPr="002237F0">
        <w:rPr>
          <w:lang w:val="nl-NL"/>
        </w:rPr>
        <w:t>. Dit met als doel</w:t>
      </w:r>
      <w:r w:rsidR="001A5B0B" w:rsidRPr="002237F0">
        <w:rPr>
          <w:lang w:val="nl-NL"/>
        </w:rPr>
        <w:t xml:space="preserve"> de klanten van de bank te beschermen. De hoeveelheid kapitaal die een bank moet hebben is afhankelijk van het risico dat een bank </w:t>
      </w:r>
      <w:r w:rsidR="00A46B73" w:rsidRPr="002237F0">
        <w:rPr>
          <w:lang w:val="nl-NL"/>
        </w:rPr>
        <w:t>loopt op</w:t>
      </w:r>
      <w:r w:rsidR="001A5B0B" w:rsidRPr="002237F0">
        <w:rPr>
          <w:lang w:val="nl-NL"/>
        </w:rPr>
        <w:t xml:space="preserve"> activa. </w:t>
      </w:r>
      <w:r w:rsidR="00135802" w:rsidRPr="002237F0">
        <w:rPr>
          <w:lang w:val="nl-NL"/>
        </w:rPr>
        <w:t xml:space="preserve">De </w:t>
      </w:r>
      <w:r w:rsidR="00A46B73" w:rsidRPr="002237F0">
        <w:rPr>
          <w:lang w:val="nl-NL"/>
        </w:rPr>
        <w:t xml:space="preserve">waardedaling op grote schaal van onder meer </w:t>
      </w:r>
      <w:proofErr w:type="spellStart"/>
      <w:r w:rsidR="00A46B73" w:rsidRPr="002237F0">
        <w:rPr>
          <w:lang w:val="nl-NL"/>
        </w:rPr>
        <w:t>hypotheekpaketten</w:t>
      </w:r>
      <w:proofErr w:type="spellEnd"/>
      <w:r w:rsidR="00135802" w:rsidRPr="002237F0">
        <w:rPr>
          <w:lang w:val="nl-NL"/>
        </w:rPr>
        <w:t xml:space="preserve"> die de kredietwaardigheid van veel risicovolle beleggingen deed verminderen</w:t>
      </w:r>
      <w:r w:rsidR="003334D4" w:rsidRPr="002237F0">
        <w:rPr>
          <w:lang w:val="nl-NL"/>
        </w:rPr>
        <w:t>,</w:t>
      </w:r>
      <w:r w:rsidR="00135802" w:rsidRPr="002237F0">
        <w:rPr>
          <w:lang w:val="nl-NL"/>
        </w:rPr>
        <w:t xml:space="preserve"> </w:t>
      </w:r>
      <w:r w:rsidR="0045129E" w:rsidRPr="002237F0">
        <w:rPr>
          <w:lang w:val="nl-NL"/>
        </w:rPr>
        <w:t>verminderde meteen de reële waarde</w:t>
      </w:r>
      <w:r w:rsidR="00A46B73" w:rsidRPr="002237F0">
        <w:rPr>
          <w:lang w:val="nl-NL"/>
        </w:rPr>
        <w:t xml:space="preserve"> van de banken zelf. Dat</w:t>
      </w:r>
      <w:r w:rsidR="0045129E" w:rsidRPr="002237F0">
        <w:rPr>
          <w:lang w:val="nl-NL"/>
        </w:rPr>
        <w:t xml:space="preserve"> was </w:t>
      </w:r>
      <w:r w:rsidR="00135802" w:rsidRPr="002237F0">
        <w:rPr>
          <w:lang w:val="nl-NL"/>
        </w:rPr>
        <w:t>desastreus voor veel banken</w:t>
      </w:r>
      <w:sdt>
        <w:sdtPr>
          <w:rPr>
            <w:lang w:val="nl-NL"/>
          </w:rPr>
          <w:id w:val="6811380"/>
          <w:citation/>
        </w:sdtPr>
        <w:sdtContent>
          <w:r w:rsidR="003C13F3" w:rsidRPr="002237F0">
            <w:rPr>
              <w:lang w:val="nl-NL"/>
            </w:rPr>
            <w:fldChar w:fldCharType="begin"/>
          </w:r>
          <w:r w:rsidR="00135802" w:rsidRPr="002237F0">
            <w:rPr>
              <w:lang w:val="nl-NL"/>
            </w:rPr>
            <w:instrText xml:space="preserve"> CITATION Mer12 \l 1043 </w:instrText>
          </w:r>
          <w:r w:rsidR="003C13F3" w:rsidRPr="002237F0">
            <w:rPr>
              <w:lang w:val="nl-NL"/>
            </w:rPr>
            <w:fldChar w:fldCharType="separate"/>
          </w:r>
          <w:r w:rsidR="00721EC3" w:rsidRPr="002237F0">
            <w:rPr>
              <w:noProof/>
              <w:lang w:val="nl-NL"/>
            </w:rPr>
            <w:t xml:space="preserve"> (Merrill, Nadauld, Stulz, &amp; Sherlund, 2012)</w:t>
          </w:r>
          <w:r w:rsidR="003C13F3" w:rsidRPr="002237F0">
            <w:rPr>
              <w:lang w:val="nl-NL"/>
            </w:rPr>
            <w:fldChar w:fldCharType="end"/>
          </w:r>
        </w:sdtContent>
      </w:sdt>
      <w:proofErr w:type="gramStart"/>
      <w:r w:rsidR="00135802" w:rsidRPr="002237F0">
        <w:rPr>
          <w:lang w:val="nl-NL"/>
        </w:rPr>
        <w:t xml:space="preserve">.  </w:t>
      </w:r>
      <w:proofErr w:type="gramEnd"/>
      <w:r w:rsidR="00135802" w:rsidRPr="002237F0">
        <w:rPr>
          <w:lang w:val="nl-NL"/>
        </w:rPr>
        <w:t xml:space="preserve">Aan de ene kant waren de activa ineens een stuk minder waard. Daarnaast werd het risicoprofiel van een bank opeens veel hoger, waardoor de </w:t>
      </w:r>
      <w:r w:rsidR="00A46B73" w:rsidRPr="002237F0">
        <w:rPr>
          <w:lang w:val="nl-NL"/>
        </w:rPr>
        <w:t>bank eigenlijk verplicht werd</w:t>
      </w:r>
      <w:r w:rsidR="00135802" w:rsidRPr="002237F0">
        <w:rPr>
          <w:lang w:val="nl-NL"/>
        </w:rPr>
        <w:t xml:space="preserve"> meer activa </w:t>
      </w:r>
      <w:r w:rsidR="00A46B73" w:rsidRPr="002237F0">
        <w:rPr>
          <w:lang w:val="nl-NL"/>
        </w:rPr>
        <w:t>op te nemen</w:t>
      </w:r>
      <w:r w:rsidR="00135802" w:rsidRPr="002237F0">
        <w:rPr>
          <w:lang w:val="nl-NL"/>
        </w:rPr>
        <w:t>. Het zich ontdoen van de risicovolle beleggingen was een goede optie, waardoor niemand deze risicovolle beleggingen meer wilde hebben</w:t>
      </w:r>
      <w:sdt>
        <w:sdtPr>
          <w:rPr>
            <w:lang w:val="nl-NL"/>
          </w:rPr>
          <w:id w:val="2041124"/>
          <w:citation/>
        </w:sdtPr>
        <w:sdtContent>
          <w:r w:rsidR="003C13F3" w:rsidRPr="002237F0">
            <w:rPr>
              <w:lang w:val="nl-NL"/>
            </w:rPr>
            <w:fldChar w:fldCharType="begin"/>
          </w:r>
          <w:r w:rsidR="00A46B73" w:rsidRPr="002237F0">
            <w:rPr>
              <w:lang w:val="nl-NL"/>
            </w:rPr>
            <w:instrText xml:space="preserve"> CITATION Bis10 \t  \l 1043  </w:instrText>
          </w:r>
          <w:r w:rsidR="003C13F3" w:rsidRPr="002237F0">
            <w:rPr>
              <w:lang w:val="nl-NL"/>
            </w:rPr>
            <w:fldChar w:fldCharType="separate"/>
          </w:r>
          <w:r w:rsidR="00A46B73" w:rsidRPr="002237F0">
            <w:rPr>
              <w:noProof/>
              <w:lang w:val="nl-NL"/>
            </w:rPr>
            <w:t xml:space="preserve"> (Bischof, Brüggeman, &amp; Daske, 2010)</w:t>
          </w:r>
          <w:r w:rsidR="003C13F3" w:rsidRPr="002237F0">
            <w:rPr>
              <w:lang w:val="nl-NL"/>
            </w:rPr>
            <w:fldChar w:fldCharType="end"/>
          </w:r>
        </w:sdtContent>
      </w:sdt>
      <w:r w:rsidR="00135802" w:rsidRPr="002237F0">
        <w:rPr>
          <w:lang w:val="nl-NL"/>
        </w:rPr>
        <w:t>.</w:t>
      </w:r>
      <w:r w:rsidR="00E276A9" w:rsidRPr="002237F0">
        <w:rPr>
          <w:lang w:val="nl-NL"/>
        </w:rPr>
        <w:t xml:space="preserve"> Hoofdstuk 4 gaat in grote mate over het minimumgarantievermogen, daar wordt er dan ook op teruggekomen.</w:t>
      </w:r>
      <w:r w:rsidR="00135802" w:rsidRPr="002237F0">
        <w:rPr>
          <w:lang w:val="nl-NL"/>
        </w:rPr>
        <w:t xml:space="preserve"> </w:t>
      </w:r>
    </w:p>
    <w:p w:rsidR="004812D6" w:rsidRPr="002237F0" w:rsidRDefault="00D5769B" w:rsidP="007E2C3F">
      <w:pPr>
        <w:rPr>
          <w:lang w:val="nl-NL"/>
        </w:rPr>
      </w:pPr>
      <w:r w:rsidRPr="002237F0">
        <w:rPr>
          <w:lang w:val="nl-NL"/>
        </w:rPr>
        <w:t>Uiteindelijk was er</w:t>
      </w:r>
      <w:r w:rsidR="00135802" w:rsidRPr="002237F0">
        <w:rPr>
          <w:lang w:val="nl-NL"/>
        </w:rPr>
        <w:t xml:space="preserve"> nauwelijks een liquide markt meer voor bepaalde financiële instrumenten, waardoor </w:t>
      </w:r>
      <w:r w:rsidRPr="002237F0">
        <w:rPr>
          <w:lang w:val="nl-NL"/>
        </w:rPr>
        <w:t>veel banken trachtten de niveau-3 waardering te gebruiken</w:t>
      </w:r>
      <w:r w:rsidR="00135802" w:rsidRPr="002237F0">
        <w:rPr>
          <w:lang w:val="nl-NL"/>
        </w:rPr>
        <w:t>. Vooral in Europa laaide de discussie op of de reële waarde benadering niet te weinig betrouwbaar was en niet te veel meeging met de conjunctuur</w:t>
      </w:r>
      <w:r w:rsidR="00135802" w:rsidRPr="002237F0">
        <w:rPr>
          <w:noProof/>
          <w:lang w:val="nl-NL"/>
        </w:rPr>
        <w:t>(</w:t>
      </w:r>
      <w:proofErr w:type="spellStart"/>
      <w:r w:rsidR="00135802" w:rsidRPr="002237F0">
        <w:rPr>
          <w:noProof/>
          <w:lang w:val="nl-NL"/>
        </w:rPr>
        <w:t>Bischof</w:t>
      </w:r>
      <w:proofErr w:type="spellEnd"/>
      <w:r w:rsidR="00135802" w:rsidRPr="002237F0">
        <w:rPr>
          <w:noProof/>
          <w:lang w:val="nl-NL"/>
        </w:rPr>
        <w:t>, Brüggeman, &amp; Daske, 2010)</w:t>
      </w:r>
      <w:r w:rsidR="00135802" w:rsidRPr="002237F0">
        <w:rPr>
          <w:lang w:val="nl-NL"/>
        </w:rPr>
        <w:t>.</w:t>
      </w:r>
      <w:r w:rsidR="000720BB" w:rsidRPr="002237F0">
        <w:rPr>
          <w:lang w:val="nl-NL"/>
        </w:rPr>
        <w:t xml:space="preserve"> Het was niet zozeer de vraag of de reële waardering de oorzaak was of niet(wat in het volgende hoofdstuk aan bod komt). Het probleem was dat een reë</w:t>
      </w:r>
      <w:r w:rsidR="00B81A25" w:rsidRPr="002237F0">
        <w:rPr>
          <w:lang w:val="nl-NL"/>
        </w:rPr>
        <w:t xml:space="preserve">le waardering door alle </w:t>
      </w:r>
      <w:proofErr w:type="spellStart"/>
      <w:r w:rsidR="00B81A25" w:rsidRPr="002237F0">
        <w:rPr>
          <w:lang w:val="nl-NL"/>
        </w:rPr>
        <w:t>markthec</w:t>
      </w:r>
      <w:r w:rsidR="000720BB" w:rsidRPr="002237F0">
        <w:rPr>
          <w:lang w:val="nl-NL"/>
        </w:rPr>
        <w:t>tiek</w:t>
      </w:r>
      <w:proofErr w:type="spellEnd"/>
      <w:r w:rsidR="000720BB" w:rsidRPr="002237F0">
        <w:rPr>
          <w:lang w:val="nl-NL"/>
        </w:rPr>
        <w:t xml:space="preserve"> </w:t>
      </w:r>
      <w:r w:rsidRPr="002237F0">
        <w:rPr>
          <w:lang w:val="nl-NL"/>
        </w:rPr>
        <w:t xml:space="preserve">vaak </w:t>
      </w:r>
      <w:r w:rsidR="000720BB" w:rsidRPr="002237F0">
        <w:rPr>
          <w:lang w:val="nl-NL"/>
        </w:rPr>
        <w:t>niet meer mogelijk was.</w:t>
      </w:r>
      <w:r w:rsidR="00B81A25" w:rsidRPr="002237F0">
        <w:rPr>
          <w:lang w:val="nl-NL"/>
        </w:rPr>
        <w:t xml:space="preserve"> </w:t>
      </w:r>
    </w:p>
    <w:p w:rsidR="001210BB" w:rsidRPr="002237F0" w:rsidRDefault="00CF616D" w:rsidP="007E2C3F">
      <w:pPr>
        <w:rPr>
          <w:lang w:val="nl-NL"/>
        </w:rPr>
      </w:pPr>
      <w:r w:rsidRPr="002237F0">
        <w:rPr>
          <w:b/>
          <w:sz w:val="28"/>
          <w:lang w:val="nl-NL"/>
        </w:rPr>
        <w:t>2.3. Vera</w:t>
      </w:r>
      <w:r w:rsidR="00CF62C3" w:rsidRPr="002237F0">
        <w:rPr>
          <w:b/>
          <w:sz w:val="28"/>
          <w:lang w:val="nl-NL"/>
        </w:rPr>
        <w:t>nder</w:t>
      </w:r>
      <w:r w:rsidR="00A46B73" w:rsidRPr="002237F0">
        <w:rPr>
          <w:b/>
          <w:sz w:val="28"/>
          <w:lang w:val="nl-NL"/>
        </w:rPr>
        <w:t>ing v</w:t>
      </w:r>
      <w:r w:rsidRPr="002237F0">
        <w:rPr>
          <w:b/>
          <w:sz w:val="28"/>
          <w:lang w:val="nl-NL"/>
        </w:rPr>
        <w:t>an de regelgeving</w:t>
      </w:r>
    </w:p>
    <w:p w:rsidR="001210BB" w:rsidRPr="002237F0" w:rsidRDefault="00CF62C3" w:rsidP="007E2C3F">
      <w:pPr>
        <w:rPr>
          <w:lang w:val="nl-NL"/>
        </w:rPr>
      </w:pPr>
      <w:r w:rsidRPr="002237F0">
        <w:rPr>
          <w:lang w:val="nl-NL"/>
        </w:rPr>
        <w:t>Toen de wereld</w:t>
      </w:r>
      <w:r w:rsidR="001210BB" w:rsidRPr="002237F0">
        <w:rPr>
          <w:lang w:val="nl-NL"/>
        </w:rPr>
        <w:t xml:space="preserve"> midden in de crisis zat, in oktober 2008, zijn er aanpassin</w:t>
      </w:r>
      <w:r w:rsidR="00CC219C" w:rsidRPr="002237F0">
        <w:rPr>
          <w:lang w:val="nl-NL"/>
        </w:rPr>
        <w:t>gen gedaan aan IAS 39 en IAS 7</w:t>
      </w:r>
      <w:r w:rsidR="001210BB" w:rsidRPr="002237F0">
        <w:rPr>
          <w:lang w:val="nl-NL"/>
        </w:rPr>
        <w:t xml:space="preserve"> </w:t>
      </w:r>
      <w:sdt>
        <w:sdtPr>
          <w:rPr>
            <w:lang w:val="nl-NL"/>
          </w:rPr>
          <w:id w:val="419458002"/>
          <w:citation/>
        </w:sdtPr>
        <w:sdtEndPr>
          <w:rPr>
            <w:b/>
          </w:rPr>
        </w:sdtEndPr>
        <w:sdtContent>
          <w:r w:rsidR="003C13F3" w:rsidRPr="002237F0">
            <w:rPr>
              <w:b/>
              <w:lang w:val="nl-NL"/>
            </w:rPr>
            <w:fldChar w:fldCharType="begin"/>
          </w:r>
          <w:r w:rsidR="00CC219C" w:rsidRPr="002237F0">
            <w:rPr>
              <w:b/>
              <w:lang w:val="nl-NL"/>
            </w:rPr>
            <w:instrText xml:space="preserve"> CITATION And09 \l 1033 </w:instrText>
          </w:r>
          <w:r w:rsidR="003C13F3" w:rsidRPr="002237F0">
            <w:rPr>
              <w:b/>
              <w:lang w:val="nl-NL"/>
            </w:rPr>
            <w:fldChar w:fldCharType="separate"/>
          </w:r>
          <w:r w:rsidR="00721EC3" w:rsidRPr="002237F0">
            <w:rPr>
              <w:noProof/>
              <w:lang w:val="nl-NL"/>
            </w:rPr>
            <w:t>(André, Cazavan-Jeny, Dick, Richard, &amp; Walton, 2009)</w:t>
          </w:r>
          <w:r w:rsidR="003C13F3" w:rsidRPr="002237F0">
            <w:rPr>
              <w:b/>
              <w:lang w:val="nl-NL"/>
            </w:rPr>
            <w:fldChar w:fldCharType="end"/>
          </w:r>
        </w:sdtContent>
      </w:sdt>
      <w:r w:rsidR="00CC219C" w:rsidRPr="002237F0">
        <w:rPr>
          <w:lang w:val="nl-NL"/>
        </w:rPr>
        <w:t xml:space="preserve">. Deze aanpassingen werkten retrospectief. Hoewel het amendement pas vanaf november 2008 gold, konden de nieuwe waarderingsregels in de boeken vanaf 1 juli 2008 toegepast worden. </w:t>
      </w:r>
    </w:p>
    <w:p w:rsidR="00CC219C" w:rsidRPr="002237F0" w:rsidRDefault="00CC219C" w:rsidP="007E2C3F">
      <w:pPr>
        <w:rPr>
          <w:lang w:val="nl-NL"/>
        </w:rPr>
      </w:pPr>
      <w:r w:rsidRPr="002237F0">
        <w:rPr>
          <w:lang w:val="nl-NL"/>
        </w:rPr>
        <w:t>Kern van de aanpassingen is dat er bij</w:t>
      </w:r>
      <w:r w:rsidR="00CF62C3" w:rsidRPr="002237F0">
        <w:rPr>
          <w:lang w:val="nl-NL"/>
        </w:rPr>
        <w:t xml:space="preserve"> de</w:t>
      </w:r>
      <w:r w:rsidRPr="002237F0">
        <w:rPr>
          <w:lang w:val="nl-NL"/>
        </w:rPr>
        <w:t xml:space="preserve"> waardering voor financiële instrumenten meer mogelijkheden kwamen om onder de reële waardering uit te komen. Instrumenten die voorheen reëel</w:t>
      </w:r>
      <w:r w:rsidR="00CF62C3" w:rsidRPr="002237F0">
        <w:rPr>
          <w:lang w:val="nl-NL"/>
        </w:rPr>
        <w:t xml:space="preserve"> gewaardeerd werden, konden </w:t>
      </w:r>
      <w:proofErr w:type="spellStart"/>
      <w:r w:rsidR="00CF62C3" w:rsidRPr="002237F0">
        <w:rPr>
          <w:lang w:val="nl-NL"/>
        </w:rPr>
        <w:t>geher</w:t>
      </w:r>
      <w:r w:rsidRPr="002237F0">
        <w:rPr>
          <w:lang w:val="nl-NL"/>
        </w:rPr>
        <w:t>classificeerd</w:t>
      </w:r>
      <w:proofErr w:type="spellEnd"/>
      <w:r w:rsidRPr="002237F0">
        <w:rPr>
          <w:lang w:val="nl-NL"/>
        </w:rPr>
        <w:t xml:space="preserve"> worden zodat ze in een categorie vielen waar de geamortiseerde kostprijs gold als waarderingsmaatstaf. Feitelijk kwam het er dus op neer dat de reële waarderingsmethode losgelaten kon worden met betrekking tot deze instrumenten </w:t>
      </w:r>
      <w:sdt>
        <w:sdtPr>
          <w:rPr>
            <w:lang w:val="nl-NL"/>
          </w:rPr>
          <w:id w:val="-285284526"/>
          <w:citation/>
        </w:sdtPr>
        <w:sdtEndPr>
          <w:rPr>
            <w:b/>
          </w:rPr>
        </w:sdtEndPr>
        <w:sdtContent>
          <w:r w:rsidR="003C13F3" w:rsidRPr="002237F0">
            <w:rPr>
              <w:b/>
              <w:lang w:val="nl-NL"/>
            </w:rPr>
            <w:fldChar w:fldCharType="begin"/>
          </w:r>
          <w:r w:rsidR="00783A9D" w:rsidRPr="002237F0">
            <w:rPr>
              <w:b/>
              <w:lang w:val="nl-NL"/>
            </w:rPr>
            <w:instrText xml:space="preserve">CITATION Bis12 \t  \l 1033 </w:instrText>
          </w:r>
          <w:r w:rsidR="003C13F3" w:rsidRPr="002237F0">
            <w:rPr>
              <w:b/>
              <w:lang w:val="nl-NL"/>
            </w:rPr>
            <w:fldChar w:fldCharType="separate"/>
          </w:r>
          <w:r w:rsidR="00721EC3" w:rsidRPr="002237F0">
            <w:rPr>
              <w:noProof/>
              <w:lang w:val="nl-NL"/>
            </w:rPr>
            <w:t>(Bischof, Brüggeman, &amp; Daske, 2012)</w:t>
          </w:r>
          <w:r w:rsidR="003C13F3" w:rsidRPr="002237F0">
            <w:rPr>
              <w:b/>
              <w:lang w:val="nl-NL"/>
            </w:rPr>
            <w:fldChar w:fldCharType="end"/>
          </w:r>
        </w:sdtContent>
      </w:sdt>
      <w:r w:rsidRPr="002237F0">
        <w:rPr>
          <w:lang w:val="nl-NL"/>
        </w:rPr>
        <w:t xml:space="preserve">. </w:t>
      </w:r>
    </w:p>
    <w:p w:rsidR="000E4912" w:rsidRPr="002237F0" w:rsidRDefault="00CC219C" w:rsidP="007E2C3F">
      <w:pPr>
        <w:rPr>
          <w:lang w:val="nl-NL"/>
        </w:rPr>
      </w:pPr>
      <w:r w:rsidRPr="002237F0">
        <w:rPr>
          <w:lang w:val="nl-NL"/>
        </w:rPr>
        <w:t>IAS 39</w:t>
      </w:r>
      <w:r w:rsidR="00CF62C3" w:rsidRPr="002237F0">
        <w:rPr>
          <w:lang w:val="nl-NL"/>
        </w:rPr>
        <w:t xml:space="preserve"> kent</w:t>
      </w:r>
      <w:r w:rsidRPr="002237F0">
        <w:rPr>
          <w:lang w:val="nl-NL"/>
        </w:rPr>
        <w:t>, z</w:t>
      </w:r>
      <w:r w:rsidR="000E4912" w:rsidRPr="002237F0">
        <w:rPr>
          <w:lang w:val="nl-NL"/>
        </w:rPr>
        <w:t xml:space="preserve">oals eerder aan bod is gekomen, </w:t>
      </w:r>
      <w:r w:rsidR="00CF62C3" w:rsidRPr="002237F0">
        <w:rPr>
          <w:lang w:val="nl-NL"/>
        </w:rPr>
        <w:t>drie</w:t>
      </w:r>
      <w:r w:rsidRPr="002237F0">
        <w:rPr>
          <w:lang w:val="nl-NL"/>
        </w:rPr>
        <w:t xml:space="preserve"> waarderingsmaatstaven voor financiële instrumenten.</w:t>
      </w:r>
      <w:r w:rsidR="00466DA2" w:rsidRPr="002237F0">
        <w:rPr>
          <w:lang w:val="nl-NL"/>
        </w:rPr>
        <w:t xml:space="preserve"> Deze maatstaven zijn de geamortiseerde kostprijs, de reële waarde benadering met verwerking in het resultaat(Fair </w:t>
      </w:r>
      <w:proofErr w:type="spellStart"/>
      <w:r w:rsidR="00466DA2" w:rsidRPr="002237F0">
        <w:rPr>
          <w:lang w:val="nl-NL"/>
        </w:rPr>
        <w:t>value</w:t>
      </w:r>
      <w:proofErr w:type="spellEnd"/>
      <w:r w:rsidR="00466DA2" w:rsidRPr="002237F0">
        <w:rPr>
          <w:lang w:val="nl-NL"/>
        </w:rPr>
        <w:t xml:space="preserve"> </w:t>
      </w:r>
      <w:proofErr w:type="spellStart"/>
      <w:r w:rsidR="00466DA2" w:rsidRPr="002237F0">
        <w:rPr>
          <w:lang w:val="nl-NL"/>
        </w:rPr>
        <w:t>through</w:t>
      </w:r>
      <w:proofErr w:type="spellEnd"/>
      <w:r w:rsidR="00466DA2" w:rsidRPr="002237F0">
        <w:rPr>
          <w:lang w:val="nl-NL"/>
        </w:rPr>
        <w:t xml:space="preserve"> </w:t>
      </w:r>
      <w:proofErr w:type="spellStart"/>
      <w:r w:rsidR="00466DA2" w:rsidRPr="002237F0">
        <w:rPr>
          <w:lang w:val="nl-NL"/>
        </w:rPr>
        <w:t>profit</w:t>
      </w:r>
      <w:proofErr w:type="spellEnd"/>
      <w:r w:rsidR="00466DA2" w:rsidRPr="002237F0">
        <w:rPr>
          <w:lang w:val="nl-NL"/>
        </w:rPr>
        <w:t xml:space="preserve"> and loss) en de reële waarde benadering met verwerking via de herwaarderingsreserve[Fair </w:t>
      </w:r>
      <w:proofErr w:type="spellStart"/>
      <w:r w:rsidR="00466DA2" w:rsidRPr="002237F0">
        <w:rPr>
          <w:lang w:val="nl-NL"/>
        </w:rPr>
        <w:t>value</w:t>
      </w:r>
      <w:proofErr w:type="spellEnd"/>
      <w:r w:rsidR="00466DA2" w:rsidRPr="002237F0">
        <w:rPr>
          <w:lang w:val="nl-NL"/>
        </w:rPr>
        <w:t xml:space="preserve"> </w:t>
      </w:r>
      <w:proofErr w:type="spellStart"/>
      <w:r w:rsidR="00466DA2" w:rsidRPr="002237F0">
        <w:rPr>
          <w:lang w:val="nl-NL"/>
        </w:rPr>
        <w:t>through</w:t>
      </w:r>
      <w:proofErr w:type="spellEnd"/>
      <w:r w:rsidR="00466DA2" w:rsidRPr="002237F0">
        <w:rPr>
          <w:lang w:val="nl-NL"/>
        </w:rPr>
        <w:t xml:space="preserve"> </w:t>
      </w:r>
      <w:proofErr w:type="spellStart"/>
      <w:r w:rsidR="00466DA2" w:rsidRPr="002237F0">
        <w:rPr>
          <w:lang w:val="nl-NL"/>
        </w:rPr>
        <w:t>other</w:t>
      </w:r>
      <w:proofErr w:type="spellEnd"/>
      <w:r w:rsidR="00466DA2" w:rsidRPr="002237F0">
        <w:rPr>
          <w:lang w:val="nl-NL"/>
        </w:rPr>
        <w:t xml:space="preserve"> </w:t>
      </w:r>
      <w:proofErr w:type="spellStart"/>
      <w:r w:rsidR="00466DA2" w:rsidRPr="002237F0">
        <w:rPr>
          <w:lang w:val="nl-NL"/>
        </w:rPr>
        <w:t>comprehensive</w:t>
      </w:r>
      <w:proofErr w:type="spellEnd"/>
      <w:r w:rsidR="00466DA2" w:rsidRPr="002237F0">
        <w:rPr>
          <w:lang w:val="nl-NL"/>
        </w:rPr>
        <w:t xml:space="preserve"> </w:t>
      </w:r>
      <w:proofErr w:type="spellStart"/>
      <w:proofErr w:type="gramStart"/>
      <w:r w:rsidR="00466DA2" w:rsidRPr="002237F0">
        <w:rPr>
          <w:lang w:val="nl-NL"/>
        </w:rPr>
        <w:t>income</w:t>
      </w:r>
      <w:proofErr w:type="spellEnd"/>
      <w:proofErr w:type="gramEnd"/>
      <w:r w:rsidR="00466DA2" w:rsidRPr="002237F0">
        <w:rPr>
          <w:lang w:val="nl-NL"/>
        </w:rPr>
        <w:t xml:space="preserve">(FVOCI)]. </w:t>
      </w:r>
    </w:p>
    <w:p w:rsidR="00431C1C" w:rsidRPr="002237F0" w:rsidRDefault="000E4912" w:rsidP="007E2C3F">
      <w:pPr>
        <w:rPr>
          <w:lang w:val="nl-NL"/>
        </w:rPr>
      </w:pPr>
      <w:r w:rsidRPr="002237F0">
        <w:rPr>
          <w:lang w:val="nl-NL"/>
        </w:rPr>
        <w:t>Voo</w:t>
      </w:r>
      <w:r w:rsidR="00466DA2" w:rsidRPr="002237F0">
        <w:rPr>
          <w:lang w:val="nl-NL"/>
        </w:rPr>
        <w:t xml:space="preserve">r het amendement kende IAS 39 maar </w:t>
      </w:r>
      <w:r w:rsidR="00431C1C" w:rsidRPr="002237F0">
        <w:rPr>
          <w:lang w:val="nl-NL"/>
        </w:rPr>
        <w:t>é</w:t>
      </w:r>
      <w:r w:rsidR="00431C1C" w:rsidRPr="002237F0">
        <w:rPr>
          <w:rFonts w:ascii="Times New Roman" w:hAnsi="Times New Roman" w:cs="Times New Roman"/>
          <w:lang w:val="nl-NL"/>
        </w:rPr>
        <w:t>é</w:t>
      </w:r>
      <w:r w:rsidR="00466DA2" w:rsidRPr="002237F0">
        <w:rPr>
          <w:lang w:val="nl-NL"/>
        </w:rPr>
        <w:t>n mogelijkheid om te switchen van waarderingsmaatstaf. Het was en</w:t>
      </w:r>
      <w:r w:rsidR="00CF62C3" w:rsidRPr="002237F0">
        <w:rPr>
          <w:lang w:val="nl-NL"/>
        </w:rPr>
        <w:t>kel mogelijk instrumenten die gewaardeerd werden als</w:t>
      </w:r>
      <w:r w:rsidR="00466DA2" w:rsidRPr="002237F0">
        <w:rPr>
          <w:lang w:val="nl-NL"/>
        </w:rPr>
        <w:t xml:space="preserve"> ‘</w:t>
      </w:r>
      <w:proofErr w:type="spellStart"/>
      <w:r w:rsidR="00466DA2" w:rsidRPr="002237F0">
        <w:rPr>
          <w:lang w:val="nl-NL"/>
        </w:rPr>
        <w:t>Available</w:t>
      </w:r>
      <w:proofErr w:type="spellEnd"/>
      <w:r w:rsidR="00466DA2" w:rsidRPr="002237F0">
        <w:rPr>
          <w:lang w:val="nl-NL"/>
        </w:rPr>
        <w:t xml:space="preserve"> </w:t>
      </w:r>
      <w:proofErr w:type="spellStart"/>
      <w:r w:rsidR="00466DA2" w:rsidRPr="002237F0">
        <w:rPr>
          <w:lang w:val="nl-NL"/>
        </w:rPr>
        <w:t>for</w:t>
      </w:r>
      <w:proofErr w:type="spellEnd"/>
      <w:r w:rsidR="00466DA2" w:rsidRPr="002237F0">
        <w:rPr>
          <w:lang w:val="nl-NL"/>
        </w:rPr>
        <w:t xml:space="preserve"> </w:t>
      </w:r>
      <w:proofErr w:type="spellStart"/>
      <w:r w:rsidR="00466DA2" w:rsidRPr="002237F0">
        <w:rPr>
          <w:lang w:val="nl-NL"/>
        </w:rPr>
        <w:t>sale</w:t>
      </w:r>
      <w:proofErr w:type="spellEnd"/>
      <w:r w:rsidR="00466DA2" w:rsidRPr="002237F0">
        <w:rPr>
          <w:lang w:val="nl-NL"/>
        </w:rPr>
        <w:t xml:space="preserve">’ te waarderen naar een instrument uit de ‘held to </w:t>
      </w:r>
      <w:proofErr w:type="spellStart"/>
      <w:r w:rsidR="00466DA2" w:rsidRPr="002237F0">
        <w:rPr>
          <w:lang w:val="nl-NL"/>
        </w:rPr>
        <w:t>maturity</w:t>
      </w:r>
      <w:proofErr w:type="spellEnd"/>
      <w:r w:rsidR="00466DA2" w:rsidRPr="002237F0">
        <w:rPr>
          <w:lang w:val="nl-NL"/>
        </w:rPr>
        <w:t>’ categorie.</w:t>
      </w:r>
      <w:r w:rsidR="00CF62C3" w:rsidRPr="002237F0">
        <w:rPr>
          <w:lang w:val="nl-NL"/>
        </w:rPr>
        <w:t xml:space="preserve"> Dit kwam erop neer dat er</w:t>
      </w:r>
      <w:r w:rsidR="00431C1C" w:rsidRPr="002237F0">
        <w:rPr>
          <w:lang w:val="nl-NL"/>
        </w:rPr>
        <w:t xml:space="preserve"> </w:t>
      </w:r>
      <w:r w:rsidR="003334D4" w:rsidRPr="002237F0">
        <w:rPr>
          <w:lang w:val="nl-NL"/>
        </w:rPr>
        <w:t xml:space="preserve">door banken </w:t>
      </w:r>
      <w:r w:rsidR="00431C1C" w:rsidRPr="002237F0">
        <w:rPr>
          <w:lang w:val="nl-NL"/>
        </w:rPr>
        <w:t>dus</w:t>
      </w:r>
      <w:r w:rsidR="00CF62C3" w:rsidRPr="002237F0">
        <w:rPr>
          <w:lang w:val="nl-NL"/>
        </w:rPr>
        <w:t xml:space="preserve"> overgestapt</w:t>
      </w:r>
      <w:r w:rsidR="00431C1C" w:rsidRPr="002237F0">
        <w:rPr>
          <w:lang w:val="nl-NL"/>
        </w:rPr>
        <w:t xml:space="preserve"> kon</w:t>
      </w:r>
      <w:r w:rsidR="00CF62C3" w:rsidRPr="002237F0">
        <w:rPr>
          <w:lang w:val="nl-NL"/>
        </w:rPr>
        <w:t xml:space="preserve"> worden</w:t>
      </w:r>
      <w:r w:rsidR="00431C1C" w:rsidRPr="002237F0">
        <w:rPr>
          <w:lang w:val="nl-NL"/>
        </w:rPr>
        <w:t xml:space="preserve"> van een reële waardebepaling naar een waardering tegen geamortiseerde kostprijs. Het amendement maakte vier extra ‘switches’ mogelijk:</w:t>
      </w:r>
    </w:p>
    <w:p w:rsidR="00CC219C" w:rsidRPr="002237F0" w:rsidRDefault="00431C1C" w:rsidP="00431C1C">
      <w:pPr>
        <w:pStyle w:val="ListParagraph"/>
        <w:numPr>
          <w:ilvl w:val="0"/>
          <w:numId w:val="17"/>
        </w:numPr>
        <w:rPr>
          <w:lang w:val="nl-NL"/>
        </w:rPr>
      </w:pPr>
      <w:r w:rsidRPr="002237F0">
        <w:rPr>
          <w:lang w:val="nl-NL"/>
        </w:rPr>
        <w:t xml:space="preserve">‘Trading </w:t>
      </w:r>
      <w:proofErr w:type="spellStart"/>
      <w:r w:rsidRPr="002237F0">
        <w:rPr>
          <w:lang w:val="nl-NL"/>
        </w:rPr>
        <w:t>assets</w:t>
      </w:r>
      <w:proofErr w:type="spellEnd"/>
      <w:r w:rsidRPr="002237F0">
        <w:rPr>
          <w:lang w:val="nl-NL"/>
        </w:rPr>
        <w:t xml:space="preserve">’(activa gehouden om te verhandelen) </w:t>
      </w:r>
      <w:r w:rsidR="00B93337" w:rsidRPr="002237F0">
        <w:rPr>
          <w:lang w:val="nl-NL"/>
        </w:rPr>
        <w:t>mogen gewaardeerd worden als zijnde een ‘</w:t>
      </w:r>
      <w:proofErr w:type="spellStart"/>
      <w:r w:rsidR="00B93337" w:rsidRPr="002237F0">
        <w:rPr>
          <w:lang w:val="nl-NL"/>
        </w:rPr>
        <w:t>Available</w:t>
      </w:r>
      <w:proofErr w:type="spellEnd"/>
      <w:r w:rsidR="00B93337" w:rsidRPr="002237F0">
        <w:rPr>
          <w:lang w:val="nl-NL"/>
        </w:rPr>
        <w:t xml:space="preserve"> </w:t>
      </w:r>
      <w:proofErr w:type="spellStart"/>
      <w:r w:rsidR="00B93337" w:rsidRPr="002237F0">
        <w:rPr>
          <w:lang w:val="nl-NL"/>
        </w:rPr>
        <w:t>for</w:t>
      </w:r>
      <w:proofErr w:type="spellEnd"/>
      <w:r w:rsidR="00B93337" w:rsidRPr="002237F0">
        <w:rPr>
          <w:lang w:val="nl-NL"/>
        </w:rPr>
        <w:t xml:space="preserve"> </w:t>
      </w:r>
      <w:proofErr w:type="spellStart"/>
      <w:r w:rsidR="00B93337" w:rsidRPr="002237F0">
        <w:rPr>
          <w:lang w:val="nl-NL"/>
        </w:rPr>
        <w:t>sale</w:t>
      </w:r>
      <w:proofErr w:type="spellEnd"/>
      <w:r w:rsidR="00B93337" w:rsidRPr="002237F0">
        <w:rPr>
          <w:lang w:val="nl-NL"/>
        </w:rPr>
        <w:t xml:space="preserve">’ instrument. Er blijft sprake van een reële waarde benadering. Echter, veranderingen worden niet meer verwerkt in het resultaat, maar in het eigen vermogen. Dit heeft gevolgen voor het resultaat, maar niet voor het eigen vermogen. Dit komt omdat waardeveranderingen niet meer via het resultaat gaan, maar uiteindelijk wel te zien zijn als herwaarderingsreserve binnen het aandeelhoudersvermogen. </w:t>
      </w:r>
    </w:p>
    <w:p w:rsidR="00B93337" w:rsidRPr="002237F0" w:rsidRDefault="00B93337" w:rsidP="00431C1C">
      <w:pPr>
        <w:pStyle w:val="ListParagraph"/>
        <w:numPr>
          <w:ilvl w:val="0"/>
          <w:numId w:val="17"/>
        </w:numPr>
        <w:rPr>
          <w:lang w:val="nl-NL"/>
        </w:rPr>
      </w:pPr>
      <w:r w:rsidRPr="002237F0">
        <w:rPr>
          <w:lang w:val="nl-NL"/>
        </w:rPr>
        <w:t xml:space="preserve">‘Trading </w:t>
      </w:r>
      <w:proofErr w:type="spellStart"/>
      <w:r w:rsidRPr="002237F0">
        <w:rPr>
          <w:lang w:val="nl-NL"/>
        </w:rPr>
        <w:t>assets</w:t>
      </w:r>
      <w:proofErr w:type="spellEnd"/>
      <w:r w:rsidRPr="002237F0">
        <w:rPr>
          <w:lang w:val="nl-NL"/>
        </w:rPr>
        <w:t xml:space="preserve">’ mogen gewaardeerd worden als zijnde een </w:t>
      </w:r>
      <w:r w:rsidR="00092B20" w:rsidRPr="002237F0">
        <w:rPr>
          <w:lang w:val="nl-NL"/>
        </w:rPr>
        <w:t xml:space="preserve">‘held to </w:t>
      </w:r>
      <w:proofErr w:type="spellStart"/>
      <w:r w:rsidR="00092B20" w:rsidRPr="002237F0">
        <w:rPr>
          <w:lang w:val="nl-NL"/>
        </w:rPr>
        <w:t>maturity</w:t>
      </w:r>
      <w:proofErr w:type="spellEnd"/>
      <w:r w:rsidR="00092B20" w:rsidRPr="002237F0">
        <w:rPr>
          <w:lang w:val="nl-NL"/>
        </w:rPr>
        <w:t xml:space="preserve">’ instrument. </w:t>
      </w:r>
      <w:r w:rsidR="008F4AF9" w:rsidRPr="002237F0">
        <w:rPr>
          <w:lang w:val="nl-NL"/>
        </w:rPr>
        <w:t xml:space="preserve">Deze </w:t>
      </w:r>
      <w:proofErr w:type="spellStart"/>
      <w:r w:rsidR="008F4AF9" w:rsidRPr="002237F0">
        <w:rPr>
          <w:lang w:val="nl-NL"/>
        </w:rPr>
        <w:t>reclassificatie</w:t>
      </w:r>
      <w:proofErr w:type="spellEnd"/>
      <w:r w:rsidR="008F4AF9" w:rsidRPr="002237F0">
        <w:rPr>
          <w:lang w:val="nl-NL"/>
        </w:rPr>
        <w:t xml:space="preserve"> heeft zowel gevolgen voor het resultaat als voor het eigen vermogen. Er wordt overgestapt van een actuele waarde benadering met verwerking van veranderingen in het resultaat naar een waardering tegen de geamortiseerde </w:t>
      </w:r>
      <w:r w:rsidR="008F4AF9" w:rsidRPr="002237F0">
        <w:rPr>
          <w:rFonts w:cstheme="minorHAnsi"/>
          <w:lang w:val="nl-NL"/>
        </w:rPr>
        <w:t xml:space="preserve">kostprijs. Waar bij de actuele waarde veel waarde schommelingen zijn, is de waardering tegen geamortiseerde kostprijs vrij stabiel. Het resultaat wordt niet meer negatief beïnvloed, en dit komt uiteindelijk niet meer in het eigen vermogen terecht. </w:t>
      </w:r>
    </w:p>
    <w:p w:rsidR="008F4AF9" w:rsidRPr="002237F0" w:rsidRDefault="008F4AF9" w:rsidP="00431C1C">
      <w:pPr>
        <w:pStyle w:val="ListParagraph"/>
        <w:numPr>
          <w:ilvl w:val="0"/>
          <w:numId w:val="17"/>
        </w:numPr>
        <w:rPr>
          <w:lang w:val="nl-NL"/>
        </w:rPr>
      </w:pPr>
      <w:r w:rsidRPr="002237F0">
        <w:rPr>
          <w:rFonts w:cstheme="minorHAnsi"/>
          <w:lang w:val="nl-NL"/>
        </w:rPr>
        <w:t xml:space="preserve">‘Trading </w:t>
      </w:r>
      <w:proofErr w:type="spellStart"/>
      <w:r w:rsidRPr="002237F0">
        <w:rPr>
          <w:rFonts w:cstheme="minorHAnsi"/>
          <w:lang w:val="nl-NL"/>
        </w:rPr>
        <w:t>assets</w:t>
      </w:r>
      <w:proofErr w:type="spellEnd"/>
      <w:proofErr w:type="gramStart"/>
      <w:r w:rsidRPr="002237F0">
        <w:rPr>
          <w:rFonts w:cstheme="minorHAnsi"/>
          <w:lang w:val="nl-NL"/>
        </w:rPr>
        <w:t>’</w:t>
      </w:r>
      <w:proofErr w:type="gramEnd"/>
      <w:r w:rsidRPr="002237F0">
        <w:rPr>
          <w:rFonts w:cstheme="minorHAnsi"/>
          <w:lang w:val="nl-NL"/>
        </w:rPr>
        <w:t xml:space="preserve"> mogen gewaardeerd worden als zijnde een instrument uit de ‘leningen en vorderingen(L&amp;R) categorie. Dit heeft dezelfde gevolgen als genoemd onder punt 2. </w:t>
      </w:r>
    </w:p>
    <w:p w:rsidR="00E80DF9" w:rsidRPr="002237F0" w:rsidRDefault="00E80DF9" w:rsidP="004A064F">
      <w:pPr>
        <w:pStyle w:val="ListParagraph"/>
        <w:numPr>
          <w:ilvl w:val="0"/>
          <w:numId w:val="17"/>
        </w:numPr>
        <w:rPr>
          <w:lang w:val="nl-NL"/>
        </w:rPr>
      </w:pPr>
      <w:r w:rsidRPr="002237F0">
        <w:rPr>
          <w:rFonts w:cstheme="minorHAnsi"/>
          <w:lang w:val="nl-NL"/>
        </w:rPr>
        <w:t>Wanneer ‘</w:t>
      </w:r>
      <w:proofErr w:type="spellStart"/>
      <w:r w:rsidRPr="002237F0">
        <w:rPr>
          <w:rFonts w:cstheme="minorHAnsi"/>
          <w:lang w:val="nl-NL"/>
        </w:rPr>
        <w:t>available</w:t>
      </w:r>
      <w:proofErr w:type="spellEnd"/>
      <w:r w:rsidRPr="002237F0">
        <w:rPr>
          <w:rFonts w:cstheme="minorHAnsi"/>
          <w:lang w:val="nl-NL"/>
        </w:rPr>
        <w:t xml:space="preserve"> </w:t>
      </w:r>
      <w:proofErr w:type="spellStart"/>
      <w:r w:rsidRPr="002237F0">
        <w:rPr>
          <w:rFonts w:cstheme="minorHAnsi"/>
          <w:lang w:val="nl-NL"/>
        </w:rPr>
        <w:t>for</w:t>
      </w:r>
      <w:proofErr w:type="spellEnd"/>
      <w:r w:rsidRPr="002237F0">
        <w:rPr>
          <w:rFonts w:cstheme="minorHAnsi"/>
          <w:lang w:val="nl-NL"/>
        </w:rPr>
        <w:t xml:space="preserve"> </w:t>
      </w:r>
      <w:proofErr w:type="spellStart"/>
      <w:r w:rsidRPr="002237F0">
        <w:rPr>
          <w:rFonts w:cstheme="minorHAnsi"/>
          <w:lang w:val="nl-NL"/>
        </w:rPr>
        <w:t>sale</w:t>
      </w:r>
      <w:proofErr w:type="spellEnd"/>
      <w:r w:rsidRPr="002237F0">
        <w:rPr>
          <w:rFonts w:cstheme="minorHAnsi"/>
          <w:lang w:val="nl-NL"/>
        </w:rPr>
        <w:t xml:space="preserve">’ instrumenten aangemerkt kunnen worden als schuldinstrumenten, dan mogen zij ook geclassificeerd worden als zijnde een instrument uit de L&amp;R categorie. Deze verandering zal effect hebben op het eigen vermogen, maar niet op het resultaat. </w:t>
      </w:r>
      <w:r w:rsidR="004A064F" w:rsidRPr="002237F0">
        <w:rPr>
          <w:rFonts w:cstheme="minorHAnsi"/>
          <w:lang w:val="nl-NL"/>
        </w:rPr>
        <w:t>Men gaat namelijk van een waardering tegen actuele waarde met waardeveranderingen in het eigen vermogen naar een waardering tegen geamortiseerde kostprijs. De gevolgen zijn eigen</w:t>
      </w:r>
      <w:r w:rsidR="00922C23" w:rsidRPr="002237F0">
        <w:rPr>
          <w:rFonts w:cstheme="minorHAnsi"/>
          <w:lang w:val="nl-NL"/>
        </w:rPr>
        <w:t>lijk</w:t>
      </w:r>
      <w:r w:rsidR="004A064F" w:rsidRPr="002237F0">
        <w:rPr>
          <w:rFonts w:cstheme="minorHAnsi"/>
          <w:lang w:val="nl-NL"/>
        </w:rPr>
        <w:t xml:space="preserve"> hetzelfde als de gevolgen van de eerder al toegestane </w:t>
      </w:r>
      <w:proofErr w:type="spellStart"/>
      <w:r w:rsidR="004A064F" w:rsidRPr="002237F0">
        <w:rPr>
          <w:rFonts w:cstheme="minorHAnsi"/>
          <w:lang w:val="nl-NL"/>
        </w:rPr>
        <w:t>herclassificatie</w:t>
      </w:r>
      <w:proofErr w:type="spellEnd"/>
      <w:r w:rsidR="004A064F" w:rsidRPr="002237F0">
        <w:rPr>
          <w:rFonts w:cstheme="minorHAnsi"/>
          <w:lang w:val="nl-NL"/>
        </w:rPr>
        <w:t>, van ‘</w:t>
      </w:r>
      <w:proofErr w:type="spellStart"/>
      <w:r w:rsidR="004A064F" w:rsidRPr="002237F0">
        <w:rPr>
          <w:rFonts w:cstheme="minorHAnsi"/>
          <w:lang w:val="nl-NL"/>
        </w:rPr>
        <w:t>available</w:t>
      </w:r>
      <w:proofErr w:type="spellEnd"/>
      <w:r w:rsidR="004A064F" w:rsidRPr="002237F0">
        <w:rPr>
          <w:rFonts w:cstheme="minorHAnsi"/>
          <w:lang w:val="nl-NL"/>
        </w:rPr>
        <w:t xml:space="preserve"> </w:t>
      </w:r>
      <w:proofErr w:type="spellStart"/>
      <w:r w:rsidR="004A064F" w:rsidRPr="002237F0">
        <w:rPr>
          <w:rFonts w:cstheme="minorHAnsi"/>
          <w:lang w:val="nl-NL"/>
        </w:rPr>
        <w:t>for</w:t>
      </w:r>
      <w:proofErr w:type="spellEnd"/>
      <w:r w:rsidR="004A064F" w:rsidRPr="002237F0">
        <w:rPr>
          <w:rFonts w:cstheme="minorHAnsi"/>
          <w:lang w:val="nl-NL"/>
        </w:rPr>
        <w:t xml:space="preserve"> </w:t>
      </w:r>
      <w:proofErr w:type="spellStart"/>
      <w:r w:rsidR="004A064F" w:rsidRPr="002237F0">
        <w:rPr>
          <w:rFonts w:cstheme="minorHAnsi"/>
          <w:lang w:val="nl-NL"/>
        </w:rPr>
        <w:t>sale</w:t>
      </w:r>
      <w:proofErr w:type="spellEnd"/>
      <w:r w:rsidR="004A064F" w:rsidRPr="002237F0">
        <w:rPr>
          <w:rFonts w:cstheme="minorHAnsi"/>
          <w:lang w:val="nl-NL"/>
        </w:rPr>
        <w:t xml:space="preserve">’ naar ‘held to </w:t>
      </w:r>
      <w:proofErr w:type="spellStart"/>
      <w:r w:rsidR="004A064F" w:rsidRPr="002237F0">
        <w:rPr>
          <w:rFonts w:cstheme="minorHAnsi"/>
          <w:lang w:val="nl-NL"/>
        </w:rPr>
        <w:t>maturity</w:t>
      </w:r>
      <w:proofErr w:type="spellEnd"/>
      <w:r w:rsidR="004A064F" w:rsidRPr="002237F0">
        <w:rPr>
          <w:rFonts w:cstheme="minorHAnsi"/>
          <w:lang w:val="nl-NL"/>
        </w:rPr>
        <w:t xml:space="preserve">’. </w:t>
      </w:r>
    </w:p>
    <w:tbl>
      <w:tblPr>
        <w:tblStyle w:val="TableGrid"/>
        <w:tblW w:w="0" w:type="auto"/>
        <w:tblLook w:val="04A0"/>
      </w:tblPr>
      <w:tblGrid>
        <w:gridCol w:w="3080"/>
        <w:gridCol w:w="3081"/>
        <w:gridCol w:w="3081"/>
      </w:tblGrid>
      <w:tr w:rsidR="000E4912" w:rsidRPr="002237F0" w:rsidTr="000E4912">
        <w:tc>
          <w:tcPr>
            <w:tcW w:w="3080" w:type="dxa"/>
          </w:tcPr>
          <w:p w:rsidR="000E4912" w:rsidRPr="002237F0" w:rsidRDefault="000E4912" w:rsidP="00CC48C5">
            <w:pPr>
              <w:rPr>
                <w:b/>
                <w:u w:val="single"/>
                <w:lang w:val="nl-NL"/>
              </w:rPr>
            </w:pPr>
            <w:r w:rsidRPr="002237F0">
              <w:rPr>
                <w:b/>
                <w:u w:val="single"/>
                <w:lang w:val="nl-NL"/>
              </w:rPr>
              <w:t>Categorie</w:t>
            </w:r>
          </w:p>
        </w:tc>
        <w:tc>
          <w:tcPr>
            <w:tcW w:w="3081" w:type="dxa"/>
          </w:tcPr>
          <w:p w:rsidR="000E4912" w:rsidRPr="002237F0" w:rsidRDefault="00CF62C3" w:rsidP="00CC48C5">
            <w:pPr>
              <w:rPr>
                <w:b/>
                <w:u w:val="single"/>
                <w:lang w:val="nl-NL"/>
              </w:rPr>
            </w:pPr>
            <w:proofErr w:type="gramStart"/>
            <w:r w:rsidRPr="002237F0">
              <w:rPr>
                <w:b/>
                <w:u w:val="single"/>
                <w:lang w:val="nl-NL"/>
              </w:rPr>
              <w:t>Reeds</w:t>
            </w:r>
            <w:proofErr w:type="gramEnd"/>
            <w:r w:rsidRPr="002237F0">
              <w:rPr>
                <w:b/>
                <w:u w:val="single"/>
                <w:lang w:val="nl-NL"/>
              </w:rPr>
              <w:t xml:space="preserve"> bestaande</w:t>
            </w:r>
            <w:r w:rsidR="00E276A9" w:rsidRPr="002237F0">
              <w:rPr>
                <w:b/>
                <w:u w:val="single"/>
                <w:lang w:val="nl-NL"/>
              </w:rPr>
              <w:t xml:space="preserve"> waardering</w:t>
            </w:r>
            <w:r w:rsidRPr="002237F0">
              <w:rPr>
                <w:b/>
                <w:u w:val="single"/>
                <w:lang w:val="nl-NL"/>
              </w:rPr>
              <w:t>smogelijkheid</w:t>
            </w:r>
          </w:p>
        </w:tc>
        <w:tc>
          <w:tcPr>
            <w:tcW w:w="3081" w:type="dxa"/>
          </w:tcPr>
          <w:p w:rsidR="000E4912" w:rsidRPr="002237F0" w:rsidRDefault="00E276A9" w:rsidP="00CC48C5">
            <w:pPr>
              <w:rPr>
                <w:b/>
                <w:u w:val="single"/>
                <w:lang w:val="nl-NL"/>
              </w:rPr>
            </w:pPr>
            <w:r w:rsidRPr="002237F0">
              <w:rPr>
                <w:b/>
                <w:u w:val="single"/>
                <w:lang w:val="nl-NL"/>
              </w:rPr>
              <w:t>Nieuwe mogelijkheid</w:t>
            </w:r>
          </w:p>
        </w:tc>
      </w:tr>
      <w:tr w:rsidR="000E4912" w:rsidRPr="002237F0" w:rsidTr="000E4912">
        <w:tc>
          <w:tcPr>
            <w:tcW w:w="3080" w:type="dxa"/>
          </w:tcPr>
          <w:p w:rsidR="000E4912" w:rsidRPr="002237F0" w:rsidRDefault="00E276A9" w:rsidP="00CC48C5">
            <w:pPr>
              <w:rPr>
                <w:lang w:val="nl-NL"/>
              </w:rPr>
            </w:pPr>
            <w:r w:rsidRPr="002237F0">
              <w:rPr>
                <w:lang w:val="nl-NL"/>
              </w:rPr>
              <w:t xml:space="preserve">Held </w:t>
            </w:r>
            <w:proofErr w:type="spellStart"/>
            <w:r w:rsidRPr="002237F0">
              <w:rPr>
                <w:lang w:val="nl-NL"/>
              </w:rPr>
              <w:t>for</w:t>
            </w:r>
            <w:proofErr w:type="spellEnd"/>
            <w:r w:rsidRPr="002237F0">
              <w:rPr>
                <w:lang w:val="nl-NL"/>
              </w:rPr>
              <w:t xml:space="preserve"> Trading (HFT)</w:t>
            </w:r>
          </w:p>
        </w:tc>
        <w:tc>
          <w:tcPr>
            <w:tcW w:w="3081" w:type="dxa"/>
          </w:tcPr>
          <w:p w:rsidR="000E4912" w:rsidRPr="002237F0" w:rsidRDefault="00E276A9" w:rsidP="00CC48C5">
            <w:pPr>
              <w:rPr>
                <w:lang w:val="nl-NL"/>
              </w:rPr>
            </w:pPr>
            <w:r w:rsidRPr="002237F0">
              <w:rPr>
                <w:lang w:val="nl-NL"/>
              </w:rPr>
              <w:t>Reële waarde, wijziging verwerkt in</w:t>
            </w:r>
            <w:r w:rsidR="00CF62C3" w:rsidRPr="002237F0">
              <w:rPr>
                <w:lang w:val="nl-NL"/>
              </w:rPr>
              <w:t xml:space="preserve"> het</w:t>
            </w:r>
            <w:r w:rsidRPr="002237F0">
              <w:rPr>
                <w:lang w:val="nl-NL"/>
              </w:rPr>
              <w:t xml:space="preserve"> resultaat</w:t>
            </w:r>
          </w:p>
        </w:tc>
        <w:tc>
          <w:tcPr>
            <w:tcW w:w="3081" w:type="dxa"/>
          </w:tcPr>
          <w:p w:rsidR="000E4912" w:rsidRPr="002237F0" w:rsidRDefault="00E276A9" w:rsidP="00E276A9">
            <w:pPr>
              <w:pStyle w:val="ListParagraph"/>
              <w:numPr>
                <w:ilvl w:val="0"/>
                <w:numId w:val="30"/>
              </w:numPr>
              <w:rPr>
                <w:lang w:val="nl-NL"/>
              </w:rPr>
            </w:pPr>
            <w:r w:rsidRPr="002237F0">
              <w:rPr>
                <w:lang w:val="nl-NL"/>
              </w:rPr>
              <w:t>Reële waarde, wijziging verwerkt via herwaarderingsreserve</w:t>
            </w:r>
          </w:p>
          <w:p w:rsidR="00E276A9" w:rsidRPr="002237F0" w:rsidRDefault="00E276A9" w:rsidP="00E276A9">
            <w:pPr>
              <w:pStyle w:val="ListParagraph"/>
              <w:numPr>
                <w:ilvl w:val="0"/>
                <w:numId w:val="30"/>
              </w:numPr>
              <w:rPr>
                <w:lang w:val="nl-NL"/>
              </w:rPr>
            </w:pPr>
            <w:r w:rsidRPr="002237F0">
              <w:rPr>
                <w:lang w:val="nl-NL"/>
              </w:rPr>
              <w:t>Geamortiseerde kostprijs</w:t>
            </w:r>
          </w:p>
        </w:tc>
      </w:tr>
      <w:tr w:rsidR="000E4912" w:rsidRPr="002237F0" w:rsidTr="000E4912">
        <w:tc>
          <w:tcPr>
            <w:tcW w:w="3080" w:type="dxa"/>
          </w:tcPr>
          <w:p w:rsidR="000E4912" w:rsidRPr="002237F0" w:rsidRDefault="00E276A9" w:rsidP="00CC48C5">
            <w:pPr>
              <w:rPr>
                <w:lang w:val="nl-NL"/>
              </w:rPr>
            </w:pPr>
            <w:proofErr w:type="spellStart"/>
            <w:r w:rsidRPr="002237F0">
              <w:rPr>
                <w:lang w:val="nl-NL"/>
              </w:rPr>
              <w:t>Available</w:t>
            </w:r>
            <w:proofErr w:type="spellEnd"/>
            <w:r w:rsidRPr="002237F0">
              <w:rPr>
                <w:lang w:val="nl-NL"/>
              </w:rPr>
              <w:t xml:space="preserve"> </w:t>
            </w:r>
            <w:proofErr w:type="spellStart"/>
            <w:r w:rsidRPr="002237F0">
              <w:rPr>
                <w:lang w:val="nl-NL"/>
              </w:rPr>
              <w:t>for</w:t>
            </w:r>
            <w:proofErr w:type="spellEnd"/>
            <w:r w:rsidRPr="002237F0">
              <w:rPr>
                <w:lang w:val="nl-NL"/>
              </w:rPr>
              <w:t xml:space="preserve"> Sale(AVS)</w:t>
            </w:r>
          </w:p>
        </w:tc>
        <w:tc>
          <w:tcPr>
            <w:tcW w:w="3081" w:type="dxa"/>
          </w:tcPr>
          <w:p w:rsidR="000E4912" w:rsidRPr="002237F0" w:rsidRDefault="00E276A9" w:rsidP="00CF62C3">
            <w:pPr>
              <w:rPr>
                <w:lang w:val="nl-NL"/>
              </w:rPr>
            </w:pPr>
            <w:r w:rsidRPr="002237F0">
              <w:rPr>
                <w:lang w:val="nl-NL"/>
              </w:rPr>
              <w:t xml:space="preserve">Reële waarde, wijziging verwerkt in het </w:t>
            </w:r>
            <w:r w:rsidR="00CF62C3" w:rsidRPr="002237F0">
              <w:rPr>
                <w:lang w:val="nl-NL"/>
              </w:rPr>
              <w:t>eigen vermogen</w:t>
            </w:r>
          </w:p>
        </w:tc>
        <w:tc>
          <w:tcPr>
            <w:tcW w:w="3081" w:type="dxa"/>
          </w:tcPr>
          <w:p w:rsidR="000E4912" w:rsidRPr="002237F0" w:rsidRDefault="00E276A9" w:rsidP="00E276A9">
            <w:pPr>
              <w:pStyle w:val="ListParagraph"/>
              <w:numPr>
                <w:ilvl w:val="0"/>
                <w:numId w:val="31"/>
              </w:numPr>
              <w:rPr>
                <w:lang w:val="nl-NL"/>
              </w:rPr>
            </w:pPr>
            <w:r w:rsidRPr="002237F0">
              <w:rPr>
                <w:lang w:val="nl-NL"/>
              </w:rPr>
              <w:t>Waardering tegen geamortiseerde kostprijs</w:t>
            </w:r>
          </w:p>
        </w:tc>
      </w:tr>
    </w:tbl>
    <w:p w:rsidR="000E4912" w:rsidRPr="002237F0" w:rsidRDefault="000E4912" w:rsidP="00CC48C5">
      <w:pPr>
        <w:rPr>
          <w:lang w:val="nl-NL"/>
        </w:rPr>
      </w:pPr>
    </w:p>
    <w:p w:rsidR="00321037" w:rsidRPr="002237F0" w:rsidRDefault="00CC48C5" w:rsidP="00CC48C5">
      <w:pPr>
        <w:rPr>
          <w:lang w:val="nl-NL"/>
        </w:rPr>
      </w:pPr>
      <w:r w:rsidRPr="002237F0">
        <w:rPr>
          <w:lang w:val="nl-NL"/>
        </w:rPr>
        <w:t>De beweegruimte van banken om activa anders te waarderen is erg groo</w:t>
      </w:r>
      <w:r w:rsidR="00321037" w:rsidRPr="002237F0">
        <w:rPr>
          <w:lang w:val="nl-NL"/>
        </w:rPr>
        <w:t xml:space="preserve">t. Uit </w:t>
      </w:r>
      <w:r w:rsidRPr="002237F0">
        <w:rPr>
          <w:lang w:val="nl-NL"/>
        </w:rPr>
        <w:t>onderzoek blijkt dat een derde van de banken gebruik heeft gemaakt van de</w:t>
      </w:r>
      <w:r w:rsidR="00CF62C3" w:rsidRPr="002237F0">
        <w:rPr>
          <w:lang w:val="nl-NL"/>
        </w:rPr>
        <w:t xml:space="preserve"> herwaarderingsoptie, en dat deze banken</w:t>
      </w:r>
      <w:r w:rsidRPr="002237F0">
        <w:rPr>
          <w:lang w:val="nl-NL"/>
        </w:rPr>
        <w:t xml:space="preserve"> er vooral gebruik van hebben gemaakt om substantiële verliezen bij waardering tegen actuele waarde te verhinderen. </w:t>
      </w:r>
      <w:r w:rsidR="00321037" w:rsidRPr="002237F0">
        <w:rPr>
          <w:lang w:val="nl-NL"/>
        </w:rPr>
        <w:t xml:space="preserve">Banken die gebruikt gemaakt hebben van de mogelijkheid tot </w:t>
      </w:r>
      <w:proofErr w:type="spellStart"/>
      <w:r w:rsidR="00321037" w:rsidRPr="002237F0">
        <w:rPr>
          <w:lang w:val="nl-NL"/>
        </w:rPr>
        <w:t>herclassificatie</w:t>
      </w:r>
      <w:proofErr w:type="spellEnd"/>
      <w:r w:rsidR="00321037" w:rsidRPr="002237F0">
        <w:rPr>
          <w:lang w:val="nl-NL"/>
        </w:rPr>
        <w:t xml:space="preserve"> zouden met betrekking tot kengetallen zoals Return </w:t>
      </w:r>
      <w:proofErr w:type="spellStart"/>
      <w:r w:rsidR="00321037" w:rsidRPr="002237F0">
        <w:rPr>
          <w:lang w:val="nl-NL"/>
        </w:rPr>
        <w:t>on</w:t>
      </w:r>
      <w:proofErr w:type="spellEnd"/>
      <w:r w:rsidR="00321037" w:rsidRPr="002237F0">
        <w:rPr>
          <w:lang w:val="nl-NL"/>
        </w:rPr>
        <w:t xml:space="preserve"> </w:t>
      </w:r>
      <w:proofErr w:type="spellStart"/>
      <w:r w:rsidR="00321037" w:rsidRPr="002237F0">
        <w:rPr>
          <w:lang w:val="nl-NL"/>
        </w:rPr>
        <w:t>Assets</w:t>
      </w:r>
      <w:proofErr w:type="spellEnd"/>
      <w:r w:rsidR="00321037" w:rsidRPr="002237F0">
        <w:rPr>
          <w:lang w:val="nl-NL"/>
        </w:rPr>
        <w:t xml:space="preserve">(ROA) en Return </w:t>
      </w:r>
      <w:proofErr w:type="spellStart"/>
      <w:r w:rsidR="00321037" w:rsidRPr="002237F0">
        <w:rPr>
          <w:lang w:val="nl-NL"/>
        </w:rPr>
        <w:t>on</w:t>
      </w:r>
      <w:proofErr w:type="spellEnd"/>
      <w:r w:rsidR="00321037" w:rsidRPr="002237F0">
        <w:rPr>
          <w:lang w:val="nl-NL"/>
        </w:rPr>
        <w:t xml:space="preserve"> </w:t>
      </w:r>
      <w:proofErr w:type="spellStart"/>
      <w:r w:rsidR="00321037" w:rsidRPr="002237F0">
        <w:rPr>
          <w:lang w:val="nl-NL"/>
        </w:rPr>
        <w:t>Equity</w:t>
      </w:r>
      <w:proofErr w:type="spellEnd"/>
      <w:r w:rsidR="00321037" w:rsidRPr="002237F0">
        <w:rPr>
          <w:lang w:val="nl-NL"/>
        </w:rPr>
        <w:t xml:space="preserve">(ROE) significant betere resultaten tonen dan voor de </w:t>
      </w:r>
      <w:proofErr w:type="spellStart"/>
      <w:r w:rsidR="00321037" w:rsidRPr="002237F0">
        <w:rPr>
          <w:lang w:val="nl-NL"/>
        </w:rPr>
        <w:t>herclassificatie</w:t>
      </w:r>
      <w:proofErr w:type="spellEnd"/>
      <w:sdt>
        <w:sdtPr>
          <w:rPr>
            <w:lang w:val="nl-NL"/>
          </w:rPr>
          <w:id w:val="-863595213"/>
          <w:citation/>
        </w:sdtPr>
        <w:sdtContent>
          <w:r w:rsidR="003C13F3" w:rsidRPr="002237F0">
            <w:rPr>
              <w:lang w:val="nl-NL"/>
            </w:rPr>
            <w:fldChar w:fldCharType="begin"/>
          </w:r>
          <w:r w:rsidR="00783A9D" w:rsidRPr="002237F0">
            <w:rPr>
              <w:lang w:val="nl-NL"/>
            </w:rPr>
            <w:instrText xml:space="preserve">CITATION Fie11 \t  \l 1033 </w:instrText>
          </w:r>
          <w:r w:rsidR="003C13F3" w:rsidRPr="002237F0">
            <w:rPr>
              <w:lang w:val="nl-NL"/>
            </w:rPr>
            <w:fldChar w:fldCharType="separate"/>
          </w:r>
          <w:r w:rsidR="00721EC3" w:rsidRPr="002237F0">
            <w:rPr>
              <w:noProof/>
              <w:lang w:val="nl-NL"/>
            </w:rPr>
            <w:t xml:space="preserve"> (Fiechter, 2011)</w:t>
          </w:r>
          <w:r w:rsidR="003C13F3" w:rsidRPr="002237F0">
            <w:rPr>
              <w:lang w:val="nl-NL"/>
            </w:rPr>
            <w:fldChar w:fldCharType="end"/>
          </w:r>
        </w:sdtContent>
      </w:sdt>
      <w:r w:rsidRPr="002237F0">
        <w:rPr>
          <w:lang w:val="nl-NL"/>
        </w:rPr>
        <w:t xml:space="preserve">. </w:t>
      </w:r>
      <w:r w:rsidR="003334D4" w:rsidRPr="002237F0">
        <w:rPr>
          <w:lang w:val="nl-NL"/>
        </w:rPr>
        <w:t>Dit kwam omdat er minder verliezen gerapporteerd hoefden te worden.</w:t>
      </w:r>
    </w:p>
    <w:p w:rsidR="00783A9D" w:rsidRPr="002237F0" w:rsidRDefault="00783A9D" w:rsidP="00CC48C5">
      <w:pPr>
        <w:rPr>
          <w:b/>
          <w:sz w:val="28"/>
          <w:szCs w:val="28"/>
          <w:lang w:val="nl-NL"/>
        </w:rPr>
      </w:pPr>
      <w:r w:rsidRPr="002237F0">
        <w:rPr>
          <w:b/>
          <w:sz w:val="28"/>
          <w:szCs w:val="28"/>
          <w:lang w:val="nl-NL"/>
        </w:rPr>
        <w:t>2.4. Afsluiting</w:t>
      </w:r>
    </w:p>
    <w:p w:rsidR="0045129E" w:rsidRPr="002237F0" w:rsidRDefault="00783A9D" w:rsidP="00CC48C5">
      <w:pPr>
        <w:rPr>
          <w:szCs w:val="28"/>
          <w:lang w:val="nl-NL"/>
        </w:rPr>
      </w:pPr>
      <w:r w:rsidRPr="002237F0">
        <w:rPr>
          <w:szCs w:val="28"/>
          <w:lang w:val="nl-NL"/>
        </w:rPr>
        <w:t xml:space="preserve">In dit hoofdstuk is naar voren gekomen hoe de waardering van financiële instrumenten zich in de </w:t>
      </w:r>
      <w:r w:rsidR="00321037" w:rsidRPr="002237F0">
        <w:rPr>
          <w:szCs w:val="28"/>
          <w:lang w:val="nl-NL"/>
        </w:rPr>
        <w:t xml:space="preserve">periode van 1987 tot heden </w:t>
      </w:r>
      <w:r w:rsidRPr="002237F0">
        <w:rPr>
          <w:szCs w:val="28"/>
          <w:lang w:val="nl-NL"/>
        </w:rPr>
        <w:t>ontwikkeld heeft. In de beginfase was er vrij weinig regelgeving. Daarna kwam de opzet van de huidige regelgeving tot stand, waar de actuele waarde centraal staat. Omdat er gedurende de financiële crisis problemen ontstonden bij de banken en de waardering van de financiële instrumenten, zijn er op korte termijn b</w:t>
      </w:r>
      <w:r w:rsidR="0045129E" w:rsidRPr="002237F0">
        <w:rPr>
          <w:szCs w:val="28"/>
          <w:lang w:val="nl-NL"/>
        </w:rPr>
        <w:t>elangrijke aanpassingen gedaan, die in bovenstaand schema zijn weergegeven. Daarbuiten zijn de volgende conclusies getrokken:</w:t>
      </w:r>
    </w:p>
    <w:tbl>
      <w:tblPr>
        <w:tblStyle w:val="TableGrid"/>
        <w:tblW w:w="0" w:type="auto"/>
        <w:tblLook w:val="04A0"/>
      </w:tblPr>
      <w:tblGrid>
        <w:gridCol w:w="4621"/>
        <w:gridCol w:w="4621"/>
      </w:tblGrid>
      <w:tr w:rsidR="0045129E" w:rsidRPr="002237F0" w:rsidTr="0045129E">
        <w:tc>
          <w:tcPr>
            <w:tcW w:w="4621" w:type="dxa"/>
          </w:tcPr>
          <w:p w:rsidR="0045129E" w:rsidRPr="002237F0" w:rsidRDefault="0045129E" w:rsidP="00CC48C5">
            <w:pPr>
              <w:rPr>
                <w:b/>
                <w:szCs w:val="28"/>
                <w:u w:val="single"/>
                <w:lang w:val="nl-NL"/>
              </w:rPr>
            </w:pPr>
            <w:r w:rsidRPr="002237F0">
              <w:rPr>
                <w:b/>
                <w:szCs w:val="28"/>
                <w:u w:val="single"/>
                <w:lang w:val="nl-NL"/>
              </w:rPr>
              <w:t>Verschijnsel</w:t>
            </w:r>
          </w:p>
        </w:tc>
        <w:tc>
          <w:tcPr>
            <w:tcW w:w="4621" w:type="dxa"/>
          </w:tcPr>
          <w:p w:rsidR="0045129E" w:rsidRPr="002237F0" w:rsidRDefault="00087218" w:rsidP="00CC48C5">
            <w:pPr>
              <w:rPr>
                <w:b/>
                <w:szCs w:val="28"/>
                <w:u w:val="single"/>
                <w:lang w:val="nl-NL"/>
              </w:rPr>
            </w:pPr>
            <w:r w:rsidRPr="002237F0">
              <w:rPr>
                <w:b/>
                <w:szCs w:val="28"/>
                <w:u w:val="single"/>
                <w:lang w:val="nl-NL"/>
              </w:rPr>
              <w:t>Bron</w:t>
            </w:r>
          </w:p>
        </w:tc>
      </w:tr>
      <w:tr w:rsidR="0045129E" w:rsidRPr="002237F0" w:rsidTr="0045129E">
        <w:tc>
          <w:tcPr>
            <w:tcW w:w="4621" w:type="dxa"/>
          </w:tcPr>
          <w:p w:rsidR="0045129E" w:rsidRPr="002237F0" w:rsidRDefault="0045129E" w:rsidP="00321037">
            <w:pPr>
              <w:tabs>
                <w:tab w:val="left" w:pos="1128"/>
              </w:tabs>
              <w:rPr>
                <w:sz w:val="18"/>
                <w:szCs w:val="18"/>
                <w:lang w:val="nl-NL"/>
              </w:rPr>
            </w:pPr>
            <w:r w:rsidRPr="002237F0">
              <w:rPr>
                <w:sz w:val="18"/>
                <w:szCs w:val="18"/>
                <w:lang w:val="nl-NL"/>
              </w:rPr>
              <w:t xml:space="preserve">Na het amendement </w:t>
            </w:r>
            <w:r w:rsidR="00321037" w:rsidRPr="002237F0">
              <w:rPr>
                <w:sz w:val="18"/>
                <w:szCs w:val="18"/>
                <w:lang w:val="nl-NL"/>
              </w:rPr>
              <w:t xml:space="preserve">is er aanwijzing dat </w:t>
            </w:r>
            <w:r w:rsidRPr="002237F0">
              <w:rPr>
                <w:sz w:val="18"/>
                <w:szCs w:val="18"/>
                <w:lang w:val="nl-NL"/>
              </w:rPr>
              <w:t>banken meteen betere prestatiemaatstaven</w:t>
            </w:r>
            <w:r w:rsidR="00321037" w:rsidRPr="002237F0">
              <w:rPr>
                <w:sz w:val="18"/>
                <w:szCs w:val="18"/>
                <w:lang w:val="nl-NL"/>
              </w:rPr>
              <w:t xml:space="preserve"> vertoonden</w:t>
            </w:r>
            <w:r w:rsidRPr="002237F0">
              <w:rPr>
                <w:sz w:val="18"/>
                <w:szCs w:val="18"/>
                <w:lang w:val="nl-NL"/>
              </w:rPr>
              <w:t>, zoals ROA en ROE.</w:t>
            </w:r>
            <w:r w:rsidRPr="002237F0">
              <w:rPr>
                <w:sz w:val="18"/>
                <w:szCs w:val="18"/>
                <w:lang w:val="nl-NL"/>
              </w:rPr>
              <w:tab/>
            </w:r>
          </w:p>
        </w:tc>
        <w:tc>
          <w:tcPr>
            <w:tcW w:w="4621" w:type="dxa"/>
          </w:tcPr>
          <w:p w:rsidR="0045129E" w:rsidRPr="002237F0" w:rsidRDefault="0045129E" w:rsidP="00CC48C5">
            <w:pPr>
              <w:rPr>
                <w:sz w:val="18"/>
                <w:szCs w:val="18"/>
                <w:lang w:val="nl-NL"/>
              </w:rPr>
            </w:pPr>
            <w:r w:rsidRPr="002237F0">
              <w:rPr>
                <w:noProof/>
                <w:sz w:val="18"/>
                <w:szCs w:val="18"/>
              </w:rPr>
              <w:t xml:space="preserve">Fiechter, P. (2011). Reclassification of Financial Assets under IAS 39: Impact on European Banks' Statements. </w:t>
            </w:r>
            <w:r w:rsidRPr="002237F0">
              <w:rPr>
                <w:i/>
                <w:iCs/>
                <w:noProof/>
                <w:sz w:val="18"/>
                <w:szCs w:val="18"/>
              </w:rPr>
              <w:t>Accounting in Europe</w:t>
            </w:r>
            <w:r w:rsidRPr="002237F0">
              <w:rPr>
                <w:noProof/>
                <w:sz w:val="18"/>
                <w:szCs w:val="18"/>
              </w:rPr>
              <w:t xml:space="preserve"> , 49-67.</w:t>
            </w:r>
          </w:p>
        </w:tc>
      </w:tr>
      <w:tr w:rsidR="0045129E" w:rsidRPr="002237F0" w:rsidTr="0045129E">
        <w:tc>
          <w:tcPr>
            <w:tcW w:w="4621" w:type="dxa"/>
          </w:tcPr>
          <w:p w:rsidR="0045129E" w:rsidRPr="002237F0" w:rsidRDefault="0045129E" w:rsidP="00CC48C5">
            <w:pPr>
              <w:rPr>
                <w:sz w:val="18"/>
                <w:szCs w:val="18"/>
                <w:lang w:val="nl-NL"/>
              </w:rPr>
            </w:pPr>
            <w:r w:rsidRPr="002237F0">
              <w:rPr>
                <w:sz w:val="18"/>
                <w:szCs w:val="18"/>
                <w:lang w:val="nl-NL"/>
              </w:rPr>
              <w:t xml:space="preserve">De fair </w:t>
            </w:r>
            <w:proofErr w:type="spellStart"/>
            <w:r w:rsidRPr="002237F0">
              <w:rPr>
                <w:sz w:val="18"/>
                <w:szCs w:val="18"/>
                <w:lang w:val="nl-NL"/>
              </w:rPr>
              <w:t>value</w:t>
            </w:r>
            <w:proofErr w:type="spellEnd"/>
            <w:r w:rsidRPr="002237F0">
              <w:rPr>
                <w:sz w:val="18"/>
                <w:szCs w:val="18"/>
                <w:lang w:val="nl-NL"/>
              </w:rPr>
              <w:t xml:space="preserve"> waarde</w:t>
            </w:r>
            <w:r w:rsidR="00321037" w:rsidRPr="002237F0">
              <w:rPr>
                <w:sz w:val="18"/>
                <w:szCs w:val="18"/>
                <w:lang w:val="nl-NL"/>
              </w:rPr>
              <w:t xml:space="preserve">ring laat een waardedaling </w:t>
            </w:r>
            <w:r w:rsidRPr="002237F0">
              <w:rPr>
                <w:sz w:val="18"/>
                <w:szCs w:val="18"/>
                <w:lang w:val="nl-NL"/>
              </w:rPr>
              <w:t>sneller zien dan de waardering tegen de geamortiseerde kostprijs dat doet.</w:t>
            </w:r>
          </w:p>
        </w:tc>
        <w:tc>
          <w:tcPr>
            <w:tcW w:w="4621" w:type="dxa"/>
          </w:tcPr>
          <w:p w:rsidR="0045129E" w:rsidRPr="002237F0" w:rsidRDefault="0045129E" w:rsidP="00CC48C5">
            <w:pPr>
              <w:rPr>
                <w:sz w:val="18"/>
                <w:szCs w:val="18"/>
                <w:lang w:val="nl-NL"/>
              </w:rPr>
            </w:pPr>
            <w:r w:rsidRPr="002237F0">
              <w:rPr>
                <w:noProof/>
                <w:sz w:val="18"/>
                <w:szCs w:val="18"/>
              </w:rPr>
              <w:t xml:space="preserve">Linsmeier, T. J. (2011). Financial Reporting and Financial Crises: The Case for measuring Financial Instruments at Fair Value in the Financial Statements. </w:t>
            </w:r>
            <w:r w:rsidRPr="002237F0">
              <w:rPr>
                <w:i/>
                <w:iCs/>
                <w:noProof/>
                <w:sz w:val="18"/>
                <w:szCs w:val="18"/>
              </w:rPr>
              <w:t>Accounting Horizons</w:t>
            </w:r>
            <w:r w:rsidRPr="002237F0">
              <w:rPr>
                <w:noProof/>
                <w:sz w:val="18"/>
                <w:szCs w:val="18"/>
              </w:rPr>
              <w:t xml:space="preserve"> , 409-417.</w:t>
            </w:r>
          </w:p>
        </w:tc>
      </w:tr>
      <w:tr w:rsidR="0045129E" w:rsidRPr="002237F0" w:rsidTr="0045129E">
        <w:tc>
          <w:tcPr>
            <w:tcW w:w="4621" w:type="dxa"/>
          </w:tcPr>
          <w:p w:rsidR="0045129E" w:rsidRPr="002237F0" w:rsidRDefault="00321037" w:rsidP="0045129E">
            <w:pPr>
              <w:rPr>
                <w:sz w:val="18"/>
                <w:szCs w:val="18"/>
                <w:lang w:val="nl-NL"/>
              </w:rPr>
            </w:pPr>
            <w:r w:rsidRPr="002237F0">
              <w:rPr>
                <w:sz w:val="18"/>
                <w:szCs w:val="18"/>
                <w:lang w:val="nl-NL"/>
              </w:rPr>
              <w:t xml:space="preserve">De waardedaling op grote schaal van </w:t>
            </w:r>
            <w:proofErr w:type="spellStart"/>
            <w:r w:rsidRPr="002237F0">
              <w:rPr>
                <w:sz w:val="18"/>
                <w:szCs w:val="18"/>
                <w:lang w:val="nl-NL"/>
              </w:rPr>
              <w:t>hypotheekpaketten</w:t>
            </w:r>
            <w:proofErr w:type="spellEnd"/>
            <w:r w:rsidR="0045129E" w:rsidRPr="002237F0">
              <w:rPr>
                <w:sz w:val="18"/>
                <w:szCs w:val="18"/>
                <w:lang w:val="nl-NL"/>
              </w:rPr>
              <w:t xml:space="preserve"> zorgde ervoor dat de kredietwaardigheid </w:t>
            </w:r>
            <w:r w:rsidRPr="002237F0">
              <w:rPr>
                <w:sz w:val="18"/>
                <w:szCs w:val="18"/>
                <w:lang w:val="nl-NL"/>
              </w:rPr>
              <w:t xml:space="preserve">hiervan </w:t>
            </w:r>
            <w:r w:rsidR="0045129E" w:rsidRPr="002237F0">
              <w:rPr>
                <w:sz w:val="18"/>
                <w:szCs w:val="18"/>
                <w:lang w:val="nl-NL"/>
              </w:rPr>
              <w:t xml:space="preserve">en daarmee de reële waarde van veel activa hard omlaag ging. </w:t>
            </w:r>
          </w:p>
        </w:tc>
        <w:tc>
          <w:tcPr>
            <w:tcW w:w="4621" w:type="dxa"/>
          </w:tcPr>
          <w:p w:rsidR="0045129E" w:rsidRPr="002237F0" w:rsidRDefault="0045129E" w:rsidP="0045129E">
            <w:pPr>
              <w:pStyle w:val="Bibliography"/>
              <w:rPr>
                <w:noProof/>
                <w:sz w:val="18"/>
                <w:szCs w:val="18"/>
              </w:rPr>
            </w:pPr>
            <w:r w:rsidRPr="002237F0">
              <w:rPr>
                <w:noProof/>
                <w:sz w:val="18"/>
                <w:szCs w:val="18"/>
                <w:lang w:val="en-GB"/>
              </w:rPr>
              <w:t xml:space="preserve">Merrill, Nadauld, Stulz, &amp; Sherlund. (2012). </w:t>
            </w:r>
            <w:r w:rsidRPr="002237F0">
              <w:rPr>
                <w:i/>
                <w:iCs/>
                <w:noProof/>
                <w:sz w:val="18"/>
                <w:szCs w:val="18"/>
                <w:lang w:val="en-GB"/>
              </w:rPr>
              <w:t xml:space="preserve">Did Capital Requirements and Fair Value Accounting Spark Fire Sales in Distressed </w:t>
            </w:r>
            <w:r w:rsidRPr="002237F0">
              <w:rPr>
                <w:i/>
                <w:iCs/>
                <w:noProof/>
                <w:sz w:val="18"/>
                <w:szCs w:val="18"/>
              </w:rPr>
              <w:t>Mortgage-backed securities?</w:t>
            </w:r>
            <w:r w:rsidRPr="002237F0">
              <w:rPr>
                <w:noProof/>
                <w:sz w:val="18"/>
                <w:szCs w:val="18"/>
              </w:rPr>
              <w:t xml:space="preserve"> Cambridge(MA): National Bureau of Economic Research.</w:t>
            </w:r>
          </w:p>
          <w:p w:rsidR="0045129E" w:rsidRPr="002237F0" w:rsidRDefault="0045129E" w:rsidP="00CC48C5">
            <w:pPr>
              <w:rPr>
                <w:sz w:val="18"/>
                <w:szCs w:val="18"/>
              </w:rPr>
            </w:pPr>
          </w:p>
        </w:tc>
      </w:tr>
    </w:tbl>
    <w:p w:rsidR="0045129E" w:rsidRPr="002237F0" w:rsidRDefault="0045129E" w:rsidP="00CC48C5">
      <w:pPr>
        <w:rPr>
          <w:szCs w:val="28"/>
        </w:rPr>
      </w:pPr>
    </w:p>
    <w:p w:rsidR="00783A9D" w:rsidRPr="002237F0" w:rsidRDefault="00783A9D" w:rsidP="00CC48C5">
      <w:pPr>
        <w:rPr>
          <w:szCs w:val="28"/>
          <w:lang w:val="nl-NL"/>
        </w:rPr>
      </w:pPr>
      <w:r w:rsidRPr="002237F0">
        <w:rPr>
          <w:szCs w:val="28"/>
          <w:lang w:val="nl-NL"/>
        </w:rPr>
        <w:t xml:space="preserve">In de volgende hoofdstukken staat de vraag centraal welk </w:t>
      </w:r>
      <w:r w:rsidR="00321037" w:rsidRPr="002237F0">
        <w:rPr>
          <w:szCs w:val="28"/>
          <w:lang w:val="nl-NL"/>
        </w:rPr>
        <w:t>effect de actuele waardering</w:t>
      </w:r>
      <w:r w:rsidRPr="002237F0">
        <w:rPr>
          <w:szCs w:val="28"/>
          <w:lang w:val="nl-NL"/>
        </w:rPr>
        <w:t xml:space="preserve"> heeft op een financieel instrument, en in hoeverre het amendement op IAS 39 van belang is geweest.</w:t>
      </w:r>
      <w:r w:rsidR="00BB6634" w:rsidRPr="002237F0">
        <w:rPr>
          <w:szCs w:val="28"/>
          <w:lang w:val="nl-NL"/>
        </w:rPr>
        <w:t xml:space="preserve"> Dit hoofdstuk is geschreven om te kunnen beantwoorden wat er veranderd is aan de waarderingsregels voor financiële instrumenten en waarom deze veranderingen geïntroduceerd zijn. De financiële crisis is de grootste reden geweest om veranderingen aan te brengen aan IAS 39 en in de praktijk hielden de veranderingen in dat het voor banken makkelijker werd om van de waardering op marktwaarde(fair </w:t>
      </w:r>
      <w:proofErr w:type="spellStart"/>
      <w:r w:rsidR="00BB6634" w:rsidRPr="002237F0">
        <w:rPr>
          <w:szCs w:val="28"/>
          <w:lang w:val="nl-NL"/>
        </w:rPr>
        <w:t>value</w:t>
      </w:r>
      <w:proofErr w:type="spellEnd"/>
      <w:r w:rsidR="00BB6634" w:rsidRPr="002237F0">
        <w:rPr>
          <w:szCs w:val="28"/>
          <w:lang w:val="nl-NL"/>
        </w:rPr>
        <w:t xml:space="preserve">) af te </w:t>
      </w:r>
      <w:proofErr w:type="gramStart"/>
      <w:r w:rsidR="00BB6634" w:rsidRPr="002237F0">
        <w:rPr>
          <w:szCs w:val="28"/>
          <w:lang w:val="nl-NL"/>
        </w:rPr>
        <w:t xml:space="preserve">stappen. </w:t>
      </w:r>
      <w:r w:rsidR="00BB6634" w:rsidRPr="002237F0">
        <w:rPr>
          <w:rFonts w:ascii="Sylfaen" w:hAnsi="Sylfaen"/>
          <w:szCs w:val="28"/>
          <w:lang w:val="nl-NL"/>
        </w:rPr>
        <w:t xml:space="preserve"> </w:t>
      </w:r>
      <w:r w:rsidRPr="002237F0">
        <w:rPr>
          <w:szCs w:val="28"/>
          <w:lang w:val="nl-NL"/>
        </w:rPr>
        <w:t xml:space="preserve"> </w:t>
      </w:r>
      <w:proofErr w:type="gramEnd"/>
    </w:p>
    <w:p w:rsidR="00057E42" w:rsidRPr="002237F0" w:rsidRDefault="00057E42" w:rsidP="00057E42">
      <w:pPr>
        <w:rPr>
          <w:lang w:val="nl-NL"/>
        </w:rPr>
      </w:pPr>
    </w:p>
    <w:p w:rsidR="005846A3" w:rsidRPr="002237F0" w:rsidRDefault="005846A3" w:rsidP="007E2C3F">
      <w:pPr>
        <w:rPr>
          <w:lang w:val="nl-NL"/>
        </w:rPr>
      </w:pPr>
    </w:p>
    <w:p w:rsidR="001A6C33" w:rsidRPr="002237F0" w:rsidRDefault="001A6C33" w:rsidP="007E2C3F">
      <w:pPr>
        <w:rPr>
          <w:lang w:val="nl-NL"/>
        </w:rPr>
      </w:pPr>
    </w:p>
    <w:p w:rsidR="0097299A" w:rsidRPr="002237F0" w:rsidRDefault="0097299A" w:rsidP="007E2C3F">
      <w:pPr>
        <w:rPr>
          <w:b/>
          <w:sz w:val="32"/>
          <w:lang w:val="nl-NL"/>
        </w:rPr>
      </w:pPr>
    </w:p>
    <w:p w:rsidR="0097299A" w:rsidRPr="002237F0" w:rsidRDefault="0097299A" w:rsidP="007E2C3F">
      <w:pPr>
        <w:rPr>
          <w:b/>
          <w:sz w:val="32"/>
          <w:lang w:val="nl-NL"/>
        </w:rPr>
      </w:pPr>
    </w:p>
    <w:p w:rsidR="00345B2F" w:rsidRPr="002237F0" w:rsidRDefault="00345B2F" w:rsidP="007E2C3F">
      <w:pPr>
        <w:rPr>
          <w:b/>
          <w:sz w:val="32"/>
          <w:lang w:val="nl-NL"/>
        </w:rPr>
      </w:pPr>
    </w:p>
    <w:p w:rsidR="003334D4" w:rsidRPr="002237F0" w:rsidRDefault="003334D4" w:rsidP="007E2C3F">
      <w:pPr>
        <w:rPr>
          <w:b/>
          <w:sz w:val="32"/>
          <w:lang w:val="nl-NL"/>
        </w:rPr>
      </w:pPr>
    </w:p>
    <w:p w:rsidR="00F5274E" w:rsidRPr="002237F0" w:rsidRDefault="00F5274E" w:rsidP="007E2C3F">
      <w:pPr>
        <w:rPr>
          <w:b/>
          <w:sz w:val="32"/>
          <w:lang w:val="nl-NL"/>
        </w:rPr>
      </w:pPr>
      <w:r w:rsidRPr="002237F0">
        <w:rPr>
          <w:b/>
          <w:sz w:val="32"/>
          <w:lang w:val="nl-NL"/>
        </w:rPr>
        <w:t xml:space="preserve">3. </w:t>
      </w:r>
      <w:r w:rsidR="00BB6634" w:rsidRPr="002237F0">
        <w:rPr>
          <w:b/>
          <w:sz w:val="32"/>
          <w:lang w:val="nl-NL"/>
        </w:rPr>
        <w:t xml:space="preserve">Welke rol speelde de waardering van financiële instrumenten in de </w:t>
      </w:r>
      <w:r w:rsidR="00AA76B9" w:rsidRPr="002237F0">
        <w:rPr>
          <w:b/>
          <w:sz w:val="32"/>
          <w:lang w:val="nl-NL"/>
        </w:rPr>
        <w:t>banken</w:t>
      </w:r>
      <w:r w:rsidR="00BB6634" w:rsidRPr="002237F0">
        <w:rPr>
          <w:b/>
          <w:sz w:val="32"/>
          <w:lang w:val="nl-NL"/>
        </w:rPr>
        <w:t>crisis</w:t>
      </w:r>
      <w:r w:rsidRPr="002237F0">
        <w:rPr>
          <w:b/>
          <w:sz w:val="32"/>
          <w:lang w:val="nl-NL"/>
        </w:rPr>
        <w:t>?</w:t>
      </w:r>
      <w:r w:rsidR="00B803F4" w:rsidRPr="002237F0">
        <w:rPr>
          <w:b/>
          <w:sz w:val="32"/>
          <w:lang w:val="nl-NL"/>
        </w:rPr>
        <w:t xml:space="preserve"> </w:t>
      </w:r>
    </w:p>
    <w:p w:rsidR="006E0DF6" w:rsidRPr="002237F0" w:rsidRDefault="00B61D86" w:rsidP="007E2C3F">
      <w:pPr>
        <w:rPr>
          <w:lang w:val="nl-NL"/>
        </w:rPr>
      </w:pPr>
      <w:r w:rsidRPr="002237F0">
        <w:rPr>
          <w:lang w:val="nl-NL"/>
        </w:rPr>
        <w:t xml:space="preserve">In deze vraag wordt de rol van financiële instrumenten en hun waardering binnen de crisis </w:t>
      </w:r>
      <w:r w:rsidR="00BB6634" w:rsidRPr="002237F0">
        <w:rPr>
          <w:lang w:val="nl-NL"/>
        </w:rPr>
        <w:t>toegelicht. Eerder is</w:t>
      </w:r>
      <w:r w:rsidRPr="002237F0">
        <w:rPr>
          <w:lang w:val="nl-NL"/>
        </w:rPr>
        <w:t xml:space="preserve"> naar voren gekomen dat in tijden van </w:t>
      </w:r>
      <w:r w:rsidR="00BB6634" w:rsidRPr="002237F0">
        <w:rPr>
          <w:lang w:val="nl-NL"/>
        </w:rPr>
        <w:t xml:space="preserve">sterk </w:t>
      </w:r>
      <w:r w:rsidRPr="002237F0">
        <w:rPr>
          <w:lang w:val="nl-NL"/>
        </w:rPr>
        <w:t xml:space="preserve">fluctuerende markten de actuele waarde </w:t>
      </w:r>
      <w:r w:rsidR="0002481A" w:rsidRPr="002237F0">
        <w:rPr>
          <w:lang w:val="nl-NL"/>
        </w:rPr>
        <w:t>benadering niet erg geschikt leek.</w:t>
      </w:r>
      <w:r w:rsidR="006E0DF6" w:rsidRPr="002237F0">
        <w:rPr>
          <w:lang w:val="nl-NL"/>
        </w:rPr>
        <w:t xml:space="preserve"> In</w:t>
      </w:r>
      <w:r w:rsidR="00BB6634" w:rsidRPr="002237F0">
        <w:rPr>
          <w:lang w:val="nl-NL"/>
        </w:rPr>
        <w:t xml:space="preserve"> het vorige hoofdstuk is</w:t>
      </w:r>
      <w:r w:rsidR="006E0DF6" w:rsidRPr="002237F0">
        <w:rPr>
          <w:lang w:val="nl-NL"/>
        </w:rPr>
        <w:t xml:space="preserve"> ter sprake gekomen dat het hanteren van de actuele waarde problemen met zich meebracht, waarop er in Europa is besloten mogelijkheden te bieden om van deze actuele waarde af te stappen. In dit hoofdstuk wordt er dieper op ingegaan hoe belangrijk financiële instrumenten zijn voor een bank, welke effecten</w:t>
      </w:r>
      <w:r w:rsidR="00BB6634" w:rsidRPr="002237F0">
        <w:rPr>
          <w:lang w:val="nl-NL"/>
        </w:rPr>
        <w:t xml:space="preserve"> de</w:t>
      </w:r>
      <w:r w:rsidR="006E0DF6" w:rsidRPr="002237F0">
        <w:rPr>
          <w:lang w:val="nl-NL"/>
        </w:rPr>
        <w:t xml:space="preserve"> reële waardering van financiële instrumenten had op banken en hun prestaties, en welke gevolgen het amendement van oktober 2008 had op de waarderingsproblema</w:t>
      </w:r>
      <w:r w:rsidR="0045129E" w:rsidRPr="002237F0">
        <w:rPr>
          <w:lang w:val="nl-NL"/>
        </w:rPr>
        <w:t xml:space="preserve">tiek. </w:t>
      </w:r>
      <w:r w:rsidR="00BB6634" w:rsidRPr="002237F0">
        <w:rPr>
          <w:lang w:val="nl-NL"/>
        </w:rPr>
        <w:t xml:space="preserve">Hoofdstuk 2 verklaart </w:t>
      </w:r>
      <w:r w:rsidR="006E0DF6" w:rsidRPr="002237F0">
        <w:rPr>
          <w:lang w:val="nl-NL"/>
        </w:rPr>
        <w:t>waarom regelgeving is veranderd en hoe die is aangepa</w:t>
      </w:r>
      <w:r w:rsidR="00BB6634" w:rsidRPr="002237F0">
        <w:rPr>
          <w:lang w:val="nl-NL"/>
        </w:rPr>
        <w:t>st in de loop der jaren. Hoofdstuk 3 beoordeelt</w:t>
      </w:r>
      <w:r w:rsidR="006E0DF6" w:rsidRPr="002237F0">
        <w:rPr>
          <w:lang w:val="nl-NL"/>
        </w:rPr>
        <w:t xml:space="preserve"> of de actuele waarde daadwerkelijk zoveel invloed heeft op de waarde van financiële instrumenten en indirect op de waarde van de activa van een bank. </w:t>
      </w:r>
    </w:p>
    <w:p w:rsidR="00B61D86" w:rsidRPr="002237F0" w:rsidRDefault="00BB6634" w:rsidP="007E2C3F">
      <w:pPr>
        <w:rPr>
          <w:lang w:val="nl-NL"/>
        </w:rPr>
      </w:pPr>
      <w:r w:rsidRPr="002237F0">
        <w:rPr>
          <w:lang w:val="nl-NL"/>
        </w:rPr>
        <w:t>Eerst wordt beschreven hoe de</w:t>
      </w:r>
      <w:r w:rsidR="006E0DF6" w:rsidRPr="002237F0">
        <w:rPr>
          <w:lang w:val="nl-NL"/>
        </w:rPr>
        <w:t xml:space="preserve"> kapitaalstructuur van een bank er uit ziet. Dit komt ook nog in </w:t>
      </w:r>
      <w:r w:rsidRPr="002237F0">
        <w:rPr>
          <w:lang w:val="nl-NL"/>
        </w:rPr>
        <w:t>hoofdstuk 4 van pas</w:t>
      </w:r>
      <w:r w:rsidR="006E0DF6" w:rsidRPr="002237F0">
        <w:rPr>
          <w:lang w:val="nl-NL"/>
        </w:rPr>
        <w:t xml:space="preserve">, waar de </w:t>
      </w:r>
      <w:proofErr w:type="spellStart"/>
      <w:r w:rsidR="00EA368F" w:rsidRPr="002237F0">
        <w:rPr>
          <w:lang w:val="nl-NL"/>
        </w:rPr>
        <w:t>Basel</w:t>
      </w:r>
      <w:r w:rsidR="006E0DF6" w:rsidRPr="002237F0">
        <w:rPr>
          <w:lang w:val="nl-NL"/>
        </w:rPr>
        <w:t>-akkoorden</w:t>
      </w:r>
      <w:proofErr w:type="spellEnd"/>
      <w:r w:rsidR="006E0DF6" w:rsidRPr="002237F0">
        <w:rPr>
          <w:lang w:val="nl-NL"/>
        </w:rPr>
        <w:t xml:space="preserve"> met betrekking tot regelgeving voor banken ter sprake komen.</w:t>
      </w:r>
      <w:r w:rsidR="000D2BDE" w:rsidRPr="002237F0">
        <w:rPr>
          <w:lang w:val="nl-NL"/>
        </w:rPr>
        <w:t xml:space="preserve"> In de </w:t>
      </w:r>
      <w:r w:rsidR="009B3003" w:rsidRPr="002237F0">
        <w:rPr>
          <w:lang w:val="nl-NL"/>
        </w:rPr>
        <w:t>tweede</w:t>
      </w:r>
      <w:r w:rsidR="000D2BDE" w:rsidRPr="002237F0">
        <w:rPr>
          <w:lang w:val="nl-NL"/>
        </w:rPr>
        <w:t xml:space="preserve"> </w:t>
      </w:r>
      <w:r w:rsidR="009B3003" w:rsidRPr="002237F0">
        <w:rPr>
          <w:lang w:val="nl-NL"/>
        </w:rPr>
        <w:t xml:space="preserve">paragraaf wordt </w:t>
      </w:r>
      <w:r w:rsidR="00EA368F" w:rsidRPr="002237F0">
        <w:rPr>
          <w:lang w:val="nl-NL"/>
        </w:rPr>
        <w:t xml:space="preserve">ingegaan </w:t>
      </w:r>
      <w:r w:rsidR="000D2BDE" w:rsidRPr="002237F0">
        <w:rPr>
          <w:lang w:val="nl-NL"/>
        </w:rPr>
        <w:t xml:space="preserve">op de rol die financiële instrumenten speelden bij de crisis. De </w:t>
      </w:r>
      <w:r w:rsidR="009B3003" w:rsidRPr="002237F0">
        <w:rPr>
          <w:lang w:val="nl-NL"/>
        </w:rPr>
        <w:t xml:space="preserve">derde </w:t>
      </w:r>
      <w:r w:rsidR="000D2BDE" w:rsidRPr="002237F0">
        <w:rPr>
          <w:lang w:val="nl-NL"/>
        </w:rPr>
        <w:t xml:space="preserve">paragraaf analyseert </w:t>
      </w:r>
      <w:r w:rsidR="009B3003" w:rsidRPr="002237F0">
        <w:rPr>
          <w:lang w:val="nl-NL"/>
        </w:rPr>
        <w:t xml:space="preserve">of </w:t>
      </w:r>
      <w:r w:rsidRPr="002237F0">
        <w:rPr>
          <w:lang w:val="nl-NL"/>
        </w:rPr>
        <w:t>de</w:t>
      </w:r>
      <w:r w:rsidR="009B3003" w:rsidRPr="002237F0">
        <w:rPr>
          <w:lang w:val="nl-NL"/>
        </w:rPr>
        <w:t xml:space="preserve"> toegestane methodes verschillende effecten hebben op</w:t>
      </w:r>
      <w:r w:rsidR="000D2BDE" w:rsidRPr="002237F0">
        <w:rPr>
          <w:lang w:val="nl-NL"/>
        </w:rPr>
        <w:t xml:space="preserve"> banken. </w:t>
      </w:r>
      <w:r w:rsidRPr="002237F0">
        <w:rPr>
          <w:lang w:val="nl-NL"/>
        </w:rPr>
        <w:t>De derde paragraaf kijkt</w:t>
      </w:r>
      <w:r w:rsidR="009B3003" w:rsidRPr="002237F0">
        <w:rPr>
          <w:lang w:val="nl-NL"/>
        </w:rPr>
        <w:t xml:space="preserve"> specifiek naar banken, de tweede paragraaf kijkt naar de crisis op zichzelf. </w:t>
      </w:r>
      <w:r w:rsidR="000D2BDE" w:rsidRPr="002237F0">
        <w:rPr>
          <w:lang w:val="nl-NL"/>
        </w:rPr>
        <w:t>Niet a</w:t>
      </w:r>
      <w:r w:rsidR="005F6D80" w:rsidRPr="002237F0">
        <w:rPr>
          <w:lang w:val="nl-NL"/>
        </w:rPr>
        <w:t>lleen de actuele waardering</w:t>
      </w:r>
      <w:r w:rsidR="000D2BDE" w:rsidRPr="002237F0">
        <w:rPr>
          <w:lang w:val="nl-NL"/>
        </w:rPr>
        <w:t xml:space="preserve"> wordt besproken, maar ook de gevolgen van het gemaakte amendement komen naar voren. </w:t>
      </w:r>
    </w:p>
    <w:p w:rsidR="006E0DF6" w:rsidRPr="002237F0" w:rsidRDefault="00B61D86" w:rsidP="007E2C3F">
      <w:pPr>
        <w:rPr>
          <w:b/>
          <w:sz w:val="28"/>
          <w:lang w:val="nl-NL"/>
        </w:rPr>
      </w:pPr>
      <w:r w:rsidRPr="002237F0">
        <w:rPr>
          <w:b/>
          <w:sz w:val="28"/>
          <w:lang w:val="nl-NL"/>
        </w:rPr>
        <w:t>3.1</w:t>
      </w:r>
      <w:r w:rsidR="00CF616D" w:rsidRPr="002237F0">
        <w:rPr>
          <w:b/>
          <w:sz w:val="28"/>
          <w:lang w:val="nl-NL"/>
        </w:rPr>
        <w:t xml:space="preserve">. </w:t>
      </w:r>
      <w:r w:rsidR="0002481A" w:rsidRPr="002237F0">
        <w:rPr>
          <w:b/>
          <w:sz w:val="28"/>
          <w:lang w:val="nl-NL"/>
        </w:rPr>
        <w:t>H</w:t>
      </w:r>
      <w:r w:rsidRPr="002237F0">
        <w:rPr>
          <w:b/>
          <w:sz w:val="28"/>
          <w:lang w:val="nl-NL"/>
        </w:rPr>
        <w:t>et belang van financiële instrumenten binnen de bancaire sector</w:t>
      </w:r>
      <w:r w:rsidR="0002481A" w:rsidRPr="002237F0">
        <w:rPr>
          <w:b/>
          <w:sz w:val="28"/>
          <w:lang w:val="nl-NL"/>
        </w:rPr>
        <w:t xml:space="preserve"> </w:t>
      </w:r>
    </w:p>
    <w:p w:rsidR="004812D6" w:rsidRPr="002237F0" w:rsidRDefault="00231871" w:rsidP="007E2C3F">
      <w:pPr>
        <w:rPr>
          <w:lang w:val="nl-NL"/>
        </w:rPr>
      </w:pPr>
      <w:r w:rsidRPr="002237F0">
        <w:rPr>
          <w:lang w:val="nl-NL"/>
        </w:rPr>
        <w:t>Alvorens de rol van waardering van financiële instrumenten</w:t>
      </w:r>
      <w:r w:rsidR="00E30009" w:rsidRPr="002237F0">
        <w:rPr>
          <w:lang w:val="nl-NL"/>
        </w:rPr>
        <w:t xml:space="preserve"> te onderzoeken</w:t>
      </w:r>
      <w:r w:rsidRPr="002237F0">
        <w:rPr>
          <w:lang w:val="nl-NL"/>
        </w:rPr>
        <w:t xml:space="preserve">, </w:t>
      </w:r>
      <w:r w:rsidR="00E30009" w:rsidRPr="002237F0">
        <w:rPr>
          <w:lang w:val="nl-NL"/>
        </w:rPr>
        <w:t>wordt er eerst gekeken naar de financiële structuur van een bank</w:t>
      </w:r>
      <w:r w:rsidRPr="002237F0">
        <w:rPr>
          <w:lang w:val="nl-NL"/>
        </w:rPr>
        <w:t xml:space="preserve">. </w:t>
      </w:r>
      <w:r w:rsidR="00E30009" w:rsidRPr="002237F0">
        <w:rPr>
          <w:lang w:val="nl-NL"/>
        </w:rPr>
        <w:t>Banken vervullen een speciale rol in de economie, en de balans ziet er anders uit in vergelijking met andere rechtspersonen</w:t>
      </w:r>
      <w:sdt>
        <w:sdtPr>
          <w:rPr>
            <w:lang w:val="nl-NL"/>
          </w:rPr>
          <w:id w:val="2041125"/>
          <w:citation/>
        </w:sdtPr>
        <w:sdtContent>
          <w:r w:rsidR="003C13F3" w:rsidRPr="002237F0">
            <w:rPr>
              <w:lang w:val="nl-NL"/>
            </w:rPr>
            <w:fldChar w:fldCharType="begin"/>
          </w:r>
          <w:r w:rsidR="00E30009" w:rsidRPr="002237F0">
            <w:rPr>
              <w:lang w:val="nl-NL"/>
            </w:rPr>
            <w:instrText xml:space="preserve"> CITATION Böh12 \l 1043 </w:instrText>
          </w:r>
          <w:r w:rsidR="003C13F3" w:rsidRPr="002237F0">
            <w:rPr>
              <w:lang w:val="nl-NL"/>
            </w:rPr>
            <w:fldChar w:fldCharType="separate"/>
          </w:r>
          <w:r w:rsidR="00E30009" w:rsidRPr="002237F0">
            <w:rPr>
              <w:noProof/>
              <w:lang w:val="nl-NL"/>
            </w:rPr>
            <w:t xml:space="preserve"> (Böhmer, Hoogendoorn, &amp; Kruit, 2012)</w:t>
          </w:r>
          <w:r w:rsidR="003C13F3" w:rsidRPr="002237F0">
            <w:rPr>
              <w:lang w:val="nl-NL"/>
            </w:rPr>
            <w:fldChar w:fldCharType="end"/>
          </w:r>
        </w:sdtContent>
      </w:sdt>
      <w:r w:rsidRPr="002237F0">
        <w:rPr>
          <w:lang w:val="nl-NL"/>
        </w:rPr>
        <w:t xml:space="preserve">. IFRS voorziet niet in een voorgeschreven model voor jaarrekeningen van de bancaire instellingen. </w:t>
      </w:r>
      <w:r w:rsidR="002E2F7A" w:rsidRPr="002237F0">
        <w:rPr>
          <w:lang w:val="nl-NL"/>
        </w:rPr>
        <w:t xml:space="preserve">Echter, het </w:t>
      </w:r>
      <w:proofErr w:type="spellStart"/>
      <w:r w:rsidR="002E2F7A" w:rsidRPr="002237F0">
        <w:rPr>
          <w:lang w:val="nl-NL"/>
        </w:rPr>
        <w:t>Committee</w:t>
      </w:r>
      <w:proofErr w:type="spellEnd"/>
      <w:r w:rsidR="002E2F7A" w:rsidRPr="002237F0">
        <w:rPr>
          <w:lang w:val="nl-NL"/>
        </w:rPr>
        <w:t xml:space="preserve"> of </w:t>
      </w:r>
      <w:proofErr w:type="spellStart"/>
      <w:r w:rsidR="002E2F7A" w:rsidRPr="002237F0">
        <w:rPr>
          <w:lang w:val="nl-NL"/>
        </w:rPr>
        <w:t>European</w:t>
      </w:r>
      <w:proofErr w:type="spellEnd"/>
      <w:r w:rsidR="002E2F7A" w:rsidRPr="002237F0">
        <w:rPr>
          <w:lang w:val="nl-NL"/>
        </w:rPr>
        <w:t xml:space="preserve"> Banking Supervisors (CEBS) </w:t>
      </w:r>
      <w:r w:rsidR="00A36BFB" w:rsidRPr="002237F0">
        <w:rPr>
          <w:lang w:val="nl-NL"/>
        </w:rPr>
        <w:t>heeft wel modellen gepubliceerd, deze hebben betrekking op de geconsolideerde balans</w:t>
      </w:r>
      <w:sdt>
        <w:sdtPr>
          <w:rPr>
            <w:lang w:val="nl-NL"/>
          </w:rPr>
          <w:id w:val="823330515"/>
          <w:citation/>
        </w:sdtPr>
        <w:sdtContent>
          <w:r w:rsidR="003C13F3" w:rsidRPr="002237F0">
            <w:rPr>
              <w:lang w:val="nl-NL"/>
            </w:rPr>
            <w:fldChar w:fldCharType="begin"/>
          </w:r>
          <w:r w:rsidR="00B8170B" w:rsidRPr="002237F0">
            <w:rPr>
              <w:lang w:val="nl-NL"/>
            </w:rPr>
            <w:instrText xml:space="preserve"> CITATION Böh12 \l 1033 </w:instrText>
          </w:r>
          <w:r w:rsidR="003C13F3" w:rsidRPr="002237F0">
            <w:rPr>
              <w:lang w:val="nl-NL"/>
            </w:rPr>
            <w:fldChar w:fldCharType="separate"/>
          </w:r>
          <w:r w:rsidR="00721EC3" w:rsidRPr="002237F0">
            <w:rPr>
              <w:noProof/>
              <w:lang w:val="nl-NL"/>
            </w:rPr>
            <w:t xml:space="preserve"> (Böhmer, Hoogendoorn, &amp; Kruit, 2012)</w:t>
          </w:r>
          <w:r w:rsidR="003C13F3" w:rsidRPr="002237F0">
            <w:rPr>
              <w:lang w:val="nl-NL"/>
            </w:rPr>
            <w:fldChar w:fldCharType="end"/>
          </w:r>
        </w:sdtContent>
      </w:sdt>
      <w:r w:rsidR="00A36BFB" w:rsidRPr="002237F0">
        <w:rPr>
          <w:lang w:val="nl-NL"/>
        </w:rPr>
        <w:t>.</w:t>
      </w:r>
      <w:r w:rsidR="004812D6" w:rsidRPr="002237F0">
        <w:rPr>
          <w:lang w:val="nl-NL"/>
        </w:rPr>
        <w:t xml:space="preserve"> Aan het einde van deze paragraaf volgt een voorbeeld van posten die altijd in de balans van een commerciële bank voorkomen.</w:t>
      </w:r>
      <w:r w:rsidR="00A36BFB" w:rsidRPr="002237F0">
        <w:rPr>
          <w:lang w:val="nl-NL"/>
        </w:rPr>
        <w:t xml:space="preserve"> In de balans zijn standaardposten(zoals goodwill en materiële vaste activa) niet verwerkt.</w:t>
      </w:r>
    </w:p>
    <w:p w:rsidR="00F95EBC" w:rsidRPr="002237F0" w:rsidRDefault="00E30009" w:rsidP="007E2C3F">
      <w:pPr>
        <w:rPr>
          <w:lang w:val="nl-NL"/>
        </w:rPr>
      </w:pPr>
      <w:r w:rsidRPr="002237F0">
        <w:rPr>
          <w:lang w:val="nl-NL"/>
        </w:rPr>
        <w:t>H</w:t>
      </w:r>
      <w:r w:rsidR="00CC66DD" w:rsidRPr="002237F0">
        <w:rPr>
          <w:lang w:val="nl-NL"/>
        </w:rPr>
        <w:t>andel in financiële instrumenten</w:t>
      </w:r>
      <w:r w:rsidRPr="002237F0">
        <w:rPr>
          <w:lang w:val="nl-NL"/>
        </w:rPr>
        <w:t xml:space="preserve"> is</w:t>
      </w:r>
      <w:r w:rsidR="00CC66DD" w:rsidRPr="002237F0">
        <w:rPr>
          <w:lang w:val="nl-NL"/>
        </w:rPr>
        <w:t xml:space="preserve"> kernactiviteit is van een </w:t>
      </w:r>
      <w:r w:rsidR="003334D4" w:rsidRPr="002237F0">
        <w:rPr>
          <w:lang w:val="nl-NL"/>
        </w:rPr>
        <w:t xml:space="preserve">bank. </w:t>
      </w:r>
      <w:r w:rsidRPr="002237F0">
        <w:rPr>
          <w:lang w:val="nl-NL"/>
        </w:rPr>
        <w:t xml:space="preserve">De bank treedt op als tussenpersoon voor aan de ene kant spaarders en aan de andere kant leners. </w:t>
      </w:r>
      <w:r w:rsidR="00CC66DD" w:rsidRPr="002237F0">
        <w:rPr>
          <w:lang w:val="nl-NL"/>
        </w:rPr>
        <w:t xml:space="preserve">Daarnaast hebben de meeste banken nog een investeringstak. Geld wordt belegd in allerlei financiële instrumenten(aandelen, opties, derivaten) om hier winst uit te </w:t>
      </w:r>
      <w:r w:rsidRPr="002237F0">
        <w:rPr>
          <w:lang w:val="nl-NL"/>
        </w:rPr>
        <w:t>behalen</w:t>
      </w:r>
      <w:r w:rsidR="00CC66DD" w:rsidRPr="002237F0">
        <w:rPr>
          <w:lang w:val="nl-NL"/>
        </w:rPr>
        <w:t>. Doordat een bank enkel han</w:t>
      </w:r>
      <w:r w:rsidR="003334D4" w:rsidRPr="002237F0">
        <w:rPr>
          <w:lang w:val="nl-NL"/>
        </w:rPr>
        <w:t>delt in financiële instrumenten</w:t>
      </w:r>
      <w:r w:rsidR="00CC66DD" w:rsidRPr="002237F0">
        <w:rPr>
          <w:lang w:val="nl-NL"/>
        </w:rPr>
        <w:t xml:space="preserve"> en daarbuiten enkel relatief onbelangrijke posten als gebouwen als niet-financieel instrument op de balans staan, is de waarde van een bank erg afhankelijk van </w:t>
      </w:r>
      <w:r w:rsidR="008621FD" w:rsidRPr="002237F0">
        <w:rPr>
          <w:lang w:val="nl-NL"/>
        </w:rPr>
        <w:t>de waardering van financiële instrumenten</w:t>
      </w:r>
      <w:sdt>
        <w:sdtPr>
          <w:rPr>
            <w:lang w:val="nl-NL"/>
          </w:rPr>
          <w:id w:val="2041126"/>
          <w:citation/>
        </w:sdtPr>
        <w:sdtContent>
          <w:r w:rsidR="003C13F3" w:rsidRPr="002237F0">
            <w:rPr>
              <w:lang w:val="nl-NL"/>
            </w:rPr>
            <w:fldChar w:fldCharType="begin"/>
          </w:r>
          <w:r w:rsidRPr="002237F0">
            <w:rPr>
              <w:lang w:val="nl-NL"/>
            </w:rPr>
            <w:instrText xml:space="preserve"> CITATION Bel12 \l 1043 </w:instrText>
          </w:r>
          <w:r w:rsidR="003C13F3" w:rsidRPr="002237F0">
            <w:rPr>
              <w:lang w:val="nl-NL"/>
            </w:rPr>
            <w:fldChar w:fldCharType="separate"/>
          </w:r>
          <w:r w:rsidRPr="002237F0">
            <w:rPr>
              <w:noProof/>
              <w:lang w:val="nl-NL"/>
            </w:rPr>
            <w:t xml:space="preserve"> (Beltratti &amp; Stulz, 2012)</w:t>
          </w:r>
          <w:r w:rsidR="003C13F3" w:rsidRPr="002237F0">
            <w:rPr>
              <w:lang w:val="nl-NL"/>
            </w:rPr>
            <w:fldChar w:fldCharType="end"/>
          </w:r>
        </w:sdtContent>
      </w:sdt>
      <w:r w:rsidR="008621FD" w:rsidRPr="002237F0">
        <w:rPr>
          <w:lang w:val="nl-NL"/>
        </w:rPr>
        <w:t>. Financiële instrumenten nemen relatief een groot deel van het vermogen van een bank in</w:t>
      </w:r>
      <w:r w:rsidR="00D54DE3" w:rsidRPr="002237F0">
        <w:rPr>
          <w:lang w:val="nl-NL"/>
        </w:rPr>
        <w:t xml:space="preserve">. </w:t>
      </w:r>
      <w:r w:rsidR="00F95EBC" w:rsidRPr="002237F0">
        <w:rPr>
          <w:lang w:val="nl-NL"/>
        </w:rPr>
        <w:t xml:space="preserve">Een eigen inventarisatie naar het aandeel van financiële instrumenten binnen de activa van </w:t>
      </w:r>
      <w:r w:rsidR="001B2DB8" w:rsidRPr="002237F0">
        <w:rPr>
          <w:lang w:val="nl-NL"/>
        </w:rPr>
        <w:t xml:space="preserve">bekende </w:t>
      </w:r>
      <w:r w:rsidR="00F95EBC" w:rsidRPr="002237F0">
        <w:rPr>
          <w:lang w:val="nl-NL"/>
        </w:rPr>
        <w:t>Nederlandse banken laat het volgende zien</w:t>
      </w:r>
      <w:r w:rsidRPr="002237F0">
        <w:rPr>
          <w:lang w:val="nl-NL"/>
        </w:rPr>
        <w:t>.</w:t>
      </w:r>
      <w:r w:rsidR="001B2DB8" w:rsidRPr="002237F0">
        <w:rPr>
          <w:lang w:val="nl-NL"/>
        </w:rPr>
        <w:t xml:space="preserve"> </w:t>
      </w:r>
    </w:p>
    <w:tbl>
      <w:tblPr>
        <w:tblStyle w:val="TableGrid"/>
        <w:tblW w:w="0" w:type="auto"/>
        <w:tblLook w:val="04A0"/>
      </w:tblPr>
      <w:tblGrid>
        <w:gridCol w:w="4621"/>
        <w:gridCol w:w="4621"/>
      </w:tblGrid>
      <w:tr w:rsidR="00F95EBC" w:rsidRPr="004A1FC7" w:rsidTr="00F95EBC">
        <w:tc>
          <w:tcPr>
            <w:tcW w:w="4621" w:type="dxa"/>
          </w:tcPr>
          <w:p w:rsidR="00F95EBC" w:rsidRPr="002237F0" w:rsidRDefault="00F95EBC" w:rsidP="007E2C3F">
            <w:pPr>
              <w:rPr>
                <w:b/>
                <w:u w:val="single"/>
                <w:lang w:val="nl-NL"/>
              </w:rPr>
            </w:pPr>
            <w:r w:rsidRPr="002237F0">
              <w:rPr>
                <w:b/>
                <w:u w:val="single"/>
                <w:lang w:val="nl-NL"/>
              </w:rPr>
              <w:t>Bank</w:t>
            </w:r>
          </w:p>
        </w:tc>
        <w:tc>
          <w:tcPr>
            <w:tcW w:w="4621" w:type="dxa"/>
          </w:tcPr>
          <w:p w:rsidR="00F95EBC" w:rsidRPr="002237F0" w:rsidRDefault="00F95EBC" w:rsidP="007E2C3F">
            <w:pPr>
              <w:rPr>
                <w:b/>
                <w:u w:val="single"/>
                <w:lang w:val="nl-NL"/>
              </w:rPr>
            </w:pPr>
            <w:r w:rsidRPr="002237F0">
              <w:rPr>
                <w:b/>
                <w:u w:val="single"/>
                <w:lang w:val="nl-NL"/>
              </w:rPr>
              <w:t>Aandeel van financiële instrumenten in de totale activa in 2012</w:t>
            </w:r>
          </w:p>
        </w:tc>
      </w:tr>
      <w:tr w:rsidR="00F95EBC" w:rsidRPr="002237F0" w:rsidTr="00F95EBC">
        <w:tc>
          <w:tcPr>
            <w:tcW w:w="4621" w:type="dxa"/>
          </w:tcPr>
          <w:p w:rsidR="00F95EBC" w:rsidRPr="002237F0" w:rsidRDefault="00F95EBC" w:rsidP="007E2C3F">
            <w:pPr>
              <w:rPr>
                <w:lang w:val="nl-NL"/>
              </w:rPr>
            </w:pPr>
            <w:r w:rsidRPr="002237F0">
              <w:rPr>
                <w:lang w:val="nl-NL"/>
              </w:rPr>
              <w:t>ING BANK</w:t>
            </w:r>
          </w:p>
        </w:tc>
        <w:tc>
          <w:tcPr>
            <w:tcW w:w="4621" w:type="dxa"/>
          </w:tcPr>
          <w:p w:rsidR="00F95EBC" w:rsidRPr="002237F0" w:rsidRDefault="00E8696B" w:rsidP="00D67173">
            <w:pPr>
              <w:rPr>
                <w:lang w:val="nl-NL"/>
              </w:rPr>
            </w:pPr>
            <w:r w:rsidRPr="002237F0">
              <w:rPr>
                <w:lang w:val="nl-NL"/>
              </w:rPr>
              <w:t>1.0</w:t>
            </w:r>
            <w:r w:rsidR="00D67173" w:rsidRPr="002237F0">
              <w:rPr>
                <w:lang w:val="nl-NL"/>
              </w:rPr>
              <w:t>42</w:t>
            </w:r>
            <w:r w:rsidRPr="002237F0">
              <w:rPr>
                <w:lang w:val="nl-NL"/>
              </w:rPr>
              <w:t>.</w:t>
            </w:r>
            <w:r w:rsidR="00D67173" w:rsidRPr="002237F0">
              <w:rPr>
                <w:lang w:val="nl-NL"/>
              </w:rPr>
              <w:t>450</w:t>
            </w:r>
            <w:r w:rsidRPr="002237F0">
              <w:rPr>
                <w:lang w:val="nl-NL"/>
              </w:rPr>
              <w:t xml:space="preserve">/1.168.632 = </w:t>
            </w:r>
            <w:r w:rsidR="00D67173" w:rsidRPr="002237F0">
              <w:rPr>
                <w:lang w:val="nl-NL"/>
              </w:rPr>
              <w:t>89,20</w:t>
            </w:r>
            <w:r w:rsidRPr="002237F0">
              <w:rPr>
                <w:lang w:val="nl-NL"/>
              </w:rPr>
              <w:t>%</w:t>
            </w:r>
          </w:p>
        </w:tc>
      </w:tr>
      <w:tr w:rsidR="00F95EBC" w:rsidRPr="002237F0" w:rsidTr="00F95EBC">
        <w:tc>
          <w:tcPr>
            <w:tcW w:w="4621" w:type="dxa"/>
          </w:tcPr>
          <w:p w:rsidR="00F95EBC" w:rsidRPr="002237F0" w:rsidRDefault="00E8696B" w:rsidP="007E2C3F">
            <w:pPr>
              <w:rPr>
                <w:lang w:val="nl-NL"/>
              </w:rPr>
            </w:pPr>
            <w:r w:rsidRPr="002237F0">
              <w:rPr>
                <w:lang w:val="nl-NL"/>
              </w:rPr>
              <w:t>ABN AMRO</w:t>
            </w:r>
            <w:r w:rsidR="00D67173" w:rsidRPr="002237F0">
              <w:rPr>
                <w:lang w:val="nl-NL"/>
              </w:rPr>
              <w:t xml:space="preserve"> BANK</w:t>
            </w:r>
          </w:p>
        </w:tc>
        <w:tc>
          <w:tcPr>
            <w:tcW w:w="4621" w:type="dxa"/>
          </w:tcPr>
          <w:p w:rsidR="00F95EBC" w:rsidRPr="002237F0" w:rsidRDefault="00D67173" w:rsidP="007E2C3F">
            <w:pPr>
              <w:rPr>
                <w:lang w:val="nl-NL"/>
              </w:rPr>
            </w:pPr>
            <w:r w:rsidRPr="002237F0">
              <w:rPr>
                <w:lang w:val="nl-NL"/>
              </w:rPr>
              <w:t>367.903</w:t>
            </w:r>
            <w:r w:rsidR="00E8696B" w:rsidRPr="002237F0">
              <w:rPr>
                <w:lang w:val="nl-NL"/>
              </w:rPr>
              <w:t>/394</w:t>
            </w:r>
            <w:r w:rsidRPr="002237F0">
              <w:rPr>
                <w:lang w:val="nl-NL"/>
              </w:rPr>
              <w:t>.404 = 93,28</w:t>
            </w:r>
            <w:r w:rsidR="00E8696B" w:rsidRPr="002237F0">
              <w:rPr>
                <w:lang w:val="nl-NL"/>
              </w:rPr>
              <w:t>%</w:t>
            </w:r>
          </w:p>
        </w:tc>
      </w:tr>
      <w:tr w:rsidR="00F95EBC" w:rsidRPr="002237F0" w:rsidTr="00F95EBC">
        <w:tc>
          <w:tcPr>
            <w:tcW w:w="4621" w:type="dxa"/>
          </w:tcPr>
          <w:p w:rsidR="00F95EBC" w:rsidRPr="002237F0" w:rsidRDefault="00D67173" w:rsidP="007E2C3F">
            <w:pPr>
              <w:rPr>
                <w:lang w:val="nl-NL"/>
              </w:rPr>
            </w:pPr>
            <w:r w:rsidRPr="002237F0">
              <w:rPr>
                <w:lang w:val="nl-NL"/>
              </w:rPr>
              <w:t>RABOBANK</w:t>
            </w:r>
          </w:p>
        </w:tc>
        <w:tc>
          <w:tcPr>
            <w:tcW w:w="4621" w:type="dxa"/>
          </w:tcPr>
          <w:p w:rsidR="00F95EBC" w:rsidRPr="002237F0" w:rsidRDefault="00D67173" w:rsidP="007E2C3F">
            <w:pPr>
              <w:rPr>
                <w:lang w:val="nl-NL"/>
              </w:rPr>
            </w:pPr>
            <w:r w:rsidRPr="002237F0">
              <w:rPr>
                <w:lang w:val="nl-NL"/>
              </w:rPr>
              <w:t>652.480/752.410 = 86,72%</w:t>
            </w:r>
          </w:p>
        </w:tc>
      </w:tr>
      <w:tr w:rsidR="00F95EBC" w:rsidRPr="002237F0" w:rsidTr="00F95EBC">
        <w:tc>
          <w:tcPr>
            <w:tcW w:w="4621" w:type="dxa"/>
          </w:tcPr>
          <w:p w:rsidR="00F95EBC" w:rsidRPr="002237F0" w:rsidRDefault="00D67173" w:rsidP="00D67173">
            <w:pPr>
              <w:rPr>
                <w:lang w:val="nl-NL"/>
              </w:rPr>
            </w:pPr>
            <w:r w:rsidRPr="002237F0">
              <w:rPr>
                <w:lang w:val="nl-NL"/>
              </w:rPr>
              <w:t>SNS BANK</w:t>
            </w:r>
          </w:p>
        </w:tc>
        <w:tc>
          <w:tcPr>
            <w:tcW w:w="4621" w:type="dxa"/>
          </w:tcPr>
          <w:p w:rsidR="00F95EBC" w:rsidRPr="002237F0" w:rsidRDefault="00D67173" w:rsidP="007E2C3F">
            <w:pPr>
              <w:rPr>
                <w:lang w:val="nl-NL"/>
              </w:rPr>
            </w:pPr>
            <w:r w:rsidRPr="002237F0">
              <w:rPr>
                <w:lang w:val="nl-NL"/>
              </w:rPr>
              <w:t xml:space="preserve">72.660/81.341 = </w:t>
            </w:r>
            <w:r w:rsidR="001B2DB8" w:rsidRPr="002237F0">
              <w:rPr>
                <w:lang w:val="nl-NL"/>
              </w:rPr>
              <w:t>89,33%</w:t>
            </w:r>
          </w:p>
        </w:tc>
      </w:tr>
    </w:tbl>
    <w:p w:rsidR="00F95EBC" w:rsidRPr="002237F0" w:rsidRDefault="00F95EBC" w:rsidP="007E2C3F">
      <w:pPr>
        <w:rPr>
          <w:lang w:val="nl-NL"/>
        </w:rPr>
      </w:pPr>
    </w:p>
    <w:p w:rsidR="00CC66DD" w:rsidRPr="002237F0" w:rsidRDefault="00E30009" w:rsidP="007E2C3F">
      <w:pPr>
        <w:rPr>
          <w:lang w:val="nl-NL"/>
        </w:rPr>
      </w:pPr>
      <w:r w:rsidRPr="002237F0">
        <w:rPr>
          <w:lang w:val="nl-NL"/>
        </w:rPr>
        <w:t xml:space="preserve">De totale activa van deze banken bestaat gemiddeld voor 90% uit financiële instrumenten. </w:t>
      </w:r>
      <w:r w:rsidR="00D54DE3" w:rsidRPr="002237F0">
        <w:rPr>
          <w:lang w:val="nl-NL"/>
        </w:rPr>
        <w:t>Waar het voor bedrijven normaal is 30 tot 40 procent van de activa te financieren met eigen vermogen, deden de Nederlandse banken in 2011 dit met gemiddeld 4,6%</w:t>
      </w:r>
      <w:sdt>
        <w:sdtPr>
          <w:rPr>
            <w:lang w:val="nl-NL"/>
          </w:rPr>
          <w:id w:val="6289321"/>
          <w:citation/>
        </w:sdtPr>
        <w:sdtContent>
          <w:r w:rsidR="003C13F3" w:rsidRPr="002237F0">
            <w:rPr>
              <w:lang w:val="nl-NL"/>
            </w:rPr>
            <w:fldChar w:fldCharType="begin"/>
          </w:r>
          <w:r w:rsidR="00D54DE3" w:rsidRPr="002237F0">
            <w:rPr>
              <w:lang w:val="nl-NL"/>
            </w:rPr>
            <w:instrText xml:space="preserve"> CITATION Ren13 \l 1043 </w:instrText>
          </w:r>
          <w:r w:rsidR="003C13F3" w:rsidRPr="002237F0">
            <w:rPr>
              <w:lang w:val="nl-NL"/>
            </w:rPr>
            <w:fldChar w:fldCharType="separate"/>
          </w:r>
          <w:r w:rsidR="00721EC3" w:rsidRPr="002237F0">
            <w:rPr>
              <w:noProof/>
              <w:lang w:val="nl-NL"/>
            </w:rPr>
            <w:t xml:space="preserve"> (Tilburg, 2013)</w:t>
          </w:r>
          <w:r w:rsidR="003C13F3" w:rsidRPr="002237F0">
            <w:rPr>
              <w:lang w:val="nl-NL"/>
            </w:rPr>
            <w:fldChar w:fldCharType="end"/>
          </w:r>
        </w:sdtContent>
      </w:sdt>
      <w:r w:rsidR="00D54DE3" w:rsidRPr="002237F0">
        <w:rPr>
          <w:lang w:val="nl-NL"/>
        </w:rPr>
        <w:t>. Daarmee zijn financiële instrumenten erg belangrijk voor een land en voor een economie, want het balanstotaal van alle banken bij elkaar is vaak groter dan het nationaal inkomen van een land. In 2008 was het banktotaal van Nederlandse banken viermaal zo groot als het nationaal inkomen</w:t>
      </w:r>
      <w:sdt>
        <w:sdtPr>
          <w:rPr>
            <w:lang w:val="nl-NL"/>
          </w:rPr>
          <w:id w:val="6289322"/>
          <w:citation/>
        </w:sdtPr>
        <w:sdtContent>
          <w:r w:rsidR="003C13F3" w:rsidRPr="002237F0">
            <w:rPr>
              <w:lang w:val="nl-NL"/>
            </w:rPr>
            <w:fldChar w:fldCharType="begin"/>
          </w:r>
          <w:r w:rsidR="00D54DE3" w:rsidRPr="002237F0">
            <w:rPr>
              <w:lang w:val="nl-NL"/>
            </w:rPr>
            <w:instrText xml:space="preserve"> CITATION Ren13 \l 1043 </w:instrText>
          </w:r>
          <w:r w:rsidR="003C13F3" w:rsidRPr="002237F0">
            <w:rPr>
              <w:lang w:val="nl-NL"/>
            </w:rPr>
            <w:fldChar w:fldCharType="separate"/>
          </w:r>
          <w:r w:rsidR="00721EC3" w:rsidRPr="002237F0">
            <w:rPr>
              <w:noProof/>
              <w:lang w:val="nl-NL"/>
            </w:rPr>
            <w:t xml:space="preserve"> (Tilburg, 2013)</w:t>
          </w:r>
          <w:r w:rsidR="003C13F3" w:rsidRPr="002237F0">
            <w:rPr>
              <w:lang w:val="nl-NL"/>
            </w:rPr>
            <w:fldChar w:fldCharType="end"/>
          </w:r>
        </w:sdtContent>
      </w:sdt>
      <w:r w:rsidR="00D54DE3" w:rsidRPr="002237F0">
        <w:rPr>
          <w:lang w:val="nl-NL"/>
        </w:rPr>
        <w:t xml:space="preserve">. </w:t>
      </w:r>
    </w:p>
    <w:p w:rsidR="00F15736" w:rsidRPr="002237F0" w:rsidRDefault="00F15736" w:rsidP="007E2C3F">
      <w:pPr>
        <w:rPr>
          <w:lang w:val="nl-NL"/>
        </w:rPr>
      </w:pPr>
      <w:r w:rsidRPr="002237F0">
        <w:rPr>
          <w:lang w:val="nl-NL"/>
        </w:rPr>
        <w:t>Het is de vraag of het</w:t>
      </w:r>
      <w:r w:rsidR="007B1627" w:rsidRPr="002237F0">
        <w:rPr>
          <w:lang w:val="nl-NL"/>
        </w:rPr>
        <w:t xml:space="preserve"> lage aandeel van het eigen vermogen binnen een bank(en dus het hoge aandeel van vreemd vermogen ofwel schuld) g</w:t>
      </w:r>
      <w:r w:rsidRPr="002237F0">
        <w:rPr>
          <w:lang w:val="nl-NL"/>
        </w:rPr>
        <w:t xml:space="preserve">oed of slecht is voor een bank. Voorstanders </w:t>
      </w:r>
      <w:r w:rsidR="007B1627" w:rsidRPr="002237F0">
        <w:rPr>
          <w:lang w:val="nl-NL"/>
        </w:rPr>
        <w:t>beweren dat een hog</w:t>
      </w:r>
      <w:r w:rsidR="00B168C8" w:rsidRPr="002237F0">
        <w:rPr>
          <w:lang w:val="nl-NL"/>
        </w:rPr>
        <w:t>e</w:t>
      </w:r>
      <w:r w:rsidR="007B1627" w:rsidRPr="002237F0">
        <w:rPr>
          <w:lang w:val="nl-NL"/>
        </w:rPr>
        <w:t xml:space="preserve"> </w:t>
      </w:r>
      <w:proofErr w:type="spellStart"/>
      <w:r w:rsidR="00B168C8" w:rsidRPr="002237F0">
        <w:rPr>
          <w:lang w:val="nl-NL"/>
        </w:rPr>
        <w:t>leverage</w:t>
      </w:r>
      <w:proofErr w:type="spellEnd"/>
      <w:r w:rsidR="00B168C8" w:rsidRPr="002237F0">
        <w:rPr>
          <w:lang w:val="nl-NL"/>
        </w:rPr>
        <w:t>(</w:t>
      </w:r>
      <w:r w:rsidR="007B1627" w:rsidRPr="002237F0">
        <w:rPr>
          <w:lang w:val="nl-NL"/>
        </w:rPr>
        <w:t>aandeel van vreemd vermogen</w:t>
      </w:r>
      <w:r w:rsidR="00B168C8" w:rsidRPr="002237F0">
        <w:rPr>
          <w:lang w:val="nl-NL"/>
        </w:rPr>
        <w:t>)</w:t>
      </w:r>
      <w:r w:rsidR="007B1627" w:rsidRPr="002237F0">
        <w:rPr>
          <w:lang w:val="nl-NL"/>
        </w:rPr>
        <w:t xml:space="preserve"> goed is voor optimale verdeling van liquide middelen</w:t>
      </w:r>
      <w:sdt>
        <w:sdtPr>
          <w:rPr>
            <w:lang w:val="nl-NL"/>
          </w:rPr>
          <w:id w:val="6289323"/>
          <w:citation/>
        </w:sdtPr>
        <w:sdtContent>
          <w:r w:rsidR="003C13F3" w:rsidRPr="002237F0">
            <w:rPr>
              <w:lang w:val="nl-NL"/>
            </w:rPr>
            <w:fldChar w:fldCharType="begin"/>
          </w:r>
          <w:r w:rsidR="00C51475" w:rsidRPr="002237F0">
            <w:rPr>
              <w:lang w:val="nl-NL"/>
            </w:rPr>
            <w:instrText xml:space="preserve"> CITATION DeA13 \l 1043 </w:instrText>
          </w:r>
          <w:r w:rsidR="003C13F3" w:rsidRPr="002237F0">
            <w:rPr>
              <w:lang w:val="nl-NL"/>
            </w:rPr>
            <w:fldChar w:fldCharType="separate"/>
          </w:r>
          <w:r w:rsidR="00721EC3" w:rsidRPr="002237F0">
            <w:rPr>
              <w:noProof/>
              <w:lang w:val="nl-NL"/>
            </w:rPr>
            <w:t xml:space="preserve"> (DeAngelo &amp; Stulz, 2013)</w:t>
          </w:r>
          <w:r w:rsidR="003C13F3" w:rsidRPr="002237F0">
            <w:rPr>
              <w:lang w:val="nl-NL"/>
            </w:rPr>
            <w:fldChar w:fldCharType="end"/>
          </w:r>
        </w:sdtContent>
      </w:sdt>
      <w:r w:rsidR="00C51475" w:rsidRPr="002237F0">
        <w:rPr>
          <w:lang w:val="nl-NL"/>
        </w:rPr>
        <w:t>, terwijl tegenstanders beweren dat een lager aandeel van het vreemd vermogen het systematisch risico vermindert</w:t>
      </w:r>
      <w:sdt>
        <w:sdtPr>
          <w:rPr>
            <w:lang w:val="nl-NL"/>
          </w:rPr>
          <w:id w:val="6289324"/>
          <w:citation/>
        </w:sdtPr>
        <w:sdtContent>
          <w:r w:rsidR="003C13F3" w:rsidRPr="002237F0">
            <w:rPr>
              <w:lang w:val="nl-NL"/>
            </w:rPr>
            <w:fldChar w:fldCharType="begin"/>
          </w:r>
          <w:r w:rsidR="00C51475" w:rsidRPr="002237F0">
            <w:rPr>
              <w:lang w:val="nl-NL"/>
            </w:rPr>
            <w:instrText xml:space="preserve"> CITATION Adm11 \l 1043 </w:instrText>
          </w:r>
          <w:r w:rsidR="003C13F3" w:rsidRPr="002237F0">
            <w:rPr>
              <w:lang w:val="nl-NL"/>
            </w:rPr>
            <w:fldChar w:fldCharType="separate"/>
          </w:r>
          <w:r w:rsidR="00721EC3" w:rsidRPr="002237F0">
            <w:rPr>
              <w:noProof/>
              <w:lang w:val="nl-NL"/>
            </w:rPr>
            <w:t xml:space="preserve"> (Admati &amp; Helwig, 2011)</w:t>
          </w:r>
          <w:r w:rsidR="003C13F3" w:rsidRPr="002237F0">
            <w:rPr>
              <w:lang w:val="nl-NL"/>
            </w:rPr>
            <w:fldChar w:fldCharType="end"/>
          </w:r>
        </w:sdtContent>
      </w:sdt>
      <w:r w:rsidR="00C51475" w:rsidRPr="002237F0">
        <w:rPr>
          <w:lang w:val="nl-NL"/>
        </w:rPr>
        <w:t>.</w:t>
      </w:r>
      <w:r w:rsidR="00B168C8" w:rsidRPr="002237F0">
        <w:rPr>
          <w:lang w:val="nl-NL"/>
        </w:rPr>
        <w:t xml:space="preserve"> </w:t>
      </w:r>
    </w:p>
    <w:p w:rsidR="00B8170B" w:rsidRPr="002237F0" w:rsidRDefault="00B168C8" w:rsidP="007E2C3F">
      <w:pPr>
        <w:rPr>
          <w:lang w:val="nl-NL"/>
        </w:rPr>
      </w:pPr>
      <w:r w:rsidRPr="002237F0">
        <w:rPr>
          <w:lang w:val="nl-NL"/>
        </w:rPr>
        <w:t>Hieronder zijn ter illustratie de balansposten</w:t>
      </w:r>
      <w:r w:rsidR="001B2DB8" w:rsidRPr="002237F0">
        <w:rPr>
          <w:lang w:val="nl-NL"/>
        </w:rPr>
        <w:t xml:space="preserve"> van financiële instrumenten</w:t>
      </w:r>
      <w:r w:rsidRPr="002237F0">
        <w:rPr>
          <w:lang w:val="nl-NL"/>
        </w:rPr>
        <w:t xml:space="preserve"> weergegeven die het meest voorkomen bij commerciële banken. </w:t>
      </w:r>
    </w:p>
    <w:tbl>
      <w:tblPr>
        <w:tblStyle w:val="TableGrid"/>
        <w:tblW w:w="0" w:type="auto"/>
        <w:tblLook w:val="04A0"/>
      </w:tblPr>
      <w:tblGrid>
        <w:gridCol w:w="4621"/>
        <w:gridCol w:w="4621"/>
      </w:tblGrid>
      <w:tr w:rsidR="002E2F7A" w:rsidRPr="002237F0" w:rsidTr="002E2F7A">
        <w:tc>
          <w:tcPr>
            <w:tcW w:w="4621" w:type="dxa"/>
          </w:tcPr>
          <w:p w:rsidR="002E2F7A" w:rsidRPr="002237F0" w:rsidRDefault="002E2F7A" w:rsidP="007E2C3F">
            <w:pPr>
              <w:rPr>
                <w:lang w:val="nl-NL"/>
              </w:rPr>
            </w:pPr>
            <w:r w:rsidRPr="002237F0">
              <w:rPr>
                <w:lang w:val="nl-NL"/>
              </w:rPr>
              <w:t>Activa</w:t>
            </w:r>
          </w:p>
        </w:tc>
        <w:tc>
          <w:tcPr>
            <w:tcW w:w="4621" w:type="dxa"/>
          </w:tcPr>
          <w:p w:rsidR="002E2F7A" w:rsidRPr="002237F0" w:rsidRDefault="002E2F7A" w:rsidP="007E2C3F">
            <w:pPr>
              <w:rPr>
                <w:lang w:val="nl-NL"/>
              </w:rPr>
            </w:pPr>
            <w:r w:rsidRPr="002237F0">
              <w:rPr>
                <w:lang w:val="nl-NL"/>
              </w:rPr>
              <w:t>Passiva</w:t>
            </w:r>
          </w:p>
        </w:tc>
      </w:tr>
      <w:tr w:rsidR="002E2F7A" w:rsidRPr="002237F0" w:rsidTr="002E2F7A">
        <w:tc>
          <w:tcPr>
            <w:tcW w:w="4621" w:type="dxa"/>
          </w:tcPr>
          <w:p w:rsidR="00A36BFB" w:rsidRPr="002237F0" w:rsidRDefault="00A36BFB" w:rsidP="007E2C3F">
            <w:pPr>
              <w:pStyle w:val="ListParagraph"/>
              <w:numPr>
                <w:ilvl w:val="0"/>
                <w:numId w:val="16"/>
              </w:numPr>
            </w:pPr>
            <w:proofErr w:type="spellStart"/>
            <w:r w:rsidRPr="002237F0">
              <w:t>Financiële</w:t>
            </w:r>
            <w:proofErr w:type="spellEnd"/>
            <w:r w:rsidRPr="002237F0">
              <w:t xml:space="preserve"> </w:t>
            </w:r>
            <w:proofErr w:type="spellStart"/>
            <w:r w:rsidRPr="002237F0">
              <w:t>activa</w:t>
            </w:r>
            <w:proofErr w:type="spellEnd"/>
            <w:r w:rsidRPr="002237F0">
              <w:t xml:space="preserve"> Held For Trading</w:t>
            </w:r>
          </w:p>
          <w:p w:rsidR="00A36BFB" w:rsidRPr="002237F0" w:rsidRDefault="00A36BFB" w:rsidP="007E2C3F">
            <w:pPr>
              <w:pStyle w:val="ListParagraph"/>
              <w:numPr>
                <w:ilvl w:val="0"/>
                <w:numId w:val="16"/>
              </w:numPr>
            </w:pPr>
            <w:proofErr w:type="spellStart"/>
            <w:r w:rsidRPr="002237F0">
              <w:t>Derivaten</w:t>
            </w:r>
            <w:proofErr w:type="spellEnd"/>
          </w:p>
          <w:p w:rsidR="00A36BFB" w:rsidRPr="002237F0" w:rsidRDefault="00A36BFB" w:rsidP="007E2C3F">
            <w:pPr>
              <w:pStyle w:val="ListParagraph"/>
              <w:numPr>
                <w:ilvl w:val="0"/>
                <w:numId w:val="16"/>
              </w:numPr>
            </w:pPr>
            <w:proofErr w:type="spellStart"/>
            <w:r w:rsidRPr="002237F0">
              <w:rPr>
                <w:lang w:val="nl-NL"/>
              </w:rPr>
              <w:t>Eigen-vermogensinstrumenten</w:t>
            </w:r>
            <w:proofErr w:type="spellEnd"/>
          </w:p>
          <w:p w:rsidR="00A36BFB" w:rsidRPr="002237F0" w:rsidRDefault="00A36BFB" w:rsidP="007E2C3F">
            <w:pPr>
              <w:pStyle w:val="ListParagraph"/>
              <w:numPr>
                <w:ilvl w:val="0"/>
                <w:numId w:val="16"/>
              </w:numPr>
            </w:pPr>
            <w:r w:rsidRPr="002237F0">
              <w:rPr>
                <w:lang w:val="nl-NL"/>
              </w:rPr>
              <w:t>Schuldinstrumenten</w:t>
            </w:r>
          </w:p>
          <w:p w:rsidR="00A36BFB" w:rsidRPr="002237F0" w:rsidRDefault="00A36BFB" w:rsidP="007E2C3F">
            <w:pPr>
              <w:pStyle w:val="ListParagraph"/>
              <w:numPr>
                <w:ilvl w:val="0"/>
                <w:numId w:val="16"/>
              </w:numPr>
            </w:pPr>
            <w:r w:rsidRPr="002237F0">
              <w:rPr>
                <w:lang w:val="nl-NL"/>
              </w:rPr>
              <w:t>Leningen en voorschotten</w:t>
            </w:r>
          </w:p>
          <w:p w:rsidR="00A36BFB" w:rsidRPr="002237F0" w:rsidRDefault="00A36BFB" w:rsidP="00A36BFB">
            <w:pPr>
              <w:pStyle w:val="ListParagraph"/>
              <w:numPr>
                <w:ilvl w:val="0"/>
                <w:numId w:val="16"/>
              </w:numPr>
              <w:rPr>
                <w:lang w:val="nl-NL"/>
              </w:rPr>
            </w:pPr>
            <w:r w:rsidRPr="002237F0">
              <w:rPr>
                <w:lang w:val="nl-NL"/>
              </w:rPr>
              <w:t xml:space="preserve">Financiële activa tegen Fair </w:t>
            </w:r>
            <w:proofErr w:type="spellStart"/>
            <w:r w:rsidRPr="002237F0">
              <w:rPr>
                <w:lang w:val="nl-NL"/>
              </w:rPr>
              <w:t>Value</w:t>
            </w:r>
            <w:proofErr w:type="spellEnd"/>
            <w:r w:rsidRPr="002237F0">
              <w:rPr>
                <w:lang w:val="nl-NL"/>
              </w:rPr>
              <w:t>, verwerking in het resultaat</w:t>
            </w:r>
          </w:p>
          <w:p w:rsidR="00A36BFB" w:rsidRPr="002237F0" w:rsidRDefault="00A36BFB" w:rsidP="00A36BFB">
            <w:pPr>
              <w:pStyle w:val="ListParagraph"/>
              <w:numPr>
                <w:ilvl w:val="0"/>
                <w:numId w:val="16"/>
              </w:numPr>
              <w:rPr>
                <w:lang w:val="nl-NL"/>
              </w:rPr>
            </w:pPr>
            <w:proofErr w:type="spellStart"/>
            <w:r w:rsidRPr="002237F0">
              <w:rPr>
                <w:lang w:val="nl-NL"/>
              </w:rPr>
              <w:t>Hedge</w:t>
            </w:r>
            <w:proofErr w:type="spellEnd"/>
            <w:r w:rsidRPr="002237F0">
              <w:rPr>
                <w:lang w:val="nl-NL"/>
              </w:rPr>
              <w:t xml:space="preserve"> van een </w:t>
            </w:r>
            <w:proofErr w:type="spellStart"/>
            <w:r w:rsidRPr="002237F0">
              <w:rPr>
                <w:lang w:val="nl-NL"/>
              </w:rPr>
              <w:t>netto-investering</w:t>
            </w:r>
            <w:proofErr w:type="spellEnd"/>
            <w:r w:rsidRPr="002237F0">
              <w:rPr>
                <w:lang w:val="nl-NL"/>
              </w:rPr>
              <w:t xml:space="preserve"> in buitenlandse </w:t>
            </w:r>
            <w:r w:rsidR="00EA368F" w:rsidRPr="002237F0">
              <w:rPr>
                <w:lang w:val="nl-NL"/>
              </w:rPr>
              <w:t xml:space="preserve">entiteiten </w:t>
            </w:r>
          </w:p>
        </w:tc>
        <w:tc>
          <w:tcPr>
            <w:tcW w:w="4621" w:type="dxa"/>
          </w:tcPr>
          <w:p w:rsidR="00A36BFB" w:rsidRPr="002237F0" w:rsidRDefault="00A36BFB" w:rsidP="00A36BFB">
            <w:pPr>
              <w:pStyle w:val="ListParagraph"/>
              <w:numPr>
                <w:ilvl w:val="0"/>
                <w:numId w:val="16"/>
              </w:numPr>
              <w:rPr>
                <w:lang w:val="nl-NL"/>
              </w:rPr>
            </w:pPr>
            <w:r w:rsidRPr="002237F0">
              <w:rPr>
                <w:lang w:val="nl-NL"/>
              </w:rPr>
              <w:t>Financiële verplichtingen HFT</w:t>
            </w:r>
          </w:p>
          <w:p w:rsidR="00A36BFB" w:rsidRPr="002237F0" w:rsidRDefault="00A36BFB" w:rsidP="00A36BFB">
            <w:pPr>
              <w:pStyle w:val="ListParagraph"/>
              <w:numPr>
                <w:ilvl w:val="0"/>
                <w:numId w:val="16"/>
              </w:numPr>
              <w:rPr>
                <w:lang w:val="nl-NL"/>
              </w:rPr>
            </w:pPr>
            <w:r w:rsidRPr="002237F0">
              <w:rPr>
                <w:lang w:val="nl-NL"/>
              </w:rPr>
              <w:t>Derivaten</w:t>
            </w:r>
          </w:p>
          <w:p w:rsidR="00A36BFB" w:rsidRPr="002237F0" w:rsidRDefault="00A36BFB" w:rsidP="00A36BFB">
            <w:pPr>
              <w:pStyle w:val="ListParagraph"/>
              <w:numPr>
                <w:ilvl w:val="0"/>
                <w:numId w:val="16"/>
              </w:numPr>
              <w:rPr>
                <w:lang w:val="nl-NL"/>
              </w:rPr>
            </w:pPr>
            <w:proofErr w:type="spellStart"/>
            <w:r w:rsidRPr="002237F0">
              <w:rPr>
                <w:lang w:val="nl-NL"/>
              </w:rPr>
              <w:t>Short-posities</w:t>
            </w:r>
            <w:proofErr w:type="spellEnd"/>
          </w:p>
          <w:p w:rsidR="00A36BFB" w:rsidRPr="002237F0" w:rsidRDefault="00A36BFB" w:rsidP="00A36BFB">
            <w:pPr>
              <w:pStyle w:val="ListParagraph"/>
              <w:numPr>
                <w:ilvl w:val="0"/>
                <w:numId w:val="16"/>
              </w:numPr>
              <w:rPr>
                <w:lang w:val="nl-NL"/>
              </w:rPr>
            </w:pPr>
            <w:r w:rsidRPr="002237F0">
              <w:rPr>
                <w:lang w:val="nl-NL"/>
              </w:rPr>
              <w:t>Deposito’s</w:t>
            </w:r>
          </w:p>
          <w:p w:rsidR="00A36BFB" w:rsidRPr="002237F0" w:rsidRDefault="00A36BFB" w:rsidP="00A36BFB">
            <w:pPr>
              <w:pStyle w:val="ListParagraph"/>
              <w:numPr>
                <w:ilvl w:val="0"/>
                <w:numId w:val="16"/>
              </w:numPr>
              <w:rPr>
                <w:lang w:val="nl-NL"/>
              </w:rPr>
            </w:pPr>
            <w:r w:rsidRPr="002237F0">
              <w:rPr>
                <w:lang w:val="nl-NL"/>
              </w:rPr>
              <w:t>Schuldinstrumenten</w:t>
            </w:r>
          </w:p>
          <w:p w:rsidR="00D90381" w:rsidRPr="002237F0" w:rsidRDefault="00D90381" w:rsidP="00A36BFB">
            <w:pPr>
              <w:pStyle w:val="ListParagraph"/>
              <w:numPr>
                <w:ilvl w:val="0"/>
                <w:numId w:val="16"/>
              </w:numPr>
              <w:rPr>
                <w:lang w:val="nl-NL"/>
              </w:rPr>
            </w:pPr>
            <w:r w:rsidRPr="002237F0">
              <w:rPr>
                <w:lang w:val="nl-NL"/>
              </w:rPr>
              <w:t xml:space="preserve">Financiële activa tegen Fair </w:t>
            </w:r>
            <w:proofErr w:type="spellStart"/>
            <w:r w:rsidRPr="002237F0">
              <w:rPr>
                <w:lang w:val="nl-NL"/>
              </w:rPr>
              <w:t>Value</w:t>
            </w:r>
            <w:proofErr w:type="spellEnd"/>
            <w:r w:rsidRPr="002237F0">
              <w:rPr>
                <w:lang w:val="nl-NL"/>
              </w:rPr>
              <w:t>, verwerking in het resultaat</w:t>
            </w:r>
          </w:p>
          <w:p w:rsidR="00D90381" w:rsidRPr="002237F0" w:rsidRDefault="00EA368F" w:rsidP="00A36BFB">
            <w:pPr>
              <w:pStyle w:val="ListParagraph"/>
              <w:numPr>
                <w:ilvl w:val="0"/>
                <w:numId w:val="16"/>
              </w:numPr>
              <w:rPr>
                <w:lang w:val="nl-NL"/>
              </w:rPr>
            </w:pPr>
            <w:proofErr w:type="spellStart"/>
            <w:r w:rsidRPr="002237F0">
              <w:rPr>
                <w:lang w:val="nl-NL"/>
              </w:rPr>
              <w:t>Hedge</w:t>
            </w:r>
            <w:proofErr w:type="spellEnd"/>
            <w:r w:rsidRPr="002237F0">
              <w:rPr>
                <w:lang w:val="nl-NL"/>
              </w:rPr>
              <w:t xml:space="preserve"> van een </w:t>
            </w:r>
            <w:proofErr w:type="spellStart"/>
            <w:r w:rsidRPr="002237F0">
              <w:rPr>
                <w:lang w:val="nl-NL"/>
              </w:rPr>
              <w:t>netto-investering</w:t>
            </w:r>
            <w:proofErr w:type="spellEnd"/>
            <w:r w:rsidRPr="002237F0">
              <w:rPr>
                <w:lang w:val="nl-NL"/>
              </w:rPr>
              <w:t xml:space="preserve"> in buitenlandse entiteiten </w:t>
            </w:r>
          </w:p>
          <w:p w:rsidR="00EA368F" w:rsidRPr="002237F0" w:rsidRDefault="00EA368F" w:rsidP="00A36BFB">
            <w:pPr>
              <w:pStyle w:val="ListParagraph"/>
              <w:numPr>
                <w:ilvl w:val="0"/>
                <w:numId w:val="16"/>
              </w:numPr>
              <w:rPr>
                <w:lang w:val="nl-NL"/>
              </w:rPr>
            </w:pPr>
            <w:r w:rsidRPr="002237F0">
              <w:rPr>
                <w:lang w:val="nl-NL"/>
              </w:rPr>
              <w:t>Eigen vermogen</w:t>
            </w:r>
          </w:p>
        </w:tc>
      </w:tr>
    </w:tbl>
    <w:p w:rsidR="002E2F7A" w:rsidRPr="002237F0" w:rsidRDefault="002E2F7A" w:rsidP="007E2C3F">
      <w:pPr>
        <w:rPr>
          <w:lang w:val="nl-NL"/>
        </w:rPr>
      </w:pPr>
    </w:p>
    <w:p w:rsidR="00E30009" w:rsidRPr="002237F0" w:rsidRDefault="00E30009" w:rsidP="00E30009">
      <w:pPr>
        <w:rPr>
          <w:lang w:val="nl-NL"/>
        </w:rPr>
      </w:pPr>
      <w:r w:rsidRPr="002237F0">
        <w:rPr>
          <w:lang w:val="nl-NL"/>
        </w:rPr>
        <w:t xml:space="preserve">Het lijkt er op dat er een trend gaande is waarin er niet alleen op maatschappelijk niveau maar ook op bancair niveau steeds meer schulden worden gemaakt. Het aandeel van het eigen vermogen binnen </w:t>
      </w:r>
      <w:r w:rsidR="00F15736" w:rsidRPr="002237F0">
        <w:rPr>
          <w:lang w:val="nl-NL"/>
        </w:rPr>
        <w:t>de banksector</w:t>
      </w:r>
      <w:r w:rsidRPr="002237F0">
        <w:rPr>
          <w:lang w:val="nl-NL"/>
        </w:rPr>
        <w:t xml:space="preserve"> wordt namelijk steeds lager</w:t>
      </w:r>
      <w:sdt>
        <w:sdtPr>
          <w:rPr>
            <w:lang w:val="nl-NL"/>
          </w:rPr>
          <w:id w:val="2041127"/>
          <w:citation/>
        </w:sdtPr>
        <w:sdtContent>
          <w:r w:rsidR="003C13F3" w:rsidRPr="002237F0">
            <w:rPr>
              <w:lang w:val="nl-NL"/>
            </w:rPr>
            <w:fldChar w:fldCharType="begin"/>
          </w:r>
          <w:r w:rsidRPr="002237F0">
            <w:rPr>
              <w:lang w:val="nl-NL"/>
            </w:rPr>
            <w:instrText xml:space="preserve"> CITATION Ren13 \l 1033 </w:instrText>
          </w:r>
          <w:r w:rsidR="003C13F3" w:rsidRPr="002237F0">
            <w:rPr>
              <w:lang w:val="nl-NL"/>
            </w:rPr>
            <w:fldChar w:fldCharType="separate"/>
          </w:r>
          <w:r w:rsidRPr="002237F0">
            <w:rPr>
              <w:noProof/>
              <w:lang w:val="nl-NL"/>
            </w:rPr>
            <w:t xml:space="preserve"> (Tilburg, 2013)</w:t>
          </w:r>
          <w:r w:rsidR="003C13F3" w:rsidRPr="002237F0">
            <w:rPr>
              <w:lang w:val="nl-NL"/>
            </w:rPr>
            <w:fldChar w:fldCharType="end"/>
          </w:r>
        </w:sdtContent>
      </w:sdt>
      <w:r w:rsidRPr="002237F0">
        <w:rPr>
          <w:lang w:val="nl-NL"/>
        </w:rPr>
        <w:t>. Dit heeft ook te maken met de historisch lage interestniveaus</w:t>
      </w:r>
      <w:sdt>
        <w:sdtPr>
          <w:rPr>
            <w:lang w:val="nl-NL"/>
          </w:rPr>
          <w:id w:val="2041128"/>
          <w:citation/>
        </w:sdtPr>
        <w:sdtContent>
          <w:r w:rsidR="003C13F3" w:rsidRPr="002237F0">
            <w:rPr>
              <w:lang w:val="nl-NL"/>
            </w:rPr>
            <w:fldChar w:fldCharType="begin"/>
          </w:r>
          <w:r w:rsidRPr="002237F0">
            <w:rPr>
              <w:lang w:val="nl-NL"/>
            </w:rPr>
            <w:instrText xml:space="preserve"> CITATION Kot12 \l 1033 </w:instrText>
          </w:r>
          <w:r w:rsidR="003C13F3" w:rsidRPr="002237F0">
            <w:rPr>
              <w:lang w:val="nl-NL"/>
            </w:rPr>
            <w:fldChar w:fldCharType="separate"/>
          </w:r>
          <w:r w:rsidRPr="002237F0">
            <w:rPr>
              <w:noProof/>
              <w:lang w:val="nl-NL"/>
            </w:rPr>
            <w:t xml:space="preserve"> (Kothari &amp; Lester, 2012)</w:t>
          </w:r>
          <w:r w:rsidR="003C13F3" w:rsidRPr="002237F0">
            <w:rPr>
              <w:lang w:val="nl-NL"/>
            </w:rPr>
            <w:fldChar w:fldCharType="end"/>
          </w:r>
        </w:sdtContent>
      </w:sdt>
      <w:r w:rsidRPr="002237F0">
        <w:rPr>
          <w:lang w:val="nl-NL"/>
        </w:rPr>
        <w:t xml:space="preserve">. </w:t>
      </w:r>
    </w:p>
    <w:p w:rsidR="0002481A" w:rsidRPr="002237F0" w:rsidRDefault="0002481A" w:rsidP="007E2C3F">
      <w:pPr>
        <w:rPr>
          <w:b/>
          <w:sz w:val="28"/>
          <w:lang w:val="nl-NL"/>
        </w:rPr>
      </w:pPr>
      <w:r w:rsidRPr="002237F0">
        <w:rPr>
          <w:b/>
          <w:sz w:val="28"/>
          <w:lang w:val="nl-NL"/>
        </w:rPr>
        <w:t>3.2. De rol van de waardering van financiële instrumenten in de crisis</w:t>
      </w:r>
    </w:p>
    <w:p w:rsidR="00AD2532" w:rsidRPr="002237F0" w:rsidRDefault="00E95DC5" w:rsidP="007E2C3F">
      <w:pPr>
        <w:rPr>
          <w:lang w:val="nl-NL"/>
        </w:rPr>
      </w:pPr>
      <w:r w:rsidRPr="002237F0">
        <w:rPr>
          <w:lang w:val="nl-NL"/>
        </w:rPr>
        <w:t>Nu in de vorige korte paragraaf kort benadrukt is wat het belang van financiële instrumenten is voor een bank, en daarmee ook de waar</w:t>
      </w:r>
      <w:r w:rsidR="00945927" w:rsidRPr="002237F0">
        <w:rPr>
          <w:lang w:val="nl-NL"/>
        </w:rPr>
        <w:t xml:space="preserve">dering ervan, is het nu tijd </w:t>
      </w:r>
      <w:r w:rsidRPr="002237F0">
        <w:rPr>
          <w:lang w:val="nl-NL"/>
        </w:rPr>
        <w:t xml:space="preserve">te analyseren welke rol de waardering van financiële instrumenten gespeeld heeft in de crisis. Het gaat hier niet alleen om de actuele waarde bepaling die bij aanvang van de crisis meestal gold, maar ook om de nieuwe </w:t>
      </w:r>
      <w:proofErr w:type="spellStart"/>
      <w:r w:rsidRPr="002237F0">
        <w:rPr>
          <w:lang w:val="nl-NL"/>
        </w:rPr>
        <w:t>herclassificatiemogelijkheden</w:t>
      </w:r>
      <w:proofErr w:type="spellEnd"/>
      <w:r w:rsidRPr="002237F0">
        <w:rPr>
          <w:lang w:val="nl-NL"/>
        </w:rPr>
        <w:t xml:space="preserve"> die geboden zijn door het amendement </w:t>
      </w:r>
      <w:r w:rsidR="00FF55E0" w:rsidRPr="002237F0">
        <w:rPr>
          <w:lang w:val="nl-NL"/>
        </w:rPr>
        <w:t>van</w:t>
      </w:r>
      <w:r w:rsidRPr="002237F0">
        <w:rPr>
          <w:lang w:val="nl-NL"/>
        </w:rPr>
        <w:t xml:space="preserve"> oktober 2008. </w:t>
      </w:r>
      <w:r w:rsidR="00FF55E0" w:rsidRPr="002237F0">
        <w:rPr>
          <w:lang w:val="nl-NL"/>
        </w:rPr>
        <w:t xml:space="preserve">In dit hoofdstuk komen de meningen uit de literatuur naar voren </w:t>
      </w:r>
      <w:r w:rsidR="00B8170B" w:rsidRPr="002237F0">
        <w:rPr>
          <w:lang w:val="nl-NL"/>
        </w:rPr>
        <w:t>over</w:t>
      </w:r>
      <w:r w:rsidR="00FF55E0" w:rsidRPr="002237F0">
        <w:rPr>
          <w:lang w:val="nl-NL"/>
        </w:rPr>
        <w:t xml:space="preserve"> de rol van de geldende waardering tijdens de crisis. Een objectief oordeel over de juiste maatstaf voor het waarderen van financiële instrumenten komt pas aan de orde</w:t>
      </w:r>
      <w:r w:rsidR="00945927" w:rsidRPr="002237F0">
        <w:rPr>
          <w:lang w:val="nl-NL"/>
        </w:rPr>
        <w:t xml:space="preserve"> in het laatste hoofdstuk</w:t>
      </w:r>
      <w:r w:rsidR="00FF55E0" w:rsidRPr="002237F0">
        <w:rPr>
          <w:lang w:val="nl-NL"/>
        </w:rPr>
        <w:t xml:space="preserve"> nadat alle relevante feiten behandel</w:t>
      </w:r>
      <w:r w:rsidR="00945927" w:rsidRPr="002237F0">
        <w:rPr>
          <w:lang w:val="nl-NL"/>
        </w:rPr>
        <w:t>d zijn</w:t>
      </w:r>
      <w:r w:rsidR="00FF55E0" w:rsidRPr="002237F0">
        <w:rPr>
          <w:lang w:val="nl-NL"/>
        </w:rPr>
        <w:t xml:space="preserve">. </w:t>
      </w:r>
      <w:r w:rsidR="00131D01" w:rsidRPr="002237F0">
        <w:rPr>
          <w:lang w:val="nl-NL"/>
        </w:rPr>
        <w:t xml:space="preserve">Om meer duidelijkheid te verschaffen wordt deze paragraaf opgesplitst in twee subparagrafen. De eerste paragraaf </w:t>
      </w:r>
      <w:r w:rsidR="00945927" w:rsidRPr="002237F0">
        <w:rPr>
          <w:lang w:val="nl-NL"/>
        </w:rPr>
        <w:t>belicht</w:t>
      </w:r>
      <w:r w:rsidR="00131D01" w:rsidRPr="002237F0">
        <w:rPr>
          <w:lang w:val="nl-NL"/>
        </w:rPr>
        <w:t xml:space="preserve"> de rol van fair </w:t>
      </w:r>
      <w:proofErr w:type="spellStart"/>
      <w:r w:rsidR="00131D01" w:rsidRPr="002237F0">
        <w:rPr>
          <w:lang w:val="nl-NL"/>
        </w:rPr>
        <w:t>value</w:t>
      </w:r>
      <w:proofErr w:type="spellEnd"/>
      <w:r w:rsidR="00131D01" w:rsidRPr="002237F0">
        <w:rPr>
          <w:lang w:val="nl-NL"/>
        </w:rPr>
        <w:t xml:space="preserve"> accounting </w:t>
      </w:r>
      <w:proofErr w:type="spellStart"/>
      <w:r w:rsidR="00131D01" w:rsidRPr="002237F0">
        <w:rPr>
          <w:i/>
          <w:lang w:val="nl-NL"/>
        </w:rPr>
        <w:t>an</w:t>
      </w:r>
      <w:proofErr w:type="spellEnd"/>
      <w:r w:rsidR="00131D01" w:rsidRPr="002237F0">
        <w:rPr>
          <w:i/>
          <w:lang w:val="nl-NL"/>
        </w:rPr>
        <w:t xml:space="preserve"> </w:t>
      </w:r>
      <w:proofErr w:type="spellStart"/>
      <w:r w:rsidR="00131D01" w:rsidRPr="002237F0">
        <w:rPr>
          <w:i/>
          <w:lang w:val="nl-NL"/>
        </w:rPr>
        <w:t>sich</w:t>
      </w:r>
      <w:proofErr w:type="spellEnd"/>
      <w:r w:rsidR="00131D01" w:rsidRPr="002237F0">
        <w:rPr>
          <w:lang w:val="nl-NL"/>
        </w:rPr>
        <w:t xml:space="preserve">. De tweede paragraaf </w:t>
      </w:r>
      <w:r w:rsidR="00945927" w:rsidRPr="002237F0">
        <w:rPr>
          <w:lang w:val="nl-NL"/>
        </w:rPr>
        <w:t>behandelt</w:t>
      </w:r>
      <w:r w:rsidR="00131D01" w:rsidRPr="002237F0">
        <w:rPr>
          <w:lang w:val="nl-NL"/>
        </w:rPr>
        <w:t xml:space="preserve"> de effecten die de het amendement gehad zou hebben. </w:t>
      </w:r>
    </w:p>
    <w:p w:rsidR="00131D01" w:rsidRPr="002237F0" w:rsidRDefault="00131D01" w:rsidP="007E2C3F">
      <w:pPr>
        <w:rPr>
          <w:b/>
          <w:sz w:val="28"/>
          <w:lang w:val="nl-NL"/>
        </w:rPr>
      </w:pPr>
      <w:r w:rsidRPr="002237F0">
        <w:rPr>
          <w:b/>
          <w:sz w:val="28"/>
          <w:lang w:val="nl-NL"/>
        </w:rPr>
        <w:t>3.2.1. De actuele waarde benadering</w:t>
      </w:r>
    </w:p>
    <w:p w:rsidR="000334B5" w:rsidRPr="002237F0" w:rsidRDefault="00945927" w:rsidP="007E2C3F">
      <w:pPr>
        <w:rPr>
          <w:lang w:val="nl-NL"/>
        </w:rPr>
      </w:pPr>
      <w:r w:rsidRPr="002237F0">
        <w:rPr>
          <w:lang w:val="nl-NL"/>
        </w:rPr>
        <w:t>In de literatuur bestaat er nog geen overeenstemming</w:t>
      </w:r>
      <w:r w:rsidR="00131D01" w:rsidRPr="002237F0">
        <w:rPr>
          <w:lang w:val="nl-NL"/>
        </w:rPr>
        <w:t xml:space="preserve"> </w:t>
      </w:r>
      <w:r w:rsidRPr="002237F0">
        <w:rPr>
          <w:lang w:val="nl-NL"/>
        </w:rPr>
        <w:t>over</w:t>
      </w:r>
      <w:r w:rsidR="00131D01" w:rsidRPr="002237F0">
        <w:rPr>
          <w:lang w:val="nl-NL"/>
        </w:rPr>
        <w:t xml:space="preserve"> de rol van de actuele waarde benadering binnen de bankencrisis. In deze subparagraaf worden de </w:t>
      </w:r>
      <w:proofErr w:type="spellStart"/>
      <w:r w:rsidR="00131D01" w:rsidRPr="002237F0">
        <w:rPr>
          <w:lang w:val="nl-NL"/>
        </w:rPr>
        <w:t>pro’s</w:t>
      </w:r>
      <w:proofErr w:type="spellEnd"/>
      <w:r w:rsidR="00131D01" w:rsidRPr="002237F0">
        <w:rPr>
          <w:lang w:val="nl-NL"/>
        </w:rPr>
        <w:t xml:space="preserve"> en contra’s van de waardering belicht. </w:t>
      </w:r>
      <w:r w:rsidRPr="002237F0">
        <w:rPr>
          <w:lang w:val="nl-NL"/>
        </w:rPr>
        <w:t>Door</w:t>
      </w:r>
      <w:r w:rsidR="00B8170B" w:rsidRPr="002237F0">
        <w:rPr>
          <w:lang w:val="nl-NL"/>
        </w:rPr>
        <w:t>dat de crisis aanvankelijk beg</w:t>
      </w:r>
      <w:r w:rsidRPr="002237F0">
        <w:rPr>
          <w:lang w:val="nl-NL"/>
        </w:rPr>
        <w:t xml:space="preserve">on in de Verenigde Staten, komt </w:t>
      </w:r>
      <w:r w:rsidR="00B8170B" w:rsidRPr="002237F0">
        <w:rPr>
          <w:lang w:val="nl-NL"/>
        </w:rPr>
        <w:t xml:space="preserve">waar nodig ook de Amerikaanse regelgeving ter sprake. Veel artikelen zijn namelijk geschreven door Amerikaanse auteurs. Ik ga er van uit dat gegeven opinies over de fair </w:t>
      </w:r>
      <w:proofErr w:type="spellStart"/>
      <w:r w:rsidR="00B8170B" w:rsidRPr="002237F0">
        <w:rPr>
          <w:lang w:val="nl-NL"/>
        </w:rPr>
        <w:t>value</w:t>
      </w:r>
      <w:proofErr w:type="spellEnd"/>
      <w:r w:rsidR="00B8170B" w:rsidRPr="002237F0">
        <w:rPr>
          <w:lang w:val="nl-NL"/>
        </w:rPr>
        <w:t xml:space="preserve"> waardering universeel gelden en niet beperkt zijn tot de</w:t>
      </w:r>
      <w:r w:rsidR="00A65337" w:rsidRPr="002237F0">
        <w:rPr>
          <w:lang w:val="nl-NL"/>
        </w:rPr>
        <w:t xml:space="preserve"> geldende regels van de</w:t>
      </w:r>
      <w:r w:rsidR="00B8170B" w:rsidRPr="002237F0">
        <w:rPr>
          <w:lang w:val="nl-NL"/>
        </w:rPr>
        <w:t xml:space="preserve"> markt waar de constatering gedaan wordt.</w:t>
      </w:r>
    </w:p>
    <w:p w:rsidR="000334B5" w:rsidRPr="002237F0" w:rsidRDefault="005A1ABF" w:rsidP="007E2C3F">
      <w:pPr>
        <w:rPr>
          <w:lang w:val="nl-NL"/>
        </w:rPr>
      </w:pPr>
      <w:r w:rsidRPr="002237F0">
        <w:rPr>
          <w:lang w:val="nl-NL"/>
        </w:rPr>
        <w:t>Zoals eerder is aangegeven</w:t>
      </w:r>
      <w:r w:rsidR="000334B5" w:rsidRPr="002237F0">
        <w:rPr>
          <w:lang w:val="nl-NL"/>
        </w:rPr>
        <w:t xml:space="preserve">, startte de crisis toen huizenprijzen daalden en </w:t>
      </w:r>
      <w:r w:rsidRPr="002237F0">
        <w:rPr>
          <w:lang w:val="nl-NL"/>
        </w:rPr>
        <w:t>vele</w:t>
      </w:r>
      <w:r w:rsidR="000334B5" w:rsidRPr="002237F0">
        <w:rPr>
          <w:lang w:val="nl-NL"/>
        </w:rPr>
        <w:t xml:space="preserve"> mensen hun hypotheek</w:t>
      </w:r>
      <w:r w:rsidRPr="002237F0">
        <w:rPr>
          <w:lang w:val="nl-NL"/>
        </w:rPr>
        <w:t>lasten</w:t>
      </w:r>
      <w:r w:rsidR="000334B5" w:rsidRPr="002237F0">
        <w:rPr>
          <w:lang w:val="nl-NL"/>
        </w:rPr>
        <w:t xml:space="preserve"> niet konden </w:t>
      </w:r>
      <w:r w:rsidRPr="002237F0">
        <w:rPr>
          <w:lang w:val="nl-NL"/>
        </w:rPr>
        <w:t>voldoen</w:t>
      </w:r>
      <w:r w:rsidR="000334B5" w:rsidRPr="002237F0">
        <w:rPr>
          <w:lang w:val="nl-NL"/>
        </w:rPr>
        <w:t xml:space="preserve">. </w:t>
      </w:r>
      <w:proofErr w:type="spellStart"/>
      <w:r w:rsidR="000334B5" w:rsidRPr="002237F0">
        <w:rPr>
          <w:lang w:val="nl-NL"/>
        </w:rPr>
        <w:t>Informatie-asymmetrie</w:t>
      </w:r>
      <w:proofErr w:type="spellEnd"/>
      <w:r w:rsidR="000334B5" w:rsidRPr="002237F0">
        <w:rPr>
          <w:lang w:val="nl-NL"/>
        </w:rPr>
        <w:t xml:space="preserve"> en onzekerheid namen toe waardoor markten veel minder actief werden</w:t>
      </w:r>
      <w:sdt>
        <w:sdtPr>
          <w:rPr>
            <w:lang w:val="nl-NL"/>
          </w:rPr>
          <w:id w:val="1451352960"/>
          <w:citation/>
        </w:sdtPr>
        <w:sdtContent>
          <w:r w:rsidR="003C13F3" w:rsidRPr="002237F0">
            <w:rPr>
              <w:lang w:val="nl-NL"/>
            </w:rPr>
            <w:fldChar w:fldCharType="begin"/>
          </w:r>
          <w:r w:rsidR="002B730E" w:rsidRPr="002237F0">
            <w:rPr>
              <w:lang w:val="nl-NL"/>
            </w:rPr>
            <w:instrText xml:space="preserve"> CITATION Gla13 \l 1033 </w:instrText>
          </w:r>
          <w:r w:rsidR="003C13F3" w:rsidRPr="002237F0">
            <w:rPr>
              <w:lang w:val="nl-NL"/>
            </w:rPr>
            <w:fldChar w:fldCharType="separate"/>
          </w:r>
          <w:r w:rsidR="002B730E" w:rsidRPr="002237F0">
            <w:rPr>
              <w:noProof/>
              <w:lang w:val="nl-NL"/>
            </w:rPr>
            <w:t xml:space="preserve"> (Glaser, Mohrmann, &amp; Riepe, 2013)</w:t>
          </w:r>
          <w:r w:rsidR="003C13F3" w:rsidRPr="002237F0">
            <w:rPr>
              <w:lang w:val="nl-NL"/>
            </w:rPr>
            <w:fldChar w:fldCharType="end"/>
          </w:r>
        </w:sdtContent>
      </w:sdt>
      <w:r w:rsidR="000334B5" w:rsidRPr="002237F0">
        <w:rPr>
          <w:lang w:val="nl-NL"/>
        </w:rPr>
        <w:t xml:space="preserve">. Het </w:t>
      </w:r>
      <w:r w:rsidRPr="002237F0">
        <w:rPr>
          <w:lang w:val="nl-NL"/>
        </w:rPr>
        <w:t>is moeilijk</w:t>
      </w:r>
      <w:r w:rsidR="000334B5" w:rsidRPr="002237F0">
        <w:rPr>
          <w:lang w:val="nl-NL"/>
        </w:rPr>
        <w:t xml:space="preserve"> in </w:t>
      </w:r>
      <w:r w:rsidRPr="002237F0">
        <w:rPr>
          <w:lang w:val="nl-NL"/>
        </w:rPr>
        <w:t xml:space="preserve">tijden van onzekerheid </w:t>
      </w:r>
      <w:r w:rsidR="000334B5" w:rsidRPr="002237F0">
        <w:rPr>
          <w:lang w:val="nl-NL"/>
        </w:rPr>
        <w:t>de reële waarde van een instrument te bepalen. De economie is sinds de financiële crisis in recessie ge</w:t>
      </w:r>
      <w:r w:rsidRPr="002237F0">
        <w:rPr>
          <w:lang w:val="nl-NL"/>
        </w:rPr>
        <w:t>komen, maar het is de</w:t>
      </w:r>
      <w:r w:rsidR="000334B5" w:rsidRPr="002237F0">
        <w:rPr>
          <w:lang w:val="nl-NL"/>
        </w:rPr>
        <w:t xml:space="preserve"> vraag of fair </w:t>
      </w:r>
      <w:proofErr w:type="spellStart"/>
      <w:r w:rsidR="000334B5" w:rsidRPr="002237F0">
        <w:rPr>
          <w:lang w:val="nl-NL"/>
        </w:rPr>
        <w:t>value</w:t>
      </w:r>
      <w:proofErr w:type="spellEnd"/>
      <w:r w:rsidR="000334B5" w:rsidRPr="002237F0">
        <w:rPr>
          <w:lang w:val="nl-NL"/>
        </w:rPr>
        <w:t xml:space="preserve"> accounting hier schuldig aan is of dat fair </w:t>
      </w:r>
      <w:proofErr w:type="spellStart"/>
      <w:r w:rsidR="000334B5" w:rsidRPr="002237F0">
        <w:rPr>
          <w:lang w:val="nl-NL"/>
        </w:rPr>
        <w:t>value</w:t>
      </w:r>
      <w:proofErr w:type="spellEnd"/>
      <w:r w:rsidR="000334B5" w:rsidRPr="002237F0">
        <w:rPr>
          <w:lang w:val="nl-NL"/>
        </w:rPr>
        <w:t xml:space="preserve"> accounting de recessi</w:t>
      </w:r>
      <w:r w:rsidRPr="002237F0">
        <w:rPr>
          <w:lang w:val="nl-NL"/>
        </w:rPr>
        <w:t xml:space="preserve">e </w:t>
      </w:r>
      <w:r w:rsidR="000334B5" w:rsidRPr="002237F0">
        <w:rPr>
          <w:lang w:val="nl-NL"/>
        </w:rPr>
        <w:t>in kaart heeft gebracht</w:t>
      </w:r>
      <w:sdt>
        <w:sdtPr>
          <w:rPr>
            <w:lang w:val="nl-NL"/>
          </w:rPr>
          <w:id w:val="-1438210200"/>
          <w:citation/>
        </w:sdtPr>
        <w:sdtContent>
          <w:r w:rsidR="003C13F3" w:rsidRPr="002237F0">
            <w:rPr>
              <w:lang w:val="nl-NL"/>
            </w:rPr>
            <w:fldChar w:fldCharType="begin"/>
          </w:r>
          <w:r w:rsidR="000334B5" w:rsidRPr="002237F0">
            <w:rPr>
              <w:lang w:val="nl-NL"/>
            </w:rPr>
            <w:instrText xml:space="preserve">CITATION Lau091 \t  \l 1033 </w:instrText>
          </w:r>
          <w:r w:rsidR="003C13F3" w:rsidRPr="002237F0">
            <w:rPr>
              <w:lang w:val="nl-NL"/>
            </w:rPr>
            <w:fldChar w:fldCharType="separate"/>
          </w:r>
          <w:r w:rsidR="00721EC3" w:rsidRPr="002237F0">
            <w:rPr>
              <w:noProof/>
              <w:lang w:val="nl-NL"/>
            </w:rPr>
            <w:t xml:space="preserve"> (Leuz &amp; Laux, 2009)</w:t>
          </w:r>
          <w:r w:rsidR="003C13F3" w:rsidRPr="002237F0">
            <w:rPr>
              <w:lang w:val="nl-NL"/>
            </w:rPr>
            <w:fldChar w:fldCharType="end"/>
          </w:r>
        </w:sdtContent>
      </w:sdt>
      <w:r w:rsidR="000334B5" w:rsidRPr="002237F0">
        <w:rPr>
          <w:lang w:val="nl-NL"/>
        </w:rPr>
        <w:t xml:space="preserve">. </w:t>
      </w:r>
    </w:p>
    <w:p w:rsidR="00A65337" w:rsidRPr="002237F0" w:rsidRDefault="000334B5" w:rsidP="007E2C3F">
      <w:pPr>
        <w:rPr>
          <w:lang w:val="nl-NL"/>
        </w:rPr>
      </w:pPr>
      <w:r w:rsidRPr="002237F0">
        <w:rPr>
          <w:lang w:val="nl-NL"/>
        </w:rPr>
        <w:t>Accounting regels, die de basis</w:t>
      </w:r>
      <w:r w:rsidR="005A1ABF" w:rsidRPr="002237F0">
        <w:rPr>
          <w:lang w:val="nl-NL"/>
        </w:rPr>
        <w:t xml:space="preserve"> zijn van kapitaalminima, wordt </w:t>
      </w:r>
      <w:r w:rsidRPr="002237F0">
        <w:rPr>
          <w:lang w:val="nl-NL"/>
        </w:rPr>
        <w:t>ervan beschuldigd de crisis verergerd te hebben</w:t>
      </w:r>
      <w:sdt>
        <w:sdtPr>
          <w:rPr>
            <w:lang w:val="nl-NL"/>
          </w:rPr>
          <w:id w:val="-1597620708"/>
          <w:citation/>
        </w:sdtPr>
        <w:sdtContent>
          <w:r w:rsidR="003C13F3" w:rsidRPr="002237F0">
            <w:rPr>
              <w:lang w:val="nl-NL"/>
            </w:rPr>
            <w:fldChar w:fldCharType="begin"/>
          </w:r>
          <w:r w:rsidRPr="002237F0">
            <w:rPr>
              <w:lang w:val="nl-NL"/>
            </w:rPr>
            <w:instrText xml:space="preserve"> CITATION Bad12 \l 1033 </w:instrText>
          </w:r>
          <w:r w:rsidR="003C13F3" w:rsidRPr="002237F0">
            <w:rPr>
              <w:lang w:val="nl-NL"/>
            </w:rPr>
            <w:fldChar w:fldCharType="separate"/>
          </w:r>
          <w:r w:rsidR="00721EC3" w:rsidRPr="002237F0">
            <w:rPr>
              <w:noProof/>
              <w:lang w:val="nl-NL"/>
            </w:rPr>
            <w:t xml:space="preserve"> (Badertscher, Burks, &amp; Easton, 2012)</w:t>
          </w:r>
          <w:r w:rsidR="003C13F3" w:rsidRPr="002237F0">
            <w:rPr>
              <w:lang w:val="nl-NL"/>
            </w:rPr>
            <w:fldChar w:fldCharType="end"/>
          </w:r>
        </w:sdtContent>
      </w:sdt>
      <w:r w:rsidRPr="002237F0">
        <w:rPr>
          <w:lang w:val="nl-NL"/>
        </w:rPr>
        <w:t xml:space="preserve">. </w:t>
      </w:r>
      <w:r w:rsidR="005A1ABF" w:rsidRPr="002237F0">
        <w:rPr>
          <w:lang w:val="nl-NL"/>
        </w:rPr>
        <w:t xml:space="preserve">De American Bankers </w:t>
      </w:r>
      <w:proofErr w:type="spellStart"/>
      <w:r w:rsidR="005A1ABF" w:rsidRPr="002237F0">
        <w:rPr>
          <w:lang w:val="nl-NL"/>
        </w:rPr>
        <w:t>Association</w:t>
      </w:r>
      <w:proofErr w:type="spellEnd"/>
      <w:r w:rsidR="005A1ABF" w:rsidRPr="002237F0">
        <w:rPr>
          <w:lang w:val="nl-NL"/>
        </w:rPr>
        <w:t xml:space="preserve">(ABA) stelt dat de fair </w:t>
      </w:r>
      <w:proofErr w:type="spellStart"/>
      <w:r w:rsidR="005A1ABF" w:rsidRPr="002237F0">
        <w:rPr>
          <w:lang w:val="nl-NL"/>
        </w:rPr>
        <w:t>value</w:t>
      </w:r>
      <w:proofErr w:type="spellEnd"/>
      <w:r w:rsidR="005A1ABF" w:rsidRPr="002237F0">
        <w:rPr>
          <w:lang w:val="nl-NL"/>
        </w:rPr>
        <w:t xml:space="preserve"> waardering geen economische waarheid reflecteert en negatieve invloed heeft op de gezondheid van financiële instellingen</w:t>
      </w:r>
      <w:sdt>
        <w:sdtPr>
          <w:rPr>
            <w:lang w:val="nl-NL"/>
          </w:rPr>
          <w:id w:val="2041129"/>
          <w:citation/>
        </w:sdtPr>
        <w:sdtContent>
          <w:r w:rsidR="003C13F3" w:rsidRPr="002237F0">
            <w:rPr>
              <w:lang w:val="nl-NL"/>
            </w:rPr>
            <w:fldChar w:fldCharType="begin"/>
          </w:r>
          <w:r w:rsidR="005A1ABF" w:rsidRPr="002237F0">
            <w:rPr>
              <w:lang w:val="nl-NL"/>
            </w:rPr>
            <w:instrText xml:space="preserve"> CITATION ABA08 \l 1043 </w:instrText>
          </w:r>
          <w:r w:rsidR="003C13F3" w:rsidRPr="002237F0">
            <w:rPr>
              <w:lang w:val="nl-NL"/>
            </w:rPr>
            <w:fldChar w:fldCharType="separate"/>
          </w:r>
          <w:r w:rsidR="005A1ABF" w:rsidRPr="002237F0">
            <w:rPr>
              <w:noProof/>
              <w:lang w:val="nl-NL"/>
            </w:rPr>
            <w:t xml:space="preserve"> (ABA, 2008)</w:t>
          </w:r>
          <w:r w:rsidR="003C13F3" w:rsidRPr="002237F0">
            <w:rPr>
              <w:lang w:val="nl-NL"/>
            </w:rPr>
            <w:fldChar w:fldCharType="end"/>
          </w:r>
        </w:sdtContent>
      </w:sdt>
      <w:r w:rsidR="005A1ABF" w:rsidRPr="002237F0">
        <w:rPr>
          <w:lang w:val="nl-NL"/>
        </w:rPr>
        <w:t xml:space="preserve">. </w:t>
      </w:r>
      <w:r w:rsidRPr="002237F0">
        <w:rPr>
          <w:lang w:val="nl-NL"/>
        </w:rPr>
        <w:t xml:space="preserve">De belangrijkste beschuldiging richting het waarderen naar fair </w:t>
      </w:r>
      <w:proofErr w:type="spellStart"/>
      <w:r w:rsidRPr="002237F0">
        <w:rPr>
          <w:lang w:val="nl-NL"/>
        </w:rPr>
        <w:t>value</w:t>
      </w:r>
      <w:proofErr w:type="spellEnd"/>
      <w:r w:rsidRPr="002237F0">
        <w:rPr>
          <w:lang w:val="nl-NL"/>
        </w:rPr>
        <w:t xml:space="preserve"> is dat het bijdraagt aan de opname van extreem veel vreemd vermogen in tijden van </w:t>
      </w:r>
      <w:r w:rsidR="005A1ABF" w:rsidRPr="002237F0">
        <w:rPr>
          <w:lang w:val="nl-NL"/>
        </w:rPr>
        <w:t>economische voorspoed</w:t>
      </w:r>
      <w:r w:rsidRPr="002237F0">
        <w:rPr>
          <w:lang w:val="nl-NL"/>
        </w:rPr>
        <w:t xml:space="preserve">, en leidt tot extreme waardedalingen in tijden van </w:t>
      </w:r>
      <w:r w:rsidR="00A65337" w:rsidRPr="002237F0">
        <w:rPr>
          <w:lang w:val="nl-NL"/>
        </w:rPr>
        <w:t>recessie.</w:t>
      </w:r>
    </w:p>
    <w:p w:rsidR="00A65337" w:rsidRPr="002237F0" w:rsidRDefault="00A65337" w:rsidP="007E2C3F">
      <w:pPr>
        <w:rPr>
          <w:lang w:val="nl-NL"/>
        </w:rPr>
      </w:pPr>
      <w:r w:rsidRPr="002237F0">
        <w:rPr>
          <w:lang w:val="nl-NL"/>
        </w:rPr>
        <w:t xml:space="preserve">De problemen die zich in deze crisis voordeden met betrekking tot de fair </w:t>
      </w:r>
      <w:proofErr w:type="spellStart"/>
      <w:r w:rsidR="005A1ABF" w:rsidRPr="002237F0">
        <w:rPr>
          <w:lang w:val="nl-NL"/>
        </w:rPr>
        <w:t>value</w:t>
      </w:r>
      <w:proofErr w:type="spellEnd"/>
      <w:r w:rsidR="005A1ABF" w:rsidRPr="002237F0">
        <w:rPr>
          <w:lang w:val="nl-NL"/>
        </w:rPr>
        <w:t xml:space="preserve"> waardering zijn</w:t>
      </w:r>
      <w:r w:rsidRPr="002237F0">
        <w:rPr>
          <w:lang w:val="nl-NL"/>
        </w:rPr>
        <w:t xml:space="preserve"> te splitsen in drie deelproblemen</w:t>
      </w:r>
      <w:sdt>
        <w:sdtPr>
          <w:rPr>
            <w:lang w:val="nl-NL"/>
          </w:rPr>
          <w:id w:val="-511995079"/>
          <w:citation/>
        </w:sdtPr>
        <w:sdtContent>
          <w:r w:rsidR="003C13F3" w:rsidRPr="002237F0">
            <w:rPr>
              <w:lang w:val="nl-NL"/>
            </w:rPr>
            <w:fldChar w:fldCharType="begin"/>
          </w:r>
          <w:r w:rsidRPr="002237F0">
            <w:rPr>
              <w:lang w:val="nl-NL"/>
            </w:rPr>
            <w:instrText xml:space="preserve"> CITATION Bar10 \l 1033 </w:instrText>
          </w:r>
          <w:r w:rsidR="003C13F3" w:rsidRPr="002237F0">
            <w:rPr>
              <w:lang w:val="nl-NL"/>
            </w:rPr>
            <w:fldChar w:fldCharType="separate"/>
          </w:r>
          <w:r w:rsidR="00721EC3" w:rsidRPr="002237F0">
            <w:rPr>
              <w:noProof/>
              <w:lang w:val="nl-NL"/>
            </w:rPr>
            <w:t xml:space="preserve"> (Barth &amp; Landsman, 2010)</w:t>
          </w:r>
          <w:r w:rsidR="003C13F3" w:rsidRPr="002237F0">
            <w:rPr>
              <w:lang w:val="nl-NL"/>
            </w:rPr>
            <w:fldChar w:fldCharType="end"/>
          </w:r>
        </w:sdtContent>
      </w:sdt>
      <w:r w:rsidRPr="002237F0">
        <w:rPr>
          <w:lang w:val="nl-NL"/>
        </w:rPr>
        <w:t>:</w:t>
      </w:r>
    </w:p>
    <w:p w:rsidR="00A65337" w:rsidRPr="002237F0" w:rsidRDefault="00A65337" w:rsidP="00A65337">
      <w:pPr>
        <w:pStyle w:val="ListParagraph"/>
        <w:numPr>
          <w:ilvl w:val="0"/>
          <w:numId w:val="20"/>
        </w:numPr>
        <w:rPr>
          <w:lang w:val="nl-NL"/>
        </w:rPr>
      </w:pPr>
      <w:r w:rsidRPr="002237F0">
        <w:rPr>
          <w:lang w:val="nl-NL"/>
        </w:rPr>
        <w:t xml:space="preserve">De eigenschappen van de fair </w:t>
      </w:r>
      <w:proofErr w:type="spellStart"/>
      <w:r w:rsidRPr="002237F0">
        <w:rPr>
          <w:lang w:val="nl-NL"/>
        </w:rPr>
        <w:t>value</w:t>
      </w:r>
      <w:proofErr w:type="spellEnd"/>
      <w:r w:rsidRPr="002237F0">
        <w:rPr>
          <w:lang w:val="nl-NL"/>
        </w:rPr>
        <w:t xml:space="preserve"> waardering op zichzelf</w:t>
      </w:r>
      <w:r w:rsidR="00767CED" w:rsidRPr="002237F0">
        <w:rPr>
          <w:lang w:val="nl-NL"/>
        </w:rPr>
        <w:t>;</w:t>
      </w:r>
    </w:p>
    <w:p w:rsidR="00A65337" w:rsidRPr="002237F0" w:rsidRDefault="00A65337" w:rsidP="00A65337">
      <w:pPr>
        <w:pStyle w:val="ListParagraph"/>
        <w:numPr>
          <w:ilvl w:val="0"/>
          <w:numId w:val="20"/>
        </w:numPr>
        <w:rPr>
          <w:lang w:val="nl-NL"/>
        </w:rPr>
      </w:pPr>
      <w:proofErr w:type="spellStart"/>
      <w:r w:rsidRPr="002237F0">
        <w:rPr>
          <w:lang w:val="nl-NL"/>
        </w:rPr>
        <w:t>Securitisatie</w:t>
      </w:r>
      <w:proofErr w:type="spellEnd"/>
      <w:r w:rsidRPr="002237F0">
        <w:rPr>
          <w:lang w:val="nl-NL"/>
        </w:rPr>
        <w:t xml:space="preserve"> van activa(Het samenvoegen van activa met als doel om ze te verkopen als verhandelbare effecten)</w:t>
      </w:r>
      <w:r w:rsidR="00767CED" w:rsidRPr="002237F0">
        <w:rPr>
          <w:lang w:val="nl-NL"/>
        </w:rPr>
        <w:t>;</w:t>
      </w:r>
    </w:p>
    <w:p w:rsidR="002B730E" w:rsidRPr="002237F0" w:rsidRDefault="00767CED" w:rsidP="00767CED">
      <w:pPr>
        <w:pStyle w:val="ListParagraph"/>
        <w:numPr>
          <w:ilvl w:val="0"/>
          <w:numId w:val="20"/>
        </w:numPr>
        <w:rPr>
          <w:lang w:val="nl-NL"/>
        </w:rPr>
      </w:pPr>
      <w:r w:rsidRPr="002237F0">
        <w:rPr>
          <w:lang w:val="nl-NL"/>
        </w:rPr>
        <w:t>De waardering van derivaten.</w:t>
      </w:r>
    </w:p>
    <w:p w:rsidR="005A1ABF" w:rsidRPr="002237F0" w:rsidRDefault="005A1ABF" w:rsidP="005A1ABF">
      <w:pPr>
        <w:pStyle w:val="ListParagraph"/>
        <w:rPr>
          <w:lang w:val="nl-NL"/>
        </w:rPr>
      </w:pPr>
    </w:p>
    <w:p w:rsidR="00E07836" w:rsidRPr="002237F0" w:rsidRDefault="00E07836" w:rsidP="00767CED">
      <w:pPr>
        <w:rPr>
          <w:b/>
          <w:sz w:val="24"/>
          <w:lang w:val="nl-NL"/>
        </w:rPr>
      </w:pPr>
      <w:r w:rsidRPr="002237F0">
        <w:rPr>
          <w:b/>
          <w:sz w:val="24"/>
          <w:lang w:val="nl-NL"/>
        </w:rPr>
        <w:t xml:space="preserve">De eigenschappen van de fair </w:t>
      </w:r>
      <w:proofErr w:type="spellStart"/>
      <w:r w:rsidRPr="002237F0">
        <w:rPr>
          <w:b/>
          <w:sz w:val="24"/>
          <w:lang w:val="nl-NL"/>
        </w:rPr>
        <w:t>value</w:t>
      </w:r>
      <w:proofErr w:type="spellEnd"/>
      <w:r w:rsidRPr="002237F0">
        <w:rPr>
          <w:b/>
          <w:sz w:val="24"/>
          <w:lang w:val="nl-NL"/>
        </w:rPr>
        <w:t xml:space="preserve"> waardering op zichzelf</w:t>
      </w:r>
    </w:p>
    <w:p w:rsidR="001D1DC2" w:rsidRPr="002237F0" w:rsidRDefault="00767CED" w:rsidP="00767CED">
      <w:pPr>
        <w:rPr>
          <w:lang w:val="nl-NL"/>
        </w:rPr>
      </w:pPr>
      <w:r w:rsidRPr="002237F0">
        <w:rPr>
          <w:lang w:val="nl-NL"/>
        </w:rPr>
        <w:t xml:space="preserve">Fair </w:t>
      </w:r>
      <w:proofErr w:type="spellStart"/>
      <w:r w:rsidRPr="002237F0">
        <w:rPr>
          <w:lang w:val="nl-NL"/>
        </w:rPr>
        <w:t>value</w:t>
      </w:r>
      <w:proofErr w:type="spellEnd"/>
      <w:r w:rsidRPr="002237F0">
        <w:rPr>
          <w:lang w:val="nl-NL"/>
        </w:rPr>
        <w:t xml:space="preserve"> waardering op zichzelf krijgt de kritiek dat</w:t>
      </w:r>
      <w:r w:rsidR="00A322CB" w:rsidRPr="002237F0">
        <w:rPr>
          <w:lang w:val="nl-NL"/>
        </w:rPr>
        <w:t xml:space="preserve"> het een procyclische werking </w:t>
      </w:r>
      <w:r w:rsidR="00AD2532" w:rsidRPr="002237F0">
        <w:rPr>
          <w:lang w:val="nl-NL"/>
        </w:rPr>
        <w:t>heeft</w:t>
      </w:r>
      <w:sdt>
        <w:sdtPr>
          <w:rPr>
            <w:lang w:val="nl-NL"/>
          </w:rPr>
          <w:id w:val="2041130"/>
          <w:citation/>
        </w:sdtPr>
        <w:sdtContent>
          <w:r w:rsidR="003C13F3" w:rsidRPr="002237F0">
            <w:rPr>
              <w:lang w:val="nl-NL"/>
            </w:rPr>
            <w:fldChar w:fldCharType="begin"/>
          </w:r>
          <w:r w:rsidR="00F46679" w:rsidRPr="002237F0">
            <w:rPr>
              <w:lang w:val="nl-NL"/>
            </w:rPr>
            <w:instrText xml:space="preserve"> CITATION Bad12 \l 1043 </w:instrText>
          </w:r>
          <w:r w:rsidR="003C13F3" w:rsidRPr="002237F0">
            <w:rPr>
              <w:lang w:val="nl-NL"/>
            </w:rPr>
            <w:fldChar w:fldCharType="separate"/>
          </w:r>
          <w:r w:rsidR="00F46679" w:rsidRPr="002237F0">
            <w:rPr>
              <w:noProof/>
              <w:lang w:val="nl-NL"/>
            </w:rPr>
            <w:t xml:space="preserve"> (Badertscher, Burks, &amp; Easton, 2012)</w:t>
          </w:r>
          <w:r w:rsidR="003C13F3" w:rsidRPr="002237F0">
            <w:rPr>
              <w:lang w:val="nl-NL"/>
            </w:rPr>
            <w:fldChar w:fldCharType="end"/>
          </w:r>
        </w:sdtContent>
      </w:sdt>
      <w:r w:rsidR="00A322CB" w:rsidRPr="002237F0">
        <w:rPr>
          <w:lang w:val="nl-NL"/>
        </w:rPr>
        <w:t xml:space="preserve">. Marktprijzen kunnen slechte indicatoren zijn van de lange termijnwaarde van activa. Zelfs wanneer banken </w:t>
      </w:r>
      <w:r w:rsidR="00E216BE" w:rsidRPr="002237F0">
        <w:rPr>
          <w:lang w:val="nl-NL"/>
        </w:rPr>
        <w:t xml:space="preserve">geen intentie hadden om bepaalde effecten te verkopen, moesten deze effecten toch naar beneden gewaardeerd worden. Dit leidde weer tot een vermindering van de </w:t>
      </w:r>
      <w:proofErr w:type="spellStart"/>
      <w:r w:rsidR="00E216BE" w:rsidRPr="002237F0">
        <w:rPr>
          <w:lang w:val="nl-NL"/>
        </w:rPr>
        <w:t>leverage</w:t>
      </w:r>
      <w:proofErr w:type="spellEnd"/>
      <w:r w:rsidR="00E9485C" w:rsidRPr="002237F0">
        <w:rPr>
          <w:lang w:val="nl-NL"/>
        </w:rPr>
        <w:t>(via het nemen van verlies)</w:t>
      </w:r>
      <w:r w:rsidR="00E216BE" w:rsidRPr="002237F0">
        <w:rPr>
          <w:lang w:val="nl-NL"/>
        </w:rPr>
        <w:t>, en tot een vermindering van de leencapaciteit</w:t>
      </w:r>
      <w:sdt>
        <w:sdtPr>
          <w:rPr>
            <w:lang w:val="nl-NL"/>
          </w:rPr>
          <w:id w:val="-1994016016"/>
          <w:citation/>
        </w:sdtPr>
        <w:sdtContent>
          <w:r w:rsidR="003C13F3" w:rsidRPr="002237F0">
            <w:rPr>
              <w:lang w:val="nl-NL"/>
            </w:rPr>
            <w:fldChar w:fldCharType="begin"/>
          </w:r>
          <w:r w:rsidR="00E216BE" w:rsidRPr="002237F0">
            <w:rPr>
              <w:lang w:val="nl-NL"/>
            </w:rPr>
            <w:instrText xml:space="preserve"> CITATION Bad12 \l 1033 </w:instrText>
          </w:r>
          <w:r w:rsidR="003C13F3" w:rsidRPr="002237F0">
            <w:rPr>
              <w:lang w:val="nl-NL"/>
            </w:rPr>
            <w:fldChar w:fldCharType="separate"/>
          </w:r>
          <w:r w:rsidR="00721EC3" w:rsidRPr="002237F0">
            <w:rPr>
              <w:noProof/>
              <w:lang w:val="nl-NL"/>
            </w:rPr>
            <w:t xml:space="preserve"> (Badertscher, Burks, &amp; Easton, 2012)</w:t>
          </w:r>
          <w:r w:rsidR="003C13F3" w:rsidRPr="002237F0">
            <w:rPr>
              <w:lang w:val="nl-NL"/>
            </w:rPr>
            <w:fldChar w:fldCharType="end"/>
          </w:r>
        </w:sdtContent>
      </w:sdt>
      <w:r w:rsidR="00E216BE" w:rsidRPr="002237F0">
        <w:rPr>
          <w:lang w:val="nl-NL"/>
        </w:rPr>
        <w:t>.</w:t>
      </w:r>
      <w:r w:rsidR="00AD2532" w:rsidRPr="002237F0">
        <w:rPr>
          <w:lang w:val="nl-NL"/>
        </w:rPr>
        <w:t xml:space="preserve"> </w:t>
      </w:r>
      <w:r w:rsidR="00F46679" w:rsidRPr="002237F0">
        <w:rPr>
          <w:lang w:val="nl-NL"/>
        </w:rPr>
        <w:t>Gevolg hiervan was</w:t>
      </w:r>
      <w:r w:rsidR="00CF41DF" w:rsidRPr="002237F0">
        <w:rPr>
          <w:lang w:val="nl-NL"/>
        </w:rPr>
        <w:t xml:space="preserve"> dat banken geneigd waren de activa te verkopen, waardoor de marktprijs </w:t>
      </w:r>
      <w:r w:rsidR="00F46679" w:rsidRPr="002237F0">
        <w:rPr>
          <w:lang w:val="nl-NL"/>
        </w:rPr>
        <w:t>nog verder</w:t>
      </w:r>
      <w:r w:rsidR="00CF41DF" w:rsidRPr="002237F0">
        <w:rPr>
          <w:lang w:val="nl-NL"/>
        </w:rPr>
        <w:t xml:space="preserve"> daalde. Hierdoor zouden steeds meer financiële activa ste</w:t>
      </w:r>
      <w:r w:rsidR="002B730E" w:rsidRPr="002237F0">
        <w:rPr>
          <w:lang w:val="nl-NL"/>
        </w:rPr>
        <w:t>eds minder waard worden</w:t>
      </w:r>
      <w:r w:rsidR="00CF41DF" w:rsidRPr="002237F0">
        <w:rPr>
          <w:lang w:val="nl-NL"/>
        </w:rPr>
        <w:t>, wat resulteerde in steeds meer verkopen en uiteindelijk in een recessie</w:t>
      </w:r>
      <w:sdt>
        <w:sdtPr>
          <w:rPr>
            <w:lang w:val="nl-NL"/>
          </w:rPr>
          <w:id w:val="339902105"/>
          <w:citation/>
        </w:sdtPr>
        <w:sdtContent>
          <w:r w:rsidR="003C13F3" w:rsidRPr="002237F0">
            <w:rPr>
              <w:lang w:val="nl-NL"/>
            </w:rPr>
            <w:fldChar w:fldCharType="begin"/>
          </w:r>
          <w:r w:rsidR="00CF41DF" w:rsidRPr="002237F0">
            <w:rPr>
              <w:lang w:val="nl-NL"/>
            </w:rPr>
            <w:instrText xml:space="preserve">CITATION Lau09 \t  \l 1033 </w:instrText>
          </w:r>
          <w:r w:rsidR="003C13F3" w:rsidRPr="002237F0">
            <w:rPr>
              <w:lang w:val="nl-NL"/>
            </w:rPr>
            <w:fldChar w:fldCharType="separate"/>
          </w:r>
          <w:r w:rsidR="00721EC3" w:rsidRPr="002237F0">
            <w:rPr>
              <w:noProof/>
              <w:lang w:val="nl-NL"/>
            </w:rPr>
            <w:t xml:space="preserve"> (Leuz &amp; Laux, 2009)</w:t>
          </w:r>
          <w:r w:rsidR="003C13F3" w:rsidRPr="002237F0">
            <w:rPr>
              <w:lang w:val="nl-NL"/>
            </w:rPr>
            <w:fldChar w:fldCharType="end"/>
          </w:r>
        </w:sdtContent>
      </w:sdt>
      <w:r w:rsidR="00CF41DF" w:rsidRPr="002237F0">
        <w:rPr>
          <w:lang w:val="nl-NL"/>
        </w:rPr>
        <w:t xml:space="preserve">. </w:t>
      </w:r>
      <w:r w:rsidR="00C4625F" w:rsidRPr="002237F0">
        <w:rPr>
          <w:lang w:val="nl-NL"/>
        </w:rPr>
        <w:t xml:space="preserve">Het fenomeen, </w:t>
      </w:r>
      <w:proofErr w:type="gramStart"/>
      <w:r w:rsidR="00C4625F" w:rsidRPr="002237F0">
        <w:rPr>
          <w:lang w:val="nl-NL"/>
        </w:rPr>
        <w:t>waarbij</w:t>
      </w:r>
      <w:proofErr w:type="gramEnd"/>
      <w:r w:rsidR="00C4625F" w:rsidRPr="002237F0">
        <w:rPr>
          <w:lang w:val="nl-NL"/>
        </w:rPr>
        <w:t xml:space="preserve"> bepaalde activa(zoals </w:t>
      </w:r>
      <w:proofErr w:type="spellStart"/>
      <w:r w:rsidR="00C4625F" w:rsidRPr="002237F0">
        <w:rPr>
          <w:lang w:val="nl-NL"/>
        </w:rPr>
        <w:t>Mortgage</w:t>
      </w:r>
      <w:proofErr w:type="spellEnd"/>
      <w:r w:rsidR="00C4625F" w:rsidRPr="002237F0">
        <w:rPr>
          <w:lang w:val="nl-NL"/>
        </w:rPr>
        <w:t xml:space="preserve"> </w:t>
      </w:r>
      <w:proofErr w:type="spellStart"/>
      <w:r w:rsidR="00C4625F" w:rsidRPr="002237F0">
        <w:rPr>
          <w:lang w:val="nl-NL"/>
        </w:rPr>
        <w:t>Backed</w:t>
      </w:r>
      <w:proofErr w:type="spellEnd"/>
      <w:r w:rsidR="00C4625F" w:rsidRPr="002237F0">
        <w:rPr>
          <w:lang w:val="nl-NL"/>
        </w:rPr>
        <w:t xml:space="preserve"> </w:t>
      </w:r>
      <w:proofErr w:type="spellStart"/>
      <w:r w:rsidR="00C4625F" w:rsidRPr="002237F0">
        <w:rPr>
          <w:lang w:val="nl-NL"/>
        </w:rPr>
        <w:t>Securities</w:t>
      </w:r>
      <w:proofErr w:type="spellEnd"/>
      <w:r w:rsidR="00C4625F" w:rsidRPr="002237F0">
        <w:rPr>
          <w:lang w:val="nl-NL"/>
        </w:rPr>
        <w:t>) op grote schaal verkocht worden, wordt ‘</w:t>
      </w:r>
      <w:proofErr w:type="spellStart"/>
      <w:r w:rsidR="00C4625F" w:rsidRPr="002237F0">
        <w:rPr>
          <w:lang w:val="nl-NL"/>
        </w:rPr>
        <w:t>fire</w:t>
      </w:r>
      <w:proofErr w:type="spellEnd"/>
      <w:r w:rsidR="00C4625F" w:rsidRPr="002237F0">
        <w:rPr>
          <w:lang w:val="nl-NL"/>
        </w:rPr>
        <w:t xml:space="preserve"> </w:t>
      </w:r>
      <w:proofErr w:type="spellStart"/>
      <w:r w:rsidR="00C4625F" w:rsidRPr="002237F0">
        <w:rPr>
          <w:lang w:val="nl-NL"/>
        </w:rPr>
        <w:t>sales</w:t>
      </w:r>
      <w:proofErr w:type="spellEnd"/>
      <w:r w:rsidR="00C4625F" w:rsidRPr="002237F0">
        <w:rPr>
          <w:lang w:val="nl-NL"/>
        </w:rPr>
        <w:t xml:space="preserve">’ genoemd. William Isaac, voormalig hoofd van de </w:t>
      </w:r>
      <w:proofErr w:type="spellStart"/>
      <w:r w:rsidR="00C4625F" w:rsidRPr="002237F0">
        <w:rPr>
          <w:lang w:val="nl-NL"/>
        </w:rPr>
        <w:t>Federal</w:t>
      </w:r>
      <w:proofErr w:type="spellEnd"/>
      <w:r w:rsidR="00C4625F" w:rsidRPr="002237F0">
        <w:rPr>
          <w:lang w:val="nl-NL"/>
        </w:rPr>
        <w:t xml:space="preserve"> </w:t>
      </w:r>
      <w:proofErr w:type="spellStart"/>
      <w:r w:rsidR="00C4625F" w:rsidRPr="002237F0">
        <w:rPr>
          <w:lang w:val="nl-NL"/>
        </w:rPr>
        <w:t>Deposit</w:t>
      </w:r>
      <w:proofErr w:type="spellEnd"/>
      <w:r w:rsidR="00C4625F" w:rsidRPr="002237F0">
        <w:rPr>
          <w:lang w:val="nl-NL"/>
        </w:rPr>
        <w:t xml:space="preserve"> Insurance </w:t>
      </w:r>
      <w:proofErr w:type="spellStart"/>
      <w:r w:rsidR="00C4625F" w:rsidRPr="002237F0">
        <w:rPr>
          <w:lang w:val="nl-NL"/>
        </w:rPr>
        <w:t>Corporation</w:t>
      </w:r>
      <w:proofErr w:type="spellEnd"/>
      <w:r w:rsidR="00C4625F" w:rsidRPr="002237F0">
        <w:rPr>
          <w:lang w:val="nl-NL"/>
        </w:rPr>
        <w:t xml:space="preserve">(FDIC), die toeziet op de kredietwaardigheid van banken zei in 2008: ‘Voor mij is er geen enkele andere verklaring dan dat </w:t>
      </w:r>
      <w:r w:rsidR="00F74B0F" w:rsidRPr="002237F0">
        <w:rPr>
          <w:lang w:val="nl-NL"/>
        </w:rPr>
        <w:t>het accounting sys</w:t>
      </w:r>
      <w:r w:rsidR="00F46679" w:rsidRPr="002237F0">
        <w:rPr>
          <w:lang w:val="nl-NL"/>
        </w:rPr>
        <w:t>teem te veel kapitaal vernietigt</w:t>
      </w:r>
      <w:r w:rsidR="00F74B0F" w:rsidRPr="002237F0">
        <w:rPr>
          <w:lang w:val="nl-NL"/>
        </w:rPr>
        <w:t xml:space="preserve">, en daarmee de leencapaciteit van banken enorm verlaagt’ </w:t>
      </w:r>
      <w:sdt>
        <w:sdtPr>
          <w:rPr>
            <w:lang w:val="nl-NL"/>
          </w:rPr>
          <w:id w:val="830790571"/>
          <w:citation/>
        </w:sdtPr>
        <w:sdtContent>
          <w:r w:rsidR="003C13F3" w:rsidRPr="002237F0">
            <w:rPr>
              <w:lang w:val="nl-NL"/>
            </w:rPr>
            <w:fldChar w:fldCharType="begin"/>
          </w:r>
          <w:r w:rsidR="00F74B0F" w:rsidRPr="002237F0">
            <w:rPr>
              <w:lang w:val="nl-NL"/>
            </w:rPr>
            <w:instrText xml:space="preserve"> CITATION Wil08 \l 1033 </w:instrText>
          </w:r>
          <w:r w:rsidR="003C13F3" w:rsidRPr="002237F0">
            <w:rPr>
              <w:lang w:val="nl-NL"/>
            </w:rPr>
            <w:fldChar w:fldCharType="separate"/>
          </w:r>
          <w:r w:rsidR="00721EC3" w:rsidRPr="002237F0">
            <w:rPr>
              <w:noProof/>
              <w:lang w:val="nl-NL"/>
            </w:rPr>
            <w:t>(Isaac, 2008)</w:t>
          </w:r>
          <w:r w:rsidR="003C13F3" w:rsidRPr="002237F0">
            <w:rPr>
              <w:lang w:val="nl-NL"/>
            </w:rPr>
            <w:fldChar w:fldCharType="end"/>
          </w:r>
        </w:sdtContent>
      </w:sdt>
      <w:r w:rsidR="00F74B0F" w:rsidRPr="002237F0">
        <w:rPr>
          <w:lang w:val="nl-NL"/>
        </w:rPr>
        <w:t>.</w:t>
      </w:r>
    </w:p>
    <w:p w:rsidR="00F46679" w:rsidRPr="002237F0" w:rsidRDefault="00F46679" w:rsidP="00767CED">
      <w:pPr>
        <w:rPr>
          <w:lang w:val="nl-NL"/>
        </w:rPr>
      </w:pPr>
      <w:r w:rsidRPr="002237F0">
        <w:rPr>
          <w:lang w:val="nl-NL"/>
        </w:rPr>
        <w:t xml:space="preserve">De vraag is welke reden er is te vermoeden dat de </w:t>
      </w:r>
      <w:r w:rsidR="00AD2532" w:rsidRPr="002237F0">
        <w:rPr>
          <w:lang w:val="nl-NL"/>
        </w:rPr>
        <w:t>marktprijs een slechte indicator kan zijn voor de lange termijnwaarde van activa. Als de marktprijs een slechte indicator zou kunnen zijn, heeft dit grote gevolgen voor de betrouwbaarheid en de relevantie van de waardering.</w:t>
      </w:r>
      <w:r w:rsidR="00C4625F" w:rsidRPr="002237F0">
        <w:rPr>
          <w:lang w:val="nl-NL"/>
        </w:rPr>
        <w:t xml:space="preserve"> </w:t>
      </w:r>
    </w:p>
    <w:p w:rsidR="00C4625F" w:rsidRPr="002237F0" w:rsidRDefault="00C4625F" w:rsidP="00767CED">
      <w:pPr>
        <w:rPr>
          <w:lang w:val="nl-NL"/>
        </w:rPr>
      </w:pPr>
      <w:r w:rsidRPr="002237F0">
        <w:rPr>
          <w:lang w:val="nl-NL"/>
        </w:rPr>
        <w:t xml:space="preserve">In dit geval is een inactieve markt </w:t>
      </w:r>
      <w:r w:rsidR="001D1DC2" w:rsidRPr="002237F0">
        <w:rPr>
          <w:lang w:val="nl-NL"/>
        </w:rPr>
        <w:t xml:space="preserve">een van de </w:t>
      </w:r>
      <w:r w:rsidR="00F46679" w:rsidRPr="002237F0">
        <w:rPr>
          <w:lang w:val="nl-NL"/>
        </w:rPr>
        <w:t>oorzaken waardoor</w:t>
      </w:r>
      <w:r w:rsidR="001D1DC2" w:rsidRPr="002237F0">
        <w:rPr>
          <w:lang w:val="nl-NL"/>
        </w:rPr>
        <w:t xml:space="preserve"> de geldende marktprijs niet adequaat kan zijn. Normaal wordt de actuele waarde namelijk bepaald op grond van de geldende marktprijzen, maar bij een inactieve markt is dit niet mogelijk. De geldende prijs is door een gebrek aan vraag lager dan gebruikelijk</w:t>
      </w:r>
      <w:sdt>
        <w:sdtPr>
          <w:rPr>
            <w:lang w:val="nl-NL"/>
          </w:rPr>
          <w:id w:val="2041131"/>
          <w:citation/>
        </w:sdtPr>
        <w:sdtContent>
          <w:r w:rsidR="003C13F3" w:rsidRPr="002237F0">
            <w:rPr>
              <w:lang w:val="nl-NL"/>
            </w:rPr>
            <w:fldChar w:fldCharType="begin"/>
          </w:r>
          <w:r w:rsidR="00F46679" w:rsidRPr="002237F0">
            <w:rPr>
              <w:lang w:val="nl-NL"/>
            </w:rPr>
            <w:instrText xml:space="preserve"> CITATION Gla13 \l 1043 </w:instrText>
          </w:r>
          <w:r w:rsidR="003C13F3" w:rsidRPr="002237F0">
            <w:rPr>
              <w:lang w:val="nl-NL"/>
            </w:rPr>
            <w:fldChar w:fldCharType="separate"/>
          </w:r>
          <w:r w:rsidR="00F46679" w:rsidRPr="002237F0">
            <w:rPr>
              <w:noProof/>
              <w:lang w:val="nl-NL"/>
            </w:rPr>
            <w:t xml:space="preserve"> (Glaser, Mohrmann, &amp; Riepe, 2013)</w:t>
          </w:r>
          <w:r w:rsidR="003C13F3" w:rsidRPr="002237F0">
            <w:rPr>
              <w:lang w:val="nl-NL"/>
            </w:rPr>
            <w:fldChar w:fldCharType="end"/>
          </w:r>
        </w:sdtContent>
      </w:sdt>
      <w:r w:rsidR="00F46679" w:rsidRPr="002237F0">
        <w:rPr>
          <w:lang w:val="nl-NL"/>
        </w:rPr>
        <w:t xml:space="preserve">. Eerder in dit onderzoek is </w:t>
      </w:r>
      <w:r w:rsidR="001D1DC2" w:rsidRPr="002237F0">
        <w:rPr>
          <w:lang w:val="nl-NL"/>
        </w:rPr>
        <w:t>naar voren gekomen dat bij een actieve markt er overgestapt kan worden naar een ander niveau van waardering. Niveau 2 bestaat uit het waarderen naar bestanddelen, en niveau 3 bestaat uit het waarderen met behulp van algemeen aanvaarde modellen en technieken.</w:t>
      </w:r>
      <w:r w:rsidR="00E07836" w:rsidRPr="002237F0">
        <w:rPr>
          <w:lang w:val="nl-NL"/>
        </w:rPr>
        <w:t xml:space="preserve"> Er zijn aanwijzingen dat gedurende de crisis de bestanddelen van niveau 2 waarderingen gemanipuleerd zijn</w:t>
      </w:r>
      <w:r w:rsidR="00F46679" w:rsidRPr="002237F0">
        <w:rPr>
          <w:lang w:val="nl-NL"/>
        </w:rPr>
        <w:t xml:space="preserve"> door de managers van banken</w:t>
      </w:r>
      <w:r w:rsidR="00E07836" w:rsidRPr="002237F0">
        <w:rPr>
          <w:lang w:val="nl-NL"/>
        </w:rPr>
        <w:t>, zodat het risico van bepaalde effecten niet juist gewaardeerd werd</w:t>
      </w:r>
      <w:sdt>
        <w:sdtPr>
          <w:rPr>
            <w:lang w:val="nl-NL"/>
          </w:rPr>
          <w:id w:val="1526439997"/>
          <w:citation/>
        </w:sdtPr>
        <w:sdtContent>
          <w:r w:rsidR="003C13F3" w:rsidRPr="002237F0">
            <w:rPr>
              <w:lang w:val="nl-NL"/>
            </w:rPr>
            <w:fldChar w:fldCharType="begin"/>
          </w:r>
          <w:r w:rsidR="00E07836" w:rsidRPr="002237F0">
            <w:rPr>
              <w:lang w:val="nl-NL"/>
            </w:rPr>
            <w:instrText xml:space="preserve"> CITATION Kot12 \l 1033 </w:instrText>
          </w:r>
          <w:r w:rsidR="003C13F3" w:rsidRPr="002237F0">
            <w:rPr>
              <w:lang w:val="nl-NL"/>
            </w:rPr>
            <w:fldChar w:fldCharType="separate"/>
          </w:r>
          <w:r w:rsidR="00721EC3" w:rsidRPr="002237F0">
            <w:rPr>
              <w:noProof/>
              <w:lang w:val="nl-NL"/>
            </w:rPr>
            <w:t xml:space="preserve"> (Kothari &amp; Lester, 2012)</w:t>
          </w:r>
          <w:r w:rsidR="003C13F3" w:rsidRPr="002237F0">
            <w:rPr>
              <w:lang w:val="nl-NL"/>
            </w:rPr>
            <w:fldChar w:fldCharType="end"/>
          </w:r>
        </w:sdtContent>
      </w:sdt>
      <w:r w:rsidR="00E07836" w:rsidRPr="002237F0">
        <w:rPr>
          <w:lang w:val="nl-NL"/>
        </w:rPr>
        <w:t xml:space="preserve">. Dit betreft de </w:t>
      </w:r>
      <w:proofErr w:type="spellStart"/>
      <w:r w:rsidR="00E07836" w:rsidRPr="002237F0">
        <w:rPr>
          <w:lang w:val="nl-NL"/>
        </w:rPr>
        <w:t>Mortgage</w:t>
      </w:r>
      <w:proofErr w:type="spellEnd"/>
      <w:r w:rsidR="00E07836" w:rsidRPr="002237F0">
        <w:rPr>
          <w:lang w:val="nl-NL"/>
        </w:rPr>
        <w:t xml:space="preserve"> </w:t>
      </w:r>
      <w:proofErr w:type="spellStart"/>
      <w:r w:rsidR="00E07836" w:rsidRPr="002237F0">
        <w:rPr>
          <w:lang w:val="nl-NL"/>
        </w:rPr>
        <w:t>Backed</w:t>
      </w:r>
      <w:proofErr w:type="spellEnd"/>
      <w:r w:rsidR="00E07836" w:rsidRPr="002237F0">
        <w:rPr>
          <w:lang w:val="nl-NL"/>
        </w:rPr>
        <w:t xml:space="preserve"> </w:t>
      </w:r>
      <w:proofErr w:type="spellStart"/>
      <w:r w:rsidR="00E07836" w:rsidRPr="002237F0">
        <w:rPr>
          <w:lang w:val="nl-NL"/>
        </w:rPr>
        <w:t>Securities</w:t>
      </w:r>
      <w:proofErr w:type="spellEnd"/>
      <w:r w:rsidR="00E07836" w:rsidRPr="002237F0">
        <w:rPr>
          <w:lang w:val="nl-NL"/>
        </w:rPr>
        <w:t>, die zo aan bod komen. Uit hetzelfde onderzoek is gebleken dat waarderingen van niveau 3 vooral gebaseerd waren op de historische kostprijs, welke geen rekening houdt met een neerwaartse trend in de markt.</w:t>
      </w:r>
      <w:r w:rsidR="00212893" w:rsidRPr="002237F0">
        <w:rPr>
          <w:lang w:val="nl-NL"/>
        </w:rPr>
        <w:t xml:space="preserve"> Uit het feit dat eind 2008 meer dan 60% van de Amerikaanse banken een </w:t>
      </w:r>
      <w:r w:rsidR="00E9485C" w:rsidRPr="002237F0">
        <w:rPr>
          <w:lang w:val="nl-NL"/>
        </w:rPr>
        <w:t>boekwaarde</w:t>
      </w:r>
      <w:r w:rsidR="00212893" w:rsidRPr="002237F0">
        <w:rPr>
          <w:lang w:val="nl-NL"/>
        </w:rPr>
        <w:t xml:space="preserve"> had groter dan de </w:t>
      </w:r>
      <w:r w:rsidR="00E9485C" w:rsidRPr="002237F0">
        <w:rPr>
          <w:lang w:val="nl-NL"/>
        </w:rPr>
        <w:t>marktwaarde</w:t>
      </w:r>
      <w:r w:rsidR="00212893" w:rsidRPr="002237F0">
        <w:rPr>
          <w:lang w:val="nl-NL"/>
        </w:rPr>
        <w:t xml:space="preserve">, terwijl dat begin 2001 slechts voor 8% gold, kan afgeleid worden dat er bij waardering van bepaalde activa boven de fair </w:t>
      </w:r>
      <w:proofErr w:type="spellStart"/>
      <w:r w:rsidR="00212893" w:rsidRPr="002237F0">
        <w:rPr>
          <w:lang w:val="nl-NL"/>
        </w:rPr>
        <w:t>value</w:t>
      </w:r>
      <w:proofErr w:type="spellEnd"/>
      <w:r w:rsidR="00212893" w:rsidRPr="002237F0">
        <w:rPr>
          <w:lang w:val="nl-NL"/>
        </w:rPr>
        <w:t xml:space="preserve"> werd gewaardeerd</w:t>
      </w:r>
      <w:sdt>
        <w:sdtPr>
          <w:rPr>
            <w:lang w:val="nl-NL"/>
          </w:rPr>
          <w:id w:val="-1325668930"/>
          <w:citation/>
        </w:sdtPr>
        <w:sdtContent>
          <w:r w:rsidR="003C13F3" w:rsidRPr="002237F0">
            <w:rPr>
              <w:lang w:val="nl-NL"/>
            </w:rPr>
            <w:fldChar w:fldCharType="begin"/>
          </w:r>
          <w:r w:rsidR="00212893" w:rsidRPr="002237F0">
            <w:rPr>
              <w:lang w:val="nl-NL"/>
            </w:rPr>
            <w:instrText xml:space="preserve"> CITATION Hui09 \l 1033 </w:instrText>
          </w:r>
          <w:r w:rsidR="003C13F3" w:rsidRPr="002237F0">
            <w:rPr>
              <w:lang w:val="nl-NL"/>
            </w:rPr>
            <w:fldChar w:fldCharType="separate"/>
          </w:r>
          <w:r w:rsidR="00721EC3" w:rsidRPr="002237F0">
            <w:rPr>
              <w:noProof/>
              <w:lang w:val="nl-NL"/>
            </w:rPr>
            <w:t xml:space="preserve"> (Huizinga &amp; Laeven, 2009)</w:t>
          </w:r>
          <w:r w:rsidR="003C13F3" w:rsidRPr="002237F0">
            <w:rPr>
              <w:lang w:val="nl-NL"/>
            </w:rPr>
            <w:fldChar w:fldCharType="end"/>
          </w:r>
        </w:sdtContent>
      </w:sdt>
      <w:r w:rsidR="00212893" w:rsidRPr="002237F0">
        <w:rPr>
          <w:lang w:val="nl-NL"/>
        </w:rPr>
        <w:t>.</w:t>
      </w:r>
      <w:r w:rsidR="00E07836" w:rsidRPr="002237F0">
        <w:rPr>
          <w:lang w:val="nl-NL"/>
        </w:rPr>
        <w:t xml:space="preserve"> </w:t>
      </w:r>
      <w:r w:rsidR="008F4A8D" w:rsidRPr="002237F0">
        <w:rPr>
          <w:lang w:val="nl-NL"/>
        </w:rPr>
        <w:t xml:space="preserve">Echter, uit een ander onderzoek blijkt dat die meer </w:t>
      </w:r>
      <w:proofErr w:type="gramStart"/>
      <w:r w:rsidR="008F4A8D" w:rsidRPr="002237F0">
        <w:rPr>
          <w:lang w:val="nl-NL"/>
        </w:rPr>
        <w:t>level</w:t>
      </w:r>
      <w:proofErr w:type="gramEnd"/>
      <w:r w:rsidR="008F4A8D" w:rsidRPr="002237F0">
        <w:rPr>
          <w:lang w:val="nl-NL"/>
        </w:rPr>
        <w:t xml:space="preserve"> 3 waarderingen gebruiken een grotere kans hebben op faillissement, en dat de markten dit verband ook begrijpen</w:t>
      </w:r>
      <w:sdt>
        <w:sdtPr>
          <w:rPr>
            <w:lang w:val="nl-NL"/>
          </w:rPr>
          <w:id w:val="885559"/>
          <w:citation/>
        </w:sdtPr>
        <w:sdtContent>
          <w:r w:rsidR="003C13F3" w:rsidRPr="002237F0">
            <w:rPr>
              <w:lang w:val="nl-NL"/>
            </w:rPr>
            <w:fldChar w:fldCharType="begin"/>
          </w:r>
          <w:r w:rsidR="008F4A8D" w:rsidRPr="002237F0">
            <w:rPr>
              <w:lang w:val="nl-NL"/>
            </w:rPr>
            <w:instrText xml:space="preserve"> CITATION Gla13 \l 1043 </w:instrText>
          </w:r>
          <w:r w:rsidR="003C13F3" w:rsidRPr="002237F0">
            <w:rPr>
              <w:lang w:val="nl-NL"/>
            </w:rPr>
            <w:fldChar w:fldCharType="separate"/>
          </w:r>
          <w:r w:rsidR="00721EC3" w:rsidRPr="002237F0">
            <w:rPr>
              <w:noProof/>
              <w:lang w:val="nl-NL"/>
            </w:rPr>
            <w:t xml:space="preserve"> (Glaser, Mohrmann, &amp; Riepe, 2013)</w:t>
          </w:r>
          <w:r w:rsidR="003C13F3" w:rsidRPr="002237F0">
            <w:rPr>
              <w:lang w:val="nl-NL"/>
            </w:rPr>
            <w:fldChar w:fldCharType="end"/>
          </w:r>
        </w:sdtContent>
      </w:sdt>
      <w:r w:rsidR="008F4A8D" w:rsidRPr="002237F0">
        <w:rPr>
          <w:lang w:val="nl-NL"/>
        </w:rPr>
        <w:t>.</w:t>
      </w:r>
    </w:p>
    <w:p w:rsidR="00C4625F" w:rsidRPr="002237F0" w:rsidRDefault="00C4625F" w:rsidP="00767CED">
      <w:pPr>
        <w:rPr>
          <w:lang w:val="nl-NL"/>
        </w:rPr>
      </w:pPr>
      <w:r w:rsidRPr="002237F0">
        <w:rPr>
          <w:lang w:val="nl-NL"/>
        </w:rPr>
        <w:t>Tegen het genoemde argum</w:t>
      </w:r>
      <w:r w:rsidR="00F46679" w:rsidRPr="002237F0">
        <w:rPr>
          <w:lang w:val="nl-NL"/>
        </w:rPr>
        <w:t xml:space="preserve">ent dat fair </w:t>
      </w:r>
      <w:proofErr w:type="spellStart"/>
      <w:r w:rsidR="00F46679" w:rsidRPr="002237F0">
        <w:rPr>
          <w:lang w:val="nl-NL"/>
        </w:rPr>
        <w:t>value</w:t>
      </w:r>
      <w:proofErr w:type="spellEnd"/>
      <w:r w:rsidR="00F46679" w:rsidRPr="002237F0">
        <w:rPr>
          <w:lang w:val="nl-NL"/>
        </w:rPr>
        <w:t xml:space="preserve"> accounting</w:t>
      </w:r>
      <w:r w:rsidRPr="002237F0">
        <w:rPr>
          <w:lang w:val="nl-NL"/>
        </w:rPr>
        <w:t xml:space="preserve"> procyclisch gewerkt zou hebben in de crisis </w:t>
      </w:r>
      <w:r w:rsidR="00F74B0F" w:rsidRPr="002237F0">
        <w:rPr>
          <w:lang w:val="nl-NL"/>
        </w:rPr>
        <w:t xml:space="preserve">worden ook argumenten ingebracht. Zo wordt er gesteld dat de belangrijkste activa van een bank helemaal niet de </w:t>
      </w:r>
      <w:proofErr w:type="spellStart"/>
      <w:r w:rsidR="00F74B0F" w:rsidRPr="002237F0">
        <w:rPr>
          <w:lang w:val="nl-NL"/>
        </w:rPr>
        <w:t>minimumkapitaalratio’s</w:t>
      </w:r>
      <w:proofErr w:type="spellEnd"/>
      <w:r w:rsidR="00F74B0F" w:rsidRPr="002237F0">
        <w:rPr>
          <w:lang w:val="nl-NL"/>
        </w:rPr>
        <w:t xml:space="preserve"> beïnvloeden</w:t>
      </w:r>
      <w:sdt>
        <w:sdtPr>
          <w:rPr>
            <w:lang w:val="nl-NL"/>
          </w:rPr>
          <w:id w:val="-2032247433"/>
          <w:citation/>
        </w:sdtPr>
        <w:sdtContent>
          <w:r w:rsidR="003C13F3" w:rsidRPr="002237F0">
            <w:rPr>
              <w:lang w:val="nl-NL"/>
            </w:rPr>
            <w:fldChar w:fldCharType="begin"/>
          </w:r>
          <w:r w:rsidR="00F74B0F" w:rsidRPr="002237F0">
            <w:rPr>
              <w:lang w:val="nl-NL"/>
            </w:rPr>
            <w:instrText xml:space="preserve"> CITATION Bad12 \l 1033 </w:instrText>
          </w:r>
          <w:r w:rsidR="003C13F3" w:rsidRPr="002237F0">
            <w:rPr>
              <w:lang w:val="nl-NL"/>
            </w:rPr>
            <w:fldChar w:fldCharType="separate"/>
          </w:r>
          <w:r w:rsidR="00721EC3" w:rsidRPr="002237F0">
            <w:rPr>
              <w:noProof/>
              <w:lang w:val="nl-NL"/>
            </w:rPr>
            <w:t xml:space="preserve"> (Badertscher, Burks, &amp; Easton, 2012)</w:t>
          </w:r>
          <w:r w:rsidR="003C13F3" w:rsidRPr="002237F0">
            <w:rPr>
              <w:lang w:val="nl-NL"/>
            </w:rPr>
            <w:fldChar w:fldCharType="end"/>
          </w:r>
        </w:sdtContent>
      </w:sdt>
      <w:r w:rsidR="00F74B0F" w:rsidRPr="002237F0">
        <w:rPr>
          <w:lang w:val="nl-NL"/>
        </w:rPr>
        <w:t xml:space="preserve">. Daarnaast zou slechts 50% van de activa van een bank naar fair </w:t>
      </w:r>
      <w:proofErr w:type="spellStart"/>
      <w:r w:rsidR="00F74B0F" w:rsidRPr="002237F0">
        <w:rPr>
          <w:lang w:val="nl-NL"/>
        </w:rPr>
        <w:t>value</w:t>
      </w:r>
      <w:proofErr w:type="spellEnd"/>
      <w:r w:rsidR="00F74B0F" w:rsidRPr="002237F0">
        <w:rPr>
          <w:lang w:val="nl-NL"/>
        </w:rPr>
        <w:t xml:space="preserve"> gewaardeerd worden, en is de bijdrage van fair </w:t>
      </w:r>
      <w:proofErr w:type="spellStart"/>
      <w:r w:rsidR="00F74B0F" w:rsidRPr="002237F0">
        <w:rPr>
          <w:lang w:val="nl-NL"/>
        </w:rPr>
        <w:t>value</w:t>
      </w:r>
      <w:proofErr w:type="spellEnd"/>
      <w:r w:rsidR="00F74B0F" w:rsidRPr="002237F0">
        <w:rPr>
          <w:lang w:val="nl-NL"/>
        </w:rPr>
        <w:t xml:space="preserve"> dus overdreven</w:t>
      </w:r>
      <w:sdt>
        <w:sdtPr>
          <w:rPr>
            <w:lang w:val="nl-NL"/>
          </w:rPr>
          <w:id w:val="191046588"/>
          <w:citation/>
        </w:sdtPr>
        <w:sdtContent>
          <w:r w:rsidR="003C13F3" w:rsidRPr="002237F0">
            <w:rPr>
              <w:lang w:val="nl-NL"/>
            </w:rPr>
            <w:fldChar w:fldCharType="begin"/>
          </w:r>
          <w:r w:rsidR="00F74B0F" w:rsidRPr="002237F0">
            <w:rPr>
              <w:lang w:val="nl-NL"/>
            </w:rPr>
            <w:instrText xml:space="preserve"> CITATION Bar10 \l 1033 </w:instrText>
          </w:r>
          <w:r w:rsidR="003C13F3" w:rsidRPr="002237F0">
            <w:rPr>
              <w:lang w:val="nl-NL"/>
            </w:rPr>
            <w:fldChar w:fldCharType="separate"/>
          </w:r>
          <w:r w:rsidR="00721EC3" w:rsidRPr="002237F0">
            <w:rPr>
              <w:noProof/>
              <w:lang w:val="nl-NL"/>
            </w:rPr>
            <w:t xml:space="preserve"> (Barth &amp; Landsman, 2010)</w:t>
          </w:r>
          <w:r w:rsidR="003C13F3" w:rsidRPr="002237F0">
            <w:rPr>
              <w:lang w:val="nl-NL"/>
            </w:rPr>
            <w:fldChar w:fldCharType="end"/>
          </w:r>
        </w:sdtContent>
      </w:sdt>
      <w:r w:rsidR="00F74B0F" w:rsidRPr="002237F0">
        <w:rPr>
          <w:lang w:val="nl-NL"/>
        </w:rPr>
        <w:t xml:space="preserve">. De helft van de activa van een bank bestaat volgens </w:t>
      </w:r>
      <w:proofErr w:type="spellStart"/>
      <w:r w:rsidR="00F74B0F" w:rsidRPr="002237F0">
        <w:rPr>
          <w:lang w:val="nl-NL"/>
        </w:rPr>
        <w:t>Barth</w:t>
      </w:r>
      <w:proofErr w:type="spellEnd"/>
      <w:r w:rsidR="00F74B0F" w:rsidRPr="002237F0">
        <w:rPr>
          <w:lang w:val="nl-NL"/>
        </w:rPr>
        <w:t xml:space="preserve"> en Landsman namelijk uit uitstaande leningen, en deze kunnen gewaardeerd worden tegen de geamortiseerde kostprijs. Daarnaast zouden er ook nog </w:t>
      </w:r>
      <w:proofErr w:type="spellStart"/>
      <w:r w:rsidR="00F74B0F" w:rsidRPr="002237F0">
        <w:rPr>
          <w:lang w:val="nl-NL"/>
        </w:rPr>
        <w:t>prudentiële</w:t>
      </w:r>
      <w:proofErr w:type="spellEnd"/>
      <w:r w:rsidR="00F74B0F" w:rsidRPr="002237F0">
        <w:rPr>
          <w:lang w:val="nl-NL"/>
        </w:rPr>
        <w:t xml:space="preserve"> filters zijn ingebouwd in het systeem van de </w:t>
      </w:r>
      <w:proofErr w:type="spellStart"/>
      <w:r w:rsidR="00F74B0F" w:rsidRPr="002237F0">
        <w:rPr>
          <w:lang w:val="nl-NL"/>
        </w:rPr>
        <w:t>minimumkapitaalratio’s</w:t>
      </w:r>
      <w:proofErr w:type="spellEnd"/>
      <w:r w:rsidR="00F74B0F" w:rsidRPr="002237F0">
        <w:rPr>
          <w:lang w:val="nl-NL"/>
        </w:rPr>
        <w:t xml:space="preserve">, </w:t>
      </w:r>
      <w:r w:rsidR="00FE21C5" w:rsidRPr="002237F0">
        <w:rPr>
          <w:lang w:val="nl-NL"/>
        </w:rPr>
        <w:t xml:space="preserve">waardoor de gemiddelde neerwaartse herwaardering van Held to </w:t>
      </w:r>
      <w:proofErr w:type="spellStart"/>
      <w:r w:rsidR="00FE21C5" w:rsidRPr="002237F0">
        <w:rPr>
          <w:lang w:val="nl-NL"/>
        </w:rPr>
        <w:t>Maturity</w:t>
      </w:r>
      <w:proofErr w:type="spellEnd"/>
      <w:r w:rsidR="00FE21C5" w:rsidRPr="002237F0">
        <w:rPr>
          <w:lang w:val="nl-NL"/>
        </w:rPr>
        <w:t xml:space="preserve"> kapitaal slechts 2,1% betrof</w:t>
      </w:r>
      <w:sdt>
        <w:sdtPr>
          <w:rPr>
            <w:lang w:val="nl-NL"/>
          </w:rPr>
          <w:id w:val="261581561"/>
          <w:citation/>
        </w:sdtPr>
        <w:sdtContent>
          <w:r w:rsidR="003C13F3" w:rsidRPr="002237F0">
            <w:rPr>
              <w:lang w:val="nl-NL"/>
            </w:rPr>
            <w:fldChar w:fldCharType="begin"/>
          </w:r>
          <w:r w:rsidR="00C46C53" w:rsidRPr="002237F0">
            <w:rPr>
              <w:lang w:val="nl-NL"/>
            </w:rPr>
            <w:instrText xml:space="preserve"> CITATION Bar10 \l 1033 </w:instrText>
          </w:r>
          <w:r w:rsidR="003C13F3" w:rsidRPr="002237F0">
            <w:rPr>
              <w:lang w:val="nl-NL"/>
            </w:rPr>
            <w:fldChar w:fldCharType="separate"/>
          </w:r>
          <w:r w:rsidR="00C46C53" w:rsidRPr="002237F0">
            <w:rPr>
              <w:noProof/>
              <w:lang w:val="nl-NL"/>
            </w:rPr>
            <w:t xml:space="preserve"> (Barth &amp; Landsman, 2010)</w:t>
          </w:r>
          <w:r w:rsidR="003C13F3" w:rsidRPr="002237F0">
            <w:rPr>
              <w:lang w:val="nl-NL"/>
            </w:rPr>
            <w:fldChar w:fldCharType="end"/>
          </w:r>
        </w:sdtContent>
      </w:sdt>
      <w:r w:rsidR="00FE21C5" w:rsidRPr="002237F0">
        <w:rPr>
          <w:lang w:val="nl-NL"/>
        </w:rPr>
        <w:t xml:space="preserve">. Over de </w:t>
      </w:r>
      <w:proofErr w:type="spellStart"/>
      <w:r w:rsidR="00FE21C5" w:rsidRPr="002237F0">
        <w:rPr>
          <w:lang w:val="nl-NL"/>
        </w:rPr>
        <w:t>minimumkapitaalratio’s</w:t>
      </w:r>
      <w:proofErr w:type="spellEnd"/>
      <w:r w:rsidR="00FE21C5" w:rsidRPr="002237F0">
        <w:rPr>
          <w:lang w:val="nl-NL"/>
        </w:rPr>
        <w:t xml:space="preserve"> volgt in het volgende hoofdstuk meer. </w:t>
      </w:r>
    </w:p>
    <w:p w:rsidR="00FE21C5" w:rsidRPr="002237F0" w:rsidRDefault="00FE21C5" w:rsidP="00767CED">
      <w:pPr>
        <w:rPr>
          <w:lang w:val="nl-NL"/>
        </w:rPr>
      </w:pPr>
      <w:r w:rsidRPr="002237F0">
        <w:rPr>
          <w:lang w:val="nl-NL"/>
        </w:rPr>
        <w:t xml:space="preserve">Een laatste opmerking over de werking van fair </w:t>
      </w:r>
      <w:proofErr w:type="spellStart"/>
      <w:r w:rsidRPr="002237F0">
        <w:rPr>
          <w:lang w:val="nl-NL"/>
        </w:rPr>
        <w:t>value</w:t>
      </w:r>
      <w:proofErr w:type="spellEnd"/>
      <w:r w:rsidRPr="002237F0">
        <w:rPr>
          <w:lang w:val="nl-NL"/>
        </w:rPr>
        <w:t xml:space="preserve"> waardering: De focus ligt bij de critici op het feit dat de waardering bij waardedaling meer waardedaling zou aa</w:t>
      </w:r>
      <w:r w:rsidR="00F46679" w:rsidRPr="002237F0">
        <w:rPr>
          <w:lang w:val="nl-NL"/>
        </w:rPr>
        <w:t>nmoedigen. Het zou echter ook</w:t>
      </w:r>
      <w:r w:rsidRPr="002237F0">
        <w:rPr>
          <w:lang w:val="nl-NL"/>
        </w:rPr>
        <w:t xml:space="preserve"> kunnen zijn dat de reële waarde ten tijde van een ‘</w:t>
      </w:r>
      <w:r w:rsidR="00F46679" w:rsidRPr="002237F0">
        <w:rPr>
          <w:lang w:val="nl-NL"/>
        </w:rPr>
        <w:t>hausse</w:t>
      </w:r>
      <w:r w:rsidR="00AA76B9" w:rsidRPr="002237F0">
        <w:rPr>
          <w:lang w:val="nl-NL"/>
        </w:rPr>
        <w:t>’ te hoog wordt weer</w:t>
      </w:r>
      <w:r w:rsidRPr="002237F0">
        <w:rPr>
          <w:lang w:val="nl-NL"/>
        </w:rPr>
        <w:t>gegeven, en dat in mindere tijde</w:t>
      </w:r>
      <w:r w:rsidR="00F46679" w:rsidRPr="002237F0">
        <w:rPr>
          <w:lang w:val="nl-NL"/>
        </w:rPr>
        <w:t xml:space="preserve">n de fair </w:t>
      </w:r>
      <w:proofErr w:type="spellStart"/>
      <w:r w:rsidR="00F46679" w:rsidRPr="002237F0">
        <w:rPr>
          <w:lang w:val="nl-NL"/>
        </w:rPr>
        <w:t>value</w:t>
      </w:r>
      <w:proofErr w:type="spellEnd"/>
      <w:r w:rsidR="00F46679" w:rsidRPr="002237F0">
        <w:rPr>
          <w:lang w:val="nl-NL"/>
        </w:rPr>
        <w:t xml:space="preserve"> benadering </w:t>
      </w:r>
      <w:r w:rsidRPr="002237F0">
        <w:rPr>
          <w:lang w:val="nl-NL"/>
        </w:rPr>
        <w:t>snel weer terug komt naar een realistischere waarde</w:t>
      </w:r>
      <w:sdt>
        <w:sdtPr>
          <w:rPr>
            <w:lang w:val="nl-NL"/>
          </w:rPr>
          <w:id w:val="1971477364"/>
          <w:citation/>
        </w:sdtPr>
        <w:sdtContent>
          <w:r w:rsidR="003C13F3" w:rsidRPr="002237F0">
            <w:rPr>
              <w:lang w:val="nl-NL"/>
            </w:rPr>
            <w:fldChar w:fldCharType="begin"/>
          </w:r>
          <w:r w:rsidRPr="002237F0">
            <w:rPr>
              <w:lang w:val="nl-NL"/>
            </w:rPr>
            <w:instrText xml:space="preserve">CITATION Lau091 \t  \l 1033 </w:instrText>
          </w:r>
          <w:r w:rsidR="003C13F3" w:rsidRPr="002237F0">
            <w:rPr>
              <w:lang w:val="nl-NL"/>
            </w:rPr>
            <w:fldChar w:fldCharType="separate"/>
          </w:r>
          <w:r w:rsidR="00721EC3" w:rsidRPr="002237F0">
            <w:rPr>
              <w:noProof/>
              <w:lang w:val="nl-NL"/>
            </w:rPr>
            <w:t xml:space="preserve"> (Leuz &amp; Laux, 2009)</w:t>
          </w:r>
          <w:r w:rsidR="003C13F3" w:rsidRPr="002237F0">
            <w:rPr>
              <w:lang w:val="nl-NL"/>
            </w:rPr>
            <w:fldChar w:fldCharType="end"/>
          </w:r>
        </w:sdtContent>
      </w:sdt>
      <w:r w:rsidRPr="002237F0">
        <w:rPr>
          <w:lang w:val="nl-NL"/>
        </w:rPr>
        <w:t xml:space="preserve">. Punt van kritiek is hierbij dus vooral dat fair </w:t>
      </w:r>
      <w:proofErr w:type="spellStart"/>
      <w:r w:rsidRPr="002237F0">
        <w:rPr>
          <w:lang w:val="nl-NL"/>
        </w:rPr>
        <w:t>value</w:t>
      </w:r>
      <w:proofErr w:type="spellEnd"/>
      <w:r w:rsidRPr="002237F0">
        <w:rPr>
          <w:lang w:val="nl-NL"/>
        </w:rPr>
        <w:t xml:space="preserve"> accounting te procyclisch werkt in goede tijden, en waarde toont die er eigenlijk niet is.</w:t>
      </w:r>
      <w:r w:rsidR="00BA0B93" w:rsidRPr="002237F0">
        <w:rPr>
          <w:lang w:val="nl-NL"/>
        </w:rPr>
        <w:t xml:space="preserve"> </w:t>
      </w:r>
    </w:p>
    <w:p w:rsidR="00E07836" w:rsidRPr="002237F0" w:rsidRDefault="00E07836" w:rsidP="00767CED">
      <w:pPr>
        <w:rPr>
          <w:sz w:val="24"/>
          <w:lang w:val="nl-NL"/>
        </w:rPr>
      </w:pPr>
      <w:proofErr w:type="spellStart"/>
      <w:r w:rsidRPr="002237F0">
        <w:rPr>
          <w:b/>
          <w:sz w:val="24"/>
          <w:lang w:val="nl-NL"/>
        </w:rPr>
        <w:t>Securitisatie</w:t>
      </w:r>
      <w:proofErr w:type="spellEnd"/>
      <w:r w:rsidRPr="002237F0">
        <w:rPr>
          <w:b/>
          <w:sz w:val="24"/>
          <w:lang w:val="nl-NL"/>
        </w:rPr>
        <w:t xml:space="preserve"> van activa</w:t>
      </w:r>
    </w:p>
    <w:p w:rsidR="00A41732" w:rsidRPr="002237F0" w:rsidRDefault="00BA0B93" w:rsidP="00767CED">
      <w:pPr>
        <w:rPr>
          <w:lang w:val="nl-NL"/>
        </w:rPr>
      </w:pPr>
      <w:r w:rsidRPr="002237F0">
        <w:rPr>
          <w:lang w:val="nl-NL"/>
        </w:rPr>
        <w:t xml:space="preserve">Als het gaat om waarde die eigenlijk niet bestaat, dan zijn de eerder besproken </w:t>
      </w:r>
      <w:proofErr w:type="spellStart"/>
      <w:r w:rsidRPr="002237F0">
        <w:rPr>
          <w:lang w:val="nl-NL"/>
        </w:rPr>
        <w:t>Mor</w:t>
      </w:r>
      <w:r w:rsidR="00D71447" w:rsidRPr="002237F0">
        <w:rPr>
          <w:lang w:val="nl-NL"/>
        </w:rPr>
        <w:t>tgage-Backed-Securities</w:t>
      </w:r>
      <w:proofErr w:type="spellEnd"/>
      <w:r w:rsidR="00D71447" w:rsidRPr="002237F0">
        <w:rPr>
          <w:lang w:val="nl-NL"/>
        </w:rPr>
        <w:t>(MBS)</w:t>
      </w:r>
      <w:r w:rsidRPr="002237F0">
        <w:rPr>
          <w:lang w:val="nl-NL"/>
        </w:rPr>
        <w:t xml:space="preserve"> relevant. De rol die fair </w:t>
      </w:r>
      <w:proofErr w:type="spellStart"/>
      <w:r w:rsidRPr="002237F0">
        <w:rPr>
          <w:lang w:val="nl-NL"/>
        </w:rPr>
        <w:t>value</w:t>
      </w:r>
      <w:proofErr w:type="spellEnd"/>
      <w:r w:rsidRPr="002237F0">
        <w:rPr>
          <w:lang w:val="nl-NL"/>
        </w:rPr>
        <w:t xml:space="preserve"> waardering hierin gespeeld heeft is in de literatuur veel besproken. </w:t>
      </w:r>
      <w:r w:rsidR="00AB27A8" w:rsidRPr="002237F0">
        <w:rPr>
          <w:lang w:val="nl-NL"/>
        </w:rPr>
        <w:t xml:space="preserve">Als er gesproken wordt over </w:t>
      </w:r>
      <w:proofErr w:type="spellStart"/>
      <w:r w:rsidR="00AB27A8" w:rsidRPr="002237F0">
        <w:rPr>
          <w:lang w:val="nl-NL"/>
        </w:rPr>
        <w:t>securitisatie</w:t>
      </w:r>
      <w:proofErr w:type="spellEnd"/>
      <w:r w:rsidR="00AB27A8" w:rsidRPr="002237F0">
        <w:rPr>
          <w:lang w:val="nl-NL"/>
        </w:rPr>
        <w:t xml:space="preserve">, doel ik op de MBS die veel zijn gecreëerd gedurende de crisis. </w:t>
      </w:r>
      <w:r w:rsidR="00D71447" w:rsidRPr="002237F0">
        <w:rPr>
          <w:lang w:val="nl-NL"/>
        </w:rPr>
        <w:t xml:space="preserve">Bij </w:t>
      </w:r>
      <w:proofErr w:type="spellStart"/>
      <w:r w:rsidR="00D71447" w:rsidRPr="002237F0">
        <w:rPr>
          <w:lang w:val="nl-NL"/>
        </w:rPr>
        <w:t>securitisatie</w:t>
      </w:r>
      <w:proofErr w:type="spellEnd"/>
      <w:r w:rsidR="00D71447" w:rsidRPr="002237F0">
        <w:rPr>
          <w:lang w:val="nl-NL"/>
        </w:rPr>
        <w:t xml:space="preserve"> wordt er</w:t>
      </w:r>
      <w:r w:rsidR="00AB27A8" w:rsidRPr="002237F0">
        <w:rPr>
          <w:lang w:val="nl-NL"/>
        </w:rPr>
        <w:t xml:space="preserve"> door de bank een hypotheek afgesloten, vaak </w:t>
      </w:r>
      <w:r w:rsidR="00D71447" w:rsidRPr="002237F0">
        <w:rPr>
          <w:lang w:val="nl-NL"/>
        </w:rPr>
        <w:t>gebeurde dit bij een dubieuze debiteur</w:t>
      </w:r>
      <w:r w:rsidR="00AB27A8" w:rsidRPr="002237F0">
        <w:rPr>
          <w:lang w:val="nl-NL"/>
        </w:rPr>
        <w:t>.</w:t>
      </w:r>
      <w:r w:rsidR="00D71447" w:rsidRPr="002237F0">
        <w:rPr>
          <w:lang w:val="nl-NL"/>
        </w:rPr>
        <w:t xml:space="preserve"> Dit werd </w:t>
      </w:r>
      <w:r w:rsidR="00CF5DE6" w:rsidRPr="002237F0">
        <w:rPr>
          <w:lang w:val="nl-NL"/>
        </w:rPr>
        <w:t xml:space="preserve">in de crisis </w:t>
      </w:r>
      <w:r w:rsidR="00D71447" w:rsidRPr="002237F0">
        <w:rPr>
          <w:lang w:val="nl-NL"/>
        </w:rPr>
        <w:t>gedaan omdat men er rekening mee hield dat de stijgende trend in de huizenmarkt door zou zetten</w:t>
      </w:r>
      <w:sdt>
        <w:sdtPr>
          <w:rPr>
            <w:lang w:val="nl-NL"/>
          </w:rPr>
          <w:id w:val="2041132"/>
          <w:citation/>
        </w:sdtPr>
        <w:sdtContent>
          <w:r w:rsidR="003C13F3" w:rsidRPr="002237F0">
            <w:rPr>
              <w:lang w:val="nl-NL"/>
            </w:rPr>
            <w:fldChar w:fldCharType="begin"/>
          </w:r>
          <w:r w:rsidR="00D71447" w:rsidRPr="002237F0">
            <w:rPr>
              <w:lang w:val="nl-NL"/>
            </w:rPr>
            <w:instrText xml:space="preserve"> CITATION Bha11 \l 1043 </w:instrText>
          </w:r>
          <w:r w:rsidR="003C13F3" w:rsidRPr="002237F0">
            <w:rPr>
              <w:lang w:val="nl-NL"/>
            </w:rPr>
            <w:fldChar w:fldCharType="separate"/>
          </w:r>
          <w:r w:rsidR="00D71447" w:rsidRPr="002237F0">
            <w:rPr>
              <w:noProof/>
              <w:lang w:val="nl-NL"/>
            </w:rPr>
            <w:t xml:space="preserve"> (Bhat, Frankel, &amp; Martin, 2011)</w:t>
          </w:r>
          <w:r w:rsidR="003C13F3" w:rsidRPr="002237F0">
            <w:rPr>
              <w:lang w:val="nl-NL"/>
            </w:rPr>
            <w:fldChar w:fldCharType="end"/>
          </w:r>
        </w:sdtContent>
      </w:sdt>
      <w:proofErr w:type="gramStart"/>
      <w:r w:rsidR="00D71447" w:rsidRPr="002237F0">
        <w:rPr>
          <w:lang w:val="nl-NL"/>
        </w:rPr>
        <w:t xml:space="preserve">. </w:t>
      </w:r>
      <w:r w:rsidR="00AB27A8" w:rsidRPr="002237F0">
        <w:rPr>
          <w:lang w:val="nl-NL"/>
        </w:rPr>
        <w:t xml:space="preserve"> </w:t>
      </w:r>
      <w:proofErr w:type="gramEnd"/>
      <w:r w:rsidR="00AB27A8" w:rsidRPr="002237F0">
        <w:rPr>
          <w:lang w:val="nl-NL"/>
        </w:rPr>
        <w:t xml:space="preserve">Uiteindelijk wordt de hypotheek weer doorverkocht, en wordt </w:t>
      </w:r>
      <w:r w:rsidR="007B3412" w:rsidRPr="002237F0">
        <w:rPr>
          <w:lang w:val="nl-NL"/>
        </w:rPr>
        <w:t xml:space="preserve">de hypotheek </w:t>
      </w:r>
      <w:r w:rsidR="00AB27A8" w:rsidRPr="002237F0">
        <w:rPr>
          <w:lang w:val="nl-NL"/>
        </w:rPr>
        <w:t xml:space="preserve">in een </w:t>
      </w:r>
      <w:r w:rsidR="007B3412" w:rsidRPr="002237F0">
        <w:rPr>
          <w:lang w:val="nl-NL"/>
        </w:rPr>
        <w:t>aandelen</w:t>
      </w:r>
      <w:r w:rsidR="00AB27A8" w:rsidRPr="002237F0">
        <w:rPr>
          <w:lang w:val="nl-NL"/>
        </w:rPr>
        <w:t>pakket gestopt.</w:t>
      </w:r>
      <w:r w:rsidR="00D71447" w:rsidRPr="002237F0">
        <w:rPr>
          <w:lang w:val="nl-NL"/>
        </w:rPr>
        <w:t xml:space="preserve"> Dit wordt gedaan om de verhandelbaarheid van hypotheken te vergroten</w:t>
      </w:r>
      <w:sdt>
        <w:sdtPr>
          <w:rPr>
            <w:lang w:val="nl-NL"/>
          </w:rPr>
          <w:id w:val="2041133"/>
          <w:citation/>
        </w:sdtPr>
        <w:sdtContent>
          <w:r w:rsidR="003C13F3" w:rsidRPr="002237F0">
            <w:rPr>
              <w:lang w:val="nl-NL"/>
            </w:rPr>
            <w:fldChar w:fldCharType="begin"/>
          </w:r>
          <w:r w:rsidR="00D71447" w:rsidRPr="002237F0">
            <w:rPr>
              <w:lang w:val="nl-NL"/>
            </w:rPr>
            <w:instrText xml:space="preserve"> CITATION Bha11 \l 1043 </w:instrText>
          </w:r>
          <w:r w:rsidR="003C13F3" w:rsidRPr="002237F0">
            <w:rPr>
              <w:lang w:val="nl-NL"/>
            </w:rPr>
            <w:fldChar w:fldCharType="separate"/>
          </w:r>
          <w:r w:rsidR="00D71447" w:rsidRPr="002237F0">
            <w:rPr>
              <w:noProof/>
              <w:lang w:val="nl-NL"/>
            </w:rPr>
            <w:t xml:space="preserve"> (Bhat, Frankel, &amp; Martin, 2011)</w:t>
          </w:r>
          <w:r w:rsidR="003C13F3" w:rsidRPr="002237F0">
            <w:rPr>
              <w:lang w:val="nl-NL"/>
            </w:rPr>
            <w:fldChar w:fldCharType="end"/>
          </w:r>
        </w:sdtContent>
      </w:sdt>
      <w:r w:rsidR="00D71447" w:rsidRPr="002237F0">
        <w:rPr>
          <w:lang w:val="nl-NL"/>
        </w:rPr>
        <w:t>.</w:t>
      </w:r>
      <w:r w:rsidR="00AB27A8" w:rsidRPr="002237F0">
        <w:rPr>
          <w:lang w:val="nl-NL"/>
        </w:rPr>
        <w:t xml:space="preserve"> Zo ontstaan er verschillende pakketten vol met hypotheken, gescheiden op risico. Analisten geven de nieuw gevormde effecten een </w:t>
      </w:r>
      <w:proofErr w:type="spellStart"/>
      <w:r w:rsidR="00AB27A8" w:rsidRPr="002237F0">
        <w:rPr>
          <w:lang w:val="nl-NL"/>
        </w:rPr>
        <w:t>kredietwaardigheidscijfer</w:t>
      </w:r>
      <w:proofErr w:type="spellEnd"/>
      <w:r w:rsidR="00AB27A8" w:rsidRPr="002237F0">
        <w:rPr>
          <w:lang w:val="nl-NL"/>
        </w:rPr>
        <w:t xml:space="preserve">, en vervolgens worden de effecten verkocht aan investeerders. </w:t>
      </w:r>
      <w:r w:rsidR="00167622" w:rsidRPr="002237F0">
        <w:rPr>
          <w:lang w:val="nl-NL"/>
        </w:rPr>
        <w:t xml:space="preserve">In de Verenigde Staten kon </w:t>
      </w:r>
      <w:proofErr w:type="spellStart"/>
      <w:r w:rsidR="00167622" w:rsidRPr="002237F0">
        <w:rPr>
          <w:lang w:val="nl-NL"/>
        </w:rPr>
        <w:t>securitisatie</w:t>
      </w:r>
      <w:proofErr w:type="spellEnd"/>
      <w:r w:rsidR="00167622" w:rsidRPr="002237F0">
        <w:rPr>
          <w:lang w:val="nl-NL"/>
        </w:rPr>
        <w:t xml:space="preserve"> gezien worden als een verkooptransactie of als een financieringstransactie. Als een entiteit uiteindelijk dus van vele hypotheken een aandelenpakket maakt, vindt er vaak een transactie plaats. </w:t>
      </w:r>
      <w:r w:rsidR="007B3412" w:rsidRPr="002237F0">
        <w:rPr>
          <w:lang w:val="nl-NL"/>
        </w:rPr>
        <w:t>Opvallend</w:t>
      </w:r>
      <w:r w:rsidR="00167622" w:rsidRPr="002237F0">
        <w:rPr>
          <w:lang w:val="nl-NL"/>
        </w:rPr>
        <w:t xml:space="preserve"> is dat er in de periode voor de crisis bedrijven inkomen genereerden door hun eigen hypotheken in pakketten te stoppen, en deze pakketten te waarderen boven de waarde van de originele hypotheken</w:t>
      </w:r>
      <w:sdt>
        <w:sdtPr>
          <w:rPr>
            <w:lang w:val="nl-NL"/>
          </w:rPr>
          <w:id w:val="-1793192404"/>
          <w:citation/>
        </w:sdtPr>
        <w:sdtContent>
          <w:r w:rsidR="003C13F3" w:rsidRPr="002237F0">
            <w:rPr>
              <w:lang w:val="nl-NL"/>
            </w:rPr>
            <w:fldChar w:fldCharType="begin"/>
          </w:r>
          <w:r w:rsidR="00167622" w:rsidRPr="002237F0">
            <w:rPr>
              <w:lang w:val="nl-NL"/>
            </w:rPr>
            <w:instrText xml:space="preserve"> CITATION Kot12 \l 1033 </w:instrText>
          </w:r>
          <w:r w:rsidR="003C13F3" w:rsidRPr="002237F0">
            <w:rPr>
              <w:lang w:val="nl-NL"/>
            </w:rPr>
            <w:fldChar w:fldCharType="separate"/>
          </w:r>
          <w:r w:rsidR="00721EC3" w:rsidRPr="002237F0">
            <w:rPr>
              <w:noProof/>
              <w:lang w:val="nl-NL"/>
            </w:rPr>
            <w:t xml:space="preserve"> (Kothari &amp; Lester, 2012)</w:t>
          </w:r>
          <w:r w:rsidR="003C13F3" w:rsidRPr="002237F0">
            <w:rPr>
              <w:lang w:val="nl-NL"/>
            </w:rPr>
            <w:fldChar w:fldCharType="end"/>
          </w:r>
        </w:sdtContent>
      </w:sdt>
      <w:r w:rsidR="00167622" w:rsidRPr="002237F0">
        <w:rPr>
          <w:lang w:val="nl-NL"/>
        </w:rPr>
        <w:t>. Met een interne transactie werd dus winst gemaakt. Dit lijkt</w:t>
      </w:r>
      <w:r w:rsidR="007B3412" w:rsidRPr="002237F0">
        <w:rPr>
          <w:lang w:val="nl-NL"/>
        </w:rPr>
        <w:t xml:space="preserve"> economisch gezien niet</w:t>
      </w:r>
      <w:r w:rsidR="00167622" w:rsidRPr="002237F0">
        <w:rPr>
          <w:lang w:val="nl-NL"/>
        </w:rPr>
        <w:t xml:space="preserve"> te kloppen. De garanties die Fannie Mae en Freddie Ma</w:t>
      </w:r>
      <w:r w:rsidR="007B3412" w:rsidRPr="002237F0">
        <w:rPr>
          <w:lang w:val="nl-NL"/>
        </w:rPr>
        <w:t xml:space="preserve">c gaven aan de </w:t>
      </w:r>
      <w:proofErr w:type="spellStart"/>
      <w:r w:rsidR="007B3412" w:rsidRPr="002237F0">
        <w:rPr>
          <w:lang w:val="nl-NL"/>
        </w:rPr>
        <w:t>MBS-pakketten</w:t>
      </w:r>
      <w:proofErr w:type="spellEnd"/>
      <w:r w:rsidR="007B3412" w:rsidRPr="002237F0">
        <w:rPr>
          <w:lang w:val="nl-NL"/>
        </w:rPr>
        <w:t xml:space="preserve"> kunnen een oorzaak</w:t>
      </w:r>
      <w:r w:rsidR="00167622" w:rsidRPr="002237F0">
        <w:rPr>
          <w:lang w:val="nl-NL"/>
        </w:rPr>
        <w:t xml:space="preserve"> zijn dat de actuele waarde van deze </w:t>
      </w:r>
      <w:proofErr w:type="spellStart"/>
      <w:r w:rsidR="00167622" w:rsidRPr="002237F0">
        <w:rPr>
          <w:lang w:val="nl-NL"/>
        </w:rPr>
        <w:t>securitisaties</w:t>
      </w:r>
      <w:proofErr w:type="spellEnd"/>
      <w:r w:rsidR="00167622" w:rsidRPr="002237F0">
        <w:rPr>
          <w:lang w:val="nl-NL"/>
        </w:rPr>
        <w:t xml:space="preserve"> hoger lag dan de</w:t>
      </w:r>
      <w:r w:rsidR="007B3412" w:rsidRPr="002237F0">
        <w:rPr>
          <w:lang w:val="nl-NL"/>
        </w:rPr>
        <w:t xml:space="preserve"> waarde van de</w:t>
      </w:r>
      <w:r w:rsidR="00167622" w:rsidRPr="002237F0">
        <w:rPr>
          <w:lang w:val="nl-NL"/>
        </w:rPr>
        <w:t xml:space="preserve"> oorspronkelijke hypotheken. </w:t>
      </w:r>
      <w:r w:rsidR="00A41732" w:rsidRPr="002237F0">
        <w:rPr>
          <w:lang w:val="nl-NL"/>
        </w:rPr>
        <w:t xml:space="preserve">Met betrekking tot de </w:t>
      </w:r>
      <w:proofErr w:type="spellStart"/>
      <w:r w:rsidR="00A41732" w:rsidRPr="002237F0">
        <w:rPr>
          <w:lang w:val="nl-NL"/>
        </w:rPr>
        <w:t>securitisaties</w:t>
      </w:r>
      <w:proofErr w:type="spellEnd"/>
      <w:r w:rsidR="00A41732" w:rsidRPr="002237F0">
        <w:rPr>
          <w:lang w:val="nl-NL"/>
        </w:rPr>
        <w:t xml:space="preserve"> </w:t>
      </w:r>
      <w:r w:rsidR="007B3412" w:rsidRPr="002237F0">
        <w:rPr>
          <w:lang w:val="nl-NL"/>
        </w:rPr>
        <w:t>kan het probleem rondom actuele waardebepaling niet enkel</w:t>
      </w:r>
      <w:r w:rsidR="00A41732" w:rsidRPr="002237F0">
        <w:rPr>
          <w:lang w:val="nl-NL"/>
        </w:rPr>
        <w:t xml:space="preserve"> liggen op </w:t>
      </w:r>
      <w:r w:rsidR="007B3412" w:rsidRPr="002237F0">
        <w:rPr>
          <w:lang w:val="nl-NL"/>
        </w:rPr>
        <w:t xml:space="preserve">het gebied van </w:t>
      </w:r>
      <w:r w:rsidR="00A41732" w:rsidRPr="002237F0">
        <w:rPr>
          <w:lang w:val="nl-NL"/>
        </w:rPr>
        <w:t>de procyclische kenmerk</w:t>
      </w:r>
      <w:r w:rsidR="007B3412" w:rsidRPr="002237F0">
        <w:rPr>
          <w:lang w:val="nl-NL"/>
        </w:rPr>
        <w:t>en</w:t>
      </w:r>
      <w:r w:rsidR="00A41732" w:rsidRPr="002237F0">
        <w:rPr>
          <w:lang w:val="nl-NL"/>
        </w:rPr>
        <w:t xml:space="preserve"> in het geval van een waardedaling. De actuele waardebepaling h</w:t>
      </w:r>
      <w:r w:rsidR="007B3412" w:rsidRPr="002237F0">
        <w:rPr>
          <w:lang w:val="nl-NL"/>
        </w:rPr>
        <w:t>eeft in het verleden ook waarde</w:t>
      </w:r>
      <w:r w:rsidR="00A41732" w:rsidRPr="002237F0">
        <w:rPr>
          <w:lang w:val="nl-NL"/>
        </w:rPr>
        <w:t>creatie laten zien waar die eigenlijk niet bestond</w:t>
      </w:r>
      <w:sdt>
        <w:sdtPr>
          <w:rPr>
            <w:lang w:val="nl-NL"/>
          </w:rPr>
          <w:id w:val="2041134"/>
          <w:citation/>
        </w:sdtPr>
        <w:sdtContent>
          <w:r w:rsidR="003C13F3" w:rsidRPr="002237F0">
            <w:rPr>
              <w:lang w:val="nl-NL"/>
            </w:rPr>
            <w:fldChar w:fldCharType="begin"/>
          </w:r>
          <w:r w:rsidR="007B3412" w:rsidRPr="002237F0">
            <w:rPr>
              <w:lang w:val="nl-NL"/>
            </w:rPr>
            <w:instrText xml:space="preserve"> CITATION Bha11 \l 1043 </w:instrText>
          </w:r>
          <w:r w:rsidR="003C13F3" w:rsidRPr="002237F0">
            <w:rPr>
              <w:lang w:val="nl-NL"/>
            </w:rPr>
            <w:fldChar w:fldCharType="separate"/>
          </w:r>
          <w:r w:rsidR="007B3412" w:rsidRPr="002237F0">
            <w:rPr>
              <w:noProof/>
              <w:lang w:val="nl-NL"/>
            </w:rPr>
            <w:t xml:space="preserve"> (Bhat, Frankel, &amp; Martin, 2011)</w:t>
          </w:r>
          <w:r w:rsidR="003C13F3" w:rsidRPr="002237F0">
            <w:rPr>
              <w:lang w:val="nl-NL"/>
            </w:rPr>
            <w:fldChar w:fldCharType="end"/>
          </w:r>
        </w:sdtContent>
      </w:sdt>
      <w:r w:rsidR="00A41732" w:rsidRPr="002237F0">
        <w:rPr>
          <w:lang w:val="nl-NL"/>
        </w:rPr>
        <w:t>.</w:t>
      </w:r>
      <w:r w:rsidR="00E07836" w:rsidRPr="002237F0">
        <w:rPr>
          <w:lang w:val="nl-NL"/>
        </w:rPr>
        <w:t xml:space="preserve"> </w:t>
      </w:r>
    </w:p>
    <w:p w:rsidR="00E07836" w:rsidRPr="002237F0" w:rsidRDefault="00E07836" w:rsidP="00767CED">
      <w:pPr>
        <w:rPr>
          <w:lang w:val="nl-NL"/>
        </w:rPr>
      </w:pPr>
      <w:r w:rsidRPr="002237F0">
        <w:rPr>
          <w:lang w:val="nl-NL"/>
        </w:rPr>
        <w:t xml:space="preserve">Naast deze bevindingen komt de mening naar </w:t>
      </w:r>
      <w:r w:rsidR="007B3412" w:rsidRPr="002237F0">
        <w:rPr>
          <w:lang w:val="nl-NL"/>
        </w:rPr>
        <w:t xml:space="preserve">voren dat fair </w:t>
      </w:r>
      <w:proofErr w:type="spellStart"/>
      <w:r w:rsidR="007B3412" w:rsidRPr="002237F0">
        <w:rPr>
          <w:lang w:val="nl-NL"/>
        </w:rPr>
        <w:t>value</w:t>
      </w:r>
      <w:proofErr w:type="spellEnd"/>
      <w:r w:rsidR="007B3412" w:rsidRPr="002237F0">
        <w:rPr>
          <w:lang w:val="nl-NL"/>
        </w:rPr>
        <w:t xml:space="preserve"> accounting</w:t>
      </w:r>
      <w:r w:rsidRPr="002237F0">
        <w:rPr>
          <w:lang w:val="nl-NL"/>
        </w:rPr>
        <w:t xml:space="preserve">regels wel goed zijn, maar dat ze niet adequaat en correct toegepast zijn. Dit betreft vooral het moment van </w:t>
      </w:r>
      <w:proofErr w:type="spellStart"/>
      <w:r w:rsidRPr="002237F0">
        <w:rPr>
          <w:lang w:val="nl-NL"/>
        </w:rPr>
        <w:t>securitisatie</w:t>
      </w:r>
      <w:proofErr w:type="spellEnd"/>
      <w:r w:rsidRPr="002237F0">
        <w:rPr>
          <w:lang w:val="nl-NL"/>
        </w:rPr>
        <w:t xml:space="preserve"> en het moment van afsluiten van de hypotheek</w:t>
      </w:r>
      <w:sdt>
        <w:sdtPr>
          <w:rPr>
            <w:lang w:val="nl-NL"/>
          </w:rPr>
          <w:id w:val="-339084257"/>
          <w:citation/>
        </w:sdtPr>
        <w:sdtContent>
          <w:r w:rsidR="003C13F3" w:rsidRPr="002237F0">
            <w:rPr>
              <w:lang w:val="nl-NL"/>
            </w:rPr>
            <w:fldChar w:fldCharType="begin"/>
          </w:r>
          <w:r w:rsidRPr="002237F0">
            <w:rPr>
              <w:lang w:val="nl-NL"/>
            </w:rPr>
            <w:instrText xml:space="preserve"> CITATION Kot12 \l 1033 </w:instrText>
          </w:r>
          <w:r w:rsidR="003C13F3" w:rsidRPr="002237F0">
            <w:rPr>
              <w:lang w:val="nl-NL"/>
            </w:rPr>
            <w:fldChar w:fldCharType="separate"/>
          </w:r>
          <w:r w:rsidR="00721EC3" w:rsidRPr="002237F0">
            <w:rPr>
              <w:noProof/>
              <w:lang w:val="nl-NL"/>
            </w:rPr>
            <w:t xml:space="preserve"> (Kothari &amp; Lester, 2012)</w:t>
          </w:r>
          <w:r w:rsidR="003C13F3" w:rsidRPr="002237F0">
            <w:rPr>
              <w:lang w:val="nl-NL"/>
            </w:rPr>
            <w:fldChar w:fldCharType="end"/>
          </w:r>
        </w:sdtContent>
      </w:sdt>
      <w:r w:rsidRPr="002237F0">
        <w:rPr>
          <w:lang w:val="nl-NL"/>
        </w:rPr>
        <w:t xml:space="preserve">. </w:t>
      </w:r>
    </w:p>
    <w:p w:rsidR="00E07836" w:rsidRPr="002237F0" w:rsidRDefault="00E07836" w:rsidP="00767CED">
      <w:pPr>
        <w:rPr>
          <w:b/>
          <w:sz w:val="24"/>
          <w:lang w:val="nl-NL"/>
        </w:rPr>
      </w:pPr>
      <w:r w:rsidRPr="002237F0">
        <w:rPr>
          <w:b/>
          <w:sz w:val="24"/>
          <w:lang w:val="nl-NL"/>
        </w:rPr>
        <w:t>Waardering van derivaten</w:t>
      </w:r>
    </w:p>
    <w:p w:rsidR="000A0991" w:rsidRPr="002237F0" w:rsidRDefault="00A41732" w:rsidP="00767CED">
      <w:pPr>
        <w:rPr>
          <w:lang w:val="nl-NL"/>
        </w:rPr>
      </w:pPr>
      <w:r w:rsidRPr="002237F0">
        <w:rPr>
          <w:lang w:val="nl-NL"/>
        </w:rPr>
        <w:t>Derivaten stonden ook centraal in de crisis, want zij vergrootten het risico waaraan de houders blootgesteld werden</w:t>
      </w:r>
      <w:sdt>
        <w:sdtPr>
          <w:rPr>
            <w:lang w:val="nl-NL"/>
          </w:rPr>
          <w:id w:val="-1088768185"/>
          <w:citation/>
        </w:sdtPr>
        <w:sdtContent>
          <w:r w:rsidR="003C13F3" w:rsidRPr="002237F0">
            <w:rPr>
              <w:lang w:val="nl-NL"/>
            </w:rPr>
            <w:fldChar w:fldCharType="begin"/>
          </w:r>
          <w:r w:rsidRPr="002237F0">
            <w:rPr>
              <w:lang w:val="nl-NL"/>
            </w:rPr>
            <w:instrText xml:space="preserve"> CITATION Bar10 \l 1033 </w:instrText>
          </w:r>
          <w:r w:rsidR="003C13F3" w:rsidRPr="002237F0">
            <w:rPr>
              <w:lang w:val="nl-NL"/>
            </w:rPr>
            <w:fldChar w:fldCharType="separate"/>
          </w:r>
          <w:r w:rsidR="00721EC3" w:rsidRPr="002237F0">
            <w:rPr>
              <w:noProof/>
              <w:lang w:val="nl-NL"/>
            </w:rPr>
            <w:t xml:space="preserve"> (Barth &amp; Landsman, 2010)</w:t>
          </w:r>
          <w:r w:rsidR="003C13F3" w:rsidRPr="002237F0">
            <w:rPr>
              <w:lang w:val="nl-NL"/>
            </w:rPr>
            <w:fldChar w:fldCharType="end"/>
          </w:r>
        </w:sdtContent>
      </w:sdt>
      <w:r w:rsidRPr="002237F0">
        <w:rPr>
          <w:lang w:val="nl-NL"/>
        </w:rPr>
        <w:t>.</w:t>
      </w:r>
      <w:r w:rsidR="00C46C53" w:rsidRPr="002237F0">
        <w:rPr>
          <w:lang w:val="nl-NL"/>
        </w:rPr>
        <w:t xml:space="preserve"> Er is vaak namelijk geen enkele investering nodig voor het aangaan van bepaalde risico’s.</w:t>
      </w:r>
      <w:r w:rsidRPr="002237F0">
        <w:rPr>
          <w:lang w:val="nl-NL"/>
        </w:rPr>
        <w:t xml:space="preserve"> Hier is het de vraag of de actuele waardebepaling de bijbehorende risico’s(informatie) goed weergegeven heeft. </w:t>
      </w:r>
      <w:r w:rsidR="007B3412" w:rsidRPr="002237F0">
        <w:rPr>
          <w:lang w:val="nl-NL"/>
        </w:rPr>
        <w:t>Doord</w:t>
      </w:r>
      <w:r w:rsidRPr="002237F0">
        <w:rPr>
          <w:lang w:val="nl-NL"/>
        </w:rPr>
        <w:t xml:space="preserve">at de meeste derivaten aanvankelijk nauwelijks kosten met zich meebrengen, is een waardering op gemaakte kosten niet informatief genoeg. Daarom vereist IFRS openbaarmaking van additionele informatie. </w:t>
      </w:r>
      <w:r w:rsidR="00721035" w:rsidRPr="002237F0">
        <w:rPr>
          <w:lang w:val="nl-NL"/>
        </w:rPr>
        <w:t>Hoewel deze openbaarmakingen</w:t>
      </w:r>
      <w:r w:rsidR="007B3412" w:rsidRPr="002237F0">
        <w:rPr>
          <w:lang w:val="nl-NL"/>
        </w:rPr>
        <w:t xml:space="preserve"> informatief zijn, </w:t>
      </w:r>
      <w:r w:rsidR="00721035" w:rsidRPr="002237F0">
        <w:rPr>
          <w:lang w:val="nl-NL"/>
        </w:rPr>
        <w:t>zijn</w:t>
      </w:r>
      <w:r w:rsidR="007B3412" w:rsidRPr="002237F0">
        <w:rPr>
          <w:lang w:val="nl-NL"/>
        </w:rPr>
        <w:t xml:space="preserve"> die</w:t>
      </w:r>
      <w:r w:rsidR="00721035" w:rsidRPr="002237F0">
        <w:rPr>
          <w:lang w:val="nl-NL"/>
        </w:rPr>
        <w:t xml:space="preserve"> alleen bruikbaar wanneer de gegeven informatie compleet en voldoende samenhangend is</w:t>
      </w:r>
      <w:sdt>
        <w:sdtPr>
          <w:rPr>
            <w:lang w:val="nl-NL"/>
          </w:rPr>
          <w:id w:val="13124445"/>
          <w:citation/>
        </w:sdtPr>
        <w:sdtContent>
          <w:r w:rsidR="003C13F3" w:rsidRPr="002237F0">
            <w:rPr>
              <w:lang w:val="nl-NL"/>
            </w:rPr>
            <w:fldChar w:fldCharType="begin"/>
          </w:r>
          <w:r w:rsidR="00721035" w:rsidRPr="002237F0">
            <w:rPr>
              <w:lang w:val="nl-NL"/>
            </w:rPr>
            <w:instrText xml:space="preserve"> CITATION Bar10 \l 1033 </w:instrText>
          </w:r>
          <w:r w:rsidR="003C13F3" w:rsidRPr="002237F0">
            <w:rPr>
              <w:lang w:val="nl-NL"/>
            </w:rPr>
            <w:fldChar w:fldCharType="separate"/>
          </w:r>
          <w:r w:rsidR="00721EC3" w:rsidRPr="002237F0">
            <w:rPr>
              <w:noProof/>
              <w:lang w:val="nl-NL"/>
            </w:rPr>
            <w:t xml:space="preserve"> (Barth &amp; Landsman, 2010)</w:t>
          </w:r>
          <w:r w:rsidR="003C13F3" w:rsidRPr="002237F0">
            <w:rPr>
              <w:lang w:val="nl-NL"/>
            </w:rPr>
            <w:fldChar w:fldCharType="end"/>
          </w:r>
        </w:sdtContent>
      </w:sdt>
      <w:r w:rsidR="00721035" w:rsidRPr="002237F0">
        <w:rPr>
          <w:lang w:val="nl-NL"/>
        </w:rPr>
        <w:t>. Het is essentieel dat investeerders weten welke zijde van het co</w:t>
      </w:r>
      <w:r w:rsidR="00C46C53" w:rsidRPr="002237F0">
        <w:rPr>
          <w:lang w:val="nl-NL"/>
        </w:rPr>
        <w:t>ntract de partij inneemt,</w:t>
      </w:r>
      <w:r w:rsidR="007B3412" w:rsidRPr="002237F0">
        <w:rPr>
          <w:lang w:val="nl-NL"/>
        </w:rPr>
        <w:t xml:space="preserve"> zodat duidelijk is hoe het derivaat reageert op een bepaalde marktomstandigheid.</w:t>
      </w:r>
      <w:r w:rsidR="00C46C53" w:rsidRPr="002237F0">
        <w:rPr>
          <w:lang w:val="nl-NL"/>
        </w:rPr>
        <w:t xml:space="preserve"> </w:t>
      </w:r>
      <w:r w:rsidR="007B3412" w:rsidRPr="002237F0">
        <w:rPr>
          <w:lang w:val="nl-NL"/>
        </w:rPr>
        <w:t>Daarnaast is het van belang dat investeerders weten wie de tegenpartij is bij het derivaat. De kredietwaardigheid van deze tegenpartij is namelijk van invloed op de risico’s van het derivaat</w:t>
      </w:r>
      <w:r w:rsidR="00721035" w:rsidRPr="002237F0">
        <w:rPr>
          <w:lang w:val="nl-NL"/>
        </w:rPr>
        <w:t xml:space="preserve">. </w:t>
      </w:r>
      <w:r w:rsidR="007B3412" w:rsidRPr="002237F0">
        <w:rPr>
          <w:lang w:val="nl-NL"/>
        </w:rPr>
        <w:t xml:space="preserve">Ten tijde van de crisis is </w:t>
      </w:r>
      <w:proofErr w:type="gramStart"/>
      <w:r w:rsidR="007B3412" w:rsidRPr="002237F0">
        <w:rPr>
          <w:lang w:val="nl-NL"/>
        </w:rPr>
        <w:t xml:space="preserve">er  </w:t>
      </w:r>
      <w:proofErr w:type="gramEnd"/>
      <w:r w:rsidR="007B3412" w:rsidRPr="002237F0">
        <w:rPr>
          <w:lang w:val="nl-NL"/>
        </w:rPr>
        <w:t>onvoldoende ge</w:t>
      </w:r>
      <w:r w:rsidR="007B3412" w:rsidRPr="002237F0">
        <w:rPr>
          <w:rFonts w:ascii="Calibri" w:hAnsi="Calibri"/>
          <w:lang w:val="nl-NL"/>
        </w:rPr>
        <w:t xml:space="preserve">ïnformeerd over de tegenpartij en het </w:t>
      </w:r>
      <w:r w:rsidR="00A23963" w:rsidRPr="002237F0">
        <w:rPr>
          <w:rFonts w:ascii="Calibri" w:hAnsi="Calibri"/>
          <w:lang w:val="nl-NL"/>
        </w:rPr>
        <w:t>gekozen contractzijde,</w:t>
      </w:r>
      <w:r w:rsidR="00721035" w:rsidRPr="002237F0">
        <w:rPr>
          <w:lang w:val="nl-NL"/>
        </w:rPr>
        <w:t xml:space="preserve"> waardoor de werking van derivaten voor erg veel partijen erg onduidelijk was</w:t>
      </w:r>
      <w:sdt>
        <w:sdtPr>
          <w:rPr>
            <w:lang w:val="nl-NL"/>
          </w:rPr>
          <w:id w:val="2041135"/>
          <w:citation/>
        </w:sdtPr>
        <w:sdtContent>
          <w:r w:rsidR="003C13F3" w:rsidRPr="002237F0">
            <w:rPr>
              <w:lang w:val="nl-NL"/>
            </w:rPr>
            <w:fldChar w:fldCharType="begin"/>
          </w:r>
          <w:r w:rsidR="00A23963" w:rsidRPr="002237F0">
            <w:rPr>
              <w:lang w:val="nl-NL"/>
            </w:rPr>
            <w:instrText xml:space="preserve"> CITATION Bar10 \l 1043 </w:instrText>
          </w:r>
          <w:r w:rsidR="003C13F3" w:rsidRPr="002237F0">
            <w:rPr>
              <w:lang w:val="nl-NL"/>
            </w:rPr>
            <w:fldChar w:fldCharType="separate"/>
          </w:r>
          <w:r w:rsidR="00A23963" w:rsidRPr="002237F0">
            <w:rPr>
              <w:noProof/>
              <w:lang w:val="nl-NL"/>
            </w:rPr>
            <w:t xml:space="preserve"> (Barth &amp; Landsman, 2010)</w:t>
          </w:r>
          <w:r w:rsidR="003C13F3" w:rsidRPr="002237F0">
            <w:rPr>
              <w:lang w:val="nl-NL"/>
            </w:rPr>
            <w:fldChar w:fldCharType="end"/>
          </w:r>
        </w:sdtContent>
      </w:sdt>
      <w:r w:rsidR="00721035" w:rsidRPr="002237F0">
        <w:rPr>
          <w:lang w:val="nl-NL"/>
        </w:rPr>
        <w:t xml:space="preserve">. Op het gebied van derivaten is het waarderen van fair </w:t>
      </w:r>
      <w:proofErr w:type="spellStart"/>
      <w:r w:rsidR="00721035" w:rsidRPr="002237F0">
        <w:rPr>
          <w:lang w:val="nl-NL"/>
        </w:rPr>
        <w:t>value</w:t>
      </w:r>
      <w:proofErr w:type="spellEnd"/>
      <w:r w:rsidR="00721035" w:rsidRPr="002237F0">
        <w:rPr>
          <w:lang w:val="nl-NL"/>
        </w:rPr>
        <w:t xml:space="preserve"> dus </w:t>
      </w:r>
      <w:r w:rsidR="007B3412" w:rsidRPr="002237F0">
        <w:rPr>
          <w:lang w:val="nl-NL"/>
        </w:rPr>
        <w:t>onvoldoende. H</w:t>
      </w:r>
      <w:r w:rsidR="00721035" w:rsidRPr="002237F0">
        <w:rPr>
          <w:lang w:val="nl-NL"/>
        </w:rPr>
        <w:t>et is aa</w:t>
      </w:r>
      <w:r w:rsidR="007B3412" w:rsidRPr="002237F0">
        <w:rPr>
          <w:lang w:val="nl-NL"/>
        </w:rPr>
        <w:t xml:space="preserve">n te raden meer informatie te geven over </w:t>
      </w:r>
      <w:r w:rsidR="00721035" w:rsidRPr="002237F0">
        <w:rPr>
          <w:lang w:val="nl-NL"/>
        </w:rPr>
        <w:t>het risico en de aard van het risico.</w:t>
      </w:r>
    </w:p>
    <w:p w:rsidR="00E07836" w:rsidRPr="002237F0" w:rsidRDefault="00E07836" w:rsidP="00767CED">
      <w:pPr>
        <w:rPr>
          <w:b/>
          <w:sz w:val="24"/>
          <w:lang w:val="nl-NL"/>
        </w:rPr>
      </w:pPr>
      <w:r w:rsidRPr="002237F0">
        <w:rPr>
          <w:b/>
          <w:sz w:val="24"/>
          <w:lang w:val="nl-NL"/>
        </w:rPr>
        <w:t>Tot slot</w:t>
      </w:r>
    </w:p>
    <w:p w:rsidR="002B730E" w:rsidRPr="002237F0" w:rsidRDefault="002B730E" w:rsidP="00767CED">
      <w:pPr>
        <w:rPr>
          <w:lang w:val="nl-NL"/>
        </w:rPr>
      </w:pPr>
      <w:r w:rsidRPr="002237F0">
        <w:rPr>
          <w:lang w:val="nl-NL"/>
        </w:rPr>
        <w:t>Opsommend kunnen de bevindingen als volgt worden samengevat:</w:t>
      </w:r>
    </w:p>
    <w:tbl>
      <w:tblPr>
        <w:tblStyle w:val="TableGrid"/>
        <w:tblW w:w="0" w:type="auto"/>
        <w:tblLook w:val="04A0"/>
      </w:tblPr>
      <w:tblGrid>
        <w:gridCol w:w="4621"/>
        <w:gridCol w:w="4621"/>
      </w:tblGrid>
      <w:tr w:rsidR="002237F0" w:rsidRPr="002237F0" w:rsidTr="002B730E">
        <w:tc>
          <w:tcPr>
            <w:tcW w:w="4621" w:type="dxa"/>
          </w:tcPr>
          <w:p w:rsidR="002B730E" w:rsidRPr="002237F0" w:rsidRDefault="002B730E" w:rsidP="00767CED">
            <w:pPr>
              <w:rPr>
                <w:b/>
                <w:u w:val="single"/>
                <w:lang w:val="nl-NL"/>
              </w:rPr>
            </w:pPr>
            <w:r w:rsidRPr="002237F0">
              <w:rPr>
                <w:b/>
                <w:u w:val="single"/>
                <w:lang w:val="nl-NL"/>
              </w:rPr>
              <w:t>Verschijnsel</w:t>
            </w:r>
          </w:p>
        </w:tc>
        <w:tc>
          <w:tcPr>
            <w:tcW w:w="4621" w:type="dxa"/>
          </w:tcPr>
          <w:p w:rsidR="002B730E" w:rsidRPr="002237F0" w:rsidRDefault="00087218" w:rsidP="00767CED">
            <w:pPr>
              <w:rPr>
                <w:b/>
                <w:u w:val="single"/>
              </w:rPr>
            </w:pPr>
            <w:proofErr w:type="spellStart"/>
            <w:r w:rsidRPr="002237F0">
              <w:rPr>
                <w:b/>
                <w:u w:val="single"/>
              </w:rPr>
              <w:t>Bron</w:t>
            </w:r>
            <w:proofErr w:type="spellEnd"/>
          </w:p>
        </w:tc>
      </w:tr>
      <w:tr w:rsidR="002237F0" w:rsidRPr="002237F0" w:rsidTr="002B730E">
        <w:tc>
          <w:tcPr>
            <w:tcW w:w="4621" w:type="dxa"/>
          </w:tcPr>
          <w:p w:rsidR="002B730E" w:rsidRPr="002237F0" w:rsidRDefault="002B730E" w:rsidP="00767CED">
            <w:pPr>
              <w:rPr>
                <w:sz w:val="18"/>
                <w:szCs w:val="18"/>
                <w:lang w:val="nl-NL"/>
              </w:rPr>
            </w:pPr>
            <w:r w:rsidRPr="002237F0">
              <w:rPr>
                <w:sz w:val="18"/>
                <w:szCs w:val="18"/>
                <w:lang w:val="nl-NL"/>
              </w:rPr>
              <w:t xml:space="preserve">Banken die </w:t>
            </w:r>
            <w:proofErr w:type="gramStart"/>
            <w:r w:rsidR="00A23963" w:rsidRPr="002237F0">
              <w:rPr>
                <w:sz w:val="18"/>
                <w:szCs w:val="18"/>
                <w:lang w:val="nl-NL"/>
              </w:rPr>
              <w:t>de</w:t>
            </w:r>
            <w:proofErr w:type="gramEnd"/>
            <w:r w:rsidR="00A23963" w:rsidRPr="002237F0">
              <w:rPr>
                <w:sz w:val="18"/>
                <w:szCs w:val="18"/>
                <w:lang w:val="nl-NL"/>
              </w:rPr>
              <w:t xml:space="preserve"> </w:t>
            </w:r>
            <w:proofErr w:type="spellStart"/>
            <w:r w:rsidR="00A23963" w:rsidRPr="002237F0">
              <w:rPr>
                <w:sz w:val="18"/>
                <w:szCs w:val="18"/>
                <w:lang w:val="nl-NL"/>
              </w:rPr>
              <w:t>discretionaire</w:t>
            </w:r>
            <w:proofErr w:type="spellEnd"/>
            <w:r w:rsidR="00A23963" w:rsidRPr="002237F0">
              <w:rPr>
                <w:sz w:val="18"/>
                <w:szCs w:val="18"/>
                <w:lang w:val="nl-NL"/>
              </w:rPr>
              <w:t xml:space="preserve"> niveau</w:t>
            </w:r>
            <w:r w:rsidRPr="002237F0">
              <w:rPr>
                <w:sz w:val="18"/>
                <w:szCs w:val="18"/>
                <w:lang w:val="nl-NL"/>
              </w:rPr>
              <w:t xml:space="preserve"> 3 waardering gebruiken hebben a) een grote kans op </w:t>
            </w:r>
            <w:proofErr w:type="spellStart"/>
            <w:r w:rsidRPr="002237F0">
              <w:rPr>
                <w:sz w:val="18"/>
                <w:szCs w:val="18"/>
                <w:lang w:val="nl-NL"/>
              </w:rPr>
              <w:t>default</w:t>
            </w:r>
            <w:proofErr w:type="spellEnd"/>
            <w:r w:rsidRPr="002237F0">
              <w:rPr>
                <w:sz w:val="18"/>
                <w:szCs w:val="18"/>
                <w:lang w:val="nl-NL"/>
              </w:rPr>
              <w:t xml:space="preserve"> en b) vertonen grotere </w:t>
            </w:r>
            <w:proofErr w:type="spellStart"/>
            <w:r w:rsidRPr="002237F0">
              <w:rPr>
                <w:sz w:val="18"/>
                <w:szCs w:val="18"/>
                <w:lang w:val="nl-NL"/>
              </w:rPr>
              <w:t>bid-ask</w:t>
            </w:r>
            <w:proofErr w:type="spellEnd"/>
            <w:r w:rsidRPr="002237F0">
              <w:rPr>
                <w:sz w:val="18"/>
                <w:szCs w:val="18"/>
                <w:lang w:val="nl-NL"/>
              </w:rPr>
              <w:t xml:space="preserve"> spreads, waaruit afgeleid kan worden dat er sprake is van </w:t>
            </w:r>
            <w:proofErr w:type="spellStart"/>
            <w:r w:rsidRPr="002237F0">
              <w:rPr>
                <w:sz w:val="18"/>
                <w:szCs w:val="18"/>
                <w:lang w:val="nl-NL"/>
              </w:rPr>
              <w:t>informatie-assymetrie</w:t>
            </w:r>
            <w:proofErr w:type="spellEnd"/>
            <w:r w:rsidR="008B1B9A" w:rsidRPr="002237F0">
              <w:rPr>
                <w:sz w:val="18"/>
                <w:szCs w:val="18"/>
                <w:lang w:val="nl-NL"/>
              </w:rPr>
              <w:t>.</w:t>
            </w:r>
          </w:p>
        </w:tc>
        <w:tc>
          <w:tcPr>
            <w:tcW w:w="4621" w:type="dxa"/>
          </w:tcPr>
          <w:p w:rsidR="002B730E" w:rsidRPr="002237F0" w:rsidRDefault="002B730E" w:rsidP="002B730E">
            <w:pPr>
              <w:pStyle w:val="Bibliography"/>
              <w:rPr>
                <w:noProof/>
                <w:sz w:val="18"/>
                <w:szCs w:val="18"/>
              </w:rPr>
            </w:pPr>
            <w:r w:rsidRPr="002237F0">
              <w:rPr>
                <w:noProof/>
                <w:sz w:val="18"/>
                <w:szCs w:val="18"/>
              </w:rPr>
              <w:t xml:space="preserve">Glaser, Mohrmann, &amp; Riepe. (2013). </w:t>
            </w:r>
            <w:r w:rsidRPr="002237F0">
              <w:rPr>
                <w:i/>
                <w:iCs/>
                <w:noProof/>
                <w:sz w:val="18"/>
                <w:szCs w:val="18"/>
              </w:rPr>
              <w:t>Blind Spot of Banking Regulation: Level 3 Valuation and Basel Risk Capital.</w:t>
            </w:r>
            <w:r w:rsidRPr="002237F0">
              <w:rPr>
                <w:noProof/>
                <w:sz w:val="18"/>
                <w:szCs w:val="18"/>
              </w:rPr>
              <w:t xml:space="preserve"> München.</w:t>
            </w:r>
          </w:p>
          <w:p w:rsidR="002B730E" w:rsidRPr="002237F0" w:rsidRDefault="002B730E" w:rsidP="00767CED">
            <w:pPr>
              <w:rPr>
                <w:sz w:val="18"/>
                <w:szCs w:val="18"/>
              </w:rPr>
            </w:pPr>
          </w:p>
        </w:tc>
      </w:tr>
      <w:tr w:rsidR="002237F0" w:rsidRPr="002237F0" w:rsidTr="002B730E">
        <w:tc>
          <w:tcPr>
            <w:tcW w:w="4621" w:type="dxa"/>
          </w:tcPr>
          <w:p w:rsidR="002B730E" w:rsidRPr="002237F0" w:rsidRDefault="00E9485C" w:rsidP="00767CED">
            <w:pPr>
              <w:rPr>
                <w:sz w:val="18"/>
                <w:szCs w:val="18"/>
                <w:lang w:val="nl-NL"/>
              </w:rPr>
            </w:pPr>
            <w:r w:rsidRPr="002237F0">
              <w:rPr>
                <w:sz w:val="18"/>
                <w:szCs w:val="18"/>
                <w:lang w:val="nl-NL"/>
              </w:rPr>
              <w:t xml:space="preserve">Fair </w:t>
            </w:r>
            <w:proofErr w:type="spellStart"/>
            <w:r w:rsidRPr="002237F0">
              <w:rPr>
                <w:sz w:val="18"/>
                <w:szCs w:val="18"/>
                <w:lang w:val="nl-NL"/>
              </w:rPr>
              <w:t>value</w:t>
            </w:r>
            <w:proofErr w:type="spellEnd"/>
            <w:r w:rsidRPr="002237F0">
              <w:rPr>
                <w:sz w:val="18"/>
                <w:szCs w:val="18"/>
                <w:lang w:val="nl-NL"/>
              </w:rPr>
              <w:t xml:space="preserve"> waardering van instrumenten waarvan er geen intentie is tot verkopen, beïnvloeden indirect de leencapaciteit van banken</w:t>
            </w:r>
            <w:r w:rsidR="008B1B9A" w:rsidRPr="002237F0">
              <w:rPr>
                <w:sz w:val="18"/>
                <w:szCs w:val="18"/>
                <w:lang w:val="nl-NL"/>
              </w:rPr>
              <w:t>.</w:t>
            </w:r>
          </w:p>
        </w:tc>
        <w:tc>
          <w:tcPr>
            <w:tcW w:w="4621" w:type="dxa"/>
          </w:tcPr>
          <w:p w:rsidR="00E9485C" w:rsidRPr="002237F0" w:rsidRDefault="00E9485C" w:rsidP="00E9485C">
            <w:pPr>
              <w:pStyle w:val="Bibliography"/>
              <w:rPr>
                <w:noProof/>
                <w:sz w:val="18"/>
                <w:szCs w:val="18"/>
              </w:rPr>
            </w:pPr>
            <w:r w:rsidRPr="002237F0">
              <w:rPr>
                <w:noProof/>
                <w:sz w:val="18"/>
                <w:szCs w:val="18"/>
              </w:rPr>
              <w:t xml:space="preserve">Badertscher, Burks, &amp; Easton. (2012). A Convenient Scapegoat: Fair Value Accounting by Commercial Banks during the Financial Crisis. </w:t>
            </w:r>
            <w:r w:rsidRPr="002237F0">
              <w:rPr>
                <w:i/>
                <w:iCs/>
                <w:noProof/>
                <w:sz w:val="18"/>
                <w:szCs w:val="18"/>
              </w:rPr>
              <w:t>The Accounting Review</w:t>
            </w:r>
            <w:r w:rsidRPr="002237F0">
              <w:rPr>
                <w:noProof/>
                <w:sz w:val="18"/>
                <w:szCs w:val="18"/>
              </w:rPr>
              <w:t xml:space="preserve"> , 59-90.</w:t>
            </w:r>
          </w:p>
          <w:p w:rsidR="002B730E" w:rsidRPr="002237F0" w:rsidRDefault="002B730E" w:rsidP="00767CED">
            <w:pPr>
              <w:rPr>
                <w:sz w:val="18"/>
                <w:szCs w:val="18"/>
              </w:rPr>
            </w:pPr>
          </w:p>
        </w:tc>
      </w:tr>
      <w:tr w:rsidR="002237F0" w:rsidRPr="002237F0" w:rsidTr="002B730E">
        <w:tc>
          <w:tcPr>
            <w:tcW w:w="4621" w:type="dxa"/>
          </w:tcPr>
          <w:p w:rsidR="002B730E" w:rsidRPr="002237F0" w:rsidRDefault="00E9485C" w:rsidP="00767CED">
            <w:pPr>
              <w:rPr>
                <w:sz w:val="18"/>
                <w:szCs w:val="18"/>
                <w:lang w:val="nl-NL"/>
              </w:rPr>
            </w:pPr>
            <w:r w:rsidRPr="002237F0">
              <w:rPr>
                <w:sz w:val="18"/>
                <w:szCs w:val="18"/>
                <w:lang w:val="nl-NL"/>
              </w:rPr>
              <w:t>Het steeds minder waard worden van financiële instrumenten heeft geleid tot een zeer inactieve markt.</w:t>
            </w:r>
          </w:p>
        </w:tc>
        <w:tc>
          <w:tcPr>
            <w:tcW w:w="4621" w:type="dxa"/>
          </w:tcPr>
          <w:p w:rsidR="00E9485C" w:rsidRPr="002237F0" w:rsidRDefault="00E9485C" w:rsidP="00E9485C">
            <w:pPr>
              <w:pStyle w:val="Bibliography"/>
              <w:rPr>
                <w:noProof/>
                <w:sz w:val="18"/>
                <w:szCs w:val="18"/>
              </w:rPr>
            </w:pPr>
            <w:r w:rsidRPr="002237F0">
              <w:rPr>
                <w:noProof/>
                <w:sz w:val="18"/>
                <w:szCs w:val="18"/>
              </w:rPr>
              <w:t xml:space="preserve">Leuz, &amp; Laux. (2009). </w:t>
            </w:r>
            <w:r w:rsidRPr="002237F0">
              <w:rPr>
                <w:i/>
                <w:iCs/>
                <w:noProof/>
                <w:sz w:val="18"/>
                <w:szCs w:val="18"/>
              </w:rPr>
              <w:t>Did Fair-value Accounting Contribute to the Financial Crisis?</w:t>
            </w:r>
            <w:r w:rsidRPr="002237F0">
              <w:rPr>
                <w:noProof/>
                <w:sz w:val="18"/>
                <w:szCs w:val="18"/>
              </w:rPr>
              <w:t xml:space="preserve"> Frankfurt: Center For Financial Studies.</w:t>
            </w:r>
          </w:p>
          <w:p w:rsidR="002B730E" w:rsidRPr="002237F0" w:rsidRDefault="002B730E" w:rsidP="00767CED">
            <w:pPr>
              <w:rPr>
                <w:sz w:val="18"/>
                <w:szCs w:val="18"/>
              </w:rPr>
            </w:pPr>
          </w:p>
        </w:tc>
      </w:tr>
      <w:tr w:rsidR="002237F0" w:rsidRPr="002237F0" w:rsidTr="002B730E">
        <w:tc>
          <w:tcPr>
            <w:tcW w:w="4621" w:type="dxa"/>
          </w:tcPr>
          <w:p w:rsidR="00E902A6" w:rsidRPr="002237F0" w:rsidRDefault="00E9485C" w:rsidP="008B1B9A">
            <w:pPr>
              <w:rPr>
                <w:sz w:val="18"/>
                <w:szCs w:val="18"/>
                <w:lang w:val="nl-NL"/>
              </w:rPr>
            </w:pPr>
            <w:r w:rsidRPr="002237F0">
              <w:rPr>
                <w:sz w:val="18"/>
                <w:szCs w:val="18"/>
                <w:lang w:val="nl-NL"/>
              </w:rPr>
              <w:t xml:space="preserve">De bestanddelen waardering (niveau 2)van fair </w:t>
            </w:r>
            <w:proofErr w:type="spellStart"/>
            <w:r w:rsidRPr="002237F0">
              <w:rPr>
                <w:sz w:val="18"/>
                <w:szCs w:val="18"/>
                <w:lang w:val="nl-NL"/>
              </w:rPr>
              <w:t>value</w:t>
            </w:r>
            <w:proofErr w:type="spellEnd"/>
            <w:r w:rsidRPr="002237F0">
              <w:rPr>
                <w:sz w:val="18"/>
                <w:szCs w:val="18"/>
                <w:lang w:val="nl-NL"/>
              </w:rPr>
              <w:t xml:space="preserve"> geeft mogelijkheid tot het manipuleren van risico’s</w:t>
            </w:r>
            <w:r w:rsidR="008B1B9A" w:rsidRPr="002237F0">
              <w:rPr>
                <w:sz w:val="18"/>
                <w:szCs w:val="18"/>
                <w:lang w:val="nl-NL"/>
              </w:rPr>
              <w:t xml:space="preserve">. Niveau 3 waardering geeft vaak gewoon de historische kostprijs weer en gaat dus niet mee in markttrends. </w:t>
            </w:r>
          </w:p>
          <w:p w:rsidR="00E902A6" w:rsidRPr="002237F0" w:rsidRDefault="00E902A6" w:rsidP="008B1B9A">
            <w:pPr>
              <w:rPr>
                <w:sz w:val="18"/>
                <w:szCs w:val="18"/>
                <w:lang w:val="nl-NL"/>
              </w:rPr>
            </w:pPr>
          </w:p>
          <w:p w:rsidR="00E9485C" w:rsidRPr="002237F0" w:rsidRDefault="008B1B9A" w:rsidP="008B1B9A">
            <w:pPr>
              <w:rPr>
                <w:sz w:val="18"/>
                <w:szCs w:val="18"/>
                <w:lang w:val="nl-NL"/>
              </w:rPr>
            </w:pPr>
            <w:r w:rsidRPr="002237F0">
              <w:rPr>
                <w:sz w:val="18"/>
                <w:szCs w:val="18"/>
                <w:lang w:val="nl-NL"/>
              </w:rPr>
              <w:t xml:space="preserve">Daarnaast </w:t>
            </w:r>
            <w:r w:rsidRPr="002237F0">
              <w:rPr>
                <w:sz w:val="18"/>
                <w:lang w:val="nl-NL"/>
              </w:rPr>
              <w:t xml:space="preserve">is er sprake geweest van waardecreatie bij het </w:t>
            </w:r>
            <w:proofErr w:type="spellStart"/>
            <w:r w:rsidRPr="002237F0">
              <w:rPr>
                <w:sz w:val="18"/>
                <w:lang w:val="nl-NL"/>
              </w:rPr>
              <w:t>securitiseren</w:t>
            </w:r>
            <w:proofErr w:type="spellEnd"/>
            <w:r w:rsidRPr="002237F0">
              <w:rPr>
                <w:sz w:val="18"/>
                <w:lang w:val="nl-NL"/>
              </w:rPr>
              <w:t xml:space="preserve"> van hypotheken.</w:t>
            </w:r>
          </w:p>
        </w:tc>
        <w:tc>
          <w:tcPr>
            <w:tcW w:w="4621" w:type="dxa"/>
          </w:tcPr>
          <w:p w:rsidR="00E9485C" w:rsidRPr="002237F0" w:rsidRDefault="00E9485C" w:rsidP="00E9485C">
            <w:pPr>
              <w:pStyle w:val="Bibliography"/>
              <w:rPr>
                <w:noProof/>
                <w:sz w:val="18"/>
                <w:szCs w:val="18"/>
              </w:rPr>
            </w:pPr>
            <w:r w:rsidRPr="002237F0">
              <w:rPr>
                <w:noProof/>
                <w:sz w:val="18"/>
                <w:szCs w:val="18"/>
                <w:lang w:val="en-GB"/>
              </w:rPr>
              <w:t xml:space="preserve">Kothari, &amp; Lester. (2012). The Role of Accounting in the Financial Crisis: Lessons for the Future. </w:t>
            </w:r>
            <w:r w:rsidRPr="002237F0">
              <w:rPr>
                <w:i/>
                <w:iCs/>
                <w:noProof/>
                <w:sz w:val="18"/>
                <w:szCs w:val="18"/>
              </w:rPr>
              <w:t>Accounting Horizons</w:t>
            </w:r>
            <w:r w:rsidRPr="002237F0">
              <w:rPr>
                <w:noProof/>
                <w:sz w:val="18"/>
                <w:szCs w:val="18"/>
              </w:rPr>
              <w:t xml:space="preserve"> , 335-351.</w:t>
            </w:r>
          </w:p>
          <w:p w:rsidR="00E9485C" w:rsidRPr="002237F0" w:rsidRDefault="00E9485C" w:rsidP="00767CED">
            <w:pPr>
              <w:rPr>
                <w:sz w:val="18"/>
                <w:szCs w:val="18"/>
              </w:rPr>
            </w:pPr>
          </w:p>
        </w:tc>
      </w:tr>
      <w:tr w:rsidR="002237F0" w:rsidRPr="002237F0" w:rsidTr="002B730E">
        <w:tc>
          <w:tcPr>
            <w:tcW w:w="4621" w:type="dxa"/>
          </w:tcPr>
          <w:p w:rsidR="00E9485C" w:rsidRPr="002237F0" w:rsidRDefault="00A23963" w:rsidP="008B1B9A">
            <w:pPr>
              <w:rPr>
                <w:sz w:val="18"/>
                <w:szCs w:val="18"/>
                <w:lang w:val="nl-NL"/>
              </w:rPr>
            </w:pPr>
            <w:r w:rsidRPr="002237F0">
              <w:rPr>
                <w:sz w:val="18"/>
                <w:szCs w:val="18"/>
                <w:lang w:val="nl-NL"/>
              </w:rPr>
              <w:t xml:space="preserve">Een relatief </w:t>
            </w:r>
            <w:r w:rsidR="00E9485C" w:rsidRPr="002237F0">
              <w:rPr>
                <w:sz w:val="18"/>
                <w:szCs w:val="18"/>
                <w:lang w:val="nl-NL"/>
              </w:rPr>
              <w:t xml:space="preserve"> </w:t>
            </w:r>
            <w:r w:rsidR="008B1B9A" w:rsidRPr="002237F0">
              <w:rPr>
                <w:sz w:val="18"/>
                <w:szCs w:val="18"/>
                <w:lang w:val="nl-NL"/>
              </w:rPr>
              <w:t>hogere</w:t>
            </w:r>
            <w:r w:rsidR="00E9485C" w:rsidRPr="002237F0">
              <w:rPr>
                <w:sz w:val="18"/>
                <w:szCs w:val="18"/>
                <w:lang w:val="nl-NL"/>
              </w:rPr>
              <w:t xml:space="preserve"> boekwaarde</w:t>
            </w:r>
            <w:r w:rsidR="008B1B9A" w:rsidRPr="002237F0">
              <w:rPr>
                <w:sz w:val="18"/>
                <w:szCs w:val="18"/>
                <w:lang w:val="nl-NL"/>
              </w:rPr>
              <w:t xml:space="preserve"> (in verhouding tot de marktwaarde)</w:t>
            </w:r>
            <w:r w:rsidR="00E9485C" w:rsidRPr="002237F0">
              <w:rPr>
                <w:sz w:val="18"/>
                <w:szCs w:val="18"/>
                <w:lang w:val="nl-NL"/>
              </w:rPr>
              <w:t xml:space="preserve"> van veel banken</w:t>
            </w:r>
            <w:r w:rsidRPr="002237F0">
              <w:rPr>
                <w:sz w:val="18"/>
                <w:szCs w:val="18"/>
                <w:lang w:val="nl-NL"/>
              </w:rPr>
              <w:t xml:space="preserve">, voorafgaand aan de </w:t>
            </w:r>
            <w:proofErr w:type="gramStart"/>
            <w:r w:rsidRPr="002237F0">
              <w:rPr>
                <w:sz w:val="18"/>
                <w:szCs w:val="18"/>
                <w:lang w:val="nl-NL"/>
              </w:rPr>
              <w:t xml:space="preserve">crisis, </w:t>
            </w:r>
            <w:r w:rsidR="00E9485C" w:rsidRPr="002237F0">
              <w:rPr>
                <w:sz w:val="18"/>
                <w:szCs w:val="18"/>
                <w:lang w:val="nl-NL"/>
              </w:rPr>
              <w:t xml:space="preserve"> </w:t>
            </w:r>
            <w:proofErr w:type="gramEnd"/>
            <w:r w:rsidR="00E9485C" w:rsidRPr="002237F0">
              <w:rPr>
                <w:sz w:val="18"/>
                <w:szCs w:val="18"/>
                <w:lang w:val="nl-NL"/>
              </w:rPr>
              <w:t>heeft laten zien dat voor aanvang van de crisis er boven de reële waarde is gewaardeerd</w:t>
            </w:r>
            <w:r w:rsidR="0053076B" w:rsidRPr="002237F0">
              <w:rPr>
                <w:sz w:val="18"/>
                <w:szCs w:val="18"/>
                <w:lang w:val="nl-NL"/>
              </w:rPr>
              <w:t>.</w:t>
            </w:r>
          </w:p>
        </w:tc>
        <w:tc>
          <w:tcPr>
            <w:tcW w:w="4621" w:type="dxa"/>
          </w:tcPr>
          <w:p w:rsidR="00E9485C" w:rsidRPr="002237F0" w:rsidRDefault="00E9485C" w:rsidP="00E9485C">
            <w:pPr>
              <w:pStyle w:val="Bibliography"/>
              <w:rPr>
                <w:noProof/>
                <w:sz w:val="18"/>
                <w:szCs w:val="18"/>
              </w:rPr>
            </w:pPr>
            <w:r w:rsidRPr="002237F0">
              <w:rPr>
                <w:noProof/>
                <w:sz w:val="18"/>
                <w:szCs w:val="18"/>
              </w:rPr>
              <w:t xml:space="preserve">Huizinga, &amp; Laeven. (2009). </w:t>
            </w:r>
            <w:r w:rsidRPr="002237F0">
              <w:rPr>
                <w:i/>
                <w:iCs/>
                <w:noProof/>
                <w:sz w:val="18"/>
                <w:szCs w:val="18"/>
              </w:rPr>
              <w:t>Accounting discretion of banks during a financial crisis.</w:t>
            </w:r>
            <w:r w:rsidRPr="002237F0">
              <w:rPr>
                <w:noProof/>
                <w:sz w:val="18"/>
                <w:szCs w:val="18"/>
              </w:rPr>
              <w:t xml:space="preserve"> Tilburg.</w:t>
            </w:r>
          </w:p>
          <w:p w:rsidR="00E9485C" w:rsidRPr="002237F0" w:rsidRDefault="00E9485C" w:rsidP="00767CED">
            <w:pPr>
              <w:rPr>
                <w:sz w:val="18"/>
                <w:szCs w:val="18"/>
              </w:rPr>
            </w:pPr>
          </w:p>
        </w:tc>
      </w:tr>
      <w:tr w:rsidR="00E9485C" w:rsidRPr="002237F0" w:rsidTr="002B730E">
        <w:tc>
          <w:tcPr>
            <w:tcW w:w="4621" w:type="dxa"/>
          </w:tcPr>
          <w:p w:rsidR="00E9485C" w:rsidRPr="002237F0" w:rsidRDefault="00A23963" w:rsidP="00767CED">
            <w:pPr>
              <w:rPr>
                <w:sz w:val="18"/>
                <w:lang w:val="nl-NL"/>
              </w:rPr>
            </w:pPr>
            <w:r w:rsidRPr="002237F0">
              <w:rPr>
                <w:sz w:val="18"/>
                <w:lang w:val="nl-NL"/>
              </w:rPr>
              <w:t>Bij benadering wordt s</w:t>
            </w:r>
            <w:r w:rsidR="008B1B9A" w:rsidRPr="002237F0">
              <w:rPr>
                <w:sz w:val="18"/>
                <w:lang w:val="nl-NL"/>
              </w:rPr>
              <w:t xml:space="preserve">lechts 50% van de activa van een </w:t>
            </w:r>
            <w:r w:rsidRPr="002237F0">
              <w:rPr>
                <w:sz w:val="18"/>
                <w:lang w:val="nl-NL"/>
              </w:rPr>
              <w:t>bank</w:t>
            </w:r>
            <w:r w:rsidR="008B1B9A" w:rsidRPr="002237F0">
              <w:rPr>
                <w:sz w:val="18"/>
                <w:lang w:val="nl-NL"/>
              </w:rPr>
              <w:t xml:space="preserve"> tegen fair </w:t>
            </w:r>
            <w:proofErr w:type="spellStart"/>
            <w:r w:rsidR="008B1B9A" w:rsidRPr="002237F0">
              <w:rPr>
                <w:sz w:val="18"/>
                <w:lang w:val="nl-NL"/>
              </w:rPr>
              <w:t>value</w:t>
            </w:r>
            <w:proofErr w:type="spellEnd"/>
            <w:r w:rsidR="008B1B9A" w:rsidRPr="002237F0">
              <w:rPr>
                <w:sz w:val="18"/>
                <w:lang w:val="nl-NL"/>
              </w:rPr>
              <w:t xml:space="preserve"> gewaardeerd</w:t>
            </w:r>
            <w:r w:rsidR="0053076B" w:rsidRPr="002237F0">
              <w:rPr>
                <w:sz w:val="18"/>
                <w:lang w:val="nl-NL"/>
              </w:rPr>
              <w:t>. De overige helft bestaat uit leningen.</w:t>
            </w:r>
          </w:p>
        </w:tc>
        <w:tc>
          <w:tcPr>
            <w:tcW w:w="4621" w:type="dxa"/>
          </w:tcPr>
          <w:p w:rsidR="008B1B9A" w:rsidRPr="002237F0" w:rsidRDefault="008B1B9A" w:rsidP="008B1B9A">
            <w:pPr>
              <w:pStyle w:val="Bibliography"/>
              <w:rPr>
                <w:noProof/>
                <w:sz w:val="18"/>
              </w:rPr>
            </w:pPr>
            <w:r w:rsidRPr="002237F0">
              <w:rPr>
                <w:noProof/>
                <w:sz w:val="18"/>
              </w:rPr>
              <w:t xml:space="preserve">Barth, &amp; Landsman. (2010). </w:t>
            </w:r>
            <w:r w:rsidRPr="002237F0">
              <w:rPr>
                <w:i/>
                <w:iCs/>
                <w:noProof/>
                <w:sz w:val="18"/>
              </w:rPr>
              <w:t>How did Financial Reporting Contribute to the Financial Crisis?</w:t>
            </w:r>
            <w:r w:rsidRPr="002237F0">
              <w:rPr>
                <w:noProof/>
                <w:sz w:val="18"/>
              </w:rPr>
              <w:t xml:space="preserve"> Stanford: Centre for Finance and Accounting Research.</w:t>
            </w:r>
          </w:p>
          <w:p w:rsidR="00E9485C" w:rsidRPr="002237F0" w:rsidRDefault="00E9485C" w:rsidP="00E9485C">
            <w:pPr>
              <w:pStyle w:val="Bibliography"/>
              <w:rPr>
                <w:noProof/>
              </w:rPr>
            </w:pPr>
          </w:p>
        </w:tc>
      </w:tr>
    </w:tbl>
    <w:p w:rsidR="002B730E" w:rsidRPr="002237F0" w:rsidRDefault="002B730E" w:rsidP="00767CED"/>
    <w:p w:rsidR="00A23963" w:rsidRPr="002237F0" w:rsidRDefault="000A0991" w:rsidP="00767CED">
      <w:pPr>
        <w:rPr>
          <w:lang w:val="nl-NL"/>
        </w:rPr>
      </w:pPr>
      <w:r w:rsidRPr="002237F0">
        <w:rPr>
          <w:lang w:val="nl-NL"/>
        </w:rPr>
        <w:t xml:space="preserve">Geconcludeerd kan worden dat </w:t>
      </w:r>
      <w:proofErr w:type="spellStart"/>
      <w:r w:rsidRPr="002237F0">
        <w:rPr>
          <w:lang w:val="nl-NL"/>
        </w:rPr>
        <w:t>fair-value</w:t>
      </w:r>
      <w:proofErr w:type="spellEnd"/>
      <w:r w:rsidRPr="002237F0">
        <w:rPr>
          <w:lang w:val="nl-NL"/>
        </w:rPr>
        <w:t xml:space="preserve"> accounting </w:t>
      </w:r>
      <w:r w:rsidR="00B640D6" w:rsidRPr="002237F0">
        <w:rPr>
          <w:lang w:val="nl-NL"/>
        </w:rPr>
        <w:t xml:space="preserve">gedurende de crisis, maar ook gedurende de periode ervoor, niet altijd de gewenste informatie gegeven heeft. Betrouwbaarheid en relevantie </w:t>
      </w:r>
      <w:r w:rsidR="00A23963" w:rsidRPr="002237F0">
        <w:rPr>
          <w:lang w:val="nl-NL"/>
        </w:rPr>
        <w:t>waren niet altijd aanwezig</w:t>
      </w:r>
      <w:r w:rsidR="00B640D6" w:rsidRPr="002237F0">
        <w:rPr>
          <w:lang w:val="nl-NL"/>
        </w:rPr>
        <w:t xml:space="preserve">. De vraag was of fair </w:t>
      </w:r>
      <w:proofErr w:type="spellStart"/>
      <w:r w:rsidR="00B640D6" w:rsidRPr="002237F0">
        <w:rPr>
          <w:lang w:val="nl-NL"/>
        </w:rPr>
        <w:t>value</w:t>
      </w:r>
      <w:proofErr w:type="spellEnd"/>
      <w:r w:rsidR="00B640D6" w:rsidRPr="002237F0">
        <w:rPr>
          <w:lang w:val="nl-NL"/>
        </w:rPr>
        <w:t xml:space="preserve"> accounting heeft bijgedragen aan de crisis</w:t>
      </w:r>
      <w:r w:rsidR="00C0665D" w:rsidRPr="002237F0">
        <w:rPr>
          <w:lang w:val="nl-NL"/>
        </w:rPr>
        <w:t>, of slechts de waardeveranderingen heeft laten zien</w:t>
      </w:r>
      <w:sdt>
        <w:sdtPr>
          <w:rPr>
            <w:lang w:val="nl-NL"/>
          </w:rPr>
          <w:id w:val="-1661299448"/>
          <w:citation/>
        </w:sdtPr>
        <w:sdtContent>
          <w:r w:rsidR="003C13F3" w:rsidRPr="002237F0">
            <w:rPr>
              <w:lang w:val="nl-NL"/>
            </w:rPr>
            <w:fldChar w:fldCharType="begin"/>
          </w:r>
          <w:r w:rsidR="00C0665D" w:rsidRPr="002237F0">
            <w:rPr>
              <w:lang w:val="nl-NL"/>
            </w:rPr>
            <w:instrText xml:space="preserve"> CITATION And09 \l 1033 </w:instrText>
          </w:r>
          <w:r w:rsidR="003C13F3" w:rsidRPr="002237F0">
            <w:rPr>
              <w:lang w:val="nl-NL"/>
            </w:rPr>
            <w:fldChar w:fldCharType="separate"/>
          </w:r>
          <w:r w:rsidR="00C0665D" w:rsidRPr="002237F0">
            <w:rPr>
              <w:noProof/>
              <w:lang w:val="nl-NL"/>
            </w:rPr>
            <w:t xml:space="preserve"> (André, Cazavan-Jeny, Dick, Richard, &amp; Walton, 2009)</w:t>
          </w:r>
          <w:r w:rsidR="003C13F3" w:rsidRPr="002237F0">
            <w:rPr>
              <w:lang w:val="nl-NL"/>
            </w:rPr>
            <w:fldChar w:fldCharType="end"/>
          </w:r>
        </w:sdtContent>
      </w:sdt>
      <w:r w:rsidR="00B640D6" w:rsidRPr="002237F0">
        <w:rPr>
          <w:lang w:val="nl-NL"/>
        </w:rPr>
        <w:t xml:space="preserve">. De meningen verschillen hier nogal over. Dit onderzoek zal daar ook geen antwoord op kunnen geven. Misschien is het nog wel belangrijker om de vraag te beantwoorden of de actuele waardebepaling wel nauwkeurig genoeg is en genoeg informatie bevat. Naar aanleiding van deze subparagraaf kan wel </w:t>
      </w:r>
      <w:r w:rsidR="00A23963" w:rsidRPr="002237F0">
        <w:rPr>
          <w:lang w:val="nl-NL"/>
        </w:rPr>
        <w:t>geconcludeerd worden</w:t>
      </w:r>
      <w:r w:rsidR="00B640D6" w:rsidRPr="002237F0">
        <w:rPr>
          <w:lang w:val="nl-NL"/>
        </w:rPr>
        <w:t xml:space="preserve"> dat de actuele waardebepaling </w:t>
      </w:r>
      <w:r w:rsidR="00A23963" w:rsidRPr="002237F0">
        <w:rPr>
          <w:lang w:val="nl-NL"/>
        </w:rPr>
        <w:t>niet altijd de economische realiteit gereflecteerd heeft</w:t>
      </w:r>
      <w:r w:rsidR="00B640D6" w:rsidRPr="002237F0">
        <w:rPr>
          <w:lang w:val="nl-NL"/>
        </w:rPr>
        <w:t xml:space="preserve">. Het gaat niet zozeer om de vraag of </w:t>
      </w:r>
      <w:r w:rsidR="00A23963" w:rsidRPr="002237F0">
        <w:rPr>
          <w:lang w:val="nl-NL"/>
        </w:rPr>
        <w:t xml:space="preserve">de </w:t>
      </w:r>
      <w:r w:rsidR="00B640D6" w:rsidRPr="002237F0">
        <w:rPr>
          <w:lang w:val="nl-NL"/>
        </w:rPr>
        <w:t>waarderingsmaatstaf schuldig is aan de waardeverandering, maar of de waarderingsm</w:t>
      </w:r>
      <w:r w:rsidR="00A23963" w:rsidRPr="002237F0">
        <w:rPr>
          <w:lang w:val="nl-NL"/>
        </w:rPr>
        <w:t>aatstaf de waardeverandering</w:t>
      </w:r>
      <w:r w:rsidR="00B640D6" w:rsidRPr="002237F0">
        <w:rPr>
          <w:lang w:val="nl-NL"/>
        </w:rPr>
        <w:t xml:space="preserve"> juist weergeeft. Of de fair </w:t>
      </w:r>
      <w:proofErr w:type="spellStart"/>
      <w:r w:rsidR="00B640D6" w:rsidRPr="002237F0">
        <w:rPr>
          <w:lang w:val="nl-NL"/>
        </w:rPr>
        <w:t>value</w:t>
      </w:r>
      <w:proofErr w:type="spellEnd"/>
      <w:r w:rsidR="00B640D6" w:rsidRPr="002237F0">
        <w:rPr>
          <w:lang w:val="nl-NL"/>
        </w:rPr>
        <w:t xml:space="preserve"> benadering de juiste benadering is, zal in het laatste hoofdstuk besproken worden. Nu komen eerst de gevolgen van het amendement uit 2008 ter sprake.</w:t>
      </w:r>
    </w:p>
    <w:p w:rsidR="00767CED" w:rsidRPr="002237F0" w:rsidRDefault="00767CED" w:rsidP="00767CED">
      <w:pPr>
        <w:rPr>
          <w:lang w:val="nl-NL"/>
        </w:rPr>
      </w:pPr>
      <w:r w:rsidRPr="002237F0">
        <w:rPr>
          <w:b/>
          <w:sz w:val="28"/>
          <w:lang w:val="nl-NL"/>
        </w:rPr>
        <w:t xml:space="preserve">3.2.2. Verbreding van de mogelijkheden tot </w:t>
      </w:r>
      <w:proofErr w:type="spellStart"/>
      <w:r w:rsidRPr="002237F0">
        <w:rPr>
          <w:b/>
          <w:sz w:val="28"/>
          <w:lang w:val="nl-NL"/>
        </w:rPr>
        <w:t>herclassificatie</w:t>
      </w:r>
      <w:proofErr w:type="spellEnd"/>
    </w:p>
    <w:p w:rsidR="007C37E4" w:rsidRPr="002237F0" w:rsidRDefault="00F142DC" w:rsidP="00767CED">
      <w:pPr>
        <w:rPr>
          <w:lang w:val="nl-NL"/>
        </w:rPr>
      </w:pPr>
      <w:r w:rsidRPr="002237F0">
        <w:rPr>
          <w:lang w:val="nl-NL"/>
        </w:rPr>
        <w:t>Eerder werd vermeld</w:t>
      </w:r>
      <w:r w:rsidR="00E07836" w:rsidRPr="002237F0">
        <w:rPr>
          <w:lang w:val="nl-NL"/>
        </w:rPr>
        <w:t xml:space="preserve"> </w:t>
      </w:r>
      <w:r w:rsidR="007C37E4" w:rsidRPr="002237F0">
        <w:rPr>
          <w:lang w:val="nl-NL"/>
        </w:rPr>
        <w:t>dat het vanaf</w:t>
      </w:r>
      <w:r w:rsidRPr="002237F0">
        <w:rPr>
          <w:lang w:val="nl-NL"/>
        </w:rPr>
        <w:t xml:space="preserve"> oktober 2008 toegestaan werd</w:t>
      </w:r>
      <w:r w:rsidR="007C37E4" w:rsidRPr="002237F0">
        <w:rPr>
          <w:lang w:val="nl-NL"/>
        </w:rPr>
        <w:t xml:space="preserve"> veel categorieën die gewaardeerd werden tegen fair </w:t>
      </w:r>
      <w:proofErr w:type="spellStart"/>
      <w:r w:rsidR="007C37E4" w:rsidRPr="002237F0">
        <w:rPr>
          <w:lang w:val="nl-NL"/>
        </w:rPr>
        <w:t>value</w:t>
      </w:r>
      <w:proofErr w:type="spellEnd"/>
      <w:r w:rsidR="007C37E4" w:rsidRPr="002237F0">
        <w:rPr>
          <w:lang w:val="nl-NL"/>
        </w:rPr>
        <w:t xml:space="preserve"> te herc</w:t>
      </w:r>
      <w:r w:rsidRPr="002237F0">
        <w:rPr>
          <w:lang w:val="nl-NL"/>
        </w:rPr>
        <w:t>l</w:t>
      </w:r>
      <w:r w:rsidR="007C37E4" w:rsidRPr="002237F0">
        <w:rPr>
          <w:lang w:val="nl-NL"/>
        </w:rPr>
        <w:t xml:space="preserve">assificeren. </w:t>
      </w:r>
      <w:proofErr w:type="spellStart"/>
      <w:r w:rsidR="007C37E4" w:rsidRPr="002237F0">
        <w:rPr>
          <w:lang w:val="nl-NL"/>
        </w:rPr>
        <w:t>Herclassificatie</w:t>
      </w:r>
      <w:proofErr w:type="spellEnd"/>
      <w:r w:rsidR="007C37E4" w:rsidRPr="002237F0">
        <w:rPr>
          <w:lang w:val="nl-NL"/>
        </w:rPr>
        <w:t xml:space="preserve"> was ook mogelijk naar categorieën die gewaardeerd werden tegen geamortiseerde kostprijs. In feite kwam dit neer op het loslaten van de fair </w:t>
      </w:r>
      <w:proofErr w:type="spellStart"/>
      <w:r w:rsidR="007C37E4" w:rsidRPr="002237F0">
        <w:rPr>
          <w:lang w:val="nl-NL"/>
        </w:rPr>
        <w:t>value</w:t>
      </w:r>
      <w:proofErr w:type="spellEnd"/>
      <w:r w:rsidR="007C37E4" w:rsidRPr="002237F0">
        <w:rPr>
          <w:lang w:val="nl-NL"/>
        </w:rPr>
        <w:t xml:space="preserve"> waardering</w:t>
      </w:r>
      <w:sdt>
        <w:sdtPr>
          <w:rPr>
            <w:lang w:val="nl-NL"/>
          </w:rPr>
          <w:id w:val="708376903"/>
          <w:citation/>
        </w:sdtPr>
        <w:sdtContent>
          <w:r w:rsidR="003C13F3" w:rsidRPr="002237F0">
            <w:rPr>
              <w:lang w:val="nl-NL"/>
            </w:rPr>
            <w:fldChar w:fldCharType="begin"/>
          </w:r>
          <w:r w:rsidR="007C37E4" w:rsidRPr="002237F0">
            <w:rPr>
              <w:lang w:val="nl-NL"/>
            </w:rPr>
            <w:instrText xml:space="preserve">CITATION Bis12 \t  \l 1033 </w:instrText>
          </w:r>
          <w:r w:rsidR="003C13F3" w:rsidRPr="002237F0">
            <w:rPr>
              <w:lang w:val="nl-NL"/>
            </w:rPr>
            <w:fldChar w:fldCharType="separate"/>
          </w:r>
          <w:r w:rsidR="00721EC3" w:rsidRPr="002237F0">
            <w:rPr>
              <w:noProof/>
              <w:lang w:val="nl-NL"/>
            </w:rPr>
            <w:t xml:space="preserve"> (Bischof, Brüggeman, &amp; Daske, 2012)</w:t>
          </w:r>
          <w:r w:rsidR="003C13F3" w:rsidRPr="002237F0">
            <w:rPr>
              <w:lang w:val="nl-NL"/>
            </w:rPr>
            <w:fldChar w:fldCharType="end"/>
          </w:r>
        </w:sdtContent>
      </w:sdt>
      <w:r w:rsidR="007C37E4" w:rsidRPr="002237F0">
        <w:rPr>
          <w:lang w:val="nl-NL"/>
        </w:rPr>
        <w:t>. Hierbij moet opgemerkt worden dat de vernieuwde herwaarderingsmogelijkheden ook</w:t>
      </w:r>
      <w:r w:rsidRPr="002237F0">
        <w:rPr>
          <w:lang w:val="nl-NL"/>
        </w:rPr>
        <w:t xml:space="preserve"> vanaf juli 2008</w:t>
      </w:r>
      <w:r w:rsidR="007C37E4" w:rsidRPr="002237F0">
        <w:rPr>
          <w:lang w:val="nl-NL"/>
        </w:rPr>
        <w:t xml:space="preserve"> met terugwerkende kracht toegepast</w:t>
      </w:r>
      <w:r w:rsidRPr="002237F0">
        <w:rPr>
          <w:lang w:val="nl-NL"/>
        </w:rPr>
        <w:t xml:space="preserve"> mochten worden</w:t>
      </w:r>
      <w:r w:rsidR="007C37E4" w:rsidRPr="002237F0">
        <w:rPr>
          <w:lang w:val="nl-NL"/>
        </w:rPr>
        <w:t xml:space="preserve">. </w:t>
      </w:r>
    </w:p>
    <w:p w:rsidR="0030608E" w:rsidRPr="002237F0" w:rsidRDefault="007C37E4" w:rsidP="00767CED">
      <w:pPr>
        <w:rPr>
          <w:lang w:val="nl-NL"/>
        </w:rPr>
      </w:pPr>
      <w:r w:rsidRPr="002237F0">
        <w:rPr>
          <w:lang w:val="nl-NL"/>
        </w:rPr>
        <w:t xml:space="preserve">Naast de vernieuwde waarderingsmogelijkheden kwam de IASB wel met nieuwe </w:t>
      </w:r>
      <w:proofErr w:type="spellStart"/>
      <w:r w:rsidRPr="002237F0">
        <w:rPr>
          <w:lang w:val="nl-NL"/>
        </w:rPr>
        <w:t>toelichtingsvereisten</w:t>
      </w:r>
      <w:proofErr w:type="spellEnd"/>
      <w:r w:rsidRPr="002237F0">
        <w:rPr>
          <w:lang w:val="nl-NL"/>
        </w:rPr>
        <w:t xml:space="preserve">. Zo moet opgaaf van reden gedaan worden waarom er gekozen is voor </w:t>
      </w:r>
      <w:proofErr w:type="spellStart"/>
      <w:r w:rsidRPr="002237F0">
        <w:rPr>
          <w:lang w:val="nl-NL"/>
        </w:rPr>
        <w:t>herclassificatie</w:t>
      </w:r>
      <w:proofErr w:type="spellEnd"/>
      <w:r w:rsidRPr="002237F0">
        <w:rPr>
          <w:lang w:val="nl-NL"/>
        </w:rPr>
        <w:t xml:space="preserve">, en moet er kwantitatieve informatie gegeven worden over het bedrag waarvoor er </w:t>
      </w:r>
      <w:proofErr w:type="spellStart"/>
      <w:r w:rsidRPr="002237F0">
        <w:rPr>
          <w:lang w:val="nl-NL"/>
        </w:rPr>
        <w:t>geherclassificeerd</w:t>
      </w:r>
      <w:proofErr w:type="spellEnd"/>
      <w:r w:rsidRPr="002237F0">
        <w:rPr>
          <w:lang w:val="nl-NL"/>
        </w:rPr>
        <w:t xml:space="preserve"> is</w:t>
      </w:r>
      <w:sdt>
        <w:sdtPr>
          <w:rPr>
            <w:lang w:val="nl-NL"/>
          </w:rPr>
          <w:id w:val="2041137"/>
          <w:citation/>
        </w:sdtPr>
        <w:sdtContent>
          <w:r w:rsidR="003C13F3" w:rsidRPr="002237F0">
            <w:rPr>
              <w:lang w:val="nl-NL"/>
            </w:rPr>
            <w:fldChar w:fldCharType="begin"/>
          </w:r>
          <w:r w:rsidR="00F142DC" w:rsidRPr="002237F0">
            <w:rPr>
              <w:lang w:val="nl-NL"/>
            </w:rPr>
            <w:instrText xml:space="preserve"> CITATION Böh12 \l 1043 </w:instrText>
          </w:r>
          <w:r w:rsidR="003C13F3" w:rsidRPr="002237F0">
            <w:rPr>
              <w:lang w:val="nl-NL"/>
            </w:rPr>
            <w:fldChar w:fldCharType="separate"/>
          </w:r>
          <w:r w:rsidR="00F142DC" w:rsidRPr="002237F0">
            <w:rPr>
              <w:noProof/>
              <w:lang w:val="nl-NL"/>
            </w:rPr>
            <w:t xml:space="preserve"> (Böhmer, Hoogendoorn, &amp; Kruit, 2012)</w:t>
          </w:r>
          <w:r w:rsidR="003C13F3" w:rsidRPr="002237F0">
            <w:rPr>
              <w:lang w:val="nl-NL"/>
            </w:rPr>
            <w:fldChar w:fldCharType="end"/>
          </w:r>
        </w:sdtContent>
      </w:sdt>
      <w:r w:rsidRPr="002237F0">
        <w:rPr>
          <w:lang w:val="nl-NL"/>
        </w:rPr>
        <w:t xml:space="preserve">. Als een rapporterende entiteit zich dus aan alle </w:t>
      </w:r>
      <w:proofErr w:type="spellStart"/>
      <w:r w:rsidRPr="002237F0">
        <w:rPr>
          <w:lang w:val="nl-NL"/>
        </w:rPr>
        <w:t>toelichtingsvereisten</w:t>
      </w:r>
      <w:proofErr w:type="spellEnd"/>
      <w:r w:rsidRPr="002237F0">
        <w:rPr>
          <w:lang w:val="nl-NL"/>
        </w:rPr>
        <w:t xml:space="preserve"> houdt, is het v</w:t>
      </w:r>
      <w:r w:rsidR="00F142DC" w:rsidRPr="002237F0">
        <w:rPr>
          <w:lang w:val="nl-NL"/>
        </w:rPr>
        <w:t>oor een investeerder mogelijk</w:t>
      </w:r>
      <w:r w:rsidRPr="002237F0">
        <w:rPr>
          <w:lang w:val="nl-NL"/>
        </w:rPr>
        <w:t xml:space="preserve"> precies terug te rekenen wat de balanswaarde zou zijn onder een fair </w:t>
      </w:r>
      <w:proofErr w:type="spellStart"/>
      <w:r w:rsidRPr="002237F0">
        <w:rPr>
          <w:lang w:val="nl-NL"/>
        </w:rPr>
        <w:t>value</w:t>
      </w:r>
      <w:proofErr w:type="spellEnd"/>
      <w:r w:rsidRPr="002237F0">
        <w:rPr>
          <w:lang w:val="nl-NL"/>
        </w:rPr>
        <w:t xml:space="preserve"> waardering. Bij perfecte naleving van de </w:t>
      </w:r>
      <w:proofErr w:type="spellStart"/>
      <w:r w:rsidRPr="002237F0">
        <w:rPr>
          <w:lang w:val="nl-NL"/>
        </w:rPr>
        <w:t>toelichtingsvereisten</w:t>
      </w:r>
      <w:proofErr w:type="spellEnd"/>
      <w:r w:rsidRPr="002237F0">
        <w:rPr>
          <w:lang w:val="nl-NL"/>
        </w:rPr>
        <w:t xml:space="preserve"> kiest een bank eigenlijk tussen het informeren van veranderingen i</w:t>
      </w:r>
      <w:r w:rsidR="00F142DC" w:rsidRPr="002237F0">
        <w:rPr>
          <w:lang w:val="nl-NL"/>
        </w:rPr>
        <w:t>n actuele waarde via enerzijds d</w:t>
      </w:r>
      <w:r w:rsidRPr="002237F0">
        <w:rPr>
          <w:lang w:val="nl-NL"/>
        </w:rPr>
        <w:t xml:space="preserve">e toelichting en anderzijds via </w:t>
      </w:r>
      <w:r w:rsidR="00F142DC" w:rsidRPr="002237F0">
        <w:rPr>
          <w:lang w:val="nl-NL"/>
        </w:rPr>
        <w:t xml:space="preserve">het </w:t>
      </w:r>
      <w:r w:rsidR="00AD56A6" w:rsidRPr="002237F0">
        <w:rPr>
          <w:lang w:val="nl-NL"/>
        </w:rPr>
        <w:t>resultaat of vermogen</w:t>
      </w:r>
      <w:sdt>
        <w:sdtPr>
          <w:rPr>
            <w:lang w:val="nl-NL"/>
          </w:rPr>
          <w:id w:val="-1387950518"/>
          <w:citation/>
        </w:sdtPr>
        <w:sdtContent>
          <w:r w:rsidR="003C13F3" w:rsidRPr="002237F0">
            <w:rPr>
              <w:lang w:val="nl-NL"/>
            </w:rPr>
            <w:fldChar w:fldCharType="begin"/>
          </w:r>
          <w:r w:rsidR="00AD56A6" w:rsidRPr="002237F0">
            <w:rPr>
              <w:lang w:val="nl-NL"/>
            </w:rPr>
            <w:instrText xml:space="preserve">CITATION Bis12 \t  \l 1033 </w:instrText>
          </w:r>
          <w:r w:rsidR="003C13F3" w:rsidRPr="002237F0">
            <w:rPr>
              <w:lang w:val="nl-NL"/>
            </w:rPr>
            <w:fldChar w:fldCharType="separate"/>
          </w:r>
          <w:r w:rsidR="00721EC3" w:rsidRPr="002237F0">
            <w:rPr>
              <w:noProof/>
              <w:lang w:val="nl-NL"/>
            </w:rPr>
            <w:t xml:space="preserve"> (Bischof, Brüggeman, &amp; Daske, 2012)</w:t>
          </w:r>
          <w:r w:rsidR="003C13F3" w:rsidRPr="002237F0">
            <w:rPr>
              <w:lang w:val="nl-NL"/>
            </w:rPr>
            <w:fldChar w:fldCharType="end"/>
          </w:r>
        </w:sdtContent>
      </w:sdt>
      <w:r w:rsidR="00AD56A6" w:rsidRPr="002237F0">
        <w:rPr>
          <w:lang w:val="nl-NL"/>
        </w:rPr>
        <w:t>.</w:t>
      </w:r>
    </w:p>
    <w:p w:rsidR="004373BB" w:rsidRPr="002237F0" w:rsidRDefault="0030608E" w:rsidP="00767CED">
      <w:pPr>
        <w:rPr>
          <w:lang w:val="nl-NL"/>
        </w:rPr>
      </w:pPr>
      <w:r w:rsidRPr="002237F0">
        <w:rPr>
          <w:lang w:val="nl-NL"/>
        </w:rPr>
        <w:t>Onderzoek</w:t>
      </w:r>
      <w:r w:rsidR="00F142DC" w:rsidRPr="002237F0">
        <w:rPr>
          <w:lang w:val="nl-NL"/>
        </w:rPr>
        <w:t xml:space="preserve"> van Peter </w:t>
      </w:r>
      <w:proofErr w:type="spellStart"/>
      <w:r w:rsidR="00F142DC" w:rsidRPr="002237F0">
        <w:rPr>
          <w:lang w:val="nl-NL"/>
        </w:rPr>
        <w:t>Fiechter</w:t>
      </w:r>
      <w:proofErr w:type="spellEnd"/>
      <w:r w:rsidRPr="002237F0">
        <w:rPr>
          <w:lang w:val="nl-NL"/>
        </w:rPr>
        <w:t xml:space="preserve"> heeft uitgewezen dat ongeveer een derde van de Europese banken gebruikt heeft gemaakt van het amendement. Het gemiddelde bedrag</w:t>
      </w:r>
      <w:r w:rsidR="00F142DC" w:rsidRPr="002237F0">
        <w:rPr>
          <w:lang w:val="nl-NL"/>
        </w:rPr>
        <w:t xml:space="preserve"> waarvoor </w:t>
      </w:r>
      <w:proofErr w:type="spellStart"/>
      <w:r w:rsidR="00F142DC" w:rsidRPr="002237F0">
        <w:rPr>
          <w:lang w:val="nl-NL"/>
        </w:rPr>
        <w:t>geherclassificeerd</w:t>
      </w:r>
      <w:proofErr w:type="spellEnd"/>
      <w:r w:rsidR="00F142DC" w:rsidRPr="002237F0">
        <w:rPr>
          <w:lang w:val="nl-NL"/>
        </w:rPr>
        <w:t xml:space="preserve"> is</w:t>
      </w:r>
      <w:r w:rsidRPr="002237F0">
        <w:rPr>
          <w:lang w:val="nl-NL"/>
        </w:rPr>
        <w:t xml:space="preserve"> ligt</w:t>
      </w:r>
      <w:r w:rsidR="004373BB" w:rsidRPr="002237F0">
        <w:rPr>
          <w:lang w:val="nl-NL"/>
        </w:rPr>
        <w:t xml:space="preserve"> rond</w:t>
      </w:r>
      <w:r w:rsidRPr="002237F0">
        <w:rPr>
          <w:lang w:val="nl-NL"/>
        </w:rPr>
        <w:t xml:space="preserve"> 4% van de totale activa, en rond de 130% van het eigen vermogen</w:t>
      </w:r>
      <w:sdt>
        <w:sdtPr>
          <w:rPr>
            <w:lang w:val="nl-NL"/>
          </w:rPr>
          <w:id w:val="1651091301"/>
          <w:citation/>
        </w:sdtPr>
        <w:sdtContent>
          <w:r w:rsidR="003C13F3" w:rsidRPr="002237F0">
            <w:rPr>
              <w:lang w:val="nl-NL"/>
            </w:rPr>
            <w:fldChar w:fldCharType="begin"/>
          </w:r>
          <w:r w:rsidRPr="002237F0">
            <w:rPr>
              <w:lang w:val="nl-NL"/>
            </w:rPr>
            <w:instrText xml:space="preserve">CITATION Fie11 \t  \l 1033 </w:instrText>
          </w:r>
          <w:r w:rsidR="003C13F3" w:rsidRPr="002237F0">
            <w:rPr>
              <w:lang w:val="nl-NL"/>
            </w:rPr>
            <w:fldChar w:fldCharType="separate"/>
          </w:r>
          <w:r w:rsidR="00721EC3" w:rsidRPr="002237F0">
            <w:rPr>
              <w:noProof/>
              <w:lang w:val="nl-NL"/>
            </w:rPr>
            <w:t xml:space="preserve"> (Fiechter, 2011)</w:t>
          </w:r>
          <w:r w:rsidR="003C13F3" w:rsidRPr="002237F0">
            <w:rPr>
              <w:lang w:val="nl-NL"/>
            </w:rPr>
            <w:fldChar w:fldCharType="end"/>
          </w:r>
        </w:sdtContent>
      </w:sdt>
      <w:r w:rsidRPr="002237F0">
        <w:rPr>
          <w:lang w:val="nl-NL"/>
        </w:rPr>
        <w:t>.</w:t>
      </w:r>
    </w:p>
    <w:p w:rsidR="00C46C53" w:rsidRPr="002237F0" w:rsidRDefault="00C46C53" w:rsidP="00767CED">
      <w:pPr>
        <w:rPr>
          <w:b/>
          <w:sz w:val="24"/>
          <w:lang w:val="nl-NL"/>
        </w:rPr>
      </w:pPr>
      <w:r w:rsidRPr="002237F0">
        <w:rPr>
          <w:b/>
          <w:sz w:val="24"/>
          <w:lang w:val="nl-NL"/>
        </w:rPr>
        <w:t>Kritiek uit de literatuur</w:t>
      </w:r>
    </w:p>
    <w:p w:rsidR="00084BDE" w:rsidRPr="002237F0" w:rsidRDefault="004373BB" w:rsidP="00767CED">
      <w:pPr>
        <w:rPr>
          <w:lang w:val="nl-NL"/>
        </w:rPr>
      </w:pPr>
      <w:r w:rsidRPr="002237F0">
        <w:rPr>
          <w:lang w:val="nl-NL"/>
        </w:rPr>
        <w:t xml:space="preserve">Het eerste punt van kritiek richt zich op de </w:t>
      </w:r>
      <w:r w:rsidR="00084BDE" w:rsidRPr="002237F0">
        <w:rPr>
          <w:lang w:val="nl-NL"/>
        </w:rPr>
        <w:t xml:space="preserve">terugwerkende kracht van het amendement. Deze terugwerkende kracht gold van 1 juli tot 1 november. Een bank kon eind </w:t>
      </w:r>
      <w:r w:rsidR="00C46C53" w:rsidRPr="002237F0">
        <w:rPr>
          <w:lang w:val="nl-NL"/>
        </w:rPr>
        <w:t>oktober</w:t>
      </w:r>
      <w:r w:rsidR="00084BDE" w:rsidRPr="002237F0">
        <w:rPr>
          <w:lang w:val="nl-NL"/>
        </w:rPr>
        <w:t xml:space="preserve"> dus, wanneer alle resultaten al bekend waren, achteraf besluiten vanaf welke datum de terugwerkende kracht in zou gaan</w:t>
      </w:r>
      <w:r w:rsidR="00C46C53" w:rsidRPr="002237F0">
        <w:rPr>
          <w:lang w:val="nl-NL"/>
        </w:rPr>
        <w:t>, of achteraf beslissen wel of niet van het amendement gebruik te maken</w:t>
      </w:r>
      <w:r w:rsidR="00084BDE" w:rsidRPr="002237F0">
        <w:rPr>
          <w:lang w:val="nl-NL"/>
        </w:rPr>
        <w:t xml:space="preserve">. Achteraf deze keuze maken terwijl je de resultaten al kent, wordt in het Engels ‘perfect </w:t>
      </w:r>
      <w:proofErr w:type="spellStart"/>
      <w:r w:rsidR="00084BDE" w:rsidRPr="002237F0">
        <w:rPr>
          <w:lang w:val="nl-NL"/>
        </w:rPr>
        <w:t>hindsight</w:t>
      </w:r>
      <w:proofErr w:type="spellEnd"/>
      <w:r w:rsidR="00084BDE" w:rsidRPr="002237F0">
        <w:rPr>
          <w:lang w:val="nl-NL"/>
        </w:rPr>
        <w:t>’ genoemd</w:t>
      </w:r>
      <w:sdt>
        <w:sdtPr>
          <w:rPr>
            <w:lang w:val="nl-NL"/>
          </w:rPr>
          <w:id w:val="-774642772"/>
          <w:citation/>
        </w:sdtPr>
        <w:sdtContent>
          <w:r w:rsidR="003C13F3" w:rsidRPr="002237F0">
            <w:rPr>
              <w:lang w:val="nl-NL"/>
            </w:rPr>
            <w:fldChar w:fldCharType="begin"/>
          </w:r>
          <w:r w:rsidR="00084BDE" w:rsidRPr="002237F0">
            <w:rPr>
              <w:lang w:val="nl-NL"/>
            </w:rPr>
            <w:instrText xml:space="preserve">CITATION Bis12 \t  \l 1033 </w:instrText>
          </w:r>
          <w:r w:rsidR="003C13F3" w:rsidRPr="002237F0">
            <w:rPr>
              <w:lang w:val="nl-NL"/>
            </w:rPr>
            <w:fldChar w:fldCharType="separate"/>
          </w:r>
          <w:r w:rsidR="00721EC3" w:rsidRPr="002237F0">
            <w:rPr>
              <w:noProof/>
              <w:lang w:val="nl-NL"/>
            </w:rPr>
            <w:t xml:space="preserve"> (Bischof, Brüggeman, &amp; Daske, 2012)</w:t>
          </w:r>
          <w:r w:rsidR="003C13F3" w:rsidRPr="002237F0">
            <w:rPr>
              <w:lang w:val="nl-NL"/>
            </w:rPr>
            <w:fldChar w:fldCharType="end"/>
          </w:r>
        </w:sdtContent>
      </w:sdt>
      <w:r w:rsidR="00084BDE" w:rsidRPr="002237F0">
        <w:rPr>
          <w:lang w:val="nl-NL"/>
        </w:rPr>
        <w:t xml:space="preserve">. Dit wordt niet gezien als een eerlijke manier van waarderen. Gebruik maken van </w:t>
      </w:r>
      <w:r w:rsidR="00C46C53" w:rsidRPr="002237F0">
        <w:rPr>
          <w:lang w:val="nl-NL"/>
        </w:rPr>
        <w:t xml:space="preserve">de terugwerkende kracht van </w:t>
      </w:r>
      <w:r w:rsidR="00084BDE" w:rsidRPr="002237F0">
        <w:rPr>
          <w:lang w:val="nl-NL"/>
        </w:rPr>
        <w:t xml:space="preserve">het amendement levert een voordeel op dat er eigenlijk niet zou moeten zijn. </w:t>
      </w:r>
    </w:p>
    <w:p w:rsidR="00F82D1F" w:rsidRPr="002237F0" w:rsidRDefault="00084BDE" w:rsidP="00767CED">
      <w:pPr>
        <w:rPr>
          <w:lang w:val="nl-NL"/>
        </w:rPr>
      </w:pPr>
      <w:r w:rsidRPr="002237F0">
        <w:rPr>
          <w:lang w:val="nl-NL"/>
        </w:rPr>
        <w:t xml:space="preserve">Het tweede punt van kritiek richt zich op de verhoogde </w:t>
      </w:r>
      <w:proofErr w:type="spellStart"/>
      <w:r w:rsidRPr="002237F0">
        <w:rPr>
          <w:lang w:val="nl-NL"/>
        </w:rPr>
        <w:t>toelichtingsvereisten</w:t>
      </w:r>
      <w:proofErr w:type="spellEnd"/>
      <w:r w:rsidRPr="002237F0">
        <w:rPr>
          <w:lang w:val="nl-NL"/>
        </w:rPr>
        <w:t xml:space="preserve"> waaraan de banken moesten voldoen. Uit onderzoek blijkt dat slechts een derde van de banken zich aan de verhoogde </w:t>
      </w:r>
      <w:proofErr w:type="spellStart"/>
      <w:r w:rsidRPr="002237F0">
        <w:rPr>
          <w:lang w:val="nl-NL"/>
        </w:rPr>
        <w:t>toelichtingsvereisten</w:t>
      </w:r>
      <w:proofErr w:type="spellEnd"/>
      <w:r w:rsidRPr="002237F0">
        <w:rPr>
          <w:lang w:val="nl-NL"/>
        </w:rPr>
        <w:t xml:space="preserve"> hield</w:t>
      </w:r>
      <w:sdt>
        <w:sdtPr>
          <w:rPr>
            <w:lang w:val="nl-NL"/>
          </w:rPr>
          <w:id w:val="-677960090"/>
          <w:citation/>
        </w:sdtPr>
        <w:sdtContent>
          <w:r w:rsidR="003C13F3" w:rsidRPr="002237F0">
            <w:rPr>
              <w:lang w:val="nl-NL"/>
            </w:rPr>
            <w:fldChar w:fldCharType="begin"/>
          </w:r>
          <w:r w:rsidRPr="002237F0">
            <w:rPr>
              <w:lang w:val="nl-NL"/>
            </w:rPr>
            <w:instrText xml:space="preserve">CITATION Bis10 \t  \l 1033 </w:instrText>
          </w:r>
          <w:r w:rsidR="003C13F3" w:rsidRPr="002237F0">
            <w:rPr>
              <w:lang w:val="nl-NL"/>
            </w:rPr>
            <w:fldChar w:fldCharType="separate"/>
          </w:r>
          <w:r w:rsidR="00721EC3" w:rsidRPr="002237F0">
            <w:rPr>
              <w:noProof/>
              <w:lang w:val="nl-NL"/>
            </w:rPr>
            <w:t xml:space="preserve"> (Bischof, Brüggeman, &amp; Daske, 2010)</w:t>
          </w:r>
          <w:r w:rsidR="003C13F3" w:rsidRPr="002237F0">
            <w:rPr>
              <w:lang w:val="nl-NL"/>
            </w:rPr>
            <w:fldChar w:fldCharType="end"/>
          </w:r>
        </w:sdtContent>
      </w:sdt>
      <w:r w:rsidRPr="002237F0">
        <w:rPr>
          <w:lang w:val="nl-NL"/>
        </w:rPr>
        <w:t xml:space="preserve">. Uit het feit dat </w:t>
      </w:r>
      <w:r w:rsidR="00E1355B" w:rsidRPr="002237F0">
        <w:rPr>
          <w:lang w:val="nl-NL"/>
        </w:rPr>
        <w:t>het verschil tussen de vraagprijs en de biedprijs van de aandelen van die banken groter werd</w:t>
      </w:r>
      <w:r w:rsidRPr="002237F0">
        <w:rPr>
          <w:lang w:val="nl-NL"/>
        </w:rPr>
        <w:t xml:space="preserve">, kan volgens hetzelfde onderzoek geconcludeerd worden dat </w:t>
      </w:r>
      <w:proofErr w:type="gramStart"/>
      <w:r w:rsidRPr="002237F0">
        <w:rPr>
          <w:lang w:val="nl-NL"/>
        </w:rPr>
        <w:t xml:space="preserve">de  </w:t>
      </w:r>
      <w:proofErr w:type="gramEnd"/>
      <w:r w:rsidRPr="002237F0">
        <w:rPr>
          <w:lang w:val="nl-NL"/>
        </w:rPr>
        <w:t>informatie asymmetrie toegenomen is.</w:t>
      </w:r>
      <w:r w:rsidR="00F82D1F" w:rsidRPr="002237F0">
        <w:rPr>
          <w:lang w:val="nl-NL"/>
        </w:rPr>
        <w:t xml:space="preserve"> De managers van een bedrijf weten meer, omdat ze niet alle informatie over de waardedaling van de fair </w:t>
      </w:r>
      <w:proofErr w:type="spellStart"/>
      <w:r w:rsidR="00F82D1F" w:rsidRPr="002237F0">
        <w:rPr>
          <w:lang w:val="nl-NL"/>
        </w:rPr>
        <w:t>value</w:t>
      </w:r>
      <w:proofErr w:type="spellEnd"/>
      <w:r w:rsidR="00F82D1F" w:rsidRPr="002237F0">
        <w:rPr>
          <w:lang w:val="nl-NL"/>
        </w:rPr>
        <w:t xml:space="preserve"> gerapporteerd hebben. Door onzekerheid die er ontstaat, wordt het gat tussen de vraagprijs en de biedprijs van aandelen groter</w:t>
      </w:r>
      <w:sdt>
        <w:sdtPr>
          <w:rPr>
            <w:lang w:val="nl-NL"/>
          </w:rPr>
          <w:id w:val="-2103021183"/>
          <w:citation/>
        </w:sdtPr>
        <w:sdtContent>
          <w:r w:rsidR="003C13F3" w:rsidRPr="002237F0">
            <w:rPr>
              <w:lang w:val="nl-NL"/>
            </w:rPr>
            <w:fldChar w:fldCharType="begin"/>
          </w:r>
          <w:r w:rsidR="00C46C53" w:rsidRPr="002237F0">
            <w:rPr>
              <w:lang w:val="nl-NL"/>
            </w:rPr>
            <w:instrText xml:space="preserve">CITATION Bis10 \t  \l 1033 </w:instrText>
          </w:r>
          <w:r w:rsidR="003C13F3" w:rsidRPr="002237F0">
            <w:rPr>
              <w:lang w:val="nl-NL"/>
            </w:rPr>
            <w:fldChar w:fldCharType="separate"/>
          </w:r>
          <w:r w:rsidR="00C46C53" w:rsidRPr="002237F0">
            <w:rPr>
              <w:noProof/>
              <w:lang w:val="nl-NL"/>
            </w:rPr>
            <w:t xml:space="preserve"> (Bischof, Brüggeman, &amp; Daske, 2010)</w:t>
          </w:r>
          <w:r w:rsidR="003C13F3" w:rsidRPr="002237F0">
            <w:rPr>
              <w:lang w:val="nl-NL"/>
            </w:rPr>
            <w:fldChar w:fldCharType="end"/>
          </w:r>
        </w:sdtContent>
      </w:sdt>
      <w:r w:rsidR="00F82D1F" w:rsidRPr="002237F0">
        <w:rPr>
          <w:lang w:val="nl-NL"/>
        </w:rPr>
        <w:t xml:space="preserve">. </w:t>
      </w:r>
    </w:p>
    <w:p w:rsidR="00F82D1F" w:rsidRPr="002237F0" w:rsidRDefault="00F82D1F" w:rsidP="00767CED">
      <w:pPr>
        <w:rPr>
          <w:lang w:val="nl-NL"/>
        </w:rPr>
      </w:pPr>
      <w:r w:rsidRPr="002237F0">
        <w:rPr>
          <w:lang w:val="nl-NL"/>
        </w:rPr>
        <w:t xml:space="preserve">Daarnaast is opgemerkt dat de vlugge aanpassing van accountingregels naar de behoeften van een bepaalde industrietak wellicht in strijd kan zijn met het belang van overige </w:t>
      </w:r>
      <w:proofErr w:type="spellStart"/>
      <w:r w:rsidRPr="002237F0">
        <w:rPr>
          <w:lang w:val="nl-NL"/>
        </w:rPr>
        <w:t>stakeholders</w:t>
      </w:r>
      <w:proofErr w:type="spellEnd"/>
      <w:r w:rsidRPr="002237F0">
        <w:rPr>
          <w:lang w:val="nl-NL"/>
        </w:rPr>
        <w:t>. De nieuwe standaard zou de vergelijkbaarheid en de consistentie van accountingregels verminderd hebben, en zo bijvoorbeeld investeerders benadeeld hebben doordat zij minder kunnen vertrouwen op financiële rapporten</w:t>
      </w:r>
      <w:sdt>
        <w:sdtPr>
          <w:rPr>
            <w:lang w:val="nl-NL"/>
          </w:rPr>
          <w:id w:val="-1969811031"/>
          <w:citation/>
        </w:sdtPr>
        <w:sdtContent>
          <w:r w:rsidR="003C13F3" w:rsidRPr="002237F0">
            <w:rPr>
              <w:lang w:val="nl-NL"/>
            </w:rPr>
            <w:fldChar w:fldCharType="begin"/>
          </w:r>
          <w:r w:rsidRPr="002237F0">
            <w:rPr>
              <w:lang w:val="nl-NL"/>
            </w:rPr>
            <w:instrText xml:space="preserve">CITATION Fie11 \t  \l 1033 </w:instrText>
          </w:r>
          <w:r w:rsidR="003C13F3" w:rsidRPr="002237F0">
            <w:rPr>
              <w:lang w:val="nl-NL"/>
            </w:rPr>
            <w:fldChar w:fldCharType="separate"/>
          </w:r>
          <w:r w:rsidR="00721EC3" w:rsidRPr="002237F0">
            <w:rPr>
              <w:noProof/>
              <w:lang w:val="nl-NL"/>
            </w:rPr>
            <w:t xml:space="preserve"> (Fiechter, 2011)</w:t>
          </w:r>
          <w:r w:rsidR="003C13F3" w:rsidRPr="002237F0">
            <w:rPr>
              <w:lang w:val="nl-NL"/>
            </w:rPr>
            <w:fldChar w:fldCharType="end"/>
          </w:r>
        </w:sdtContent>
      </w:sdt>
      <w:r w:rsidRPr="002237F0">
        <w:rPr>
          <w:lang w:val="nl-NL"/>
        </w:rPr>
        <w:t xml:space="preserve">. Voorafgaand aan het amendement was er ook veel angst dat de versoepeling van de fair </w:t>
      </w:r>
      <w:proofErr w:type="spellStart"/>
      <w:r w:rsidRPr="002237F0">
        <w:rPr>
          <w:lang w:val="nl-NL"/>
        </w:rPr>
        <w:t>value</w:t>
      </w:r>
      <w:proofErr w:type="spellEnd"/>
      <w:r w:rsidRPr="002237F0">
        <w:rPr>
          <w:lang w:val="nl-NL"/>
        </w:rPr>
        <w:t xml:space="preserve"> waardering managers de mogelijkheid zou geven om de transparantie van financiële verslaggeving te verminderen</w:t>
      </w:r>
      <w:sdt>
        <w:sdtPr>
          <w:rPr>
            <w:lang w:val="nl-NL"/>
          </w:rPr>
          <w:id w:val="557051322"/>
          <w:citation/>
        </w:sdtPr>
        <w:sdtContent>
          <w:r w:rsidR="003C13F3" w:rsidRPr="002237F0">
            <w:rPr>
              <w:lang w:val="nl-NL"/>
            </w:rPr>
            <w:fldChar w:fldCharType="begin"/>
          </w:r>
          <w:r w:rsidRPr="002237F0">
            <w:rPr>
              <w:lang w:val="nl-NL"/>
            </w:rPr>
            <w:instrText xml:space="preserve">CITATION Bis10 \t  \l 1033 </w:instrText>
          </w:r>
          <w:r w:rsidR="003C13F3" w:rsidRPr="002237F0">
            <w:rPr>
              <w:lang w:val="nl-NL"/>
            </w:rPr>
            <w:fldChar w:fldCharType="separate"/>
          </w:r>
          <w:r w:rsidR="00721EC3" w:rsidRPr="002237F0">
            <w:rPr>
              <w:noProof/>
              <w:lang w:val="nl-NL"/>
            </w:rPr>
            <w:t xml:space="preserve"> (Bischof, Brüggeman, &amp; Daske, 2010)</w:t>
          </w:r>
          <w:r w:rsidR="003C13F3" w:rsidRPr="002237F0">
            <w:rPr>
              <w:lang w:val="nl-NL"/>
            </w:rPr>
            <w:fldChar w:fldCharType="end"/>
          </w:r>
        </w:sdtContent>
      </w:sdt>
      <w:r w:rsidRPr="002237F0">
        <w:rPr>
          <w:lang w:val="nl-NL"/>
        </w:rPr>
        <w:t>.</w:t>
      </w:r>
    </w:p>
    <w:p w:rsidR="00C46C53" w:rsidRPr="002237F0" w:rsidRDefault="00C46C53" w:rsidP="00767CED">
      <w:pPr>
        <w:rPr>
          <w:b/>
          <w:sz w:val="24"/>
          <w:lang w:val="nl-NL"/>
        </w:rPr>
      </w:pPr>
      <w:r w:rsidRPr="002237F0">
        <w:rPr>
          <w:b/>
          <w:sz w:val="24"/>
          <w:lang w:val="nl-NL"/>
        </w:rPr>
        <w:t>Werking van het amendement</w:t>
      </w:r>
    </w:p>
    <w:p w:rsidR="004742BB" w:rsidRPr="002237F0" w:rsidRDefault="00F82D1F" w:rsidP="00767CED">
      <w:pPr>
        <w:rPr>
          <w:lang w:val="nl-NL"/>
        </w:rPr>
      </w:pPr>
      <w:r w:rsidRPr="002237F0">
        <w:rPr>
          <w:lang w:val="nl-NL"/>
        </w:rPr>
        <w:t xml:space="preserve">Buiten al deze kritieken om is er ook gekeken naar welke banken het meest gebruik </w:t>
      </w:r>
      <w:r w:rsidR="00A83D58" w:rsidRPr="002237F0">
        <w:rPr>
          <w:lang w:val="nl-NL"/>
        </w:rPr>
        <w:t xml:space="preserve">hebben gemaakt </w:t>
      </w:r>
      <w:r w:rsidRPr="002237F0">
        <w:rPr>
          <w:lang w:val="nl-NL"/>
        </w:rPr>
        <w:t>van het amendement.</w:t>
      </w:r>
      <w:r w:rsidR="00A83D58" w:rsidRPr="002237F0">
        <w:rPr>
          <w:lang w:val="nl-NL"/>
        </w:rPr>
        <w:t xml:space="preserve"> </w:t>
      </w:r>
      <w:r w:rsidR="004742BB" w:rsidRPr="002237F0">
        <w:rPr>
          <w:lang w:val="nl-NL"/>
        </w:rPr>
        <w:t>Ten eerste is er gewezen op een verband tussen de mogelijkheid dat een bank een minimumkapitaalratio overtreedt en het gebruik maken van het amendem</w:t>
      </w:r>
      <w:r w:rsidR="00C82C17" w:rsidRPr="002237F0">
        <w:rPr>
          <w:lang w:val="nl-NL"/>
        </w:rPr>
        <w:t>ent. Banken</w:t>
      </w:r>
      <w:r w:rsidR="004742BB" w:rsidRPr="002237F0">
        <w:rPr>
          <w:lang w:val="nl-NL"/>
        </w:rPr>
        <w:t xml:space="preserve"> die dichter bij een minimumkapitaalratio zitten, blijken eerder geneigd te zijn gebruik te maken van de opties tot </w:t>
      </w:r>
      <w:proofErr w:type="spellStart"/>
      <w:r w:rsidR="004742BB" w:rsidRPr="002237F0">
        <w:rPr>
          <w:lang w:val="nl-NL"/>
        </w:rPr>
        <w:t>herclassificatie</w:t>
      </w:r>
      <w:proofErr w:type="spellEnd"/>
      <w:sdt>
        <w:sdtPr>
          <w:rPr>
            <w:lang w:val="nl-NL"/>
          </w:rPr>
          <w:id w:val="1308051950"/>
          <w:citation/>
        </w:sdtPr>
        <w:sdtContent>
          <w:r w:rsidR="003C13F3" w:rsidRPr="002237F0">
            <w:rPr>
              <w:lang w:val="nl-NL"/>
            </w:rPr>
            <w:fldChar w:fldCharType="begin"/>
          </w:r>
          <w:r w:rsidR="004742BB" w:rsidRPr="002237F0">
            <w:rPr>
              <w:lang w:val="nl-NL"/>
            </w:rPr>
            <w:instrText xml:space="preserve">CITATION Bis12 \t  \l 1033 </w:instrText>
          </w:r>
          <w:r w:rsidR="003C13F3" w:rsidRPr="002237F0">
            <w:rPr>
              <w:lang w:val="nl-NL"/>
            </w:rPr>
            <w:fldChar w:fldCharType="separate"/>
          </w:r>
          <w:r w:rsidR="00721EC3" w:rsidRPr="002237F0">
            <w:rPr>
              <w:noProof/>
              <w:lang w:val="nl-NL"/>
            </w:rPr>
            <w:t xml:space="preserve"> (Bischof, Brüggeman, &amp; Daske, 2012)</w:t>
          </w:r>
          <w:r w:rsidR="003C13F3" w:rsidRPr="002237F0">
            <w:rPr>
              <w:lang w:val="nl-NL"/>
            </w:rPr>
            <w:fldChar w:fldCharType="end"/>
          </w:r>
        </w:sdtContent>
      </w:sdt>
      <w:r w:rsidR="004742BB" w:rsidRPr="002237F0">
        <w:rPr>
          <w:lang w:val="nl-NL"/>
        </w:rPr>
        <w:t xml:space="preserve">. </w:t>
      </w:r>
    </w:p>
    <w:p w:rsidR="00BC39AF" w:rsidRPr="002237F0" w:rsidRDefault="00E1355B" w:rsidP="00767CED">
      <w:pPr>
        <w:rPr>
          <w:lang w:val="nl-NL"/>
        </w:rPr>
      </w:pPr>
      <w:r w:rsidRPr="002237F0">
        <w:rPr>
          <w:lang w:val="nl-NL"/>
        </w:rPr>
        <w:t>Daarnaast is er</w:t>
      </w:r>
      <w:r w:rsidR="004742BB" w:rsidRPr="002237F0">
        <w:rPr>
          <w:lang w:val="nl-NL"/>
        </w:rPr>
        <w:t xml:space="preserve"> onderzoek gedaan naar de reacties op de aandelenmarkt op het nieuws dat de opties tot </w:t>
      </w:r>
      <w:proofErr w:type="spellStart"/>
      <w:r w:rsidR="004742BB" w:rsidRPr="002237F0">
        <w:rPr>
          <w:lang w:val="nl-NL"/>
        </w:rPr>
        <w:t>herclassificatie</w:t>
      </w:r>
      <w:proofErr w:type="spellEnd"/>
      <w:r w:rsidR="004742BB" w:rsidRPr="002237F0">
        <w:rPr>
          <w:lang w:val="nl-NL"/>
        </w:rPr>
        <w:t xml:space="preserve"> mogelijk werden. De aandelen van banken die relatief meer vatbaar zijn voor procyclische bewegingen, gingen omhoog bij de aankondiging dat de regels rondom fair </w:t>
      </w:r>
      <w:proofErr w:type="spellStart"/>
      <w:r w:rsidR="004742BB" w:rsidRPr="002237F0">
        <w:rPr>
          <w:lang w:val="nl-NL"/>
        </w:rPr>
        <w:t>value</w:t>
      </w:r>
      <w:proofErr w:type="spellEnd"/>
      <w:r w:rsidR="004742BB" w:rsidRPr="002237F0">
        <w:rPr>
          <w:lang w:val="nl-NL"/>
        </w:rPr>
        <w:t xml:space="preserve"> minder streng werden. Aan </w:t>
      </w:r>
      <w:r w:rsidR="00BC39AF" w:rsidRPr="002237F0">
        <w:rPr>
          <w:lang w:val="nl-NL"/>
        </w:rPr>
        <w:t xml:space="preserve">de andere kant daalden vooral de aandelen </w:t>
      </w:r>
      <w:r w:rsidRPr="002237F0">
        <w:rPr>
          <w:lang w:val="nl-NL"/>
        </w:rPr>
        <w:t>van kleinere banken. Dit komt door</w:t>
      </w:r>
      <w:r w:rsidR="00BC39AF" w:rsidRPr="002237F0">
        <w:rPr>
          <w:lang w:val="nl-NL"/>
        </w:rPr>
        <w:t>dat zij niet gevolgd worden door verslaggevers, en daarom de jaarrekening de enige mogelijkheid tot informatievergaring is. Als de regels dan minder duidelijk</w:t>
      </w:r>
      <w:r w:rsidRPr="002237F0">
        <w:rPr>
          <w:lang w:val="nl-NL"/>
        </w:rPr>
        <w:t xml:space="preserve"> worden, zijn investeerders bang</w:t>
      </w:r>
      <w:r w:rsidR="00BC39AF" w:rsidRPr="002237F0">
        <w:rPr>
          <w:lang w:val="nl-NL"/>
        </w:rPr>
        <w:t xml:space="preserve"> essentiële informatie mis te lopen</w:t>
      </w:r>
      <w:sdt>
        <w:sdtPr>
          <w:rPr>
            <w:lang w:val="nl-NL"/>
          </w:rPr>
          <w:id w:val="815617063"/>
          <w:citation/>
        </w:sdtPr>
        <w:sdtContent>
          <w:r w:rsidR="003C13F3" w:rsidRPr="002237F0">
            <w:rPr>
              <w:lang w:val="nl-NL"/>
            </w:rPr>
            <w:fldChar w:fldCharType="begin"/>
          </w:r>
          <w:r w:rsidR="00BC39AF" w:rsidRPr="002237F0">
            <w:rPr>
              <w:lang w:val="nl-NL"/>
            </w:rPr>
            <w:instrText xml:space="preserve"> CITATION Bow10 \l 1033 </w:instrText>
          </w:r>
          <w:r w:rsidR="003C13F3" w:rsidRPr="002237F0">
            <w:rPr>
              <w:lang w:val="nl-NL"/>
            </w:rPr>
            <w:fldChar w:fldCharType="separate"/>
          </w:r>
          <w:r w:rsidR="00721EC3" w:rsidRPr="002237F0">
            <w:rPr>
              <w:noProof/>
              <w:lang w:val="nl-NL"/>
            </w:rPr>
            <w:t xml:space="preserve"> (Bowen, Khan, &amp; Rajgopal, 2010)</w:t>
          </w:r>
          <w:r w:rsidR="003C13F3" w:rsidRPr="002237F0">
            <w:rPr>
              <w:lang w:val="nl-NL"/>
            </w:rPr>
            <w:fldChar w:fldCharType="end"/>
          </w:r>
        </w:sdtContent>
      </w:sdt>
      <w:r w:rsidR="00BC39AF" w:rsidRPr="002237F0">
        <w:rPr>
          <w:lang w:val="nl-NL"/>
        </w:rPr>
        <w:t xml:space="preserve">. </w:t>
      </w:r>
      <w:r w:rsidR="00212893" w:rsidRPr="002237F0">
        <w:rPr>
          <w:lang w:val="nl-NL"/>
        </w:rPr>
        <w:t xml:space="preserve">Ook is er geconstateerd dat de aandelenkoers van banken met relatief veel blootstelling aan MBS positief reageerde op de aankondiging van het versoepelen van de fair </w:t>
      </w:r>
      <w:proofErr w:type="spellStart"/>
      <w:r w:rsidR="00212893" w:rsidRPr="002237F0">
        <w:rPr>
          <w:lang w:val="nl-NL"/>
        </w:rPr>
        <w:t>value</w:t>
      </w:r>
      <w:proofErr w:type="spellEnd"/>
      <w:r w:rsidR="00212893" w:rsidRPr="002237F0">
        <w:rPr>
          <w:lang w:val="nl-NL"/>
        </w:rPr>
        <w:t xml:space="preserve"> waardering. Er was sprake van een neerwaartse spiraal, en aandeelhouders reageerden positief op het nieuws dat deze spiraal gestopt kon worden</w:t>
      </w:r>
      <w:sdt>
        <w:sdtPr>
          <w:rPr>
            <w:lang w:val="nl-NL"/>
          </w:rPr>
          <w:id w:val="-513157185"/>
          <w:citation/>
        </w:sdtPr>
        <w:sdtContent>
          <w:r w:rsidR="003C13F3" w:rsidRPr="002237F0">
            <w:rPr>
              <w:lang w:val="nl-NL"/>
            </w:rPr>
            <w:fldChar w:fldCharType="begin"/>
          </w:r>
          <w:r w:rsidR="00212893" w:rsidRPr="002237F0">
            <w:rPr>
              <w:lang w:val="nl-NL"/>
            </w:rPr>
            <w:instrText xml:space="preserve"> CITATION Hui09 \l 1033 </w:instrText>
          </w:r>
          <w:r w:rsidR="003C13F3" w:rsidRPr="002237F0">
            <w:rPr>
              <w:lang w:val="nl-NL"/>
            </w:rPr>
            <w:fldChar w:fldCharType="separate"/>
          </w:r>
          <w:r w:rsidR="00721EC3" w:rsidRPr="002237F0">
            <w:rPr>
              <w:noProof/>
              <w:lang w:val="nl-NL"/>
            </w:rPr>
            <w:t xml:space="preserve"> (Huizinga &amp; Laeven, 2009)</w:t>
          </w:r>
          <w:r w:rsidR="003C13F3" w:rsidRPr="002237F0">
            <w:rPr>
              <w:lang w:val="nl-NL"/>
            </w:rPr>
            <w:fldChar w:fldCharType="end"/>
          </w:r>
        </w:sdtContent>
      </w:sdt>
      <w:r w:rsidR="00212893" w:rsidRPr="002237F0">
        <w:rPr>
          <w:lang w:val="nl-NL"/>
        </w:rPr>
        <w:t>.</w:t>
      </w:r>
    </w:p>
    <w:p w:rsidR="00C46C53" w:rsidRPr="002237F0" w:rsidRDefault="00C46C53" w:rsidP="00767CED">
      <w:pPr>
        <w:rPr>
          <w:b/>
          <w:sz w:val="24"/>
          <w:lang w:val="nl-NL"/>
        </w:rPr>
      </w:pPr>
      <w:r w:rsidRPr="002237F0">
        <w:rPr>
          <w:b/>
          <w:sz w:val="24"/>
          <w:lang w:val="nl-NL"/>
        </w:rPr>
        <w:t>Tot slot</w:t>
      </w:r>
    </w:p>
    <w:p w:rsidR="00E902A6" w:rsidRPr="002237F0" w:rsidRDefault="00BC39AF" w:rsidP="007E2C3F">
      <w:pPr>
        <w:rPr>
          <w:lang w:val="nl-NL"/>
        </w:rPr>
      </w:pPr>
      <w:r w:rsidRPr="002237F0">
        <w:rPr>
          <w:lang w:val="nl-NL"/>
        </w:rPr>
        <w:t xml:space="preserve">Uiteindelijk kan er dus geconcludeerd worden dat het amendement op korte termijn vooral goed is geweest voor grote banken die de potentiële negatieve reactie op het overschrijden van de </w:t>
      </w:r>
      <w:proofErr w:type="spellStart"/>
      <w:r w:rsidRPr="002237F0">
        <w:rPr>
          <w:lang w:val="nl-NL"/>
        </w:rPr>
        <w:t>minimumkapitaalratio’s</w:t>
      </w:r>
      <w:proofErr w:type="spellEnd"/>
      <w:r w:rsidRPr="002237F0">
        <w:rPr>
          <w:lang w:val="nl-NL"/>
        </w:rPr>
        <w:t xml:space="preserve"> konden voorkomen. Voor kleinere banken zouden de negatieve gevolgen van verlies aan informatie relatief groter zijn.</w:t>
      </w:r>
      <w:r w:rsidR="00C12848" w:rsidRPr="002237F0">
        <w:rPr>
          <w:lang w:val="nl-NL"/>
        </w:rPr>
        <w:t xml:space="preserve"> Er zou sprake kunnen zijn van verlies van informatie.</w:t>
      </w:r>
      <w:r w:rsidR="00E902A6" w:rsidRPr="002237F0">
        <w:rPr>
          <w:lang w:val="nl-NL"/>
        </w:rPr>
        <w:t xml:space="preserve"> </w:t>
      </w:r>
    </w:p>
    <w:p w:rsidR="00E902A6" w:rsidRPr="002237F0" w:rsidRDefault="00BC39AF" w:rsidP="007E2C3F">
      <w:pPr>
        <w:rPr>
          <w:lang w:val="nl-NL"/>
        </w:rPr>
      </w:pPr>
      <w:r w:rsidRPr="002237F0">
        <w:rPr>
          <w:lang w:val="nl-NL"/>
        </w:rPr>
        <w:t xml:space="preserve">Gezien het feit dat twee derde van de Europese banken zich niet gehouden heeft aan de </w:t>
      </w:r>
      <w:proofErr w:type="spellStart"/>
      <w:r w:rsidRPr="002237F0">
        <w:rPr>
          <w:lang w:val="nl-NL"/>
        </w:rPr>
        <w:t>toelichtingsvereisten</w:t>
      </w:r>
      <w:proofErr w:type="spellEnd"/>
      <w:r w:rsidRPr="002237F0">
        <w:rPr>
          <w:lang w:val="nl-NL"/>
        </w:rPr>
        <w:t>, kan gesteld worden dat het amendement de transparantie van de financiële verslaggeving verminderd heeft. Voor grote banken was dit dus op korte termijn positief. De lange termijn effecten moeten nog bestudeerd worden. De ‘adempauze’ die grote banken met liquiditeitsproblemen kregen zou goed een uitstel van executie kunnen zijn, voortkomend uit een gebrek aan transparantie</w:t>
      </w:r>
      <w:sdt>
        <w:sdtPr>
          <w:rPr>
            <w:lang w:val="nl-NL"/>
          </w:rPr>
          <w:id w:val="-1702932302"/>
          <w:citation/>
        </w:sdtPr>
        <w:sdtContent>
          <w:r w:rsidR="003C13F3" w:rsidRPr="002237F0">
            <w:rPr>
              <w:lang w:val="nl-NL"/>
            </w:rPr>
            <w:fldChar w:fldCharType="begin"/>
          </w:r>
          <w:r w:rsidRPr="002237F0">
            <w:rPr>
              <w:lang w:val="nl-NL"/>
            </w:rPr>
            <w:instrText xml:space="preserve">CITATION Bis10 \t  \l 1033 </w:instrText>
          </w:r>
          <w:r w:rsidR="003C13F3" w:rsidRPr="002237F0">
            <w:rPr>
              <w:lang w:val="nl-NL"/>
            </w:rPr>
            <w:fldChar w:fldCharType="separate"/>
          </w:r>
          <w:r w:rsidR="00721EC3" w:rsidRPr="002237F0">
            <w:rPr>
              <w:noProof/>
              <w:lang w:val="nl-NL"/>
            </w:rPr>
            <w:t xml:space="preserve"> (Bischof, Brüggeman, &amp; Daske, 2010)</w:t>
          </w:r>
          <w:r w:rsidR="003C13F3" w:rsidRPr="002237F0">
            <w:rPr>
              <w:lang w:val="nl-NL"/>
            </w:rPr>
            <w:fldChar w:fldCharType="end"/>
          </w:r>
        </w:sdtContent>
      </w:sdt>
      <w:r w:rsidRPr="002237F0">
        <w:rPr>
          <w:lang w:val="nl-NL"/>
        </w:rPr>
        <w:t>.</w:t>
      </w:r>
      <w:r w:rsidR="00C46C53" w:rsidRPr="002237F0">
        <w:rPr>
          <w:lang w:val="nl-NL"/>
        </w:rPr>
        <w:t xml:space="preserve"> De bevindingen kunnen als volgt samengevat worden: </w:t>
      </w:r>
    </w:p>
    <w:tbl>
      <w:tblPr>
        <w:tblStyle w:val="TableGrid"/>
        <w:tblW w:w="0" w:type="auto"/>
        <w:tblLook w:val="04A0"/>
      </w:tblPr>
      <w:tblGrid>
        <w:gridCol w:w="4621"/>
        <w:gridCol w:w="4621"/>
      </w:tblGrid>
      <w:tr w:rsidR="002237F0" w:rsidRPr="002237F0" w:rsidTr="00C46C53">
        <w:tc>
          <w:tcPr>
            <w:tcW w:w="4621" w:type="dxa"/>
          </w:tcPr>
          <w:p w:rsidR="00C46C53" w:rsidRPr="002237F0" w:rsidRDefault="00C82C17" w:rsidP="007E2C3F">
            <w:pPr>
              <w:rPr>
                <w:b/>
                <w:u w:val="single"/>
                <w:lang w:val="nl-NL"/>
              </w:rPr>
            </w:pPr>
            <w:r w:rsidRPr="002237F0">
              <w:rPr>
                <w:b/>
                <w:u w:val="single"/>
                <w:lang w:val="nl-NL"/>
              </w:rPr>
              <w:t>Verschijnsel</w:t>
            </w:r>
          </w:p>
        </w:tc>
        <w:tc>
          <w:tcPr>
            <w:tcW w:w="4621" w:type="dxa"/>
          </w:tcPr>
          <w:p w:rsidR="00C46C53" w:rsidRPr="002237F0" w:rsidRDefault="00087218" w:rsidP="007E2C3F">
            <w:pPr>
              <w:rPr>
                <w:b/>
                <w:u w:val="single"/>
                <w:lang w:val="nl-NL"/>
              </w:rPr>
            </w:pPr>
            <w:r w:rsidRPr="002237F0">
              <w:rPr>
                <w:b/>
                <w:u w:val="single"/>
                <w:lang w:val="nl-NL"/>
              </w:rPr>
              <w:t>Bron</w:t>
            </w:r>
          </w:p>
        </w:tc>
      </w:tr>
      <w:tr w:rsidR="002237F0" w:rsidRPr="002237F0" w:rsidTr="00C46C53">
        <w:tc>
          <w:tcPr>
            <w:tcW w:w="4621" w:type="dxa"/>
          </w:tcPr>
          <w:p w:rsidR="00E902A6" w:rsidRPr="002237F0" w:rsidRDefault="00C82C17" w:rsidP="007E2C3F">
            <w:pPr>
              <w:rPr>
                <w:sz w:val="18"/>
                <w:lang w:val="nl-NL"/>
              </w:rPr>
            </w:pPr>
            <w:r w:rsidRPr="002237F0">
              <w:rPr>
                <w:sz w:val="18"/>
                <w:lang w:val="nl-NL"/>
              </w:rPr>
              <w:t xml:space="preserve">De terugwerkende kracht van het amendement zorgde voor ‘perfect </w:t>
            </w:r>
            <w:proofErr w:type="spellStart"/>
            <w:r w:rsidRPr="002237F0">
              <w:rPr>
                <w:sz w:val="18"/>
                <w:lang w:val="nl-NL"/>
              </w:rPr>
              <w:t>hindsight</w:t>
            </w:r>
            <w:proofErr w:type="spellEnd"/>
            <w:r w:rsidRPr="002237F0">
              <w:rPr>
                <w:sz w:val="18"/>
                <w:lang w:val="nl-NL"/>
              </w:rPr>
              <w:t xml:space="preserve">’ voor banken. </w:t>
            </w:r>
          </w:p>
          <w:p w:rsidR="00E902A6" w:rsidRPr="002237F0" w:rsidRDefault="00E902A6" w:rsidP="007E2C3F">
            <w:pPr>
              <w:rPr>
                <w:sz w:val="18"/>
                <w:lang w:val="nl-NL"/>
              </w:rPr>
            </w:pPr>
          </w:p>
          <w:p w:rsidR="00C46C53" w:rsidRPr="002237F0" w:rsidRDefault="00C82C17" w:rsidP="007E2C3F">
            <w:pPr>
              <w:rPr>
                <w:sz w:val="18"/>
                <w:lang w:val="nl-NL"/>
              </w:rPr>
            </w:pPr>
            <w:r w:rsidRPr="002237F0">
              <w:rPr>
                <w:sz w:val="18"/>
                <w:lang w:val="nl-NL"/>
              </w:rPr>
              <w:t>Daarnaast zijn banken die dichter bij het minimumgarantie vermogen zitten, eerder geneigd gebruik te maken van het amendement.</w:t>
            </w:r>
          </w:p>
        </w:tc>
        <w:tc>
          <w:tcPr>
            <w:tcW w:w="4621" w:type="dxa"/>
          </w:tcPr>
          <w:p w:rsidR="00C82C17" w:rsidRPr="002237F0" w:rsidRDefault="00C82C17" w:rsidP="00C82C17">
            <w:pPr>
              <w:pStyle w:val="Bibliography"/>
              <w:rPr>
                <w:noProof/>
                <w:sz w:val="18"/>
              </w:rPr>
            </w:pPr>
            <w:r w:rsidRPr="002237F0">
              <w:rPr>
                <w:noProof/>
                <w:sz w:val="18"/>
              </w:rPr>
              <w:t xml:space="preserve">Bischof, Brüggeman, &amp; Daske. (2012). </w:t>
            </w:r>
            <w:r w:rsidRPr="002237F0">
              <w:rPr>
                <w:i/>
                <w:iCs/>
                <w:noProof/>
                <w:sz w:val="18"/>
              </w:rPr>
              <w:t>Fair value reclassifications of financial assets during the financial crisis.</w:t>
            </w:r>
            <w:r w:rsidRPr="002237F0">
              <w:rPr>
                <w:noProof/>
                <w:sz w:val="18"/>
              </w:rPr>
              <w:t xml:space="preserve"> Berlijn: Leibniz-Informationszentrum Wirtschaft.</w:t>
            </w:r>
          </w:p>
          <w:p w:rsidR="00C46C53" w:rsidRPr="002237F0" w:rsidRDefault="00C46C53" w:rsidP="007E2C3F"/>
        </w:tc>
      </w:tr>
      <w:tr w:rsidR="002237F0" w:rsidRPr="002237F0" w:rsidTr="00C46C53">
        <w:tc>
          <w:tcPr>
            <w:tcW w:w="4621" w:type="dxa"/>
          </w:tcPr>
          <w:p w:rsidR="00E902A6" w:rsidRPr="002237F0" w:rsidRDefault="00C82C17" w:rsidP="007E2C3F">
            <w:pPr>
              <w:rPr>
                <w:sz w:val="18"/>
                <w:lang w:val="nl-NL"/>
              </w:rPr>
            </w:pPr>
            <w:r w:rsidRPr="002237F0">
              <w:rPr>
                <w:sz w:val="18"/>
                <w:lang w:val="nl-NL"/>
              </w:rPr>
              <w:t xml:space="preserve">Twee derde van de banken voldeed niet aan de </w:t>
            </w:r>
            <w:proofErr w:type="spellStart"/>
            <w:r w:rsidRPr="002237F0">
              <w:rPr>
                <w:sz w:val="18"/>
                <w:lang w:val="nl-NL"/>
              </w:rPr>
              <w:t>toelichtingsvereisten</w:t>
            </w:r>
            <w:proofErr w:type="spellEnd"/>
            <w:r w:rsidRPr="002237F0">
              <w:rPr>
                <w:sz w:val="18"/>
                <w:lang w:val="nl-NL"/>
              </w:rPr>
              <w:t xml:space="preserve">. Dit heeft geleid tot </w:t>
            </w:r>
            <w:proofErr w:type="spellStart"/>
            <w:r w:rsidRPr="002237F0">
              <w:rPr>
                <w:sz w:val="18"/>
                <w:lang w:val="nl-NL"/>
              </w:rPr>
              <w:t>informatie-asymmetrie</w:t>
            </w:r>
            <w:proofErr w:type="spellEnd"/>
            <w:r w:rsidRPr="002237F0">
              <w:rPr>
                <w:sz w:val="18"/>
                <w:lang w:val="nl-NL"/>
              </w:rPr>
              <w:t xml:space="preserve"> en tot grote onzekerheid(</w:t>
            </w:r>
            <w:proofErr w:type="spellStart"/>
            <w:r w:rsidRPr="002237F0">
              <w:rPr>
                <w:sz w:val="18"/>
                <w:lang w:val="nl-NL"/>
              </w:rPr>
              <w:t>bid-ask</w:t>
            </w:r>
            <w:proofErr w:type="spellEnd"/>
            <w:r w:rsidRPr="002237F0">
              <w:rPr>
                <w:sz w:val="18"/>
                <w:lang w:val="nl-NL"/>
              </w:rPr>
              <w:t xml:space="preserve"> spreads) bij banken die gebruik maakten van het amendement</w:t>
            </w:r>
            <w:r w:rsidR="0053076B" w:rsidRPr="002237F0">
              <w:rPr>
                <w:sz w:val="18"/>
                <w:lang w:val="nl-NL"/>
              </w:rPr>
              <w:t>.</w:t>
            </w:r>
            <w:r w:rsidR="00B453C3" w:rsidRPr="002237F0">
              <w:rPr>
                <w:sz w:val="18"/>
                <w:lang w:val="nl-NL"/>
              </w:rPr>
              <w:t xml:space="preserve"> </w:t>
            </w:r>
          </w:p>
          <w:p w:rsidR="00C46C53" w:rsidRPr="002237F0" w:rsidRDefault="00B453C3" w:rsidP="007E2C3F">
            <w:pPr>
              <w:rPr>
                <w:sz w:val="18"/>
                <w:lang w:val="nl-NL"/>
              </w:rPr>
            </w:pPr>
            <w:r w:rsidRPr="002237F0">
              <w:rPr>
                <w:sz w:val="18"/>
                <w:lang w:val="nl-NL"/>
              </w:rPr>
              <w:t xml:space="preserve">Bij perfecte naleving van de </w:t>
            </w:r>
            <w:proofErr w:type="spellStart"/>
            <w:r w:rsidRPr="002237F0">
              <w:rPr>
                <w:sz w:val="18"/>
                <w:lang w:val="nl-NL"/>
              </w:rPr>
              <w:t>toelichtingsvereisten</w:t>
            </w:r>
            <w:proofErr w:type="spellEnd"/>
            <w:r w:rsidRPr="002237F0">
              <w:rPr>
                <w:sz w:val="18"/>
                <w:lang w:val="nl-NL"/>
              </w:rPr>
              <w:t xml:space="preserve"> is er bijna geen verschil tussen fair </w:t>
            </w:r>
            <w:proofErr w:type="spellStart"/>
            <w:r w:rsidRPr="002237F0">
              <w:rPr>
                <w:sz w:val="18"/>
                <w:lang w:val="nl-NL"/>
              </w:rPr>
              <w:t>value</w:t>
            </w:r>
            <w:proofErr w:type="spellEnd"/>
            <w:r w:rsidRPr="002237F0">
              <w:rPr>
                <w:sz w:val="18"/>
                <w:lang w:val="nl-NL"/>
              </w:rPr>
              <w:t xml:space="preserve"> accounting en waardering tegen geamortiseerde kostprijs.</w:t>
            </w:r>
          </w:p>
        </w:tc>
        <w:tc>
          <w:tcPr>
            <w:tcW w:w="4621" w:type="dxa"/>
          </w:tcPr>
          <w:p w:rsidR="00C82C17" w:rsidRPr="002237F0" w:rsidRDefault="00C82C17" w:rsidP="00C82C17">
            <w:pPr>
              <w:pStyle w:val="Bibliography"/>
              <w:rPr>
                <w:noProof/>
                <w:sz w:val="18"/>
              </w:rPr>
            </w:pPr>
            <w:r w:rsidRPr="002237F0">
              <w:rPr>
                <w:noProof/>
                <w:sz w:val="18"/>
              </w:rPr>
              <w:t xml:space="preserve">Bischof, Brüggeman, &amp; Daske. (2010). </w:t>
            </w:r>
            <w:r w:rsidRPr="002237F0">
              <w:rPr>
                <w:i/>
                <w:iCs/>
                <w:noProof/>
                <w:sz w:val="18"/>
              </w:rPr>
              <w:t>Relaxation of Fair Value Rules in Times of Crisis: An Analysis of Economic Benefits and Costs of the Amendment to IAS 39.</w:t>
            </w:r>
            <w:r w:rsidRPr="002237F0">
              <w:rPr>
                <w:noProof/>
                <w:sz w:val="18"/>
              </w:rPr>
              <w:t xml:space="preserve"> Mannheim.</w:t>
            </w:r>
          </w:p>
          <w:p w:rsidR="005A0602" w:rsidRPr="002237F0" w:rsidRDefault="005A0602" w:rsidP="005A0602">
            <w:pPr>
              <w:pStyle w:val="Bibliography"/>
              <w:rPr>
                <w:noProof/>
                <w:sz w:val="18"/>
              </w:rPr>
            </w:pPr>
          </w:p>
          <w:p w:rsidR="005A0602" w:rsidRPr="002237F0" w:rsidRDefault="005A0602" w:rsidP="005A0602">
            <w:pPr>
              <w:pStyle w:val="Bibliography"/>
              <w:rPr>
                <w:noProof/>
                <w:sz w:val="18"/>
              </w:rPr>
            </w:pPr>
            <w:r w:rsidRPr="002237F0">
              <w:rPr>
                <w:noProof/>
                <w:sz w:val="18"/>
              </w:rPr>
              <w:t xml:space="preserve">Bischof, Brüggeman, &amp; Daske. (2010). </w:t>
            </w:r>
            <w:r w:rsidRPr="002237F0">
              <w:rPr>
                <w:i/>
                <w:iCs/>
                <w:noProof/>
                <w:sz w:val="18"/>
              </w:rPr>
              <w:t>Relaxation of Fair Value Rules in Times of Crisis: An Analysis of Economic Benefits and Costs of the Amendment to IAS 39.</w:t>
            </w:r>
            <w:r w:rsidRPr="002237F0">
              <w:rPr>
                <w:noProof/>
                <w:sz w:val="18"/>
              </w:rPr>
              <w:t xml:space="preserve"> Mannheim.</w:t>
            </w:r>
          </w:p>
          <w:p w:rsidR="00C46C53" w:rsidRPr="002237F0" w:rsidRDefault="00C46C53" w:rsidP="007E2C3F"/>
        </w:tc>
      </w:tr>
      <w:tr w:rsidR="002237F0" w:rsidRPr="002237F0" w:rsidTr="00C46C53">
        <w:tc>
          <w:tcPr>
            <w:tcW w:w="4621" w:type="dxa"/>
          </w:tcPr>
          <w:p w:rsidR="00C46C53" w:rsidRPr="002237F0" w:rsidRDefault="00C82C17" w:rsidP="007E2C3F">
            <w:pPr>
              <w:rPr>
                <w:sz w:val="18"/>
                <w:lang w:val="nl-NL"/>
              </w:rPr>
            </w:pPr>
            <w:r w:rsidRPr="002237F0">
              <w:rPr>
                <w:sz w:val="18"/>
                <w:lang w:val="nl-NL"/>
              </w:rPr>
              <w:t xml:space="preserve">Investeerders kunnen minder vertrouwen op de consistentie en transparantie van financiële verslaggeving </w:t>
            </w:r>
            <w:proofErr w:type="spellStart"/>
            <w:r w:rsidRPr="002237F0">
              <w:rPr>
                <w:sz w:val="18"/>
                <w:lang w:val="nl-NL"/>
              </w:rPr>
              <w:t>a.g.v</w:t>
            </w:r>
            <w:proofErr w:type="spellEnd"/>
            <w:r w:rsidRPr="002237F0">
              <w:rPr>
                <w:sz w:val="18"/>
                <w:lang w:val="nl-NL"/>
              </w:rPr>
              <w:t xml:space="preserve">. het </w:t>
            </w:r>
            <w:proofErr w:type="spellStart"/>
            <w:r w:rsidRPr="002237F0">
              <w:rPr>
                <w:sz w:val="18"/>
                <w:lang w:val="nl-NL"/>
              </w:rPr>
              <w:t>amendemnent</w:t>
            </w:r>
            <w:proofErr w:type="spellEnd"/>
            <w:r w:rsidRPr="002237F0">
              <w:rPr>
                <w:sz w:val="18"/>
                <w:lang w:val="nl-NL"/>
              </w:rPr>
              <w:t>.</w:t>
            </w:r>
          </w:p>
        </w:tc>
        <w:tc>
          <w:tcPr>
            <w:tcW w:w="4621" w:type="dxa"/>
          </w:tcPr>
          <w:p w:rsidR="00C46C53" w:rsidRPr="002237F0" w:rsidRDefault="00C82C17" w:rsidP="00C82C17">
            <w:pPr>
              <w:pStyle w:val="Bibliography"/>
              <w:rPr>
                <w:noProof/>
                <w:sz w:val="18"/>
              </w:rPr>
            </w:pPr>
            <w:r w:rsidRPr="002237F0">
              <w:rPr>
                <w:noProof/>
                <w:sz w:val="18"/>
              </w:rPr>
              <w:t xml:space="preserve">Fiechter, P. (2011). Reclassification of Financial Assets under IAS 39: Impact on European Banks' Statements. </w:t>
            </w:r>
            <w:r w:rsidRPr="002237F0">
              <w:rPr>
                <w:i/>
                <w:iCs/>
                <w:noProof/>
                <w:sz w:val="18"/>
              </w:rPr>
              <w:t>Accounting in Europe</w:t>
            </w:r>
            <w:r w:rsidRPr="002237F0">
              <w:rPr>
                <w:noProof/>
                <w:sz w:val="18"/>
              </w:rPr>
              <w:t xml:space="preserve"> , 49-67.</w:t>
            </w:r>
          </w:p>
        </w:tc>
      </w:tr>
      <w:tr w:rsidR="002237F0" w:rsidRPr="002237F0" w:rsidTr="00C46C53">
        <w:tc>
          <w:tcPr>
            <w:tcW w:w="4621" w:type="dxa"/>
          </w:tcPr>
          <w:p w:rsidR="00C82C17" w:rsidRPr="002237F0" w:rsidRDefault="00C82C17" w:rsidP="007E2C3F">
            <w:pPr>
              <w:rPr>
                <w:sz w:val="18"/>
                <w:lang w:val="nl-NL"/>
              </w:rPr>
            </w:pPr>
            <w:r w:rsidRPr="002237F0">
              <w:rPr>
                <w:sz w:val="18"/>
                <w:lang w:val="nl-NL"/>
              </w:rPr>
              <w:t xml:space="preserve">Banken die gevoeliger zijn voor procyclische bewegingen kregen een hogere marktwaarde na aankondiging van het amendement. De marktwaarde van kleine banken verminderde </w:t>
            </w:r>
            <w:proofErr w:type="gramStart"/>
            <w:r w:rsidRPr="002237F0">
              <w:rPr>
                <w:sz w:val="18"/>
                <w:lang w:val="nl-NL"/>
              </w:rPr>
              <w:t>daarentegen</w:t>
            </w:r>
            <w:proofErr w:type="gramEnd"/>
            <w:r w:rsidR="0053076B" w:rsidRPr="002237F0">
              <w:rPr>
                <w:sz w:val="18"/>
                <w:lang w:val="nl-NL"/>
              </w:rPr>
              <w:t>.</w:t>
            </w:r>
          </w:p>
        </w:tc>
        <w:tc>
          <w:tcPr>
            <w:tcW w:w="4621" w:type="dxa"/>
          </w:tcPr>
          <w:p w:rsidR="00C82C17" w:rsidRPr="002237F0" w:rsidRDefault="00C82C17" w:rsidP="00C82C17">
            <w:pPr>
              <w:pStyle w:val="Bibliography"/>
              <w:rPr>
                <w:noProof/>
                <w:sz w:val="18"/>
              </w:rPr>
            </w:pPr>
            <w:r w:rsidRPr="002237F0">
              <w:rPr>
                <w:noProof/>
                <w:sz w:val="18"/>
              </w:rPr>
              <w:t xml:space="preserve">Bowen, Khan, &amp; Rajgopal. (2010). </w:t>
            </w:r>
            <w:r w:rsidRPr="002237F0">
              <w:rPr>
                <w:i/>
                <w:iCs/>
                <w:noProof/>
                <w:sz w:val="18"/>
              </w:rPr>
              <w:t>The Economic Consequences of Relaxing Fair Value Accounting and Impairment Rules on Banks during the Financial Crisis of 2008-2009.</w:t>
            </w:r>
            <w:r w:rsidRPr="002237F0">
              <w:rPr>
                <w:noProof/>
                <w:sz w:val="18"/>
              </w:rPr>
              <w:t xml:space="preserve"> Washington.</w:t>
            </w:r>
          </w:p>
          <w:p w:rsidR="00C82C17" w:rsidRPr="002237F0" w:rsidRDefault="00C82C17" w:rsidP="00C82C17">
            <w:pPr>
              <w:pStyle w:val="Bibliography"/>
              <w:rPr>
                <w:noProof/>
                <w:sz w:val="18"/>
              </w:rPr>
            </w:pPr>
          </w:p>
        </w:tc>
      </w:tr>
      <w:tr w:rsidR="0053076B" w:rsidRPr="002237F0" w:rsidTr="00C46C53">
        <w:tc>
          <w:tcPr>
            <w:tcW w:w="4621" w:type="dxa"/>
          </w:tcPr>
          <w:p w:rsidR="0053076B" w:rsidRPr="002237F0" w:rsidRDefault="0053076B" w:rsidP="007E2C3F">
            <w:pPr>
              <w:rPr>
                <w:sz w:val="18"/>
                <w:lang w:val="nl-NL"/>
              </w:rPr>
            </w:pPr>
            <w:r w:rsidRPr="002237F0">
              <w:rPr>
                <w:sz w:val="18"/>
                <w:lang w:val="nl-NL"/>
              </w:rPr>
              <w:t>Banken met veel MBS kregen een hogere marktwaarde bij aankondiging van het amendement.</w:t>
            </w:r>
          </w:p>
        </w:tc>
        <w:tc>
          <w:tcPr>
            <w:tcW w:w="4621" w:type="dxa"/>
          </w:tcPr>
          <w:p w:rsidR="0053076B" w:rsidRPr="002237F0" w:rsidRDefault="0053076B" w:rsidP="0053076B">
            <w:pPr>
              <w:pStyle w:val="Bibliography"/>
              <w:rPr>
                <w:noProof/>
                <w:sz w:val="18"/>
                <w:szCs w:val="18"/>
              </w:rPr>
            </w:pPr>
            <w:r w:rsidRPr="002237F0">
              <w:rPr>
                <w:noProof/>
                <w:sz w:val="18"/>
                <w:szCs w:val="18"/>
              </w:rPr>
              <w:t xml:space="preserve">Huizinga, &amp; Laeven. (2009). </w:t>
            </w:r>
            <w:r w:rsidRPr="002237F0">
              <w:rPr>
                <w:i/>
                <w:iCs/>
                <w:noProof/>
                <w:sz w:val="18"/>
                <w:szCs w:val="18"/>
              </w:rPr>
              <w:t>Accounting discretion of banks during a financial crisis.</w:t>
            </w:r>
            <w:r w:rsidRPr="002237F0">
              <w:rPr>
                <w:noProof/>
                <w:sz w:val="18"/>
                <w:szCs w:val="18"/>
              </w:rPr>
              <w:t xml:space="preserve"> Tilburg.</w:t>
            </w:r>
          </w:p>
          <w:p w:rsidR="0053076B" w:rsidRPr="002237F0" w:rsidRDefault="0053076B" w:rsidP="00C82C17">
            <w:pPr>
              <w:pStyle w:val="Bibliography"/>
              <w:rPr>
                <w:noProof/>
                <w:sz w:val="18"/>
              </w:rPr>
            </w:pPr>
          </w:p>
        </w:tc>
      </w:tr>
    </w:tbl>
    <w:p w:rsidR="00131D01" w:rsidRPr="002237F0" w:rsidRDefault="00BC39AF" w:rsidP="007E2C3F">
      <w:r w:rsidRPr="002237F0">
        <w:t xml:space="preserve"> </w:t>
      </w:r>
    </w:p>
    <w:p w:rsidR="00CF616D" w:rsidRPr="002237F0" w:rsidRDefault="0002481A" w:rsidP="007E2C3F">
      <w:pPr>
        <w:rPr>
          <w:b/>
          <w:sz w:val="28"/>
          <w:lang w:val="nl-NL"/>
        </w:rPr>
      </w:pPr>
      <w:r w:rsidRPr="002237F0">
        <w:rPr>
          <w:b/>
          <w:sz w:val="28"/>
          <w:lang w:val="nl-NL"/>
        </w:rPr>
        <w:t>3.3</w:t>
      </w:r>
      <w:r w:rsidR="00CF616D" w:rsidRPr="002237F0">
        <w:rPr>
          <w:b/>
          <w:sz w:val="28"/>
          <w:lang w:val="nl-NL"/>
        </w:rPr>
        <w:t xml:space="preserve">. </w:t>
      </w:r>
      <w:r w:rsidR="001A6C33" w:rsidRPr="002237F0">
        <w:rPr>
          <w:b/>
          <w:sz w:val="28"/>
          <w:lang w:val="nl-NL"/>
        </w:rPr>
        <w:t>De invloed van regelgeving op de prestaties van een bank</w:t>
      </w:r>
    </w:p>
    <w:p w:rsidR="003416E0" w:rsidRPr="002237F0" w:rsidRDefault="006F654A" w:rsidP="007E2C3F">
      <w:pPr>
        <w:rPr>
          <w:lang w:val="nl-NL"/>
        </w:rPr>
      </w:pPr>
      <w:r w:rsidRPr="002237F0">
        <w:rPr>
          <w:lang w:val="nl-NL"/>
        </w:rPr>
        <w:t xml:space="preserve">Waar in de vorige paragraaf de kritiek besproken is op de werking van fair </w:t>
      </w:r>
      <w:proofErr w:type="spellStart"/>
      <w:r w:rsidRPr="002237F0">
        <w:rPr>
          <w:lang w:val="nl-NL"/>
        </w:rPr>
        <w:t>value</w:t>
      </w:r>
      <w:proofErr w:type="spellEnd"/>
      <w:r w:rsidRPr="002237F0">
        <w:rPr>
          <w:lang w:val="nl-NL"/>
        </w:rPr>
        <w:t xml:space="preserve"> binnen de crisis</w:t>
      </w:r>
      <w:r w:rsidR="002546BA" w:rsidRPr="002237F0">
        <w:rPr>
          <w:lang w:val="nl-NL"/>
        </w:rPr>
        <w:t>(macrogebied)</w:t>
      </w:r>
      <w:r w:rsidRPr="002237F0">
        <w:rPr>
          <w:lang w:val="nl-NL"/>
        </w:rPr>
        <w:t>, wordt in deze paragraaf de invloed van actuele waardering besproken op het presteren van een individuele bank</w:t>
      </w:r>
      <w:r w:rsidR="002546BA" w:rsidRPr="002237F0">
        <w:rPr>
          <w:lang w:val="nl-NL"/>
        </w:rPr>
        <w:t>(microgebied)</w:t>
      </w:r>
      <w:r w:rsidRPr="002237F0">
        <w:rPr>
          <w:lang w:val="nl-NL"/>
        </w:rPr>
        <w:t>.</w:t>
      </w:r>
      <w:r w:rsidR="00DD33A6" w:rsidRPr="002237F0">
        <w:rPr>
          <w:lang w:val="nl-NL"/>
        </w:rPr>
        <w:t xml:space="preserve"> Om aan het einde van dit onderzoek de waardering tegen actuele waarde te kunnen beoordelen, dient ook gekeken te worden naar de werking van de waardering op microniveau. Aangezien</w:t>
      </w:r>
      <w:r w:rsidR="000D63EF" w:rsidRPr="002237F0">
        <w:rPr>
          <w:lang w:val="nl-NL"/>
        </w:rPr>
        <w:t xml:space="preserve"> er</w:t>
      </w:r>
      <w:r w:rsidR="00DD33A6" w:rsidRPr="002237F0">
        <w:rPr>
          <w:lang w:val="nl-NL"/>
        </w:rPr>
        <w:t xml:space="preserve"> naar aanleiding van de crisis veel onderzoek gedaan is naar de werking van de actuele waarde,</w:t>
      </w:r>
      <w:r w:rsidR="000D63EF" w:rsidRPr="002237F0">
        <w:rPr>
          <w:lang w:val="nl-NL"/>
        </w:rPr>
        <w:t xml:space="preserve"> past deze paragraaf goed in dit</w:t>
      </w:r>
      <w:r w:rsidR="00DD33A6" w:rsidRPr="002237F0">
        <w:rPr>
          <w:lang w:val="nl-NL"/>
        </w:rPr>
        <w:t xml:space="preserve"> </w:t>
      </w:r>
      <w:r w:rsidR="000D63EF" w:rsidRPr="002237F0">
        <w:rPr>
          <w:lang w:val="nl-NL"/>
        </w:rPr>
        <w:t xml:space="preserve">hoofdstuk. </w:t>
      </w:r>
    </w:p>
    <w:p w:rsidR="00060413" w:rsidRPr="002237F0" w:rsidRDefault="00534A59" w:rsidP="007E2C3F">
      <w:pPr>
        <w:rPr>
          <w:lang w:val="nl-NL"/>
        </w:rPr>
      </w:pPr>
      <w:r w:rsidRPr="002237F0">
        <w:rPr>
          <w:lang w:val="nl-NL"/>
        </w:rPr>
        <w:t xml:space="preserve">Op microniveau zijn de meningen over fair </w:t>
      </w:r>
      <w:proofErr w:type="spellStart"/>
      <w:r w:rsidRPr="002237F0">
        <w:rPr>
          <w:lang w:val="nl-NL"/>
        </w:rPr>
        <w:t>value</w:t>
      </w:r>
      <w:proofErr w:type="spellEnd"/>
      <w:r w:rsidRPr="002237F0">
        <w:rPr>
          <w:lang w:val="nl-NL"/>
        </w:rPr>
        <w:t xml:space="preserve"> waardering vooral positief. </w:t>
      </w:r>
      <w:r w:rsidR="008C7ADB" w:rsidRPr="002237F0">
        <w:rPr>
          <w:lang w:val="nl-NL"/>
        </w:rPr>
        <w:t>Door</w:t>
      </w:r>
      <w:r w:rsidRPr="002237F0">
        <w:rPr>
          <w:lang w:val="nl-NL"/>
        </w:rPr>
        <w:t xml:space="preserve">dat banken bijzondere instellingen zijn, zijn er bijzondere maatstaven om te meten of fair </w:t>
      </w:r>
      <w:proofErr w:type="spellStart"/>
      <w:r w:rsidRPr="002237F0">
        <w:rPr>
          <w:lang w:val="nl-NL"/>
        </w:rPr>
        <w:t>value</w:t>
      </w:r>
      <w:proofErr w:type="spellEnd"/>
      <w:r w:rsidRPr="002237F0">
        <w:rPr>
          <w:lang w:val="nl-NL"/>
        </w:rPr>
        <w:t xml:space="preserve"> een goede methode van waarderen is. </w:t>
      </w:r>
    </w:p>
    <w:p w:rsidR="003F2FA4" w:rsidRPr="002237F0" w:rsidRDefault="003F2FA4" w:rsidP="007E2C3F">
      <w:pPr>
        <w:rPr>
          <w:b/>
          <w:sz w:val="24"/>
          <w:lang w:val="nl-NL"/>
        </w:rPr>
      </w:pPr>
      <w:r w:rsidRPr="002237F0">
        <w:rPr>
          <w:b/>
          <w:sz w:val="24"/>
          <w:lang w:val="nl-NL"/>
        </w:rPr>
        <w:t>Kredietrisico</w:t>
      </w:r>
    </w:p>
    <w:p w:rsidR="00060413" w:rsidRPr="002237F0" w:rsidRDefault="00534A59" w:rsidP="007E2C3F">
      <w:pPr>
        <w:rPr>
          <w:lang w:val="nl-NL"/>
        </w:rPr>
      </w:pPr>
      <w:r w:rsidRPr="002237F0">
        <w:rPr>
          <w:lang w:val="nl-NL"/>
        </w:rPr>
        <w:t xml:space="preserve">Een eerste belangrijke maatstaf is het kredietrisico. </w:t>
      </w:r>
      <w:r w:rsidR="00B97311" w:rsidRPr="002237F0">
        <w:rPr>
          <w:lang w:val="nl-NL"/>
        </w:rPr>
        <w:t>Kredietrisico is he</w:t>
      </w:r>
      <w:r w:rsidR="008C7ADB" w:rsidRPr="002237F0">
        <w:rPr>
          <w:lang w:val="nl-NL"/>
        </w:rPr>
        <w:t>t risico dat een bank niet aan haar</w:t>
      </w:r>
      <w:r w:rsidR="00B97311" w:rsidRPr="002237F0">
        <w:rPr>
          <w:lang w:val="nl-NL"/>
        </w:rPr>
        <w:t xml:space="preserve"> betalingen kan voldoen. Deze maatstaf is belangrijk voor een bank omdat er veel van af hangt. Het interestpercentage dat een bank moet betalen voor een lening hangt </w:t>
      </w:r>
      <w:r w:rsidR="008C7ADB" w:rsidRPr="002237F0">
        <w:rPr>
          <w:lang w:val="nl-NL"/>
        </w:rPr>
        <w:t xml:space="preserve">onder meer </w:t>
      </w:r>
      <w:r w:rsidR="00B97311" w:rsidRPr="002237F0">
        <w:rPr>
          <w:lang w:val="nl-NL"/>
        </w:rPr>
        <w:t>af van het kredietrisico</w:t>
      </w:r>
      <w:sdt>
        <w:sdtPr>
          <w:rPr>
            <w:lang w:val="nl-NL"/>
          </w:rPr>
          <w:id w:val="4775659"/>
          <w:citation/>
        </w:sdtPr>
        <w:sdtContent>
          <w:r w:rsidR="003C13F3" w:rsidRPr="002237F0">
            <w:rPr>
              <w:lang w:val="nl-NL"/>
            </w:rPr>
            <w:fldChar w:fldCharType="begin"/>
          </w:r>
          <w:r w:rsidR="00B97311" w:rsidRPr="002237F0">
            <w:rPr>
              <w:lang w:val="nl-NL"/>
            </w:rPr>
            <w:instrText xml:space="preserve"> CITATION Bla12 \l 1043 </w:instrText>
          </w:r>
          <w:r w:rsidR="003C13F3" w:rsidRPr="002237F0">
            <w:rPr>
              <w:lang w:val="nl-NL"/>
            </w:rPr>
            <w:fldChar w:fldCharType="separate"/>
          </w:r>
          <w:r w:rsidR="00721EC3" w:rsidRPr="002237F0">
            <w:rPr>
              <w:noProof/>
              <w:lang w:val="nl-NL"/>
            </w:rPr>
            <w:t xml:space="preserve"> (Blankespoor, Linsmeier, Petroni, &amp; Shakespeare, 2012)</w:t>
          </w:r>
          <w:r w:rsidR="003C13F3" w:rsidRPr="002237F0">
            <w:rPr>
              <w:lang w:val="nl-NL"/>
            </w:rPr>
            <w:fldChar w:fldCharType="end"/>
          </w:r>
        </w:sdtContent>
      </w:sdt>
      <w:r w:rsidR="00B97311" w:rsidRPr="002237F0">
        <w:rPr>
          <w:lang w:val="nl-NL"/>
        </w:rPr>
        <w:t>. Als de actuele waardebepaling een goed beeld geeft van het</w:t>
      </w:r>
      <w:r w:rsidR="008C7ADB" w:rsidRPr="002237F0">
        <w:rPr>
          <w:lang w:val="nl-NL"/>
        </w:rPr>
        <w:t xml:space="preserve"> kredietrisico van een bank,</w:t>
      </w:r>
      <w:r w:rsidR="00B97311" w:rsidRPr="002237F0">
        <w:rPr>
          <w:lang w:val="nl-NL"/>
        </w:rPr>
        <w:t xml:space="preserve"> is deze waardering effectief. In het onderzoek van </w:t>
      </w:r>
      <w:proofErr w:type="spellStart"/>
      <w:r w:rsidR="00B97311" w:rsidRPr="002237F0">
        <w:rPr>
          <w:lang w:val="nl-NL"/>
        </w:rPr>
        <w:t>Blankespoor</w:t>
      </w:r>
      <w:proofErr w:type="spellEnd"/>
      <w:r w:rsidR="00B97311" w:rsidRPr="002237F0">
        <w:rPr>
          <w:lang w:val="nl-NL"/>
        </w:rPr>
        <w:t xml:space="preserve"> c.s. zijn accountingsystemen met elkaar vergeleken. Kredietrisico werd hier gezien als de spreiding van </w:t>
      </w:r>
      <w:r w:rsidR="00B97311" w:rsidRPr="002237F0">
        <w:rPr>
          <w:i/>
          <w:lang w:val="nl-NL"/>
        </w:rPr>
        <w:t xml:space="preserve">bond </w:t>
      </w:r>
      <w:proofErr w:type="spellStart"/>
      <w:r w:rsidR="00B97311" w:rsidRPr="002237F0">
        <w:rPr>
          <w:i/>
          <w:lang w:val="nl-NL"/>
        </w:rPr>
        <w:t>yields</w:t>
      </w:r>
      <w:proofErr w:type="spellEnd"/>
      <w:r w:rsidR="00B97311" w:rsidRPr="002237F0">
        <w:rPr>
          <w:lang w:val="nl-NL"/>
        </w:rPr>
        <w:t>. De aanname is dat kredietrisico hoger is bij een hoger aandeel van het vreemd vermogen(</w:t>
      </w:r>
      <w:proofErr w:type="spellStart"/>
      <w:r w:rsidR="00B97311" w:rsidRPr="002237F0">
        <w:rPr>
          <w:lang w:val="nl-NL"/>
        </w:rPr>
        <w:t>leverage</w:t>
      </w:r>
      <w:proofErr w:type="spellEnd"/>
      <w:r w:rsidR="00B97311" w:rsidRPr="002237F0">
        <w:rPr>
          <w:lang w:val="nl-NL"/>
        </w:rPr>
        <w:t xml:space="preserve">). Het onderzoek liet zien dat de correlatie tussen </w:t>
      </w:r>
      <w:proofErr w:type="spellStart"/>
      <w:r w:rsidR="00B97311" w:rsidRPr="002237F0">
        <w:rPr>
          <w:lang w:val="nl-NL"/>
        </w:rPr>
        <w:t>leverage</w:t>
      </w:r>
      <w:proofErr w:type="spellEnd"/>
      <w:r w:rsidR="00B97311" w:rsidRPr="002237F0">
        <w:rPr>
          <w:lang w:val="nl-NL"/>
        </w:rPr>
        <w:t xml:space="preserve"> en bond </w:t>
      </w:r>
      <w:proofErr w:type="spellStart"/>
      <w:r w:rsidR="00B97311" w:rsidRPr="002237F0">
        <w:rPr>
          <w:lang w:val="nl-NL"/>
        </w:rPr>
        <w:t>yields</w:t>
      </w:r>
      <w:proofErr w:type="spellEnd"/>
      <w:r w:rsidR="00B97311" w:rsidRPr="002237F0">
        <w:rPr>
          <w:lang w:val="nl-NL"/>
        </w:rPr>
        <w:t xml:space="preserve"> onder fair </w:t>
      </w:r>
      <w:proofErr w:type="spellStart"/>
      <w:r w:rsidR="00B97311" w:rsidRPr="002237F0">
        <w:rPr>
          <w:lang w:val="nl-NL"/>
        </w:rPr>
        <w:t>value</w:t>
      </w:r>
      <w:proofErr w:type="spellEnd"/>
      <w:r w:rsidR="00B97311" w:rsidRPr="002237F0">
        <w:rPr>
          <w:lang w:val="nl-NL"/>
        </w:rPr>
        <w:t xml:space="preserve"> accounting hoger was. Dit leidde tot de conclusie dat fair </w:t>
      </w:r>
      <w:proofErr w:type="spellStart"/>
      <w:r w:rsidR="00B97311" w:rsidRPr="002237F0">
        <w:rPr>
          <w:lang w:val="nl-NL"/>
        </w:rPr>
        <w:t>value</w:t>
      </w:r>
      <w:proofErr w:type="spellEnd"/>
      <w:r w:rsidR="00B97311" w:rsidRPr="002237F0">
        <w:rPr>
          <w:lang w:val="nl-NL"/>
        </w:rPr>
        <w:t xml:space="preserve"> accounting </w:t>
      </w:r>
      <w:r w:rsidR="00060413" w:rsidRPr="002237F0">
        <w:rPr>
          <w:lang w:val="nl-NL"/>
        </w:rPr>
        <w:t xml:space="preserve">een </w:t>
      </w:r>
      <w:proofErr w:type="spellStart"/>
      <w:r w:rsidR="00060413" w:rsidRPr="002237F0">
        <w:rPr>
          <w:lang w:val="nl-NL"/>
        </w:rPr>
        <w:t>leverage</w:t>
      </w:r>
      <w:proofErr w:type="spellEnd"/>
      <w:r w:rsidR="00060413" w:rsidRPr="002237F0">
        <w:rPr>
          <w:lang w:val="nl-NL"/>
        </w:rPr>
        <w:t xml:space="preserve"> liet zien die beter past bij het kredietrisico.</w:t>
      </w:r>
    </w:p>
    <w:p w:rsidR="00435082" w:rsidRPr="002237F0" w:rsidRDefault="00060413" w:rsidP="007E2C3F">
      <w:pPr>
        <w:rPr>
          <w:lang w:val="nl-NL"/>
        </w:rPr>
      </w:pPr>
      <w:r w:rsidRPr="002237F0">
        <w:rPr>
          <w:lang w:val="nl-NL"/>
        </w:rPr>
        <w:t>Kredietrisico kan ook ex ante bepaald worden</w:t>
      </w:r>
      <w:r w:rsidR="008C7ADB" w:rsidRPr="002237F0">
        <w:rPr>
          <w:lang w:val="nl-NL"/>
        </w:rPr>
        <w:t xml:space="preserve">, door na faillissement te kijken welk accountingsysteem een hogere </w:t>
      </w:r>
      <w:proofErr w:type="spellStart"/>
      <w:r w:rsidR="008C7ADB" w:rsidRPr="002237F0">
        <w:rPr>
          <w:lang w:val="nl-NL"/>
        </w:rPr>
        <w:t>leverage</w:t>
      </w:r>
      <w:proofErr w:type="spellEnd"/>
      <w:r w:rsidR="008C7ADB" w:rsidRPr="002237F0">
        <w:rPr>
          <w:lang w:val="nl-NL"/>
        </w:rPr>
        <w:t xml:space="preserve"> laat zien</w:t>
      </w:r>
      <w:r w:rsidRPr="002237F0">
        <w:rPr>
          <w:lang w:val="nl-NL"/>
        </w:rPr>
        <w:t>. Banken die failliet zijn gegaan zullen een hoger aandeel vreemd vermogen hebben gehad</w:t>
      </w:r>
      <w:sdt>
        <w:sdtPr>
          <w:rPr>
            <w:lang w:val="nl-NL"/>
          </w:rPr>
          <w:id w:val="4775660"/>
          <w:citation/>
        </w:sdtPr>
        <w:sdtContent>
          <w:r w:rsidR="003C13F3" w:rsidRPr="002237F0">
            <w:rPr>
              <w:lang w:val="nl-NL"/>
            </w:rPr>
            <w:fldChar w:fldCharType="begin"/>
          </w:r>
          <w:r w:rsidRPr="002237F0">
            <w:rPr>
              <w:lang w:val="nl-NL"/>
            </w:rPr>
            <w:instrText xml:space="preserve"> CITATION Bla12 \l 1043 </w:instrText>
          </w:r>
          <w:r w:rsidR="003C13F3" w:rsidRPr="002237F0">
            <w:rPr>
              <w:lang w:val="nl-NL"/>
            </w:rPr>
            <w:fldChar w:fldCharType="separate"/>
          </w:r>
          <w:r w:rsidR="00721EC3" w:rsidRPr="002237F0">
            <w:rPr>
              <w:noProof/>
              <w:lang w:val="nl-NL"/>
            </w:rPr>
            <w:t xml:space="preserve"> (Blankespoor, Linsmeier, Petroni, &amp; Shakespeare, 2012)</w:t>
          </w:r>
          <w:r w:rsidR="003C13F3" w:rsidRPr="002237F0">
            <w:rPr>
              <w:lang w:val="nl-NL"/>
            </w:rPr>
            <w:fldChar w:fldCharType="end"/>
          </w:r>
        </w:sdtContent>
      </w:sdt>
      <w:r w:rsidRPr="002237F0">
        <w:rPr>
          <w:lang w:val="nl-NL"/>
        </w:rPr>
        <w:t xml:space="preserve">. Bij een analyse naar banken die failliet zijn gegaan, liet het systeem van fair </w:t>
      </w:r>
      <w:proofErr w:type="spellStart"/>
      <w:r w:rsidRPr="002237F0">
        <w:rPr>
          <w:lang w:val="nl-NL"/>
        </w:rPr>
        <w:t>value</w:t>
      </w:r>
      <w:proofErr w:type="spellEnd"/>
      <w:r w:rsidRPr="002237F0">
        <w:rPr>
          <w:lang w:val="nl-NL"/>
        </w:rPr>
        <w:t xml:space="preserve"> op het gebied van </w:t>
      </w:r>
      <w:proofErr w:type="spellStart"/>
      <w:r w:rsidRPr="002237F0">
        <w:rPr>
          <w:lang w:val="nl-NL"/>
        </w:rPr>
        <w:t>leverage</w:t>
      </w:r>
      <w:proofErr w:type="spellEnd"/>
      <w:r w:rsidRPr="002237F0">
        <w:rPr>
          <w:lang w:val="nl-NL"/>
        </w:rPr>
        <w:t xml:space="preserve"> een betere </w:t>
      </w:r>
      <w:r w:rsidR="005E49D4" w:rsidRPr="002237F0">
        <w:rPr>
          <w:lang w:val="nl-NL"/>
        </w:rPr>
        <w:t>voorspellende waarde zien. Als men kijkt naar een optimale weergave van</w:t>
      </w:r>
      <w:r w:rsidRPr="002237F0">
        <w:rPr>
          <w:lang w:val="nl-NL"/>
        </w:rPr>
        <w:t xml:space="preserve"> kredietrisico is fair </w:t>
      </w:r>
      <w:proofErr w:type="spellStart"/>
      <w:r w:rsidRPr="002237F0">
        <w:rPr>
          <w:lang w:val="nl-NL"/>
        </w:rPr>
        <w:t>value</w:t>
      </w:r>
      <w:proofErr w:type="spellEnd"/>
      <w:r w:rsidRPr="002237F0">
        <w:rPr>
          <w:lang w:val="nl-NL"/>
        </w:rPr>
        <w:t xml:space="preserve"> dus een geschikte maatstaf. </w:t>
      </w:r>
    </w:p>
    <w:p w:rsidR="003F2FA4" w:rsidRPr="002237F0" w:rsidRDefault="003F2FA4" w:rsidP="007E2C3F">
      <w:pPr>
        <w:rPr>
          <w:lang w:val="nl-NL"/>
        </w:rPr>
      </w:pPr>
      <w:r w:rsidRPr="002237F0">
        <w:rPr>
          <w:b/>
          <w:sz w:val="24"/>
          <w:lang w:val="nl-NL"/>
        </w:rPr>
        <w:t>Volatiliteit van bankopbrengsten</w:t>
      </w:r>
    </w:p>
    <w:p w:rsidR="00C12848" w:rsidRPr="002237F0" w:rsidRDefault="00060413" w:rsidP="007E2C3F">
      <w:pPr>
        <w:rPr>
          <w:lang w:val="nl-NL"/>
        </w:rPr>
      </w:pPr>
      <w:r w:rsidRPr="002237F0">
        <w:rPr>
          <w:lang w:val="nl-NL"/>
        </w:rPr>
        <w:t>Een ander belangrijk punt voor banken is</w:t>
      </w:r>
      <w:r w:rsidR="005E49D4" w:rsidRPr="002237F0">
        <w:rPr>
          <w:lang w:val="nl-NL"/>
        </w:rPr>
        <w:t xml:space="preserve"> de volatiliteit van bankopbrengsten. Als fair </w:t>
      </w:r>
      <w:proofErr w:type="spellStart"/>
      <w:r w:rsidR="005E49D4" w:rsidRPr="002237F0">
        <w:rPr>
          <w:lang w:val="nl-NL"/>
        </w:rPr>
        <w:t>value</w:t>
      </w:r>
      <w:proofErr w:type="spellEnd"/>
      <w:r w:rsidR="005E49D4" w:rsidRPr="002237F0">
        <w:rPr>
          <w:lang w:val="nl-NL"/>
        </w:rPr>
        <w:t xml:space="preserve"> waardering de volatiliteit van bankopbrengsten zou vergroten, zouden bankmanagers uit angst voor het overschrijden van </w:t>
      </w:r>
      <w:proofErr w:type="spellStart"/>
      <w:r w:rsidR="005E49D4" w:rsidRPr="002237F0">
        <w:rPr>
          <w:lang w:val="nl-NL"/>
        </w:rPr>
        <w:t>minimumkapitaalratio</w:t>
      </w:r>
      <w:r w:rsidR="00044CB9" w:rsidRPr="002237F0">
        <w:rPr>
          <w:lang w:val="nl-NL"/>
        </w:rPr>
        <w:t>’</w:t>
      </w:r>
      <w:r w:rsidR="005E49D4" w:rsidRPr="002237F0">
        <w:rPr>
          <w:lang w:val="nl-NL"/>
        </w:rPr>
        <w:t>s</w:t>
      </w:r>
      <w:proofErr w:type="spellEnd"/>
      <w:r w:rsidR="00044CB9" w:rsidRPr="002237F0">
        <w:rPr>
          <w:lang w:val="nl-NL"/>
        </w:rPr>
        <w:t xml:space="preserve"> door de hogere volatiliteit suboptimale risicoafwegingen kunnen maken</w:t>
      </w:r>
      <w:sdt>
        <w:sdtPr>
          <w:rPr>
            <w:lang w:val="nl-NL"/>
          </w:rPr>
          <w:id w:val="4775661"/>
          <w:citation/>
        </w:sdtPr>
        <w:sdtContent>
          <w:r w:rsidR="003C13F3" w:rsidRPr="002237F0">
            <w:rPr>
              <w:lang w:val="nl-NL"/>
            </w:rPr>
            <w:fldChar w:fldCharType="begin"/>
          </w:r>
          <w:r w:rsidR="00044CB9" w:rsidRPr="002237F0">
            <w:rPr>
              <w:lang w:val="nl-NL"/>
            </w:rPr>
            <w:instrText xml:space="preserve"> CITATION Lan05 \l 1043 </w:instrText>
          </w:r>
          <w:r w:rsidR="003C13F3" w:rsidRPr="002237F0">
            <w:rPr>
              <w:lang w:val="nl-NL"/>
            </w:rPr>
            <w:fldChar w:fldCharType="separate"/>
          </w:r>
          <w:r w:rsidR="00721EC3" w:rsidRPr="002237F0">
            <w:rPr>
              <w:noProof/>
              <w:lang w:val="nl-NL"/>
            </w:rPr>
            <w:t xml:space="preserve"> (Landsman, 2005)</w:t>
          </w:r>
          <w:r w:rsidR="003C13F3" w:rsidRPr="002237F0">
            <w:rPr>
              <w:lang w:val="nl-NL"/>
            </w:rPr>
            <w:fldChar w:fldCharType="end"/>
          </w:r>
        </w:sdtContent>
      </w:sdt>
      <w:r w:rsidR="00044CB9" w:rsidRPr="002237F0">
        <w:rPr>
          <w:lang w:val="nl-NL"/>
        </w:rPr>
        <w:t>.</w:t>
      </w:r>
      <w:r w:rsidR="003F497A" w:rsidRPr="002237F0">
        <w:rPr>
          <w:lang w:val="nl-NL"/>
        </w:rPr>
        <w:t xml:space="preserve"> Recente bevindingen over het verband tussen volatiliteit van bankopbrengsten en fair </w:t>
      </w:r>
      <w:proofErr w:type="spellStart"/>
      <w:r w:rsidR="003F497A" w:rsidRPr="002237F0">
        <w:rPr>
          <w:lang w:val="nl-NL"/>
        </w:rPr>
        <w:t>value</w:t>
      </w:r>
      <w:proofErr w:type="spellEnd"/>
      <w:r w:rsidR="003F497A" w:rsidRPr="002237F0">
        <w:rPr>
          <w:lang w:val="nl-NL"/>
        </w:rPr>
        <w:t xml:space="preserve"> waardering zijn gedaan naar aanleiding van de introductie van de reële waarde optie(FVO). </w:t>
      </w:r>
      <w:r w:rsidR="008C7ADB" w:rsidRPr="002237F0">
        <w:rPr>
          <w:lang w:val="nl-NL"/>
        </w:rPr>
        <w:t>Door</w:t>
      </w:r>
      <w:r w:rsidR="003F497A" w:rsidRPr="002237F0">
        <w:rPr>
          <w:lang w:val="nl-NL"/>
        </w:rPr>
        <w:t>dat het hier een optie betreft kan er ook goed vergeleken worden tussen banken die de FVO wel gebruiken</w:t>
      </w:r>
      <w:r w:rsidR="008C7ADB" w:rsidRPr="002237F0">
        <w:rPr>
          <w:lang w:val="nl-NL"/>
        </w:rPr>
        <w:t xml:space="preserve"> en niet gebruiken. Er dient</w:t>
      </w:r>
      <w:r w:rsidR="003F497A" w:rsidRPr="002237F0">
        <w:rPr>
          <w:lang w:val="nl-NL"/>
        </w:rPr>
        <w:t xml:space="preserve"> </w:t>
      </w:r>
      <w:r w:rsidR="008C7ADB" w:rsidRPr="002237F0">
        <w:rPr>
          <w:lang w:val="nl-NL"/>
        </w:rPr>
        <w:t>op</w:t>
      </w:r>
      <w:r w:rsidR="003F497A" w:rsidRPr="002237F0">
        <w:rPr>
          <w:lang w:val="nl-NL"/>
        </w:rPr>
        <w:t xml:space="preserve">gemerkt te worden dat er een onderscheid gemaakt moet worden tussen kunstmatige volatiliteit en reële volatiliteit. Reële economische volatiliteit moet weergegeven worden door de waarderingsmaatstaf, kunstmatige niet. </w:t>
      </w:r>
      <w:r w:rsidR="003F2FA4" w:rsidRPr="002237F0">
        <w:rPr>
          <w:lang w:val="nl-NL"/>
        </w:rPr>
        <w:t>In de praktijk blijkt dat banken die de FVO hebben toegepast, minder kunstmatige volatiliteit kennen in hun opbrengsten dan andere banken</w:t>
      </w:r>
      <w:sdt>
        <w:sdtPr>
          <w:rPr>
            <w:lang w:val="nl-NL"/>
          </w:rPr>
          <w:id w:val="4775662"/>
          <w:citation/>
        </w:sdtPr>
        <w:sdtContent>
          <w:r w:rsidR="003C13F3" w:rsidRPr="002237F0">
            <w:rPr>
              <w:lang w:val="nl-NL"/>
            </w:rPr>
            <w:fldChar w:fldCharType="begin"/>
          </w:r>
          <w:r w:rsidR="003F2FA4" w:rsidRPr="002237F0">
            <w:rPr>
              <w:lang w:val="nl-NL"/>
            </w:rPr>
            <w:instrText xml:space="preserve"> CITATION Pet00 \t  \l 1043  </w:instrText>
          </w:r>
          <w:r w:rsidR="003C13F3" w:rsidRPr="002237F0">
            <w:rPr>
              <w:lang w:val="nl-NL"/>
            </w:rPr>
            <w:fldChar w:fldCharType="separate"/>
          </w:r>
          <w:r w:rsidR="00721EC3" w:rsidRPr="002237F0">
            <w:rPr>
              <w:noProof/>
              <w:lang w:val="nl-NL"/>
            </w:rPr>
            <w:t xml:space="preserve"> (Fiechter, 2010)</w:t>
          </w:r>
          <w:r w:rsidR="003C13F3" w:rsidRPr="002237F0">
            <w:rPr>
              <w:lang w:val="nl-NL"/>
            </w:rPr>
            <w:fldChar w:fldCharType="end"/>
          </w:r>
        </w:sdtContent>
      </w:sdt>
      <w:r w:rsidR="003F2FA4" w:rsidRPr="002237F0">
        <w:rPr>
          <w:lang w:val="nl-NL"/>
        </w:rPr>
        <w:t xml:space="preserve">. </w:t>
      </w:r>
      <w:r w:rsidR="008C7ADB" w:rsidRPr="002237F0">
        <w:rPr>
          <w:lang w:val="nl-NL"/>
        </w:rPr>
        <w:t>Op grond van het onderzoek</w:t>
      </w:r>
      <w:r w:rsidR="00CF5DE6" w:rsidRPr="002237F0">
        <w:rPr>
          <w:lang w:val="nl-NL"/>
        </w:rPr>
        <w:t xml:space="preserve"> van </w:t>
      </w:r>
      <w:proofErr w:type="spellStart"/>
      <w:r w:rsidR="00CF5DE6" w:rsidRPr="002237F0">
        <w:rPr>
          <w:lang w:val="nl-NL"/>
        </w:rPr>
        <w:t>Fiechter</w:t>
      </w:r>
      <w:proofErr w:type="spellEnd"/>
      <w:r w:rsidR="00CF5DE6" w:rsidRPr="002237F0">
        <w:rPr>
          <w:lang w:val="nl-NL"/>
        </w:rPr>
        <w:t xml:space="preserve"> </w:t>
      </w:r>
      <w:r w:rsidR="008C7ADB" w:rsidRPr="002237F0">
        <w:rPr>
          <w:lang w:val="nl-NL"/>
        </w:rPr>
        <w:t>kan voorzichtig</w:t>
      </w:r>
      <w:r w:rsidR="003F2FA4" w:rsidRPr="002237F0">
        <w:rPr>
          <w:lang w:val="nl-NL"/>
        </w:rPr>
        <w:t xml:space="preserve"> geconcludeerd worden dat Fair</w:t>
      </w:r>
      <w:r w:rsidR="008C7ADB" w:rsidRPr="002237F0">
        <w:rPr>
          <w:lang w:val="nl-NL"/>
        </w:rPr>
        <w:t xml:space="preserve"> </w:t>
      </w:r>
      <w:proofErr w:type="spellStart"/>
      <w:r w:rsidR="008C7ADB" w:rsidRPr="002237F0">
        <w:rPr>
          <w:lang w:val="nl-NL"/>
        </w:rPr>
        <w:t>value</w:t>
      </w:r>
      <w:proofErr w:type="spellEnd"/>
      <w:r w:rsidR="008C7ADB" w:rsidRPr="002237F0">
        <w:rPr>
          <w:lang w:val="nl-NL"/>
        </w:rPr>
        <w:t xml:space="preserve"> accounting</w:t>
      </w:r>
      <w:r w:rsidR="003F2FA4" w:rsidRPr="002237F0">
        <w:rPr>
          <w:lang w:val="nl-NL"/>
        </w:rPr>
        <w:t xml:space="preserve"> geen volatiliteitverhogende eff</w:t>
      </w:r>
      <w:r w:rsidR="00C12848" w:rsidRPr="002237F0">
        <w:rPr>
          <w:lang w:val="nl-NL"/>
        </w:rPr>
        <w:t xml:space="preserve">ecten heeft op bankopbrengsten. </w:t>
      </w:r>
    </w:p>
    <w:p w:rsidR="003F2FA4" w:rsidRPr="002237F0" w:rsidRDefault="00C12848" w:rsidP="007E2C3F">
      <w:pPr>
        <w:rPr>
          <w:b/>
          <w:sz w:val="24"/>
          <w:lang w:val="nl-NL"/>
        </w:rPr>
      </w:pPr>
      <w:r w:rsidRPr="002237F0">
        <w:rPr>
          <w:b/>
          <w:lang w:val="nl-NL"/>
        </w:rPr>
        <w:t>O</w:t>
      </w:r>
      <w:r w:rsidR="003F2FA4" w:rsidRPr="002237F0">
        <w:rPr>
          <w:b/>
          <w:sz w:val="24"/>
          <w:lang w:val="nl-NL"/>
        </w:rPr>
        <w:t>verige punten</w:t>
      </w:r>
    </w:p>
    <w:p w:rsidR="00C07FFC" w:rsidRPr="002237F0" w:rsidRDefault="003F2FA4" w:rsidP="007E2C3F">
      <w:pPr>
        <w:rPr>
          <w:lang w:val="nl-NL"/>
        </w:rPr>
      </w:pPr>
      <w:r w:rsidRPr="002237F0">
        <w:rPr>
          <w:lang w:val="nl-NL"/>
        </w:rPr>
        <w:t xml:space="preserve">Naast deze twee bankspecifieke punten zijn er nog meer constateringen gedaan </w:t>
      </w:r>
      <w:proofErr w:type="gramStart"/>
      <w:r w:rsidRPr="002237F0">
        <w:rPr>
          <w:lang w:val="nl-NL"/>
        </w:rPr>
        <w:t>omtrent</w:t>
      </w:r>
      <w:proofErr w:type="gramEnd"/>
      <w:r w:rsidRPr="002237F0">
        <w:rPr>
          <w:lang w:val="nl-NL"/>
        </w:rPr>
        <w:t xml:space="preserve"> de fair </w:t>
      </w:r>
      <w:proofErr w:type="spellStart"/>
      <w:r w:rsidRPr="002237F0">
        <w:rPr>
          <w:lang w:val="nl-NL"/>
        </w:rPr>
        <w:t>value</w:t>
      </w:r>
      <w:proofErr w:type="spellEnd"/>
      <w:r w:rsidRPr="002237F0">
        <w:rPr>
          <w:lang w:val="nl-NL"/>
        </w:rPr>
        <w:t xml:space="preserve"> waardering bij banken. Zo wordt er kritiek geuit op het feit dat een actuele waardepaling niet optimaal is voor instrumenten die aangehouden worden voor langere tijd. Korte termijn schommelingen in de waarde van bijvoorbeeld effecten he</w:t>
      </w:r>
      <w:r w:rsidR="008C7ADB" w:rsidRPr="002237F0">
        <w:rPr>
          <w:lang w:val="nl-NL"/>
        </w:rPr>
        <w:t>bben</w:t>
      </w:r>
      <w:r w:rsidRPr="002237F0">
        <w:rPr>
          <w:lang w:val="nl-NL"/>
        </w:rPr>
        <w:t xml:space="preserve"> dan veel invloed op de waarde van een bank, maar in feite </w:t>
      </w:r>
      <w:r w:rsidR="00C07FFC" w:rsidRPr="002237F0">
        <w:rPr>
          <w:lang w:val="nl-NL"/>
        </w:rPr>
        <w:t>tellen enkel de lange termijn resultaten</w:t>
      </w:r>
      <w:sdt>
        <w:sdtPr>
          <w:rPr>
            <w:lang w:val="nl-NL"/>
          </w:rPr>
          <w:id w:val="4775663"/>
          <w:citation/>
        </w:sdtPr>
        <w:sdtContent>
          <w:r w:rsidR="003C13F3" w:rsidRPr="002237F0">
            <w:rPr>
              <w:lang w:val="nl-NL"/>
            </w:rPr>
            <w:fldChar w:fldCharType="begin"/>
          </w:r>
          <w:r w:rsidR="00C07FFC" w:rsidRPr="002237F0">
            <w:rPr>
              <w:lang w:val="nl-NL"/>
            </w:rPr>
            <w:instrText xml:space="preserve"> CITATION Bla12 \l 1043 </w:instrText>
          </w:r>
          <w:r w:rsidR="003C13F3" w:rsidRPr="002237F0">
            <w:rPr>
              <w:lang w:val="nl-NL"/>
            </w:rPr>
            <w:fldChar w:fldCharType="separate"/>
          </w:r>
          <w:r w:rsidR="00721EC3" w:rsidRPr="002237F0">
            <w:rPr>
              <w:noProof/>
              <w:lang w:val="nl-NL"/>
            </w:rPr>
            <w:t xml:space="preserve"> (Blankespoor, Linsmeier, Petroni, &amp; Shakespeare, 2012)</w:t>
          </w:r>
          <w:r w:rsidR="003C13F3" w:rsidRPr="002237F0">
            <w:rPr>
              <w:lang w:val="nl-NL"/>
            </w:rPr>
            <w:fldChar w:fldCharType="end"/>
          </w:r>
        </w:sdtContent>
      </w:sdt>
      <w:r w:rsidR="00C07FFC" w:rsidRPr="002237F0">
        <w:rPr>
          <w:lang w:val="nl-NL"/>
        </w:rPr>
        <w:t>.</w:t>
      </w:r>
      <w:r w:rsidR="001A6271" w:rsidRPr="002237F0">
        <w:rPr>
          <w:lang w:val="nl-NL"/>
        </w:rPr>
        <w:t xml:space="preserve"> Daarnaast moet er bij een actuele benadering altijd op gelet worden of er sprake is een echte waardeverandering, een meetfout, of een (bewust) verkeerde inschatting van het management</w:t>
      </w:r>
      <w:sdt>
        <w:sdtPr>
          <w:rPr>
            <w:lang w:val="nl-NL"/>
          </w:rPr>
          <w:id w:val="4775667"/>
          <w:citation/>
        </w:sdtPr>
        <w:sdtContent>
          <w:r w:rsidR="003C13F3" w:rsidRPr="002237F0">
            <w:rPr>
              <w:lang w:val="nl-NL"/>
            </w:rPr>
            <w:fldChar w:fldCharType="begin"/>
          </w:r>
          <w:r w:rsidR="001A6271" w:rsidRPr="002237F0">
            <w:rPr>
              <w:lang w:val="nl-NL"/>
            </w:rPr>
            <w:instrText xml:space="preserve"> CITATION Lan05 \l 1043 </w:instrText>
          </w:r>
          <w:r w:rsidR="003C13F3" w:rsidRPr="002237F0">
            <w:rPr>
              <w:lang w:val="nl-NL"/>
            </w:rPr>
            <w:fldChar w:fldCharType="separate"/>
          </w:r>
          <w:r w:rsidR="00721EC3" w:rsidRPr="002237F0">
            <w:rPr>
              <w:noProof/>
              <w:lang w:val="nl-NL"/>
            </w:rPr>
            <w:t xml:space="preserve"> (Landsman, 2005)</w:t>
          </w:r>
          <w:r w:rsidR="003C13F3" w:rsidRPr="002237F0">
            <w:rPr>
              <w:lang w:val="nl-NL"/>
            </w:rPr>
            <w:fldChar w:fldCharType="end"/>
          </w:r>
        </w:sdtContent>
      </w:sdt>
      <w:r w:rsidR="001A6271" w:rsidRPr="002237F0">
        <w:rPr>
          <w:lang w:val="nl-NL"/>
        </w:rPr>
        <w:t>.</w:t>
      </w:r>
      <w:r w:rsidR="00C07FFC" w:rsidRPr="002237F0">
        <w:rPr>
          <w:lang w:val="nl-NL"/>
        </w:rPr>
        <w:t xml:space="preserve"> </w:t>
      </w:r>
    </w:p>
    <w:p w:rsidR="00C12848" w:rsidRPr="002237F0" w:rsidRDefault="001A6271" w:rsidP="007E2C3F">
      <w:pPr>
        <w:rPr>
          <w:lang w:val="nl-NL"/>
        </w:rPr>
      </w:pPr>
      <w:r w:rsidRPr="002237F0">
        <w:rPr>
          <w:lang w:val="nl-NL"/>
        </w:rPr>
        <w:t xml:space="preserve">Een constante </w:t>
      </w:r>
      <w:proofErr w:type="spellStart"/>
      <w:r w:rsidRPr="002237F0">
        <w:rPr>
          <w:lang w:val="nl-NL"/>
        </w:rPr>
        <w:t>market-to-book</w:t>
      </w:r>
      <w:proofErr w:type="spellEnd"/>
      <w:r w:rsidRPr="002237F0">
        <w:rPr>
          <w:lang w:val="nl-NL"/>
        </w:rPr>
        <w:t xml:space="preserve"> ratio is een andere indicator die wijst op het goed functioneren van een waarderingsmaatstaf. Veranderingen in boekwaarde lopen dan in lijn met veranderingen in marktwaarde(waarde van de aandelen). </w:t>
      </w:r>
      <w:r w:rsidR="008C7ADB" w:rsidRPr="002237F0">
        <w:rPr>
          <w:lang w:val="nl-NL"/>
        </w:rPr>
        <w:t>Daarnaast</w:t>
      </w:r>
      <w:r w:rsidRPr="002237F0">
        <w:rPr>
          <w:lang w:val="nl-NL"/>
        </w:rPr>
        <w:t xml:space="preserve"> blijkt dat bij een actuele waardebenadering de </w:t>
      </w:r>
      <w:proofErr w:type="spellStart"/>
      <w:r w:rsidRPr="002237F0">
        <w:rPr>
          <w:lang w:val="nl-NL"/>
        </w:rPr>
        <w:t>market-to-book</w:t>
      </w:r>
      <w:proofErr w:type="spellEnd"/>
      <w:r w:rsidRPr="002237F0">
        <w:rPr>
          <w:lang w:val="nl-NL"/>
        </w:rPr>
        <w:t xml:space="preserve"> ratio het meest constant is</w:t>
      </w:r>
      <w:sdt>
        <w:sdtPr>
          <w:rPr>
            <w:lang w:val="nl-NL"/>
          </w:rPr>
          <w:id w:val="4775666"/>
          <w:citation/>
        </w:sdtPr>
        <w:sdtContent>
          <w:r w:rsidR="003C13F3" w:rsidRPr="002237F0">
            <w:rPr>
              <w:lang w:val="nl-NL"/>
            </w:rPr>
            <w:fldChar w:fldCharType="begin"/>
          </w:r>
          <w:r w:rsidRPr="002237F0">
            <w:rPr>
              <w:lang w:val="nl-NL"/>
            </w:rPr>
            <w:instrText xml:space="preserve"> CITATION Lan05 \l 1043 </w:instrText>
          </w:r>
          <w:r w:rsidR="003C13F3" w:rsidRPr="002237F0">
            <w:rPr>
              <w:lang w:val="nl-NL"/>
            </w:rPr>
            <w:fldChar w:fldCharType="separate"/>
          </w:r>
          <w:r w:rsidR="00721EC3" w:rsidRPr="002237F0">
            <w:rPr>
              <w:noProof/>
              <w:lang w:val="nl-NL"/>
            </w:rPr>
            <w:t xml:space="preserve"> (Landsman, 2005)</w:t>
          </w:r>
          <w:r w:rsidR="003C13F3" w:rsidRPr="002237F0">
            <w:rPr>
              <w:lang w:val="nl-NL"/>
            </w:rPr>
            <w:fldChar w:fldCharType="end"/>
          </w:r>
        </w:sdtContent>
      </w:sdt>
      <w:r w:rsidRPr="002237F0">
        <w:rPr>
          <w:lang w:val="nl-NL"/>
        </w:rPr>
        <w:t xml:space="preserve">. </w:t>
      </w:r>
    </w:p>
    <w:p w:rsidR="00C12848" w:rsidRPr="002237F0" w:rsidRDefault="00C12848" w:rsidP="007E2C3F">
      <w:pPr>
        <w:rPr>
          <w:b/>
          <w:sz w:val="24"/>
          <w:lang w:val="nl-NL"/>
        </w:rPr>
      </w:pPr>
      <w:r w:rsidRPr="002237F0">
        <w:rPr>
          <w:b/>
          <w:sz w:val="24"/>
          <w:lang w:val="nl-NL"/>
        </w:rPr>
        <w:t>Tot slot</w:t>
      </w:r>
    </w:p>
    <w:p w:rsidR="004A5923" w:rsidRPr="002237F0" w:rsidRDefault="00C07FFC" w:rsidP="007E2C3F">
      <w:pPr>
        <w:rPr>
          <w:lang w:val="nl-NL"/>
        </w:rPr>
      </w:pPr>
      <w:r w:rsidRPr="002237F0">
        <w:rPr>
          <w:lang w:val="nl-NL"/>
        </w:rPr>
        <w:t>Tot slot dient wel een kanttekening geplaatst te worden in het debat o</w:t>
      </w:r>
      <w:r w:rsidR="008C7ADB" w:rsidRPr="002237F0">
        <w:rPr>
          <w:lang w:val="nl-NL"/>
        </w:rPr>
        <w:t>ver</w:t>
      </w:r>
      <w:r w:rsidRPr="002237F0">
        <w:rPr>
          <w:lang w:val="nl-NL"/>
        </w:rPr>
        <w:t xml:space="preserve"> fair </w:t>
      </w:r>
      <w:proofErr w:type="spellStart"/>
      <w:r w:rsidRPr="002237F0">
        <w:rPr>
          <w:lang w:val="nl-NL"/>
        </w:rPr>
        <w:t>value</w:t>
      </w:r>
      <w:proofErr w:type="spellEnd"/>
      <w:r w:rsidRPr="002237F0">
        <w:rPr>
          <w:lang w:val="nl-NL"/>
        </w:rPr>
        <w:t xml:space="preserve"> waardering en de bankensector. Een groot deel va</w:t>
      </w:r>
      <w:r w:rsidR="008C7ADB" w:rsidRPr="002237F0">
        <w:rPr>
          <w:lang w:val="nl-NL"/>
        </w:rPr>
        <w:t>n de activa</w:t>
      </w:r>
      <w:r w:rsidR="00D34422" w:rsidRPr="002237F0">
        <w:rPr>
          <w:lang w:val="nl-NL"/>
        </w:rPr>
        <w:t>(ongeveer de helft)</w:t>
      </w:r>
      <w:r w:rsidR="008C7ADB" w:rsidRPr="002237F0">
        <w:rPr>
          <w:lang w:val="nl-NL"/>
        </w:rPr>
        <w:t xml:space="preserve"> van een bank bestaat</w:t>
      </w:r>
      <w:r w:rsidR="00D34422" w:rsidRPr="002237F0">
        <w:rPr>
          <w:lang w:val="nl-NL"/>
        </w:rPr>
        <w:t xml:space="preserve"> </w:t>
      </w:r>
      <w:r w:rsidRPr="002237F0">
        <w:rPr>
          <w:lang w:val="nl-NL"/>
        </w:rPr>
        <w:t>uit leningen, en deze worden tegen geamortiseerde kostprijs gewaardeerd</w:t>
      </w:r>
      <w:sdt>
        <w:sdtPr>
          <w:rPr>
            <w:lang w:val="nl-NL"/>
          </w:rPr>
          <w:id w:val="4775664"/>
          <w:citation/>
        </w:sdtPr>
        <w:sdtContent>
          <w:r w:rsidR="003C13F3" w:rsidRPr="002237F0">
            <w:rPr>
              <w:lang w:val="nl-NL"/>
            </w:rPr>
            <w:fldChar w:fldCharType="begin"/>
          </w:r>
          <w:r w:rsidRPr="002237F0">
            <w:rPr>
              <w:lang w:val="nl-NL"/>
            </w:rPr>
            <w:instrText xml:space="preserve"> CITATION Man11 \t  \l 1043  </w:instrText>
          </w:r>
          <w:r w:rsidR="003C13F3" w:rsidRPr="002237F0">
            <w:rPr>
              <w:lang w:val="nl-NL"/>
            </w:rPr>
            <w:fldChar w:fldCharType="separate"/>
          </w:r>
          <w:r w:rsidR="00721EC3" w:rsidRPr="002237F0">
            <w:rPr>
              <w:noProof/>
              <w:lang w:val="nl-NL"/>
            </w:rPr>
            <w:t xml:space="preserve"> (Gebhardt &amp; Novotny-Farkas, 2011)</w:t>
          </w:r>
          <w:r w:rsidR="003C13F3" w:rsidRPr="002237F0">
            <w:rPr>
              <w:lang w:val="nl-NL"/>
            </w:rPr>
            <w:fldChar w:fldCharType="end"/>
          </w:r>
        </w:sdtContent>
      </w:sdt>
      <w:r w:rsidRPr="002237F0">
        <w:rPr>
          <w:lang w:val="nl-NL"/>
        </w:rPr>
        <w:t xml:space="preserve">. </w:t>
      </w:r>
      <w:r w:rsidR="00303264" w:rsidRPr="002237F0">
        <w:rPr>
          <w:lang w:val="nl-NL"/>
        </w:rPr>
        <w:t xml:space="preserve">Het vraagstuk rondom uitstaande leningen en daaruit voortvloeiende verwachte verliezen verdient ook aandacht, </w:t>
      </w:r>
      <w:r w:rsidR="00C12848" w:rsidRPr="002237F0">
        <w:rPr>
          <w:lang w:val="nl-NL"/>
        </w:rPr>
        <w:t>vooral</w:t>
      </w:r>
      <w:r w:rsidR="00303264" w:rsidRPr="002237F0">
        <w:rPr>
          <w:lang w:val="nl-NL"/>
        </w:rPr>
        <w:t xml:space="preserve"> gezien het belang van deze post binnen de bankensector. Er gaan zelfs stemmen op dat fair </w:t>
      </w:r>
      <w:proofErr w:type="spellStart"/>
      <w:r w:rsidR="00303264" w:rsidRPr="002237F0">
        <w:rPr>
          <w:lang w:val="nl-NL"/>
        </w:rPr>
        <w:t>value</w:t>
      </w:r>
      <w:proofErr w:type="spellEnd"/>
      <w:r w:rsidR="00303264" w:rsidRPr="002237F0">
        <w:rPr>
          <w:lang w:val="nl-NL"/>
        </w:rPr>
        <w:t xml:space="preserve"> accounting </w:t>
      </w:r>
      <w:r w:rsidR="008C7ADB" w:rsidRPr="002237F0">
        <w:rPr>
          <w:lang w:val="nl-NL"/>
        </w:rPr>
        <w:t>slechts</w:t>
      </w:r>
      <w:r w:rsidR="00303264" w:rsidRPr="002237F0">
        <w:rPr>
          <w:lang w:val="nl-NL"/>
        </w:rPr>
        <w:t xml:space="preserve"> effectief is wanneer alle posten zo gewaardeerd worden</w:t>
      </w:r>
      <w:sdt>
        <w:sdtPr>
          <w:rPr>
            <w:lang w:val="nl-NL"/>
          </w:rPr>
          <w:id w:val="4775665"/>
          <w:citation/>
        </w:sdtPr>
        <w:sdtContent>
          <w:r w:rsidR="003C13F3" w:rsidRPr="002237F0">
            <w:rPr>
              <w:lang w:val="nl-NL"/>
            </w:rPr>
            <w:fldChar w:fldCharType="begin"/>
          </w:r>
          <w:r w:rsidR="00303264" w:rsidRPr="002237F0">
            <w:rPr>
              <w:lang w:val="nl-NL"/>
            </w:rPr>
            <w:instrText xml:space="preserve"> CITATION Bla12 \l 1043 </w:instrText>
          </w:r>
          <w:r w:rsidR="003C13F3" w:rsidRPr="002237F0">
            <w:rPr>
              <w:lang w:val="nl-NL"/>
            </w:rPr>
            <w:fldChar w:fldCharType="separate"/>
          </w:r>
          <w:r w:rsidR="00721EC3" w:rsidRPr="002237F0">
            <w:rPr>
              <w:noProof/>
              <w:lang w:val="nl-NL"/>
            </w:rPr>
            <w:t xml:space="preserve"> (Blankespoor, Linsmeier, Petroni, &amp; Shakespeare, 2012)</w:t>
          </w:r>
          <w:r w:rsidR="003C13F3" w:rsidRPr="002237F0">
            <w:rPr>
              <w:lang w:val="nl-NL"/>
            </w:rPr>
            <w:fldChar w:fldCharType="end"/>
          </w:r>
        </w:sdtContent>
      </w:sdt>
      <w:r w:rsidR="00303264" w:rsidRPr="002237F0">
        <w:rPr>
          <w:lang w:val="nl-NL"/>
        </w:rPr>
        <w:t xml:space="preserve">. Dit impliceert echter dat uitstaande leningen en deposito’s op fair </w:t>
      </w:r>
      <w:proofErr w:type="spellStart"/>
      <w:r w:rsidR="00303264" w:rsidRPr="002237F0">
        <w:rPr>
          <w:lang w:val="nl-NL"/>
        </w:rPr>
        <w:t>value</w:t>
      </w:r>
      <w:proofErr w:type="spellEnd"/>
      <w:r w:rsidR="00303264" w:rsidRPr="002237F0">
        <w:rPr>
          <w:lang w:val="nl-NL"/>
        </w:rPr>
        <w:t xml:space="preserve"> gewaardeerd dienen te worden. Het meten van de reële waarde van een deposito is in de praktijk echter lastig, en daarom worden uitstaande leningen net zoals deposito’s </w:t>
      </w:r>
      <w:r w:rsidR="008C7ADB" w:rsidRPr="002237F0">
        <w:rPr>
          <w:lang w:val="nl-NL"/>
        </w:rPr>
        <w:t>naar</w:t>
      </w:r>
      <w:r w:rsidR="00303264" w:rsidRPr="002237F0">
        <w:rPr>
          <w:lang w:val="nl-NL"/>
        </w:rPr>
        <w:t xml:space="preserve"> geamortiseerde kostprijs gewaardeerd.</w:t>
      </w:r>
      <w:r w:rsidR="00C12848" w:rsidRPr="002237F0">
        <w:rPr>
          <w:lang w:val="nl-NL"/>
        </w:rPr>
        <w:t xml:space="preserve"> De bevindingen over de werking van fair </w:t>
      </w:r>
      <w:proofErr w:type="spellStart"/>
      <w:r w:rsidR="00C12848" w:rsidRPr="002237F0">
        <w:rPr>
          <w:lang w:val="nl-NL"/>
        </w:rPr>
        <w:t>value</w:t>
      </w:r>
      <w:proofErr w:type="spellEnd"/>
      <w:r w:rsidR="00C12848" w:rsidRPr="002237F0">
        <w:rPr>
          <w:lang w:val="nl-NL"/>
        </w:rPr>
        <w:t xml:space="preserve"> waardering op het ge</w:t>
      </w:r>
      <w:r w:rsidR="004A5923" w:rsidRPr="002237F0">
        <w:rPr>
          <w:lang w:val="nl-NL"/>
        </w:rPr>
        <w:t>bied van een individuele bank ku</w:t>
      </w:r>
      <w:r w:rsidR="00C12848" w:rsidRPr="002237F0">
        <w:rPr>
          <w:lang w:val="nl-NL"/>
        </w:rPr>
        <w:t>n</w:t>
      </w:r>
      <w:r w:rsidR="004A5923" w:rsidRPr="002237F0">
        <w:rPr>
          <w:lang w:val="nl-NL"/>
        </w:rPr>
        <w:t>nen</w:t>
      </w:r>
      <w:r w:rsidR="00C12848" w:rsidRPr="002237F0">
        <w:rPr>
          <w:lang w:val="nl-NL"/>
        </w:rPr>
        <w:t xml:space="preserve"> als volgt worden samengevat:</w:t>
      </w:r>
    </w:p>
    <w:p w:rsidR="00D34422" w:rsidRPr="002237F0" w:rsidRDefault="00D34422" w:rsidP="007E2C3F">
      <w:pPr>
        <w:rPr>
          <w:lang w:val="nl-NL"/>
        </w:rPr>
      </w:pPr>
    </w:p>
    <w:tbl>
      <w:tblPr>
        <w:tblStyle w:val="TableGrid"/>
        <w:tblW w:w="0" w:type="auto"/>
        <w:tblLook w:val="04A0"/>
      </w:tblPr>
      <w:tblGrid>
        <w:gridCol w:w="4621"/>
        <w:gridCol w:w="4621"/>
      </w:tblGrid>
      <w:tr w:rsidR="002237F0" w:rsidRPr="002237F0" w:rsidTr="004A5923">
        <w:tc>
          <w:tcPr>
            <w:tcW w:w="4621" w:type="dxa"/>
          </w:tcPr>
          <w:p w:rsidR="004A5923" w:rsidRPr="002237F0" w:rsidRDefault="004A5923" w:rsidP="007E2C3F">
            <w:pPr>
              <w:rPr>
                <w:b/>
                <w:u w:val="single"/>
                <w:lang w:val="nl-NL"/>
              </w:rPr>
            </w:pPr>
            <w:r w:rsidRPr="002237F0">
              <w:rPr>
                <w:b/>
                <w:u w:val="single"/>
                <w:lang w:val="nl-NL"/>
              </w:rPr>
              <w:t>Verschijnsel</w:t>
            </w:r>
          </w:p>
        </w:tc>
        <w:tc>
          <w:tcPr>
            <w:tcW w:w="4621" w:type="dxa"/>
          </w:tcPr>
          <w:p w:rsidR="004A5923" w:rsidRPr="002237F0" w:rsidRDefault="00087218" w:rsidP="007E2C3F">
            <w:pPr>
              <w:rPr>
                <w:b/>
                <w:u w:val="single"/>
                <w:lang w:val="nl-NL"/>
              </w:rPr>
            </w:pPr>
            <w:r w:rsidRPr="002237F0">
              <w:rPr>
                <w:b/>
                <w:u w:val="single"/>
                <w:lang w:val="nl-NL"/>
              </w:rPr>
              <w:t>Bron</w:t>
            </w:r>
          </w:p>
        </w:tc>
      </w:tr>
      <w:tr w:rsidR="002237F0" w:rsidRPr="002237F0" w:rsidTr="004A5923">
        <w:tc>
          <w:tcPr>
            <w:tcW w:w="4621" w:type="dxa"/>
          </w:tcPr>
          <w:p w:rsidR="00E902A6" w:rsidRPr="002237F0" w:rsidRDefault="00B02B39" w:rsidP="007E2C3F">
            <w:pPr>
              <w:rPr>
                <w:sz w:val="18"/>
                <w:lang w:val="nl-NL"/>
              </w:rPr>
            </w:pPr>
            <w:r w:rsidRPr="002237F0">
              <w:rPr>
                <w:sz w:val="18"/>
                <w:lang w:val="nl-NL"/>
              </w:rPr>
              <w:t xml:space="preserve">De correlatie tussen een hoog </w:t>
            </w:r>
            <w:proofErr w:type="spellStart"/>
            <w:r w:rsidRPr="002237F0">
              <w:rPr>
                <w:sz w:val="18"/>
                <w:lang w:val="nl-NL"/>
              </w:rPr>
              <w:t>leverage</w:t>
            </w:r>
            <w:proofErr w:type="spellEnd"/>
            <w:r w:rsidRPr="002237F0">
              <w:rPr>
                <w:sz w:val="18"/>
                <w:lang w:val="nl-NL"/>
              </w:rPr>
              <w:t xml:space="preserve"> en een hoge </w:t>
            </w:r>
            <w:r w:rsidR="00087218" w:rsidRPr="002237F0">
              <w:rPr>
                <w:sz w:val="18"/>
                <w:lang w:val="nl-NL"/>
              </w:rPr>
              <w:t xml:space="preserve">bond </w:t>
            </w:r>
            <w:proofErr w:type="spellStart"/>
            <w:r w:rsidR="00087218" w:rsidRPr="002237F0">
              <w:rPr>
                <w:sz w:val="18"/>
                <w:lang w:val="nl-NL"/>
              </w:rPr>
              <w:t>yield</w:t>
            </w:r>
            <w:proofErr w:type="spellEnd"/>
            <w:r w:rsidRPr="002237F0">
              <w:rPr>
                <w:sz w:val="18"/>
                <w:lang w:val="nl-NL"/>
              </w:rPr>
              <w:t xml:space="preserve">(kredietrisico) is in vergelijking hoger onder fair </w:t>
            </w:r>
            <w:proofErr w:type="spellStart"/>
            <w:r w:rsidRPr="002237F0">
              <w:rPr>
                <w:sz w:val="18"/>
                <w:lang w:val="nl-NL"/>
              </w:rPr>
              <w:t>value</w:t>
            </w:r>
            <w:proofErr w:type="spellEnd"/>
            <w:r w:rsidRPr="002237F0">
              <w:rPr>
                <w:sz w:val="18"/>
                <w:lang w:val="nl-NL"/>
              </w:rPr>
              <w:t xml:space="preserve"> accounting. </w:t>
            </w:r>
            <w:r w:rsidR="008C7ADB" w:rsidRPr="002237F0">
              <w:rPr>
                <w:sz w:val="18"/>
                <w:lang w:val="nl-NL"/>
              </w:rPr>
              <w:t>Dit impliceert</w:t>
            </w:r>
            <w:r w:rsidR="00087218" w:rsidRPr="002237F0">
              <w:rPr>
                <w:sz w:val="18"/>
                <w:lang w:val="nl-NL"/>
              </w:rPr>
              <w:t xml:space="preserve"> dat fair </w:t>
            </w:r>
            <w:proofErr w:type="spellStart"/>
            <w:r w:rsidR="00087218" w:rsidRPr="002237F0">
              <w:rPr>
                <w:sz w:val="18"/>
                <w:lang w:val="nl-NL"/>
              </w:rPr>
              <w:t>value</w:t>
            </w:r>
            <w:proofErr w:type="spellEnd"/>
            <w:r w:rsidR="00087218" w:rsidRPr="002237F0">
              <w:rPr>
                <w:sz w:val="18"/>
                <w:lang w:val="nl-NL"/>
              </w:rPr>
              <w:t xml:space="preserve"> beter dan andere accountingsystemen kredietrisico laat zien.</w:t>
            </w:r>
          </w:p>
          <w:p w:rsidR="00E902A6" w:rsidRPr="002237F0" w:rsidRDefault="00E902A6" w:rsidP="007E2C3F">
            <w:pPr>
              <w:rPr>
                <w:sz w:val="18"/>
                <w:lang w:val="nl-NL"/>
              </w:rPr>
            </w:pPr>
          </w:p>
          <w:p w:rsidR="004A5923" w:rsidRPr="002237F0" w:rsidRDefault="00B02B39" w:rsidP="007E2C3F">
            <w:pPr>
              <w:rPr>
                <w:sz w:val="18"/>
                <w:lang w:val="nl-NL"/>
              </w:rPr>
            </w:pPr>
            <w:r w:rsidRPr="002237F0">
              <w:rPr>
                <w:sz w:val="18"/>
                <w:lang w:val="nl-NL"/>
              </w:rPr>
              <w:t xml:space="preserve">Fair </w:t>
            </w:r>
            <w:proofErr w:type="spellStart"/>
            <w:r w:rsidRPr="002237F0">
              <w:rPr>
                <w:sz w:val="18"/>
                <w:lang w:val="nl-NL"/>
              </w:rPr>
              <w:t>value</w:t>
            </w:r>
            <w:proofErr w:type="spellEnd"/>
            <w:r w:rsidRPr="002237F0">
              <w:rPr>
                <w:sz w:val="18"/>
                <w:lang w:val="nl-NL"/>
              </w:rPr>
              <w:t xml:space="preserve"> laat ook een betere correlatie tussen kredietrisico en faillissement zien. </w:t>
            </w:r>
          </w:p>
        </w:tc>
        <w:tc>
          <w:tcPr>
            <w:tcW w:w="4621" w:type="dxa"/>
          </w:tcPr>
          <w:p w:rsidR="004A5923" w:rsidRPr="002237F0" w:rsidRDefault="00B02B39" w:rsidP="007E2C3F">
            <w:r w:rsidRPr="002237F0">
              <w:rPr>
                <w:noProof/>
                <w:sz w:val="18"/>
              </w:rPr>
              <w:t xml:space="preserve">Blankespoor, Linsmeier, Petroni, &amp; Shakespeare. (2012). </w:t>
            </w:r>
            <w:r w:rsidRPr="002237F0">
              <w:rPr>
                <w:i/>
                <w:iCs/>
                <w:noProof/>
                <w:sz w:val="18"/>
              </w:rPr>
              <w:t>Fair value accounting for financial instruments: Does it improve the association between bank leverage and credit risk?</w:t>
            </w:r>
            <w:r w:rsidRPr="002237F0">
              <w:rPr>
                <w:noProof/>
                <w:sz w:val="18"/>
              </w:rPr>
              <w:t xml:space="preserve"> Stanford: Research Paper Series.</w:t>
            </w:r>
          </w:p>
        </w:tc>
      </w:tr>
      <w:tr w:rsidR="004A5923" w:rsidRPr="002237F0" w:rsidTr="004A5923">
        <w:tc>
          <w:tcPr>
            <w:tcW w:w="4621" w:type="dxa"/>
          </w:tcPr>
          <w:p w:rsidR="004A5923" w:rsidRPr="002237F0" w:rsidRDefault="00B02B39" w:rsidP="00B02B39">
            <w:pPr>
              <w:rPr>
                <w:sz w:val="18"/>
                <w:lang w:val="nl-NL"/>
              </w:rPr>
            </w:pPr>
            <w:r w:rsidRPr="002237F0">
              <w:rPr>
                <w:sz w:val="18"/>
                <w:lang w:val="nl-NL"/>
              </w:rPr>
              <w:t xml:space="preserve">Fair </w:t>
            </w:r>
            <w:proofErr w:type="spellStart"/>
            <w:r w:rsidRPr="002237F0">
              <w:rPr>
                <w:sz w:val="18"/>
                <w:lang w:val="nl-NL"/>
              </w:rPr>
              <w:t>value</w:t>
            </w:r>
            <w:proofErr w:type="spellEnd"/>
            <w:r w:rsidRPr="002237F0">
              <w:rPr>
                <w:sz w:val="18"/>
                <w:lang w:val="nl-NL"/>
              </w:rPr>
              <w:t xml:space="preserve"> accounting vermindert de volatiliteit van bankopbrengsten. De </w:t>
            </w:r>
            <w:proofErr w:type="spellStart"/>
            <w:r w:rsidRPr="002237F0">
              <w:rPr>
                <w:sz w:val="18"/>
                <w:lang w:val="nl-NL"/>
              </w:rPr>
              <w:t>market-to-book</w:t>
            </w:r>
            <w:proofErr w:type="spellEnd"/>
            <w:r w:rsidRPr="002237F0">
              <w:rPr>
                <w:sz w:val="18"/>
                <w:lang w:val="nl-NL"/>
              </w:rPr>
              <w:t xml:space="preserve"> ratio van banken is onder fair </w:t>
            </w:r>
            <w:proofErr w:type="spellStart"/>
            <w:r w:rsidRPr="002237F0">
              <w:rPr>
                <w:sz w:val="18"/>
                <w:lang w:val="nl-NL"/>
              </w:rPr>
              <w:t>value</w:t>
            </w:r>
            <w:proofErr w:type="spellEnd"/>
            <w:r w:rsidRPr="002237F0">
              <w:rPr>
                <w:sz w:val="18"/>
                <w:lang w:val="nl-NL"/>
              </w:rPr>
              <w:t xml:space="preserve"> accounting ook het meest constant. </w:t>
            </w:r>
          </w:p>
        </w:tc>
        <w:tc>
          <w:tcPr>
            <w:tcW w:w="4621" w:type="dxa"/>
          </w:tcPr>
          <w:p w:rsidR="00B02B39" w:rsidRPr="002237F0" w:rsidRDefault="00B02B39" w:rsidP="00B02B39">
            <w:pPr>
              <w:pStyle w:val="Bibliography"/>
              <w:rPr>
                <w:noProof/>
                <w:sz w:val="18"/>
              </w:rPr>
            </w:pPr>
            <w:r w:rsidRPr="002237F0">
              <w:rPr>
                <w:noProof/>
                <w:sz w:val="18"/>
              </w:rPr>
              <w:t xml:space="preserve">Landsman, W. R. (2005). </w:t>
            </w:r>
            <w:r w:rsidRPr="002237F0">
              <w:rPr>
                <w:i/>
                <w:iCs/>
                <w:noProof/>
                <w:sz w:val="18"/>
              </w:rPr>
              <w:t>Fair Value Accounting for Financial Instruments: Some Implications for Bank Regulations.</w:t>
            </w:r>
            <w:r w:rsidRPr="002237F0">
              <w:rPr>
                <w:noProof/>
                <w:sz w:val="18"/>
              </w:rPr>
              <w:t xml:space="preserve"> Basel: Bank of International Settlement</w:t>
            </w:r>
            <w:r w:rsidR="00087218" w:rsidRPr="002237F0">
              <w:rPr>
                <w:noProof/>
                <w:sz w:val="18"/>
              </w:rPr>
              <w:t>s</w:t>
            </w:r>
            <w:r w:rsidRPr="002237F0">
              <w:rPr>
                <w:noProof/>
                <w:sz w:val="18"/>
              </w:rPr>
              <w:t>.</w:t>
            </w:r>
          </w:p>
          <w:p w:rsidR="004A5923" w:rsidRPr="002237F0" w:rsidRDefault="004A5923" w:rsidP="007E2C3F">
            <w:pPr>
              <w:rPr>
                <w:lang w:val="nl-NL"/>
              </w:rPr>
            </w:pPr>
          </w:p>
        </w:tc>
      </w:tr>
    </w:tbl>
    <w:p w:rsidR="00313417" w:rsidRPr="002237F0" w:rsidRDefault="00C12848" w:rsidP="007E2C3F">
      <w:pPr>
        <w:rPr>
          <w:lang w:val="nl-NL"/>
        </w:rPr>
      </w:pPr>
      <w:r w:rsidRPr="002237F0">
        <w:rPr>
          <w:lang w:val="nl-NL"/>
        </w:rPr>
        <w:t xml:space="preserve"> </w:t>
      </w:r>
      <w:r w:rsidR="00303264" w:rsidRPr="002237F0">
        <w:rPr>
          <w:lang w:val="nl-NL"/>
        </w:rPr>
        <w:t xml:space="preserve"> </w:t>
      </w:r>
    </w:p>
    <w:p w:rsidR="00313417" w:rsidRPr="002237F0" w:rsidRDefault="00313417" w:rsidP="007E2C3F">
      <w:pPr>
        <w:rPr>
          <w:b/>
          <w:sz w:val="28"/>
          <w:lang w:val="nl-NL"/>
        </w:rPr>
      </w:pPr>
      <w:r w:rsidRPr="002237F0">
        <w:rPr>
          <w:b/>
          <w:sz w:val="28"/>
          <w:lang w:val="nl-NL"/>
        </w:rPr>
        <w:t>3.4. Afsluiting</w:t>
      </w:r>
    </w:p>
    <w:p w:rsidR="00313417" w:rsidRPr="002237F0" w:rsidRDefault="00313417" w:rsidP="007E2C3F">
      <w:pPr>
        <w:rPr>
          <w:lang w:val="nl-NL"/>
        </w:rPr>
      </w:pPr>
      <w:r w:rsidRPr="002237F0">
        <w:rPr>
          <w:lang w:val="nl-NL"/>
        </w:rPr>
        <w:t xml:space="preserve">In dit hoofdstuk is getracht weer te geven welke rol fair </w:t>
      </w:r>
      <w:proofErr w:type="spellStart"/>
      <w:r w:rsidRPr="002237F0">
        <w:rPr>
          <w:lang w:val="nl-NL"/>
        </w:rPr>
        <w:t>value</w:t>
      </w:r>
      <w:proofErr w:type="spellEnd"/>
      <w:r w:rsidRPr="002237F0">
        <w:rPr>
          <w:lang w:val="nl-NL"/>
        </w:rPr>
        <w:t xml:space="preserve"> accounting gespeeld heeft in de crisis. Er is niet alleen gekeken naar </w:t>
      </w:r>
      <w:r w:rsidR="00087218" w:rsidRPr="002237F0">
        <w:rPr>
          <w:lang w:val="nl-NL"/>
        </w:rPr>
        <w:t xml:space="preserve">het effect </w:t>
      </w:r>
      <w:r w:rsidRPr="002237F0">
        <w:rPr>
          <w:lang w:val="nl-NL"/>
        </w:rPr>
        <w:t xml:space="preserve">van de waardering op de crisis zelf, maar ook naar </w:t>
      </w:r>
      <w:r w:rsidR="00087218" w:rsidRPr="002237F0">
        <w:rPr>
          <w:lang w:val="nl-NL"/>
        </w:rPr>
        <w:t>het effect</w:t>
      </w:r>
      <w:r w:rsidRPr="002237F0">
        <w:rPr>
          <w:lang w:val="nl-NL"/>
        </w:rPr>
        <w:t xml:space="preserve"> van de waardering op de individuele banken. De eigenschappen van fair </w:t>
      </w:r>
      <w:proofErr w:type="spellStart"/>
      <w:r w:rsidRPr="002237F0">
        <w:rPr>
          <w:lang w:val="nl-NL"/>
        </w:rPr>
        <w:t>value</w:t>
      </w:r>
      <w:proofErr w:type="spellEnd"/>
      <w:r w:rsidRPr="002237F0">
        <w:rPr>
          <w:lang w:val="nl-NL"/>
        </w:rPr>
        <w:t xml:space="preserve"> accounting zijn besproken, en daaruit zijn goede maar ook potentieel negatieve gevolgen naar voren gekomen. In het laatste deel van het hoofdstuk werd de toepassing van fair </w:t>
      </w:r>
      <w:proofErr w:type="spellStart"/>
      <w:r w:rsidRPr="002237F0">
        <w:rPr>
          <w:lang w:val="nl-NL"/>
        </w:rPr>
        <w:t>value</w:t>
      </w:r>
      <w:proofErr w:type="spellEnd"/>
      <w:r w:rsidRPr="002237F0">
        <w:rPr>
          <w:lang w:val="nl-NL"/>
        </w:rPr>
        <w:t xml:space="preserve"> accounting op bancair niveau besproken, en op dat gebied kan geconcludeerd worden dat fair </w:t>
      </w:r>
      <w:proofErr w:type="spellStart"/>
      <w:r w:rsidRPr="002237F0">
        <w:rPr>
          <w:lang w:val="nl-NL"/>
        </w:rPr>
        <w:t>value</w:t>
      </w:r>
      <w:proofErr w:type="spellEnd"/>
      <w:r w:rsidRPr="002237F0">
        <w:rPr>
          <w:lang w:val="nl-NL"/>
        </w:rPr>
        <w:t xml:space="preserve"> accounting geschikt is. Echter, in de bespreking van de invloed van fair </w:t>
      </w:r>
      <w:proofErr w:type="spellStart"/>
      <w:r w:rsidRPr="002237F0">
        <w:rPr>
          <w:lang w:val="nl-NL"/>
        </w:rPr>
        <w:t>value</w:t>
      </w:r>
      <w:proofErr w:type="spellEnd"/>
      <w:r w:rsidRPr="002237F0">
        <w:rPr>
          <w:lang w:val="nl-NL"/>
        </w:rPr>
        <w:t xml:space="preserve"> accounting op de crisis kwam een meer ambivalent beeld naar voren. Zowel op de oorspronkelijke actuele waardebepaling als op het amendement is veel kritiek gekomen. </w:t>
      </w:r>
    </w:p>
    <w:p w:rsidR="00534A59" w:rsidRPr="002237F0" w:rsidRDefault="00313417" w:rsidP="007E2C3F">
      <w:pPr>
        <w:rPr>
          <w:lang w:val="nl-NL"/>
        </w:rPr>
      </w:pPr>
      <w:r w:rsidRPr="002237F0">
        <w:rPr>
          <w:lang w:val="nl-NL"/>
        </w:rPr>
        <w:t xml:space="preserve">De kritiek op de reële waardebepaling is dat het te procyclisch is en dat </w:t>
      </w:r>
      <w:r w:rsidR="00AA76B9" w:rsidRPr="002237F0">
        <w:rPr>
          <w:lang w:val="nl-NL"/>
        </w:rPr>
        <w:t>de reële waarde</w:t>
      </w:r>
      <w:r w:rsidRPr="002237F0">
        <w:rPr>
          <w:lang w:val="nl-NL"/>
        </w:rPr>
        <w:t xml:space="preserve"> in sommige gevallen niet goed te bepalen valt. In het laatste geval is het echter moeilijk </w:t>
      </w:r>
      <w:r w:rsidR="00AA76B9" w:rsidRPr="002237F0">
        <w:rPr>
          <w:lang w:val="nl-NL"/>
        </w:rPr>
        <w:t>een betere waarderingsmethode toe te passen</w:t>
      </w:r>
      <w:r w:rsidRPr="002237F0">
        <w:rPr>
          <w:lang w:val="nl-NL"/>
        </w:rPr>
        <w:t xml:space="preserve">. Het probleem dat de waardering te procyclisch zou zijn heeft vooral te maken met </w:t>
      </w:r>
      <w:proofErr w:type="spellStart"/>
      <w:r w:rsidRPr="002237F0">
        <w:rPr>
          <w:lang w:val="nl-NL"/>
        </w:rPr>
        <w:t>minimumkapitaalratio’s</w:t>
      </w:r>
      <w:proofErr w:type="spellEnd"/>
      <w:r w:rsidRPr="002237F0">
        <w:rPr>
          <w:lang w:val="nl-NL"/>
        </w:rPr>
        <w:t>.</w:t>
      </w:r>
      <w:r w:rsidR="00AA76B9" w:rsidRPr="002237F0">
        <w:rPr>
          <w:lang w:val="nl-NL"/>
        </w:rPr>
        <w:t xml:space="preserve"> </w:t>
      </w:r>
      <w:r w:rsidRPr="002237F0">
        <w:rPr>
          <w:lang w:val="nl-NL"/>
        </w:rPr>
        <w:t xml:space="preserve">Ook de bevindingen rondom het amendement hebben met deze </w:t>
      </w:r>
      <w:proofErr w:type="spellStart"/>
      <w:r w:rsidRPr="002237F0">
        <w:rPr>
          <w:lang w:val="nl-NL"/>
        </w:rPr>
        <w:t>ratio’s</w:t>
      </w:r>
      <w:proofErr w:type="spellEnd"/>
      <w:r w:rsidRPr="002237F0">
        <w:rPr>
          <w:lang w:val="nl-NL"/>
        </w:rPr>
        <w:t xml:space="preserve"> te maken. De lange termijneffecten van het amendement werden namelijk slecht bevonde</w:t>
      </w:r>
      <w:r w:rsidR="00087218" w:rsidRPr="002237F0">
        <w:rPr>
          <w:lang w:val="nl-NL"/>
        </w:rPr>
        <w:t>n, maar op korte termijn wist</w:t>
      </w:r>
      <w:r w:rsidR="00CF5DE6" w:rsidRPr="002237F0">
        <w:rPr>
          <w:lang w:val="nl-NL"/>
        </w:rPr>
        <w:t>en</w:t>
      </w:r>
      <w:r w:rsidR="00087218" w:rsidRPr="002237F0">
        <w:rPr>
          <w:lang w:val="nl-NL"/>
        </w:rPr>
        <w:t xml:space="preserve"> de</w:t>
      </w:r>
      <w:r w:rsidR="00CF5DE6" w:rsidRPr="002237F0">
        <w:rPr>
          <w:lang w:val="nl-NL"/>
        </w:rPr>
        <w:t xml:space="preserve"> verbrede </w:t>
      </w:r>
      <w:r w:rsidR="00087218" w:rsidRPr="002237F0">
        <w:rPr>
          <w:lang w:val="nl-NL"/>
        </w:rPr>
        <w:t xml:space="preserve">mogelijkheden tot </w:t>
      </w:r>
      <w:proofErr w:type="spellStart"/>
      <w:r w:rsidR="00087218" w:rsidRPr="002237F0">
        <w:rPr>
          <w:lang w:val="nl-NL"/>
        </w:rPr>
        <w:t>herclassificatie</w:t>
      </w:r>
      <w:proofErr w:type="spellEnd"/>
      <w:r w:rsidRPr="002237F0">
        <w:rPr>
          <w:lang w:val="nl-NL"/>
        </w:rPr>
        <w:t xml:space="preserve"> de negatieve effecten van het overschrijden van </w:t>
      </w:r>
      <w:proofErr w:type="spellStart"/>
      <w:r w:rsidRPr="002237F0">
        <w:rPr>
          <w:lang w:val="nl-NL"/>
        </w:rPr>
        <w:t>minimumkapitaalratio’s</w:t>
      </w:r>
      <w:proofErr w:type="spellEnd"/>
      <w:r w:rsidRPr="002237F0">
        <w:rPr>
          <w:lang w:val="nl-NL"/>
        </w:rPr>
        <w:t xml:space="preserve"> te omzeilen. </w:t>
      </w:r>
      <w:r w:rsidR="00B81A25" w:rsidRPr="002237F0">
        <w:rPr>
          <w:lang w:val="nl-NL"/>
        </w:rPr>
        <w:t xml:space="preserve">Er is genoeg aanwijzing om te vermoeden dat </w:t>
      </w:r>
      <w:proofErr w:type="spellStart"/>
      <w:r w:rsidR="00B81A25" w:rsidRPr="002237F0">
        <w:rPr>
          <w:lang w:val="nl-NL"/>
        </w:rPr>
        <w:t>minimumkapitaalratio’s</w:t>
      </w:r>
      <w:proofErr w:type="spellEnd"/>
      <w:r w:rsidR="00B81A25" w:rsidRPr="002237F0">
        <w:rPr>
          <w:lang w:val="nl-NL"/>
        </w:rPr>
        <w:t xml:space="preserve"> te maken hebben met het procyclische karakter van de actuele waarde</w:t>
      </w:r>
      <w:r w:rsidR="00B02B39" w:rsidRPr="002237F0">
        <w:rPr>
          <w:lang w:val="nl-NL"/>
        </w:rPr>
        <w:t>bepaling, en daarom worden deze</w:t>
      </w:r>
      <w:r w:rsidR="00B81A25" w:rsidRPr="002237F0">
        <w:rPr>
          <w:lang w:val="nl-NL"/>
        </w:rPr>
        <w:t xml:space="preserve"> in het volgende hoofdstuk nader </w:t>
      </w:r>
      <w:r w:rsidR="0054458E" w:rsidRPr="002237F0">
        <w:rPr>
          <w:lang w:val="nl-NL"/>
        </w:rPr>
        <w:t xml:space="preserve">onderzocht. </w:t>
      </w:r>
    </w:p>
    <w:p w:rsidR="00D34422" w:rsidRPr="002237F0" w:rsidRDefault="00AA76B9" w:rsidP="00D96FEA">
      <w:pPr>
        <w:rPr>
          <w:lang w:val="nl-NL"/>
        </w:rPr>
      </w:pPr>
      <w:r w:rsidRPr="002237F0">
        <w:rPr>
          <w:lang w:val="nl-NL"/>
        </w:rPr>
        <w:t xml:space="preserve">De vraag die dit hoofdstuk dient te beantwoorden is welke rol fair </w:t>
      </w:r>
      <w:proofErr w:type="spellStart"/>
      <w:r w:rsidRPr="002237F0">
        <w:rPr>
          <w:lang w:val="nl-NL"/>
        </w:rPr>
        <w:t>value</w:t>
      </w:r>
      <w:proofErr w:type="spellEnd"/>
      <w:r w:rsidRPr="002237F0">
        <w:rPr>
          <w:lang w:val="nl-NL"/>
        </w:rPr>
        <w:t xml:space="preserve"> accounting heeft gespeeld binnen de bankencrisis. De conclusie van dit onderzoek is gelijk aan die van </w:t>
      </w:r>
      <w:proofErr w:type="spellStart"/>
      <w:r w:rsidRPr="002237F0">
        <w:rPr>
          <w:lang w:val="nl-NL"/>
        </w:rPr>
        <w:t>Laux</w:t>
      </w:r>
      <w:proofErr w:type="spellEnd"/>
      <w:r w:rsidRPr="002237F0">
        <w:rPr>
          <w:lang w:val="nl-NL"/>
        </w:rPr>
        <w:t xml:space="preserve"> en </w:t>
      </w:r>
      <w:proofErr w:type="spellStart"/>
      <w:r w:rsidRPr="002237F0">
        <w:rPr>
          <w:lang w:val="nl-NL"/>
        </w:rPr>
        <w:t>Leuz</w:t>
      </w:r>
      <w:proofErr w:type="spellEnd"/>
      <w:r w:rsidRPr="002237F0">
        <w:rPr>
          <w:rStyle w:val="FootnoteReference"/>
          <w:lang w:val="nl-NL"/>
        </w:rPr>
        <w:footnoteReference w:id="4"/>
      </w:r>
      <w:r w:rsidRPr="002237F0">
        <w:rPr>
          <w:lang w:val="nl-NL"/>
        </w:rPr>
        <w:t xml:space="preserve">, namelijk dat fair </w:t>
      </w:r>
      <w:proofErr w:type="spellStart"/>
      <w:r w:rsidRPr="002237F0">
        <w:rPr>
          <w:lang w:val="nl-NL"/>
        </w:rPr>
        <w:t>value</w:t>
      </w:r>
      <w:proofErr w:type="spellEnd"/>
      <w:r w:rsidRPr="002237F0">
        <w:rPr>
          <w:lang w:val="nl-NL"/>
        </w:rPr>
        <w:t xml:space="preserve"> accounting de rol van boodschapper heeft gespeeld. Fair </w:t>
      </w:r>
      <w:proofErr w:type="spellStart"/>
      <w:r w:rsidRPr="002237F0">
        <w:rPr>
          <w:lang w:val="nl-NL"/>
        </w:rPr>
        <w:t>value</w:t>
      </w:r>
      <w:proofErr w:type="spellEnd"/>
      <w:r w:rsidRPr="002237F0">
        <w:rPr>
          <w:lang w:val="nl-NL"/>
        </w:rPr>
        <w:t xml:space="preserve"> accounting liet waardedalingen van financiële activa zien, maar kan niet als veroorzaker aangewezen worden. Dit neemt niet weg dat er problemen zijn geweest rondom </w:t>
      </w:r>
      <w:proofErr w:type="gramStart"/>
      <w:r w:rsidRPr="002237F0">
        <w:rPr>
          <w:lang w:val="nl-NL"/>
        </w:rPr>
        <w:t>de</w:t>
      </w:r>
      <w:proofErr w:type="gramEnd"/>
      <w:r w:rsidRPr="002237F0">
        <w:rPr>
          <w:lang w:val="nl-NL"/>
        </w:rPr>
        <w:t xml:space="preserve"> niveau 2 en niveau 3 waardering van fair </w:t>
      </w:r>
      <w:proofErr w:type="spellStart"/>
      <w:r w:rsidRPr="002237F0">
        <w:rPr>
          <w:lang w:val="nl-NL"/>
        </w:rPr>
        <w:t>value</w:t>
      </w:r>
      <w:proofErr w:type="spellEnd"/>
      <w:r w:rsidRPr="002237F0">
        <w:rPr>
          <w:lang w:val="nl-NL"/>
        </w:rPr>
        <w:t xml:space="preserve">. Daarnaast concludeert dit onderzoek dat het onjuist is de positieve marktreactie op het amendement </w:t>
      </w:r>
      <w:r w:rsidR="00DB5865" w:rsidRPr="002237F0">
        <w:rPr>
          <w:lang w:val="nl-NL"/>
        </w:rPr>
        <w:t xml:space="preserve">te interpreteren als een statement tegen fair </w:t>
      </w:r>
      <w:proofErr w:type="spellStart"/>
      <w:r w:rsidR="00DB5865" w:rsidRPr="002237F0">
        <w:rPr>
          <w:lang w:val="nl-NL"/>
        </w:rPr>
        <w:t>value</w:t>
      </w:r>
      <w:proofErr w:type="spellEnd"/>
      <w:r w:rsidR="00DB5865" w:rsidRPr="002237F0">
        <w:rPr>
          <w:lang w:val="nl-NL"/>
        </w:rPr>
        <w:t xml:space="preserve"> accounting. Het loslaten van fair </w:t>
      </w:r>
      <w:proofErr w:type="spellStart"/>
      <w:r w:rsidR="00DB5865" w:rsidRPr="002237F0">
        <w:rPr>
          <w:lang w:val="nl-NL"/>
        </w:rPr>
        <w:t>value</w:t>
      </w:r>
      <w:proofErr w:type="spellEnd"/>
      <w:r w:rsidR="00DB5865" w:rsidRPr="002237F0">
        <w:rPr>
          <w:lang w:val="nl-NL"/>
        </w:rPr>
        <w:t xml:space="preserve"> accounting maakte het banken makkelijker te voldoen aan het minimumgarantievermogen.</w:t>
      </w:r>
      <w:r w:rsidRPr="002237F0">
        <w:rPr>
          <w:lang w:val="nl-NL"/>
        </w:rPr>
        <w:t xml:space="preserve"> </w:t>
      </w:r>
    </w:p>
    <w:p w:rsidR="00001E11" w:rsidRPr="002237F0" w:rsidRDefault="00D96FEA" w:rsidP="00D96FEA">
      <w:pPr>
        <w:rPr>
          <w:b/>
          <w:sz w:val="24"/>
          <w:lang w:val="nl-NL"/>
        </w:rPr>
      </w:pPr>
      <w:r w:rsidRPr="002237F0">
        <w:rPr>
          <w:b/>
          <w:sz w:val="32"/>
          <w:lang w:val="nl-NL"/>
        </w:rPr>
        <w:t xml:space="preserve">4. </w:t>
      </w:r>
      <w:r w:rsidR="00F5274E" w:rsidRPr="002237F0">
        <w:rPr>
          <w:b/>
          <w:sz w:val="32"/>
          <w:lang w:val="nl-NL"/>
        </w:rPr>
        <w:t>Is er een verband tussen de strengere regelgeving voor banken(</w:t>
      </w:r>
      <w:proofErr w:type="spellStart"/>
      <w:r w:rsidR="00F5274E" w:rsidRPr="002237F0">
        <w:rPr>
          <w:b/>
          <w:sz w:val="32"/>
          <w:lang w:val="nl-NL"/>
        </w:rPr>
        <w:t>Basel-akkoorden</w:t>
      </w:r>
      <w:proofErr w:type="spellEnd"/>
      <w:r w:rsidR="00F5274E" w:rsidRPr="002237F0">
        <w:rPr>
          <w:b/>
          <w:sz w:val="32"/>
          <w:lang w:val="nl-NL"/>
        </w:rPr>
        <w:t>) en de</w:t>
      </w:r>
      <w:r w:rsidR="00EE2C59" w:rsidRPr="002237F0">
        <w:rPr>
          <w:b/>
          <w:sz w:val="32"/>
          <w:lang w:val="nl-NL"/>
        </w:rPr>
        <w:t xml:space="preserve"> werking van fair </w:t>
      </w:r>
      <w:proofErr w:type="spellStart"/>
      <w:r w:rsidR="00EE2C59" w:rsidRPr="002237F0">
        <w:rPr>
          <w:b/>
          <w:sz w:val="32"/>
          <w:lang w:val="nl-NL"/>
        </w:rPr>
        <w:t>value</w:t>
      </w:r>
      <w:proofErr w:type="spellEnd"/>
      <w:r w:rsidR="00F5274E" w:rsidRPr="002237F0">
        <w:rPr>
          <w:b/>
          <w:sz w:val="32"/>
          <w:lang w:val="nl-NL"/>
        </w:rPr>
        <w:t>?</w:t>
      </w:r>
    </w:p>
    <w:p w:rsidR="006E7C85" w:rsidRPr="002237F0" w:rsidRDefault="006A60C5" w:rsidP="00D96FEA">
      <w:pPr>
        <w:rPr>
          <w:lang w:val="nl-NL"/>
        </w:rPr>
      </w:pPr>
      <w:r w:rsidRPr="002237F0">
        <w:rPr>
          <w:lang w:val="nl-NL"/>
        </w:rPr>
        <w:t xml:space="preserve">Banken vervullen nationaal en internationaal gezien een belangrijke rol. Veel mensen leggen hun spaargeld </w:t>
      </w:r>
      <w:r w:rsidR="00DB5865" w:rsidRPr="002237F0">
        <w:rPr>
          <w:lang w:val="nl-NL"/>
        </w:rPr>
        <w:t>in</w:t>
      </w:r>
      <w:r w:rsidRPr="002237F0">
        <w:rPr>
          <w:lang w:val="nl-NL"/>
        </w:rPr>
        <w:t xml:space="preserve"> bij een bank, en dus is het in het belang van financiële stabiliteit dat de banken </w:t>
      </w:r>
      <w:r w:rsidR="00DB5865" w:rsidRPr="002237F0">
        <w:rPr>
          <w:lang w:val="nl-NL"/>
        </w:rPr>
        <w:t xml:space="preserve">zich handhaven. </w:t>
      </w:r>
      <w:r w:rsidRPr="002237F0">
        <w:rPr>
          <w:lang w:val="nl-NL"/>
        </w:rPr>
        <w:t xml:space="preserve">Een overheid kan </w:t>
      </w:r>
      <w:r w:rsidR="006E7C85" w:rsidRPr="002237F0">
        <w:rPr>
          <w:lang w:val="nl-NL"/>
        </w:rPr>
        <w:t>de stabiliteit van de bankensector vergroten</w:t>
      </w:r>
      <w:r w:rsidRPr="002237F0">
        <w:rPr>
          <w:lang w:val="nl-NL"/>
        </w:rPr>
        <w:t>, door garant te staan voor banken</w:t>
      </w:r>
      <w:r w:rsidR="006E7C85" w:rsidRPr="002237F0">
        <w:rPr>
          <w:lang w:val="nl-NL"/>
        </w:rPr>
        <w:t xml:space="preserve"> en het financiële verkeer te reguleren</w:t>
      </w:r>
      <w:r w:rsidRPr="002237F0">
        <w:rPr>
          <w:lang w:val="nl-NL"/>
        </w:rPr>
        <w:t xml:space="preserve">. </w:t>
      </w:r>
      <w:proofErr w:type="gramStart"/>
      <w:r w:rsidRPr="002237F0">
        <w:rPr>
          <w:lang w:val="nl-NL"/>
        </w:rPr>
        <w:t xml:space="preserve">Los van alle morele gevaren die </w:t>
      </w:r>
      <w:r w:rsidR="00CF5DE6" w:rsidRPr="002237F0">
        <w:rPr>
          <w:lang w:val="nl-NL"/>
        </w:rPr>
        <w:t>het garant staan voor banken</w:t>
      </w:r>
      <w:r w:rsidRPr="002237F0">
        <w:rPr>
          <w:lang w:val="nl-NL"/>
        </w:rPr>
        <w:t xml:space="preserve"> met zich meebrengt</w:t>
      </w:r>
      <w:r w:rsidR="00DB5865" w:rsidRPr="002237F0">
        <w:rPr>
          <w:lang w:val="nl-NL"/>
        </w:rPr>
        <w:t>[bijvoorbeeld excessieve risiconeming van banken</w:t>
      </w:r>
      <w:sdt>
        <w:sdtPr>
          <w:rPr>
            <w:lang w:val="nl-NL"/>
          </w:rPr>
          <w:id w:val="2041138"/>
          <w:citation/>
        </w:sdtPr>
        <w:sdtContent>
          <w:r w:rsidR="003C13F3" w:rsidRPr="002237F0">
            <w:rPr>
              <w:lang w:val="nl-NL"/>
            </w:rPr>
            <w:fldChar w:fldCharType="begin"/>
          </w:r>
          <w:r w:rsidR="00DB5865" w:rsidRPr="002237F0">
            <w:rPr>
              <w:lang w:val="nl-NL"/>
            </w:rPr>
            <w:instrText xml:space="preserve"> CITATION Ach09 \l 1043 </w:instrText>
          </w:r>
          <w:r w:rsidR="003C13F3" w:rsidRPr="002237F0">
            <w:rPr>
              <w:lang w:val="nl-NL"/>
            </w:rPr>
            <w:fldChar w:fldCharType="separate"/>
          </w:r>
          <w:r w:rsidR="00DB5865" w:rsidRPr="002237F0">
            <w:rPr>
              <w:noProof/>
              <w:lang w:val="nl-NL"/>
            </w:rPr>
            <w:t xml:space="preserve"> (Richardson &amp; Acharya, 2009)</w:t>
          </w:r>
          <w:r w:rsidR="003C13F3" w:rsidRPr="002237F0">
            <w:rPr>
              <w:lang w:val="nl-NL"/>
            </w:rPr>
            <w:fldChar w:fldCharType="end"/>
          </w:r>
        </w:sdtContent>
      </w:sdt>
      <w:r w:rsidR="00DB5865" w:rsidRPr="002237F0">
        <w:rPr>
          <w:lang w:val="nl-NL"/>
        </w:rPr>
        <w:t>]</w:t>
      </w:r>
      <w:r w:rsidRPr="002237F0">
        <w:rPr>
          <w:lang w:val="nl-NL"/>
        </w:rPr>
        <w:t xml:space="preserve"> is het voor een nationale overheid moeilijk </w:t>
      </w:r>
      <w:r w:rsidR="006E7C85" w:rsidRPr="002237F0">
        <w:rPr>
          <w:lang w:val="nl-NL"/>
        </w:rPr>
        <w:t>alle problemen rondom het internationale financiële verkeer zelf op te lossen</w:t>
      </w:r>
      <w:r w:rsidRPr="002237F0">
        <w:rPr>
          <w:lang w:val="nl-NL"/>
        </w:rPr>
        <w:t xml:space="preserve">. </w:t>
      </w:r>
      <w:proofErr w:type="gramEnd"/>
      <w:r w:rsidRPr="002237F0">
        <w:rPr>
          <w:lang w:val="nl-NL"/>
        </w:rPr>
        <w:t>I</w:t>
      </w:r>
      <w:r w:rsidR="006E7C85" w:rsidRPr="002237F0">
        <w:rPr>
          <w:lang w:val="nl-NL"/>
        </w:rPr>
        <w:t xml:space="preserve">n 1974 werd </w:t>
      </w:r>
      <w:r w:rsidRPr="002237F0">
        <w:rPr>
          <w:lang w:val="nl-NL"/>
        </w:rPr>
        <w:t>al duidelijk</w:t>
      </w:r>
      <w:r w:rsidR="006E7C85" w:rsidRPr="002237F0">
        <w:rPr>
          <w:lang w:val="nl-NL"/>
        </w:rPr>
        <w:t xml:space="preserve"> dat er internationaal toezicht nodig was op de bankensector</w:t>
      </w:r>
      <w:sdt>
        <w:sdtPr>
          <w:rPr>
            <w:lang w:val="nl-NL"/>
          </w:rPr>
          <w:id w:val="930482813"/>
          <w:citation/>
        </w:sdtPr>
        <w:sdtContent>
          <w:r w:rsidR="003C13F3" w:rsidRPr="002237F0">
            <w:rPr>
              <w:lang w:val="nl-NL"/>
            </w:rPr>
            <w:fldChar w:fldCharType="begin"/>
          </w:r>
          <w:r w:rsidRPr="002237F0">
            <w:rPr>
              <w:lang w:val="nl-NL"/>
            </w:rPr>
            <w:instrText xml:space="preserve"> CITATION Lev10 \l 1033 </w:instrText>
          </w:r>
          <w:r w:rsidR="003C13F3" w:rsidRPr="002237F0">
            <w:rPr>
              <w:lang w:val="nl-NL"/>
            </w:rPr>
            <w:fldChar w:fldCharType="separate"/>
          </w:r>
          <w:r w:rsidR="00721EC3" w:rsidRPr="002237F0">
            <w:rPr>
              <w:noProof/>
              <w:lang w:val="nl-NL"/>
            </w:rPr>
            <w:t xml:space="preserve"> (Levinson, 2010)</w:t>
          </w:r>
          <w:r w:rsidR="003C13F3" w:rsidRPr="002237F0">
            <w:rPr>
              <w:lang w:val="nl-NL"/>
            </w:rPr>
            <w:fldChar w:fldCharType="end"/>
          </w:r>
        </w:sdtContent>
      </w:sdt>
      <w:r w:rsidRPr="002237F0">
        <w:rPr>
          <w:lang w:val="nl-NL"/>
        </w:rPr>
        <w:t xml:space="preserve">. In Keulen ging een plaatselijke bank failliet, </w:t>
      </w:r>
      <w:proofErr w:type="spellStart"/>
      <w:r w:rsidRPr="002237F0">
        <w:rPr>
          <w:lang w:val="nl-NL"/>
        </w:rPr>
        <w:t>Bankhaus</w:t>
      </w:r>
      <w:proofErr w:type="spellEnd"/>
      <w:r w:rsidRPr="002237F0">
        <w:rPr>
          <w:lang w:val="nl-NL"/>
        </w:rPr>
        <w:t xml:space="preserve"> </w:t>
      </w:r>
      <w:proofErr w:type="spellStart"/>
      <w:r w:rsidRPr="002237F0">
        <w:rPr>
          <w:lang w:val="nl-NL"/>
        </w:rPr>
        <w:t>Herstatt</w:t>
      </w:r>
      <w:proofErr w:type="spellEnd"/>
      <w:r w:rsidR="00DB5865" w:rsidRPr="002237F0">
        <w:rPr>
          <w:rStyle w:val="FootnoteReference"/>
          <w:lang w:val="nl-NL"/>
        </w:rPr>
        <w:footnoteReference w:id="5"/>
      </w:r>
      <w:r w:rsidRPr="002237F0">
        <w:rPr>
          <w:lang w:val="nl-NL"/>
        </w:rPr>
        <w:t>. De bank was klein, maar had veel valutacontracten met buitenlandse banken. Door het tijdsverschil had de bank voor faillissement al veel transacties</w:t>
      </w:r>
      <w:r w:rsidR="00B02B39" w:rsidRPr="002237F0">
        <w:rPr>
          <w:lang w:val="nl-NL"/>
        </w:rPr>
        <w:t xml:space="preserve"> ontvangen, maar kon de bank de tegenprestatie na sluiting niet meer betalen</w:t>
      </w:r>
      <w:r w:rsidRPr="002237F0">
        <w:rPr>
          <w:lang w:val="nl-NL"/>
        </w:rPr>
        <w:t xml:space="preserve">. Veel banken overal ter wereld leden hierdoor verlies, en de valutamarkt was tijden erg onrustig. Naar aanleiding van dit incident werd het </w:t>
      </w:r>
      <w:proofErr w:type="spellStart"/>
      <w:r w:rsidRPr="002237F0">
        <w:rPr>
          <w:lang w:val="nl-NL"/>
        </w:rPr>
        <w:t>Bazels</w:t>
      </w:r>
      <w:proofErr w:type="spellEnd"/>
      <w:r w:rsidRPr="002237F0">
        <w:rPr>
          <w:lang w:val="nl-NL"/>
        </w:rPr>
        <w:t xml:space="preserve"> Comité voor internationaal bankentoezicht opgericht.</w:t>
      </w:r>
      <w:r w:rsidR="006E7C85" w:rsidRPr="002237F0">
        <w:rPr>
          <w:lang w:val="nl-NL"/>
        </w:rPr>
        <w:t xml:space="preserve"> Sindsdien heeft het </w:t>
      </w:r>
      <w:proofErr w:type="spellStart"/>
      <w:r w:rsidR="006E7C85" w:rsidRPr="002237F0">
        <w:rPr>
          <w:lang w:val="nl-NL"/>
        </w:rPr>
        <w:t>Bazels</w:t>
      </w:r>
      <w:proofErr w:type="spellEnd"/>
      <w:r w:rsidR="006E7C85" w:rsidRPr="002237F0">
        <w:rPr>
          <w:lang w:val="nl-NL"/>
        </w:rPr>
        <w:t xml:space="preserve"> comité verscheidene akkoorden uitgebracht, die in dit hoofdstuk besproken zullen worden. Naar aanleiding van de crisis is er een derde akkoord uitgebracht. Eerst zullen de eerste twee akkoorden aan bod komen. Daarna wordt de werking daarvan in de crisis besproken, en de relatie daarin met fair </w:t>
      </w:r>
      <w:proofErr w:type="spellStart"/>
      <w:r w:rsidR="006E7C85" w:rsidRPr="002237F0">
        <w:rPr>
          <w:lang w:val="nl-NL"/>
        </w:rPr>
        <w:t>value</w:t>
      </w:r>
      <w:proofErr w:type="spellEnd"/>
      <w:r w:rsidR="006E7C85" w:rsidRPr="002237F0">
        <w:rPr>
          <w:lang w:val="nl-NL"/>
        </w:rPr>
        <w:t xml:space="preserve"> accounting. Vervolgens komen de aanpassingen die gemaakt zi</w:t>
      </w:r>
      <w:r w:rsidR="00DB5865" w:rsidRPr="002237F0">
        <w:rPr>
          <w:lang w:val="nl-NL"/>
        </w:rPr>
        <w:t>jn in het derde akkoord aan bod</w:t>
      </w:r>
      <w:r w:rsidR="006E7C85" w:rsidRPr="002237F0">
        <w:rPr>
          <w:lang w:val="nl-NL"/>
        </w:rPr>
        <w:t xml:space="preserve"> en de problemen die het volgens de literatuur enerzijds oplost en anderzijds laat liggen.</w:t>
      </w:r>
    </w:p>
    <w:p w:rsidR="001A6C33" w:rsidRPr="002237F0" w:rsidRDefault="00B81A25" w:rsidP="007E2C3F">
      <w:pPr>
        <w:rPr>
          <w:b/>
          <w:sz w:val="28"/>
          <w:lang w:val="nl-NL"/>
        </w:rPr>
      </w:pPr>
      <w:r w:rsidRPr="002237F0">
        <w:rPr>
          <w:b/>
          <w:sz w:val="28"/>
          <w:lang w:val="nl-NL"/>
        </w:rPr>
        <w:t>4.1. D</w:t>
      </w:r>
      <w:r w:rsidR="001A6C33" w:rsidRPr="002237F0">
        <w:rPr>
          <w:b/>
          <w:sz w:val="28"/>
          <w:lang w:val="nl-NL"/>
        </w:rPr>
        <w:t xml:space="preserve">e </w:t>
      </w:r>
      <w:proofErr w:type="spellStart"/>
      <w:r w:rsidR="001A6C33" w:rsidRPr="002237F0">
        <w:rPr>
          <w:b/>
          <w:sz w:val="28"/>
          <w:lang w:val="nl-NL"/>
        </w:rPr>
        <w:t>Ba</w:t>
      </w:r>
      <w:r w:rsidR="006E7C85" w:rsidRPr="002237F0">
        <w:rPr>
          <w:b/>
          <w:sz w:val="28"/>
          <w:lang w:val="nl-NL"/>
        </w:rPr>
        <w:t>zelse</w:t>
      </w:r>
      <w:proofErr w:type="spellEnd"/>
      <w:r w:rsidR="006E7C85" w:rsidRPr="002237F0">
        <w:rPr>
          <w:b/>
          <w:sz w:val="28"/>
          <w:lang w:val="nl-NL"/>
        </w:rPr>
        <w:t xml:space="preserve"> </w:t>
      </w:r>
      <w:r w:rsidR="001A6C33" w:rsidRPr="002237F0">
        <w:rPr>
          <w:b/>
          <w:sz w:val="28"/>
          <w:lang w:val="nl-NL"/>
        </w:rPr>
        <w:t>akkoorden</w:t>
      </w:r>
      <w:r w:rsidR="006E7C85" w:rsidRPr="002237F0">
        <w:rPr>
          <w:b/>
          <w:sz w:val="28"/>
          <w:lang w:val="nl-NL"/>
        </w:rPr>
        <w:t xml:space="preserve"> I en II</w:t>
      </w:r>
    </w:p>
    <w:p w:rsidR="00D45237" w:rsidRPr="002237F0" w:rsidRDefault="006E7C85" w:rsidP="007E2C3F">
      <w:pPr>
        <w:rPr>
          <w:lang w:val="nl-NL"/>
        </w:rPr>
      </w:pPr>
      <w:r w:rsidRPr="002237F0">
        <w:rPr>
          <w:lang w:val="nl-NL"/>
        </w:rPr>
        <w:t xml:space="preserve">In deze paragraaf komen de eerste twee akkoorden van het </w:t>
      </w:r>
      <w:proofErr w:type="spellStart"/>
      <w:r w:rsidRPr="002237F0">
        <w:rPr>
          <w:lang w:val="nl-NL"/>
        </w:rPr>
        <w:t>Bazelse</w:t>
      </w:r>
      <w:proofErr w:type="spellEnd"/>
      <w:r w:rsidRPr="002237F0">
        <w:rPr>
          <w:lang w:val="nl-NL"/>
        </w:rPr>
        <w:t xml:space="preserve"> Comité aan bod. Het tweede akkoord is een stuk gedetailleerder dan het eerste akkoord, en zal daarom de meeste aandacht krijgen. Aanvankelijk, voordat er sprake was van het eerste Basel akkoord, had elk land zijn eigen maatstaven ter regulering van het bankwezen. Denk hierbij aan het aan te houden minimumkapitaal </w:t>
      </w:r>
      <w:r w:rsidR="00D45237" w:rsidRPr="002237F0">
        <w:rPr>
          <w:lang w:val="nl-NL"/>
        </w:rPr>
        <w:t>en de manier om het kapitaal te meten. Landen vonden het moeilijk hun eigen regels los te laten, en zo kwam er moeilijk internationale regelgeving op gang</w:t>
      </w:r>
      <w:sdt>
        <w:sdtPr>
          <w:rPr>
            <w:lang w:val="nl-NL"/>
          </w:rPr>
          <w:id w:val="-2094465060"/>
          <w:citation/>
        </w:sdtPr>
        <w:sdtContent>
          <w:r w:rsidR="003C13F3" w:rsidRPr="002237F0">
            <w:rPr>
              <w:lang w:val="nl-NL"/>
            </w:rPr>
            <w:fldChar w:fldCharType="begin"/>
          </w:r>
          <w:r w:rsidR="00D45237" w:rsidRPr="002237F0">
            <w:rPr>
              <w:lang w:val="nl-NL"/>
            </w:rPr>
            <w:instrText xml:space="preserve"> CITATION Lev10 \l 1033 </w:instrText>
          </w:r>
          <w:r w:rsidR="003C13F3" w:rsidRPr="002237F0">
            <w:rPr>
              <w:lang w:val="nl-NL"/>
            </w:rPr>
            <w:fldChar w:fldCharType="separate"/>
          </w:r>
          <w:r w:rsidR="00721EC3" w:rsidRPr="002237F0">
            <w:rPr>
              <w:noProof/>
              <w:lang w:val="nl-NL"/>
            </w:rPr>
            <w:t xml:space="preserve"> (Levinson, 2010)</w:t>
          </w:r>
          <w:r w:rsidR="003C13F3" w:rsidRPr="002237F0">
            <w:rPr>
              <w:lang w:val="nl-NL"/>
            </w:rPr>
            <w:fldChar w:fldCharType="end"/>
          </w:r>
        </w:sdtContent>
      </w:sdt>
      <w:r w:rsidR="00D45237" w:rsidRPr="002237F0">
        <w:rPr>
          <w:lang w:val="nl-NL"/>
        </w:rPr>
        <w:t xml:space="preserve">. </w:t>
      </w:r>
      <w:r w:rsidRPr="002237F0">
        <w:rPr>
          <w:lang w:val="nl-NL"/>
        </w:rPr>
        <w:t>Het Basel I akkoord</w:t>
      </w:r>
      <w:r w:rsidR="00D45237" w:rsidRPr="002237F0">
        <w:rPr>
          <w:lang w:val="nl-NL"/>
        </w:rPr>
        <w:t xml:space="preserve"> kwam aanvankelijk tot stand uit een overeenkomst tussen de Verenigde Staten, het Verenigd Koninkrijk en Japan. </w:t>
      </w:r>
    </w:p>
    <w:p w:rsidR="00D45237" w:rsidRPr="002237F0" w:rsidRDefault="00D45237" w:rsidP="007E2C3F">
      <w:pPr>
        <w:rPr>
          <w:b/>
          <w:sz w:val="24"/>
          <w:lang w:val="nl-NL"/>
        </w:rPr>
      </w:pPr>
      <w:r w:rsidRPr="002237F0">
        <w:rPr>
          <w:b/>
          <w:sz w:val="24"/>
          <w:lang w:val="nl-NL"/>
        </w:rPr>
        <w:t>Basel 1</w:t>
      </w:r>
    </w:p>
    <w:p w:rsidR="00B85C46" w:rsidRPr="002237F0" w:rsidRDefault="006E7C85" w:rsidP="007E2C3F">
      <w:pPr>
        <w:rPr>
          <w:lang w:val="nl-NL"/>
        </w:rPr>
      </w:pPr>
      <w:r w:rsidRPr="002237F0">
        <w:rPr>
          <w:lang w:val="nl-NL"/>
        </w:rPr>
        <w:t xml:space="preserve"> </w:t>
      </w:r>
      <w:r w:rsidR="007E3D0C" w:rsidRPr="002237F0">
        <w:rPr>
          <w:lang w:val="nl-NL"/>
        </w:rPr>
        <w:t xml:space="preserve">Het akkoord van Basel 1 introduceerde het minimum garantievermogen dat banken dienen aan te houden. </w:t>
      </w:r>
      <w:r w:rsidR="005F4FB1" w:rsidRPr="002237F0">
        <w:rPr>
          <w:lang w:val="nl-NL"/>
        </w:rPr>
        <w:t xml:space="preserve">Dit werd internationaal gesteld op 8% van de </w:t>
      </w:r>
      <w:proofErr w:type="spellStart"/>
      <w:r w:rsidR="005F4FB1" w:rsidRPr="002237F0">
        <w:rPr>
          <w:lang w:val="nl-NL"/>
        </w:rPr>
        <w:t>risico-gewogen</w:t>
      </w:r>
      <w:proofErr w:type="spellEnd"/>
      <w:r w:rsidR="005F4FB1" w:rsidRPr="002237F0">
        <w:rPr>
          <w:lang w:val="nl-NL"/>
        </w:rPr>
        <w:t xml:space="preserve"> activa. </w:t>
      </w:r>
      <w:r w:rsidR="0048017C" w:rsidRPr="002237F0">
        <w:rPr>
          <w:lang w:val="nl-NL"/>
        </w:rPr>
        <w:t>Er waren vier verschillende soorten activa, en deze waren aan een</w:t>
      </w:r>
      <w:r w:rsidR="005F4FB1" w:rsidRPr="002237F0">
        <w:rPr>
          <w:lang w:val="nl-NL"/>
        </w:rPr>
        <w:t xml:space="preserve"> verschillend risico gebonden</w:t>
      </w:r>
      <w:sdt>
        <w:sdtPr>
          <w:rPr>
            <w:lang w:val="nl-NL"/>
          </w:rPr>
          <w:id w:val="596146565"/>
          <w:citation/>
        </w:sdtPr>
        <w:sdtContent>
          <w:r w:rsidR="003C13F3" w:rsidRPr="002237F0">
            <w:rPr>
              <w:lang w:val="nl-NL"/>
            </w:rPr>
            <w:fldChar w:fldCharType="begin"/>
          </w:r>
          <w:r w:rsidR="0048017C" w:rsidRPr="002237F0">
            <w:rPr>
              <w:lang w:val="nl-NL"/>
            </w:rPr>
            <w:instrText xml:space="preserve"> CITATION Tom13 \l 1033 </w:instrText>
          </w:r>
          <w:r w:rsidR="003C13F3" w:rsidRPr="002237F0">
            <w:rPr>
              <w:lang w:val="nl-NL"/>
            </w:rPr>
            <w:fldChar w:fldCharType="separate"/>
          </w:r>
          <w:r w:rsidR="00721EC3" w:rsidRPr="002237F0">
            <w:rPr>
              <w:noProof/>
              <w:lang w:val="nl-NL"/>
            </w:rPr>
            <w:t xml:space="preserve"> (Norendaal, 2013)</w:t>
          </w:r>
          <w:r w:rsidR="003C13F3" w:rsidRPr="002237F0">
            <w:rPr>
              <w:lang w:val="nl-NL"/>
            </w:rPr>
            <w:fldChar w:fldCharType="end"/>
          </w:r>
        </w:sdtContent>
      </w:sdt>
      <w:r w:rsidR="005F4FB1" w:rsidRPr="002237F0">
        <w:rPr>
          <w:lang w:val="nl-NL"/>
        </w:rPr>
        <w:t>. Zo kende een staatsobligatie een risicopercentage van 0%, waardoor je hier geen kapitaal voor hoefde aan te houden</w:t>
      </w:r>
      <w:sdt>
        <w:sdtPr>
          <w:rPr>
            <w:lang w:val="nl-NL"/>
          </w:rPr>
          <w:id w:val="471099544"/>
          <w:citation/>
        </w:sdtPr>
        <w:sdtContent>
          <w:r w:rsidR="003C13F3" w:rsidRPr="002237F0">
            <w:rPr>
              <w:lang w:val="nl-NL"/>
            </w:rPr>
            <w:fldChar w:fldCharType="begin"/>
          </w:r>
          <w:r w:rsidR="0048017C" w:rsidRPr="002237F0">
            <w:rPr>
              <w:lang w:val="nl-NL"/>
            </w:rPr>
            <w:instrText xml:space="preserve"> CITATION Blu10 \l 1033 </w:instrText>
          </w:r>
          <w:r w:rsidR="003C13F3" w:rsidRPr="002237F0">
            <w:rPr>
              <w:lang w:val="nl-NL"/>
            </w:rPr>
            <w:fldChar w:fldCharType="separate"/>
          </w:r>
          <w:r w:rsidR="00721EC3" w:rsidRPr="002237F0">
            <w:rPr>
              <w:noProof/>
              <w:lang w:val="nl-NL"/>
            </w:rPr>
            <w:t xml:space="preserve"> (Atkinson &amp; Blundell-Wignall, 2010)</w:t>
          </w:r>
          <w:r w:rsidR="003C13F3" w:rsidRPr="002237F0">
            <w:rPr>
              <w:lang w:val="nl-NL"/>
            </w:rPr>
            <w:fldChar w:fldCharType="end"/>
          </w:r>
        </w:sdtContent>
      </w:sdt>
      <w:r w:rsidR="0048017C" w:rsidRPr="002237F0">
        <w:rPr>
          <w:lang w:val="nl-NL"/>
        </w:rPr>
        <w:t>. Een hypotheek hoefde maar voor 50% meegewogen te worden, en obligaties voor 20-30%. De genoemde soorten activa staan in de noemer. De teller wordt gevormd door het Tier 1 en het Tier 2 kapitaal</w:t>
      </w:r>
      <w:sdt>
        <w:sdtPr>
          <w:rPr>
            <w:lang w:val="nl-NL"/>
          </w:rPr>
          <w:id w:val="-1685205322"/>
          <w:citation/>
        </w:sdtPr>
        <w:sdtContent>
          <w:r w:rsidR="003C13F3" w:rsidRPr="002237F0">
            <w:fldChar w:fldCharType="begin"/>
          </w:r>
          <w:r w:rsidR="003B209B" w:rsidRPr="002237F0">
            <w:rPr>
              <w:lang w:val="nl-NL"/>
            </w:rPr>
            <w:instrText xml:space="preserve"> CITATION Bas06 \l 1033  </w:instrText>
          </w:r>
          <w:r w:rsidR="003C13F3" w:rsidRPr="002237F0">
            <w:fldChar w:fldCharType="separate"/>
          </w:r>
          <w:r w:rsidR="009B2F1C" w:rsidRPr="002237F0">
            <w:rPr>
              <w:noProof/>
              <w:lang w:val="nl-NL"/>
            </w:rPr>
            <w:t xml:space="preserve"> (International Convergence of Capital Measurement and Capital Standards, 2006)</w:t>
          </w:r>
          <w:r w:rsidR="003C13F3" w:rsidRPr="002237F0">
            <w:fldChar w:fldCharType="end"/>
          </w:r>
        </w:sdtContent>
      </w:sdt>
      <w:r w:rsidR="0048017C" w:rsidRPr="002237F0">
        <w:rPr>
          <w:lang w:val="nl-NL"/>
        </w:rPr>
        <w:t>. Tier 1 kapitaal bestaat uit eigen vermogen minus goodwill, en Tier 2 kapitaal bestaat voo</w:t>
      </w:r>
      <w:r w:rsidR="00B85C46" w:rsidRPr="002237F0">
        <w:rPr>
          <w:lang w:val="nl-NL"/>
        </w:rPr>
        <w:t xml:space="preserve">ral uit achtergestelde schulden(bijvoorbeeld cumulatief preferente aandelen en herwaarderingsreserves). </w:t>
      </w:r>
    </w:p>
    <w:p w:rsidR="00EE2C59" w:rsidRPr="002237F0" w:rsidRDefault="00B85C46" w:rsidP="007E2C3F">
      <w:pPr>
        <w:rPr>
          <w:lang w:val="nl-NL"/>
        </w:rPr>
      </w:pPr>
      <w:r w:rsidRPr="002237F0">
        <w:rPr>
          <w:lang w:val="nl-NL"/>
        </w:rPr>
        <w:t>In de teller staat dus ofwel het Tier 1 kapitaal ofwel het Tier 1 en 2 kapitaal. Voor enkel het Tier 1 kapitaal werd een garantievermogen van 4% bepleit bij Basel 1</w:t>
      </w:r>
      <w:sdt>
        <w:sdtPr>
          <w:rPr>
            <w:lang w:val="nl-NL"/>
          </w:rPr>
          <w:id w:val="885540"/>
          <w:citation/>
        </w:sdtPr>
        <w:sdtContent>
          <w:r w:rsidR="003C13F3" w:rsidRPr="002237F0">
            <w:rPr>
              <w:lang w:val="nl-NL"/>
            </w:rPr>
            <w:fldChar w:fldCharType="begin"/>
          </w:r>
          <w:r w:rsidR="009B2F1C" w:rsidRPr="002237F0">
            <w:rPr>
              <w:lang w:val="nl-NL"/>
            </w:rPr>
            <w:instrText xml:space="preserve"> CITATION Bas06 \l 1043  </w:instrText>
          </w:r>
          <w:r w:rsidR="003C13F3" w:rsidRPr="002237F0">
            <w:rPr>
              <w:lang w:val="nl-NL"/>
            </w:rPr>
            <w:fldChar w:fldCharType="separate"/>
          </w:r>
          <w:r w:rsidR="009B2F1C" w:rsidRPr="002237F0">
            <w:rPr>
              <w:noProof/>
              <w:lang w:val="nl-NL"/>
            </w:rPr>
            <w:t xml:space="preserve"> (International Convergence of Capital Measurement and Capital Standards, 2006)</w:t>
          </w:r>
          <w:r w:rsidR="003C13F3" w:rsidRPr="002237F0">
            <w:rPr>
              <w:lang w:val="nl-NL"/>
            </w:rPr>
            <w:fldChar w:fldCharType="end"/>
          </w:r>
        </w:sdtContent>
      </w:sdt>
      <w:r w:rsidRPr="002237F0">
        <w:rPr>
          <w:lang w:val="nl-NL"/>
        </w:rPr>
        <w:t>.</w:t>
      </w:r>
      <w:r w:rsidR="00EE2C59" w:rsidRPr="002237F0">
        <w:rPr>
          <w:lang w:val="nl-NL"/>
        </w:rPr>
        <w:t xml:space="preserve"> </w:t>
      </w:r>
    </w:p>
    <w:p w:rsidR="006261EF" w:rsidRPr="002237F0" w:rsidRDefault="00420C2A" w:rsidP="007E2C3F">
      <w:pPr>
        <w:rPr>
          <w:lang w:val="nl-NL"/>
        </w:rPr>
      </w:pPr>
      <w:r w:rsidRPr="002237F0">
        <w:rPr>
          <w:i/>
          <w:sz w:val="24"/>
          <w:lang w:val="nl-NL"/>
        </w:rPr>
        <w:t>Voorbeeld</w:t>
      </w:r>
    </w:p>
    <w:p w:rsidR="002B10C1" w:rsidRPr="002237F0" w:rsidRDefault="00420C2A" w:rsidP="00B02B39">
      <w:pPr>
        <w:pBdr>
          <w:top w:val="single" w:sz="4" w:space="1" w:color="auto"/>
          <w:left w:val="single" w:sz="4" w:space="4" w:color="auto"/>
          <w:bottom w:val="single" w:sz="4" w:space="1" w:color="auto"/>
          <w:right w:val="single" w:sz="4" w:space="4" w:color="auto"/>
        </w:pBdr>
        <w:rPr>
          <w:lang w:val="nl-NL"/>
        </w:rPr>
      </w:pPr>
      <w:r w:rsidRPr="002237F0">
        <w:rPr>
          <w:lang w:val="nl-NL"/>
        </w:rPr>
        <w:t xml:space="preserve">Hier volgt een kort voorbeeld van hoe een garantievermogen berekend dient te worden. Het gaat hier om een kleine bank met 2 miljoen euro aan eigen vermogen, en een uitstaande lening van 10 miljoen euro, met een risicoweging van 90%. Het eigen vermogen kan gezien worden als het tier 1 kapitaal. </w:t>
      </w:r>
      <w:proofErr w:type="gramStart"/>
      <w:r w:rsidRPr="002237F0">
        <w:rPr>
          <w:lang w:val="nl-NL"/>
        </w:rPr>
        <w:t>Deze</w:t>
      </w:r>
      <w:proofErr w:type="gramEnd"/>
      <w:r w:rsidRPr="002237F0">
        <w:rPr>
          <w:lang w:val="nl-NL"/>
        </w:rPr>
        <w:t xml:space="preserve"> 2 miljoen euro staat in de teller van de breuk. In de noemer komen de </w:t>
      </w:r>
      <w:proofErr w:type="spellStart"/>
      <w:r w:rsidRPr="002237F0">
        <w:rPr>
          <w:lang w:val="nl-NL"/>
        </w:rPr>
        <w:t>risicogewogen</w:t>
      </w:r>
      <w:proofErr w:type="spellEnd"/>
      <w:r w:rsidRPr="002237F0">
        <w:rPr>
          <w:lang w:val="nl-NL"/>
        </w:rPr>
        <w:t xml:space="preserve"> activa. Dit wordt in het totaal dus 90% van 10 miljoen, dat levert 9 miljoen op. Het aandeel van het garantievermogen bedraagt dus 2 miljoen/9 miljoen, </w:t>
      </w:r>
      <w:proofErr w:type="gramStart"/>
      <w:r w:rsidRPr="002237F0">
        <w:rPr>
          <w:lang w:val="nl-NL"/>
        </w:rPr>
        <w:t>oftewel</w:t>
      </w:r>
      <w:proofErr w:type="gramEnd"/>
      <w:r w:rsidRPr="002237F0">
        <w:rPr>
          <w:lang w:val="nl-NL"/>
        </w:rPr>
        <w:t xml:space="preserve"> 22%. Dit komt ver boven de 8% uit, dus het minimumgarantievermogen wordt niet overschreden. </w:t>
      </w:r>
    </w:p>
    <w:p w:rsidR="00355721" w:rsidRPr="002237F0" w:rsidRDefault="006D1783" w:rsidP="007E2C3F">
      <w:pPr>
        <w:rPr>
          <w:lang w:val="nl-NL"/>
        </w:rPr>
      </w:pPr>
      <w:r w:rsidRPr="002237F0">
        <w:rPr>
          <w:lang w:val="nl-NL"/>
        </w:rPr>
        <w:t>In de loop der jaren ontstond de opinie dat het systeem van Basel I aan enkele tekortkomingen leed</w:t>
      </w:r>
      <w:sdt>
        <w:sdtPr>
          <w:rPr>
            <w:lang w:val="nl-NL"/>
          </w:rPr>
          <w:id w:val="885541"/>
          <w:citation/>
        </w:sdtPr>
        <w:sdtContent>
          <w:r w:rsidR="003C13F3" w:rsidRPr="002237F0">
            <w:rPr>
              <w:lang w:val="nl-NL"/>
            </w:rPr>
            <w:fldChar w:fldCharType="begin"/>
          </w:r>
          <w:r w:rsidRPr="002237F0">
            <w:rPr>
              <w:lang w:val="nl-NL"/>
            </w:rPr>
            <w:instrText xml:space="preserve"> CITATION Can09 \l 1043 </w:instrText>
          </w:r>
          <w:r w:rsidR="003C13F3" w:rsidRPr="002237F0">
            <w:rPr>
              <w:lang w:val="nl-NL"/>
            </w:rPr>
            <w:fldChar w:fldCharType="separate"/>
          </w:r>
          <w:r w:rsidR="00721EC3" w:rsidRPr="002237F0">
            <w:rPr>
              <w:noProof/>
              <w:lang w:val="nl-NL"/>
            </w:rPr>
            <w:t xml:space="preserve"> (Cannata &amp; Quagliariello, 2009)</w:t>
          </w:r>
          <w:r w:rsidR="003C13F3" w:rsidRPr="002237F0">
            <w:rPr>
              <w:lang w:val="nl-NL"/>
            </w:rPr>
            <w:fldChar w:fldCharType="end"/>
          </w:r>
        </w:sdtContent>
      </w:sdt>
      <w:r w:rsidRPr="002237F0">
        <w:rPr>
          <w:lang w:val="nl-NL"/>
        </w:rPr>
        <w:t xml:space="preserve">. Ten eerste was het enkel gefocust op het eigen kredietrisico, en niet op een algemeen risico van de markt. Daarnaast werd er totaal geen rekening gehouden met </w:t>
      </w:r>
      <w:r w:rsidR="00B60923" w:rsidRPr="002237F0">
        <w:rPr>
          <w:lang w:val="nl-NL"/>
        </w:rPr>
        <w:t xml:space="preserve">de kredietwaardigheid van tegenpartijen, en werden banken niet aangespoord hun risicobeleid te verbeteren. Ten slotte konden banken heel </w:t>
      </w:r>
      <w:r w:rsidR="00EE2C59" w:rsidRPr="002237F0">
        <w:rPr>
          <w:lang w:val="nl-NL"/>
        </w:rPr>
        <w:t>ge</w:t>
      </w:r>
      <w:r w:rsidR="00B60923" w:rsidRPr="002237F0">
        <w:rPr>
          <w:lang w:val="nl-NL"/>
        </w:rPr>
        <w:t xml:space="preserve">makkelijk door beleidskeuze hun </w:t>
      </w:r>
      <w:proofErr w:type="spellStart"/>
      <w:r w:rsidR="00B60923" w:rsidRPr="002237F0">
        <w:rPr>
          <w:lang w:val="nl-NL"/>
        </w:rPr>
        <w:t>risicogewogen</w:t>
      </w:r>
      <w:proofErr w:type="spellEnd"/>
      <w:r w:rsidR="00B60923" w:rsidRPr="002237F0">
        <w:rPr>
          <w:lang w:val="nl-NL"/>
        </w:rPr>
        <w:t xml:space="preserve"> activa aanpassen door het kiezen van andere categorieën, en daarmee pasten ze direct het benodigd eigen vermogen aan</w:t>
      </w:r>
      <w:sdt>
        <w:sdtPr>
          <w:rPr>
            <w:lang w:val="nl-NL"/>
          </w:rPr>
          <w:id w:val="885542"/>
          <w:citation/>
        </w:sdtPr>
        <w:sdtContent>
          <w:r w:rsidR="003C13F3" w:rsidRPr="002237F0">
            <w:rPr>
              <w:lang w:val="nl-NL"/>
            </w:rPr>
            <w:fldChar w:fldCharType="begin"/>
          </w:r>
          <w:r w:rsidR="00B60923" w:rsidRPr="002237F0">
            <w:rPr>
              <w:lang w:val="nl-NL"/>
            </w:rPr>
            <w:instrText xml:space="preserve"> CITATION Blu10 \l 1043 </w:instrText>
          </w:r>
          <w:r w:rsidR="003C13F3" w:rsidRPr="002237F0">
            <w:rPr>
              <w:lang w:val="nl-NL"/>
            </w:rPr>
            <w:fldChar w:fldCharType="separate"/>
          </w:r>
          <w:r w:rsidR="00721EC3" w:rsidRPr="002237F0">
            <w:rPr>
              <w:noProof/>
              <w:lang w:val="nl-NL"/>
            </w:rPr>
            <w:t xml:space="preserve"> (Atkinson &amp; Blundell-Wignall, 2010)</w:t>
          </w:r>
          <w:r w:rsidR="003C13F3" w:rsidRPr="002237F0">
            <w:rPr>
              <w:lang w:val="nl-NL"/>
            </w:rPr>
            <w:fldChar w:fldCharType="end"/>
          </w:r>
        </w:sdtContent>
      </w:sdt>
      <w:r w:rsidR="00B60923" w:rsidRPr="002237F0">
        <w:rPr>
          <w:lang w:val="nl-NL"/>
        </w:rPr>
        <w:t xml:space="preserve">. Omdat </w:t>
      </w:r>
      <w:r w:rsidR="009C1F8B" w:rsidRPr="002237F0">
        <w:rPr>
          <w:lang w:val="nl-NL"/>
        </w:rPr>
        <w:t>toezichthouders</w:t>
      </w:r>
      <w:r w:rsidR="00B60923" w:rsidRPr="002237F0">
        <w:rPr>
          <w:lang w:val="nl-NL"/>
        </w:rPr>
        <w:t xml:space="preserve"> duidelijk niet tevreden wa</w:t>
      </w:r>
      <w:r w:rsidR="009C1F8B" w:rsidRPr="002237F0">
        <w:rPr>
          <w:lang w:val="nl-NL"/>
        </w:rPr>
        <w:t>ren</w:t>
      </w:r>
      <w:r w:rsidR="00B60923" w:rsidRPr="002237F0">
        <w:rPr>
          <w:lang w:val="nl-NL"/>
        </w:rPr>
        <w:t xml:space="preserve"> met Basel I, is er besloten om het eerste akkoord volledig te herzien. Dit gebeurde in 2004, en het nieuwe akkoord heette Basel II. </w:t>
      </w:r>
    </w:p>
    <w:p w:rsidR="00355721" w:rsidRPr="002237F0" w:rsidRDefault="00355721" w:rsidP="007E2C3F">
      <w:pPr>
        <w:rPr>
          <w:b/>
          <w:sz w:val="24"/>
          <w:lang w:val="nl-NL"/>
        </w:rPr>
      </w:pPr>
      <w:r w:rsidRPr="002237F0">
        <w:rPr>
          <w:b/>
          <w:sz w:val="24"/>
          <w:lang w:val="nl-NL"/>
        </w:rPr>
        <w:t>Basel II</w:t>
      </w:r>
    </w:p>
    <w:p w:rsidR="006C1238" w:rsidRPr="002237F0" w:rsidRDefault="009C1F8B" w:rsidP="007E2C3F">
      <w:pPr>
        <w:rPr>
          <w:lang w:val="nl-NL"/>
        </w:rPr>
      </w:pPr>
      <w:r w:rsidRPr="002237F0">
        <w:rPr>
          <w:lang w:val="nl-NL"/>
        </w:rPr>
        <w:t xml:space="preserve">Basel II is een stuk </w:t>
      </w:r>
      <w:r w:rsidR="00355721" w:rsidRPr="002237F0">
        <w:rPr>
          <w:lang w:val="nl-NL"/>
        </w:rPr>
        <w:t>complex</w:t>
      </w:r>
      <w:r w:rsidRPr="002237F0">
        <w:rPr>
          <w:lang w:val="nl-NL"/>
        </w:rPr>
        <w:t>er</w:t>
      </w:r>
      <w:r w:rsidR="00355721" w:rsidRPr="002237F0">
        <w:rPr>
          <w:lang w:val="nl-NL"/>
        </w:rPr>
        <w:t xml:space="preserve"> dan Basel I. Het minimumgarantie vermogen bestaat nog steeds, maar wel </w:t>
      </w:r>
      <w:r w:rsidRPr="002237F0">
        <w:rPr>
          <w:lang w:val="nl-NL"/>
        </w:rPr>
        <w:t xml:space="preserve">in </w:t>
      </w:r>
      <w:r w:rsidR="00355721" w:rsidRPr="002237F0">
        <w:rPr>
          <w:lang w:val="nl-NL"/>
        </w:rPr>
        <w:t>een aangepaste, complexere vorm. Er zijn echter nog meer regels ingebouwd dan enkel het minimumgarantievermogen. In Basel II is er namelijk sprake van drie pijlers. De eerste pijler bouwt voor op Basel I, dit is namelijk de pijler die gaat over het aan te houden minimumkapitaal. Pijler twee regelt het toezicht en de bevoegdheden van supervisors, en pijler drie gaat over marktdiscipline</w:t>
      </w:r>
      <w:sdt>
        <w:sdtPr>
          <w:rPr>
            <w:lang w:val="nl-NL"/>
          </w:rPr>
          <w:id w:val="2041139"/>
          <w:citation/>
        </w:sdtPr>
        <w:sdtContent>
          <w:r w:rsidR="003C13F3" w:rsidRPr="002237F0">
            <w:rPr>
              <w:lang w:val="nl-NL"/>
            </w:rPr>
            <w:fldChar w:fldCharType="begin"/>
          </w:r>
          <w:r w:rsidRPr="002237F0">
            <w:rPr>
              <w:lang w:val="nl-NL"/>
            </w:rPr>
            <w:instrText xml:space="preserve"> CITATION Bas06 \l 1043 </w:instrText>
          </w:r>
          <w:r w:rsidR="003C13F3" w:rsidRPr="002237F0">
            <w:rPr>
              <w:lang w:val="nl-NL"/>
            </w:rPr>
            <w:fldChar w:fldCharType="separate"/>
          </w:r>
          <w:r w:rsidRPr="002237F0">
            <w:rPr>
              <w:noProof/>
              <w:lang w:val="nl-NL"/>
            </w:rPr>
            <w:t xml:space="preserve"> (International Convergence of Capital Measurement and Capital Standards, 2006)</w:t>
          </w:r>
          <w:r w:rsidR="003C13F3" w:rsidRPr="002237F0">
            <w:rPr>
              <w:lang w:val="nl-NL"/>
            </w:rPr>
            <w:fldChar w:fldCharType="end"/>
          </w:r>
        </w:sdtContent>
      </w:sdt>
      <w:r w:rsidR="00355721" w:rsidRPr="002237F0">
        <w:rPr>
          <w:lang w:val="nl-NL"/>
        </w:rPr>
        <w:t xml:space="preserve">. </w:t>
      </w:r>
    </w:p>
    <w:p w:rsidR="00420C2A" w:rsidRPr="002237F0" w:rsidRDefault="006C1238" w:rsidP="007E2C3F">
      <w:pPr>
        <w:rPr>
          <w:lang w:val="nl-NL"/>
        </w:rPr>
      </w:pPr>
      <w:r w:rsidRPr="002237F0">
        <w:rPr>
          <w:lang w:val="nl-NL"/>
        </w:rPr>
        <w:t xml:space="preserve">Aan de berekening van het aandeel van het garantievermogen zijn enkele aanpassingen gedaan. Het vereiste percentage is 8% gebleven, net zoals de definitie van Tier-1 en Tier-2 kapitaal. De berekening van de </w:t>
      </w:r>
      <w:proofErr w:type="spellStart"/>
      <w:r w:rsidRPr="002237F0">
        <w:rPr>
          <w:lang w:val="nl-NL"/>
        </w:rPr>
        <w:t>Risk-Weighted-Assets</w:t>
      </w:r>
      <w:proofErr w:type="spellEnd"/>
      <w:r w:rsidRPr="002237F0">
        <w:rPr>
          <w:lang w:val="nl-NL"/>
        </w:rPr>
        <w:t>(RWA) is wel veranderd. Ten eerste wordt er bij de bepaling van de risicoweging nu ook rekening gehouden met</w:t>
      </w:r>
      <w:r w:rsidR="009C1F8B" w:rsidRPr="002237F0">
        <w:rPr>
          <w:lang w:val="nl-NL"/>
        </w:rPr>
        <w:t xml:space="preserve"> de</w:t>
      </w:r>
      <w:r w:rsidRPr="002237F0">
        <w:rPr>
          <w:lang w:val="nl-NL"/>
        </w:rPr>
        <w:t xml:space="preserve"> looptijd. Daarnaast is het voor banken mogelijk om in plaats van de standaardberekening(zoals in voorgaand voorbeeld) te kiezen voor een </w:t>
      </w:r>
      <w:proofErr w:type="spellStart"/>
      <w:r w:rsidRPr="002237F0">
        <w:rPr>
          <w:lang w:val="nl-NL"/>
        </w:rPr>
        <w:t>Internal-Ratings-Based</w:t>
      </w:r>
      <w:proofErr w:type="spellEnd"/>
      <w:r w:rsidRPr="002237F0">
        <w:rPr>
          <w:lang w:val="nl-NL"/>
        </w:rPr>
        <w:t xml:space="preserve">(IRB) methode. De bank zelf bepaalt hier naar aanleiding van bepaalde maatstaven(de kans op wanbetaling, de grootte </w:t>
      </w:r>
      <w:r w:rsidR="00662ABB" w:rsidRPr="002237F0">
        <w:rPr>
          <w:lang w:val="nl-NL"/>
        </w:rPr>
        <w:t>het uitstaande bedrag</w:t>
      </w:r>
      <w:r w:rsidRPr="002237F0">
        <w:rPr>
          <w:lang w:val="nl-NL"/>
        </w:rPr>
        <w:t>,</w:t>
      </w:r>
      <w:r w:rsidR="00662ABB" w:rsidRPr="002237F0">
        <w:rPr>
          <w:lang w:val="nl-NL"/>
        </w:rPr>
        <w:t xml:space="preserve"> en de grootte van het potentiële verlies</w:t>
      </w:r>
      <w:r w:rsidRPr="002237F0">
        <w:rPr>
          <w:lang w:val="nl-NL"/>
        </w:rPr>
        <w:t>)</w:t>
      </w:r>
      <w:r w:rsidR="00662ABB" w:rsidRPr="002237F0">
        <w:rPr>
          <w:lang w:val="nl-NL"/>
        </w:rPr>
        <w:t xml:space="preserve">. </w:t>
      </w:r>
    </w:p>
    <w:p w:rsidR="009C1F8B" w:rsidRPr="002237F0" w:rsidRDefault="009C1F8B" w:rsidP="007E2C3F">
      <w:pPr>
        <w:rPr>
          <w:b/>
          <w:sz w:val="24"/>
          <w:lang w:val="nl-NL"/>
        </w:rPr>
      </w:pPr>
    </w:p>
    <w:p w:rsidR="00EE2C59" w:rsidRPr="002237F0" w:rsidRDefault="00EE2C59" w:rsidP="007E2C3F">
      <w:pPr>
        <w:rPr>
          <w:b/>
          <w:sz w:val="24"/>
          <w:lang w:val="nl-NL"/>
        </w:rPr>
      </w:pPr>
      <w:r w:rsidRPr="002237F0">
        <w:rPr>
          <w:b/>
          <w:sz w:val="24"/>
          <w:lang w:val="nl-NL"/>
        </w:rPr>
        <w:t>Vernieuwingen</w:t>
      </w:r>
    </w:p>
    <w:p w:rsidR="006C34A0" w:rsidRPr="002237F0" w:rsidRDefault="00662ABB" w:rsidP="007E2C3F">
      <w:pPr>
        <w:rPr>
          <w:lang w:val="en-GB"/>
        </w:rPr>
      </w:pPr>
      <w:r w:rsidRPr="002237F0">
        <w:rPr>
          <w:lang w:val="nl-NL"/>
        </w:rPr>
        <w:t>Naast het kredietrisico introduceert Basel II het operationeel risico en het marktrisico. Aan beide risico’s liggen complexe berekeningen ten grondslag</w:t>
      </w:r>
      <w:sdt>
        <w:sdtPr>
          <w:rPr>
            <w:lang w:val="nl-NL"/>
          </w:rPr>
          <w:id w:val="885543"/>
          <w:citation/>
        </w:sdtPr>
        <w:sdtContent>
          <w:r w:rsidR="003C13F3" w:rsidRPr="002237F0">
            <w:rPr>
              <w:lang w:val="nl-NL"/>
            </w:rPr>
            <w:fldChar w:fldCharType="begin"/>
          </w:r>
          <w:r w:rsidR="006C34A0" w:rsidRPr="002237F0">
            <w:rPr>
              <w:lang w:val="nl-NL"/>
            </w:rPr>
            <w:instrText xml:space="preserve"> CITATION Blu10 \l 1043 </w:instrText>
          </w:r>
          <w:r w:rsidR="003C13F3" w:rsidRPr="002237F0">
            <w:rPr>
              <w:lang w:val="nl-NL"/>
            </w:rPr>
            <w:fldChar w:fldCharType="separate"/>
          </w:r>
          <w:r w:rsidR="00721EC3" w:rsidRPr="002237F0">
            <w:rPr>
              <w:noProof/>
              <w:lang w:val="nl-NL"/>
            </w:rPr>
            <w:t xml:space="preserve"> (Atkinson &amp; Blundell-Wignall, 2010)</w:t>
          </w:r>
          <w:r w:rsidR="003C13F3" w:rsidRPr="002237F0">
            <w:rPr>
              <w:lang w:val="nl-NL"/>
            </w:rPr>
            <w:fldChar w:fldCharType="end"/>
          </w:r>
        </w:sdtContent>
      </w:sdt>
      <w:r w:rsidRPr="002237F0">
        <w:rPr>
          <w:lang w:val="nl-NL"/>
        </w:rPr>
        <w:t xml:space="preserve">, die het doel van dit onderzoek niet zouden dienen. </w:t>
      </w:r>
      <w:r w:rsidR="006C34A0" w:rsidRPr="002237F0">
        <w:rPr>
          <w:lang w:val="nl-NL"/>
        </w:rPr>
        <w:t xml:space="preserve">Het marktrisico is het risico dat koersen van handelsposities veranderen, zoals de rente. Het operationeel risico is het risico dat er in de uitvoering van het bedrijf iets misgaat. Dit kan een interne oorzaak hebben, zoals een menselijke fout, maar het kan ook externe oorzaken hebben. </w:t>
      </w:r>
      <w:proofErr w:type="spellStart"/>
      <w:r w:rsidR="006C34A0" w:rsidRPr="002237F0">
        <w:rPr>
          <w:lang w:val="en-GB"/>
        </w:rPr>
        <w:t>Een</w:t>
      </w:r>
      <w:proofErr w:type="spellEnd"/>
      <w:r w:rsidR="006C34A0" w:rsidRPr="002237F0">
        <w:rPr>
          <w:lang w:val="en-GB"/>
        </w:rPr>
        <w:t xml:space="preserve"> </w:t>
      </w:r>
      <w:proofErr w:type="spellStart"/>
      <w:r w:rsidR="006C34A0" w:rsidRPr="002237F0">
        <w:rPr>
          <w:lang w:val="en-GB"/>
        </w:rPr>
        <w:t>voorbeeld</w:t>
      </w:r>
      <w:proofErr w:type="spellEnd"/>
      <w:r w:rsidR="006C34A0" w:rsidRPr="002237F0">
        <w:rPr>
          <w:lang w:val="en-GB"/>
        </w:rPr>
        <w:t xml:space="preserve"> </w:t>
      </w:r>
      <w:proofErr w:type="spellStart"/>
      <w:r w:rsidR="006C34A0" w:rsidRPr="002237F0">
        <w:rPr>
          <w:lang w:val="en-GB"/>
        </w:rPr>
        <w:t>hiervan</w:t>
      </w:r>
      <w:proofErr w:type="spellEnd"/>
      <w:r w:rsidR="006C34A0" w:rsidRPr="002237F0">
        <w:rPr>
          <w:lang w:val="en-GB"/>
        </w:rPr>
        <w:t xml:space="preserve"> is </w:t>
      </w:r>
      <w:proofErr w:type="spellStart"/>
      <w:r w:rsidR="006C34A0" w:rsidRPr="002237F0">
        <w:rPr>
          <w:lang w:val="en-GB"/>
        </w:rPr>
        <w:t>fraude</w:t>
      </w:r>
      <w:proofErr w:type="spellEnd"/>
      <w:sdt>
        <w:sdtPr>
          <w:rPr>
            <w:lang w:val="nl-NL"/>
          </w:rPr>
          <w:id w:val="2041140"/>
          <w:citation/>
        </w:sdtPr>
        <w:sdtContent>
          <w:r w:rsidR="003C13F3" w:rsidRPr="002237F0">
            <w:rPr>
              <w:lang w:val="nl-NL"/>
            </w:rPr>
            <w:fldChar w:fldCharType="begin"/>
          </w:r>
          <w:r w:rsidR="009C1F8B" w:rsidRPr="002237F0">
            <w:rPr>
              <w:lang w:val="en-GB"/>
            </w:rPr>
            <w:instrText xml:space="preserve"> CITATION Bas06 \l 1043 </w:instrText>
          </w:r>
          <w:r w:rsidR="003C13F3" w:rsidRPr="002237F0">
            <w:rPr>
              <w:lang w:val="nl-NL"/>
            </w:rPr>
            <w:fldChar w:fldCharType="separate"/>
          </w:r>
          <w:r w:rsidR="009C1F8B" w:rsidRPr="002237F0">
            <w:rPr>
              <w:noProof/>
              <w:lang w:val="en-GB"/>
            </w:rPr>
            <w:t xml:space="preserve"> (International Convergence of Capital Measurement and Capital Standards, 2006)</w:t>
          </w:r>
          <w:r w:rsidR="003C13F3" w:rsidRPr="002237F0">
            <w:rPr>
              <w:lang w:val="nl-NL"/>
            </w:rPr>
            <w:fldChar w:fldCharType="end"/>
          </w:r>
        </w:sdtContent>
      </w:sdt>
      <w:r w:rsidR="006C34A0" w:rsidRPr="002237F0">
        <w:rPr>
          <w:lang w:val="en-GB"/>
        </w:rPr>
        <w:t xml:space="preserve">.  </w:t>
      </w:r>
    </w:p>
    <w:p w:rsidR="009E2E07" w:rsidRPr="002237F0" w:rsidRDefault="006C34A0" w:rsidP="007E2C3F">
      <w:pPr>
        <w:rPr>
          <w:lang w:val="nl-NL"/>
        </w:rPr>
      </w:pPr>
      <w:r w:rsidRPr="002237F0">
        <w:rPr>
          <w:lang w:val="nl-NL"/>
        </w:rPr>
        <w:t xml:space="preserve">Pijler 2 richt zich op het toezicht. Dit gebeurt door een toezichthoudend orgaan. In Nederland zijn dit de </w:t>
      </w:r>
      <w:proofErr w:type="spellStart"/>
      <w:r w:rsidRPr="002237F0">
        <w:rPr>
          <w:lang w:val="nl-NL"/>
        </w:rPr>
        <w:t>Nederlandsche</w:t>
      </w:r>
      <w:proofErr w:type="spellEnd"/>
      <w:r w:rsidRPr="002237F0">
        <w:rPr>
          <w:lang w:val="nl-NL"/>
        </w:rPr>
        <w:t xml:space="preserve"> Bank(DNB) en de Autoriteit Financiële markten(AFM). Met richtlijnen en aan de hand van stresstesten kan een toezichthouder bepalen dat een bank meer kapitaal aan moet houden onder pijler 1. </w:t>
      </w:r>
    </w:p>
    <w:p w:rsidR="00AF1F4D" w:rsidRPr="002237F0" w:rsidRDefault="009E2E07" w:rsidP="007E2C3F">
      <w:pPr>
        <w:rPr>
          <w:lang w:val="nl-NL"/>
        </w:rPr>
      </w:pPr>
      <w:r w:rsidRPr="002237F0">
        <w:rPr>
          <w:lang w:val="nl-NL"/>
        </w:rPr>
        <w:t>Pijler 3 richt zich op marktdiscipline. Hiermee wordt bedoeld dat een bank zoveel mogelijk informatie moet geven over belangrijke feiten rondom het risicoprofiel. Het gaat hier vooral om solvabiliteit- en liquiditeitsrisico’s</w:t>
      </w:r>
      <w:sdt>
        <w:sdtPr>
          <w:rPr>
            <w:lang w:val="nl-NL"/>
          </w:rPr>
          <w:id w:val="885544"/>
          <w:citation/>
        </w:sdtPr>
        <w:sdtContent>
          <w:r w:rsidR="003C13F3" w:rsidRPr="002237F0">
            <w:rPr>
              <w:lang w:val="nl-NL"/>
            </w:rPr>
            <w:fldChar w:fldCharType="begin"/>
          </w:r>
          <w:r w:rsidRPr="002237F0">
            <w:rPr>
              <w:lang w:val="nl-NL"/>
            </w:rPr>
            <w:instrText xml:space="preserve"> CITATION Tom13 \l 1043 </w:instrText>
          </w:r>
          <w:r w:rsidR="003C13F3" w:rsidRPr="002237F0">
            <w:rPr>
              <w:lang w:val="nl-NL"/>
            </w:rPr>
            <w:fldChar w:fldCharType="separate"/>
          </w:r>
          <w:r w:rsidR="00721EC3" w:rsidRPr="002237F0">
            <w:rPr>
              <w:noProof/>
              <w:lang w:val="nl-NL"/>
            </w:rPr>
            <w:t xml:space="preserve"> (Norendaal, 2013)</w:t>
          </w:r>
          <w:r w:rsidR="003C13F3" w:rsidRPr="002237F0">
            <w:rPr>
              <w:lang w:val="nl-NL"/>
            </w:rPr>
            <w:fldChar w:fldCharType="end"/>
          </w:r>
        </w:sdtContent>
      </w:sdt>
      <w:r w:rsidRPr="002237F0">
        <w:rPr>
          <w:lang w:val="nl-NL"/>
        </w:rPr>
        <w:t>. De gedachte is dat bij volledige publicatie de markt banken af zal straffen die te veel risico nemen.</w:t>
      </w:r>
      <w:r w:rsidR="00AF1F4D" w:rsidRPr="002237F0">
        <w:rPr>
          <w:lang w:val="nl-NL"/>
        </w:rPr>
        <w:t xml:space="preserve"> </w:t>
      </w:r>
    </w:p>
    <w:p w:rsidR="00AF1F4D" w:rsidRPr="002237F0" w:rsidRDefault="00AF1F4D" w:rsidP="007E2C3F">
      <w:pPr>
        <w:rPr>
          <w:lang w:val="nl-NL"/>
        </w:rPr>
      </w:pPr>
      <w:r w:rsidRPr="002237F0">
        <w:rPr>
          <w:lang w:val="nl-NL"/>
        </w:rPr>
        <w:t>Basel II werd in Nederland via Europese richtlijnen per 1 januari 2008 verplicht gesteld voor financiële instellingen. De crisis stond op dat moment nog net op het punt te beginnen. In de literatuur is er veel geschreven over de rol van Basel II in de crisis. Hoewel er onenigheid bestaat of het Basel I akkoord gezien de aanloop naar de crisis niet de grotere boosdoener is</w:t>
      </w:r>
      <w:sdt>
        <w:sdtPr>
          <w:rPr>
            <w:lang w:val="nl-NL"/>
          </w:rPr>
          <w:id w:val="885545"/>
          <w:citation/>
        </w:sdtPr>
        <w:sdtContent>
          <w:r w:rsidR="003C13F3" w:rsidRPr="002237F0">
            <w:rPr>
              <w:lang w:val="nl-NL"/>
            </w:rPr>
            <w:fldChar w:fldCharType="begin"/>
          </w:r>
          <w:r w:rsidRPr="002237F0">
            <w:rPr>
              <w:lang w:val="nl-NL"/>
            </w:rPr>
            <w:instrText xml:space="preserve"> CITATION Can09 \l 1043 </w:instrText>
          </w:r>
          <w:r w:rsidR="003C13F3" w:rsidRPr="002237F0">
            <w:rPr>
              <w:lang w:val="nl-NL"/>
            </w:rPr>
            <w:fldChar w:fldCharType="separate"/>
          </w:r>
          <w:r w:rsidR="00721EC3" w:rsidRPr="002237F0">
            <w:rPr>
              <w:noProof/>
              <w:lang w:val="nl-NL"/>
            </w:rPr>
            <w:t xml:space="preserve"> (Cannata &amp; Quagliariello, 2009)</w:t>
          </w:r>
          <w:r w:rsidR="003C13F3" w:rsidRPr="002237F0">
            <w:rPr>
              <w:lang w:val="nl-NL"/>
            </w:rPr>
            <w:fldChar w:fldCharType="end"/>
          </w:r>
        </w:sdtContent>
      </w:sdt>
      <w:r w:rsidRPr="002237F0">
        <w:rPr>
          <w:lang w:val="nl-NL"/>
        </w:rPr>
        <w:t xml:space="preserve">, zijn de meeste kritieken toch gericht op Basel II. De volgende paragraaf zal deze kritieken bespreken, en de rol van fair </w:t>
      </w:r>
      <w:proofErr w:type="spellStart"/>
      <w:r w:rsidRPr="002237F0">
        <w:rPr>
          <w:lang w:val="nl-NL"/>
        </w:rPr>
        <w:t>value</w:t>
      </w:r>
      <w:proofErr w:type="spellEnd"/>
      <w:r w:rsidRPr="002237F0">
        <w:rPr>
          <w:lang w:val="nl-NL"/>
        </w:rPr>
        <w:t xml:space="preserve"> accounting daarin betrekken.</w:t>
      </w:r>
    </w:p>
    <w:p w:rsidR="001D1DD2" w:rsidRPr="002237F0" w:rsidRDefault="001D1DD2" w:rsidP="007E2C3F">
      <w:pPr>
        <w:rPr>
          <w:b/>
          <w:sz w:val="28"/>
          <w:lang w:val="en-GB"/>
        </w:rPr>
      </w:pPr>
      <w:r w:rsidRPr="002237F0">
        <w:rPr>
          <w:b/>
          <w:sz w:val="28"/>
          <w:lang w:val="en-GB"/>
        </w:rPr>
        <w:t xml:space="preserve">4.2. </w:t>
      </w:r>
      <w:proofErr w:type="spellStart"/>
      <w:r w:rsidRPr="002237F0">
        <w:rPr>
          <w:b/>
          <w:sz w:val="28"/>
          <w:lang w:val="en-GB"/>
        </w:rPr>
        <w:t>Bankregulering</w:t>
      </w:r>
      <w:proofErr w:type="spellEnd"/>
      <w:r w:rsidRPr="002237F0">
        <w:rPr>
          <w:b/>
          <w:sz w:val="28"/>
          <w:lang w:val="en-GB"/>
        </w:rPr>
        <w:t>, de crisis, en fair value accounting</w:t>
      </w:r>
    </w:p>
    <w:p w:rsidR="00D34373" w:rsidRPr="002237F0" w:rsidRDefault="00D34373" w:rsidP="007E2C3F">
      <w:pPr>
        <w:rPr>
          <w:lang w:val="nl-NL"/>
        </w:rPr>
      </w:pPr>
      <w:r w:rsidRPr="002237F0">
        <w:rPr>
          <w:lang w:val="nl-NL"/>
        </w:rPr>
        <w:t xml:space="preserve">In verband met de </w:t>
      </w:r>
      <w:proofErr w:type="gramStart"/>
      <w:r w:rsidRPr="002237F0">
        <w:rPr>
          <w:lang w:val="nl-NL"/>
        </w:rPr>
        <w:t xml:space="preserve">crisis </w:t>
      </w:r>
      <w:r w:rsidR="00AF1F4D" w:rsidRPr="002237F0">
        <w:rPr>
          <w:lang w:val="nl-NL"/>
        </w:rPr>
        <w:t xml:space="preserve"> </w:t>
      </w:r>
      <w:proofErr w:type="gramEnd"/>
      <w:r w:rsidRPr="002237F0">
        <w:rPr>
          <w:lang w:val="nl-NL"/>
        </w:rPr>
        <w:t>heeft het Basel II akkoord</w:t>
      </w:r>
      <w:r w:rsidR="00C74E96" w:rsidRPr="002237F0">
        <w:rPr>
          <w:lang w:val="nl-NL"/>
        </w:rPr>
        <w:t xml:space="preserve"> veel kriti</w:t>
      </w:r>
      <w:r w:rsidR="009C1F8B" w:rsidRPr="002237F0">
        <w:rPr>
          <w:lang w:val="nl-NL"/>
        </w:rPr>
        <w:t>ek gekregen. D</w:t>
      </w:r>
      <w:r w:rsidR="00EE2C59" w:rsidRPr="002237F0">
        <w:rPr>
          <w:lang w:val="nl-NL"/>
        </w:rPr>
        <w:t>e kritieken</w:t>
      </w:r>
      <w:r w:rsidR="009C1F8B" w:rsidRPr="002237F0">
        <w:rPr>
          <w:lang w:val="nl-NL"/>
        </w:rPr>
        <w:t xml:space="preserve"> gaan</w:t>
      </w:r>
      <w:r w:rsidR="00C74E96" w:rsidRPr="002237F0">
        <w:rPr>
          <w:lang w:val="nl-NL"/>
        </w:rPr>
        <w:t xml:space="preserve"> echter</w:t>
      </w:r>
      <w:r w:rsidR="009C1F8B" w:rsidRPr="002237F0">
        <w:rPr>
          <w:lang w:val="nl-NL"/>
        </w:rPr>
        <w:t xml:space="preserve"> niet allen over de samenhang met </w:t>
      </w:r>
      <w:r w:rsidR="00C74E96" w:rsidRPr="002237F0">
        <w:rPr>
          <w:lang w:val="nl-NL"/>
        </w:rPr>
        <w:t xml:space="preserve">de fair </w:t>
      </w:r>
      <w:proofErr w:type="spellStart"/>
      <w:r w:rsidR="00C74E96" w:rsidRPr="002237F0">
        <w:rPr>
          <w:lang w:val="nl-NL"/>
        </w:rPr>
        <w:t>value</w:t>
      </w:r>
      <w:proofErr w:type="spellEnd"/>
      <w:r w:rsidR="00C74E96" w:rsidRPr="002237F0">
        <w:rPr>
          <w:lang w:val="nl-NL"/>
        </w:rPr>
        <w:t xml:space="preserve"> waardering.</w:t>
      </w:r>
      <w:r w:rsidR="00CD0E92" w:rsidRPr="002237F0">
        <w:rPr>
          <w:lang w:val="nl-NL"/>
        </w:rPr>
        <w:t xml:space="preserve"> Het is echter wel belangrijk deze punten te bespreken. Het is namelijk van belang het debat over de regulering van het internationale bankwezen goed te begrijpen, wil </w:t>
      </w:r>
      <w:r w:rsidR="009C1F8B" w:rsidRPr="002237F0">
        <w:rPr>
          <w:lang w:val="nl-NL"/>
        </w:rPr>
        <w:t>er</w:t>
      </w:r>
      <w:r w:rsidR="00CD0E92" w:rsidRPr="002237F0">
        <w:rPr>
          <w:lang w:val="nl-NL"/>
        </w:rPr>
        <w:t xml:space="preserve"> uiteindelijk uitspraak </w:t>
      </w:r>
      <w:r w:rsidR="009C1F8B" w:rsidRPr="002237F0">
        <w:rPr>
          <w:lang w:val="nl-NL"/>
        </w:rPr>
        <w:t>gedaan worden</w:t>
      </w:r>
      <w:r w:rsidR="00CD0E92" w:rsidRPr="002237F0">
        <w:rPr>
          <w:lang w:val="nl-NL"/>
        </w:rPr>
        <w:t xml:space="preserve"> over het nut van fair </w:t>
      </w:r>
      <w:proofErr w:type="spellStart"/>
      <w:r w:rsidR="00CD0E92" w:rsidRPr="002237F0">
        <w:rPr>
          <w:lang w:val="nl-NL"/>
        </w:rPr>
        <w:t>value</w:t>
      </w:r>
      <w:proofErr w:type="spellEnd"/>
      <w:r w:rsidR="00CD0E92" w:rsidRPr="002237F0">
        <w:rPr>
          <w:lang w:val="nl-NL"/>
        </w:rPr>
        <w:t xml:space="preserve"> waardering. Bijzonderheden van de instituten die gewaardeerd worden hebben uiteindelijk ook invloed op de werking van de fair </w:t>
      </w:r>
      <w:proofErr w:type="spellStart"/>
      <w:r w:rsidR="00CD0E92" w:rsidRPr="002237F0">
        <w:rPr>
          <w:lang w:val="nl-NL"/>
        </w:rPr>
        <w:t>value</w:t>
      </w:r>
      <w:proofErr w:type="spellEnd"/>
      <w:r w:rsidR="00CD0E92" w:rsidRPr="002237F0">
        <w:rPr>
          <w:lang w:val="nl-NL"/>
        </w:rPr>
        <w:t xml:space="preserve"> waardering. </w:t>
      </w:r>
      <w:r w:rsidR="00C74E96" w:rsidRPr="002237F0">
        <w:rPr>
          <w:lang w:val="nl-NL"/>
        </w:rPr>
        <w:t xml:space="preserve">De belangrijkste </w:t>
      </w:r>
      <w:r w:rsidR="009C1F8B" w:rsidRPr="002237F0">
        <w:rPr>
          <w:lang w:val="nl-NL"/>
        </w:rPr>
        <w:t>punten van kritiek</w:t>
      </w:r>
      <w:r w:rsidR="00C74E96" w:rsidRPr="002237F0">
        <w:rPr>
          <w:lang w:val="nl-NL"/>
        </w:rPr>
        <w:t xml:space="preserve"> op Basel II zijn</w:t>
      </w:r>
      <w:sdt>
        <w:sdtPr>
          <w:rPr>
            <w:lang w:val="nl-NL"/>
          </w:rPr>
          <w:id w:val="885546"/>
          <w:citation/>
        </w:sdtPr>
        <w:sdtContent>
          <w:r w:rsidR="003C13F3" w:rsidRPr="002237F0">
            <w:rPr>
              <w:lang w:val="nl-NL"/>
            </w:rPr>
            <w:fldChar w:fldCharType="begin"/>
          </w:r>
          <w:r w:rsidRPr="002237F0">
            <w:rPr>
              <w:lang w:val="nl-NL"/>
            </w:rPr>
            <w:instrText xml:space="preserve"> CITATION Can09 \l 1043 </w:instrText>
          </w:r>
          <w:r w:rsidR="003C13F3" w:rsidRPr="002237F0">
            <w:rPr>
              <w:lang w:val="nl-NL"/>
            </w:rPr>
            <w:fldChar w:fldCharType="separate"/>
          </w:r>
          <w:r w:rsidR="00721EC3" w:rsidRPr="002237F0">
            <w:rPr>
              <w:noProof/>
              <w:lang w:val="nl-NL"/>
            </w:rPr>
            <w:t xml:space="preserve"> (Cannata &amp; Quagliariello, 2009)</w:t>
          </w:r>
          <w:r w:rsidR="003C13F3" w:rsidRPr="002237F0">
            <w:rPr>
              <w:lang w:val="nl-NL"/>
            </w:rPr>
            <w:fldChar w:fldCharType="end"/>
          </w:r>
        </w:sdtContent>
      </w:sdt>
      <w:r w:rsidRPr="002237F0">
        <w:rPr>
          <w:lang w:val="nl-NL"/>
        </w:rPr>
        <w:t>:</w:t>
      </w:r>
    </w:p>
    <w:p w:rsidR="00D34373" w:rsidRPr="002237F0" w:rsidRDefault="00D34373" w:rsidP="00C74E96">
      <w:pPr>
        <w:pStyle w:val="ListParagraph"/>
        <w:numPr>
          <w:ilvl w:val="0"/>
          <w:numId w:val="25"/>
        </w:numPr>
        <w:rPr>
          <w:lang w:val="nl-NL"/>
        </w:rPr>
      </w:pPr>
      <w:r w:rsidRPr="002237F0">
        <w:rPr>
          <w:lang w:val="nl-NL"/>
        </w:rPr>
        <w:t>Kapitaalvereisten zouden procyclisch zijn en daardoor conjunctuurgolven versterken;</w:t>
      </w:r>
    </w:p>
    <w:p w:rsidR="00D34373" w:rsidRPr="002237F0" w:rsidRDefault="00D34373" w:rsidP="00C74E96">
      <w:pPr>
        <w:pStyle w:val="ListParagraph"/>
        <w:numPr>
          <w:ilvl w:val="0"/>
          <w:numId w:val="25"/>
        </w:numPr>
        <w:rPr>
          <w:lang w:val="nl-NL"/>
        </w:rPr>
      </w:pPr>
      <w:r w:rsidRPr="002237F0">
        <w:rPr>
          <w:lang w:val="nl-NL"/>
        </w:rPr>
        <w:t>Er is te veel afhankelijk van kredietbeoordelaars</w:t>
      </w:r>
      <w:r w:rsidR="000C6DE8" w:rsidRPr="002237F0">
        <w:rPr>
          <w:lang w:val="nl-NL"/>
        </w:rPr>
        <w:t>, en het oordeel van banken zelf</w:t>
      </w:r>
      <w:r w:rsidRPr="002237F0">
        <w:rPr>
          <w:lang w:val="nl-NL"/>
        </w:rPr>
        <w:t>;</w:t>
      </w:r>
    </w:p>
    <w:p w:rsidR="00D2662D" w:rsidRPr="002237F0" w:rsidRDefault="00D34373" w:rsidP="00C74E96">
      <w:pPr>
        <w:pStyle w:val="ListParagraph"/>
        <w:numPr>
          <w:ilvl w:val="0"/>
          <w:numId w:val="25"/>
        </w:numPr>
        <w:rPr>
          <w:lang w:val="nl-NL"/>
        </w:rPr>
      </w:pPr>
      <w:r w:rsidRPr="002237F0">
        <w:rPr>
          <w:lang w:val="nl-NL"/>
        </w:rPr>
        <w:t>Basel II moedigt banken aan om de riskante financiële instrumenten van de balans te halen.</w:t>
      </w:r>
    </w:p>
    <w:p w:rsidR="00230D4B" w:rsidRPr="002237F0" w:rsidRDefault="00C74E96" w:rsidP="00C74E96">
      <w:pPr>
        <w:rPr>
          <w:lang w:val="nl-NL"/>
        </w:rPr>
      </w:pPr>
      <w:r w:rsidRPr="002237F0">
        <w:rPr>
          <w:lang w:val="nl-NL"/>
        </w:rPr>
        <w:t xml:space="preserve">Er zijn nog overige opmerkingen gemaakt over de Basel akkoorden, maar dezen hebben weinig te maken met fair </w:t>
      </w:r>
      <w:proofErr w:type="spellStart"/>
      <w:r w:rsidRPr="002237F0">
        <w:rPr>
          <w:lang w:val="nl-NL"/>
        </w:rPr>
        <w:t>value</w:t>
      </w:r>
      <w:proofErr w:type="spellEnd"/>
      <w:r w:rsidRPr="002237F0">
        <w:rPr>
          <w:lang w:val="nl-NL"/>
        </w:rPr>
        <w:t xml:space="preserve"> waardering. </w:t>
      </w:r>
      <w:r w:rsidR="00070FD9" w:rsidRPr="002237F0">
        <w:rPr>
          <w:lang w:val="nl-NL"/>
        </w:rPr>
        <w:t>Zo zou</w:t>
      </w:r>
      <w:r w:rsidR="00EE2C59" w:rsidRPr="002237F0">
        <w:rPr>
          <w:lang w:val="nl-NL"/>
        </w:rPr>
        <w:t xml:space="preserve"> a)</w:t>
      </w:r>
      <w:r w:rsidR="00070FD9" w:rsidRPr="002237F0">
        <w:rPr>
          <w:lang w:val="nl-NL"/>
        </w:rPr>
        <w:t xml:space="preserve"> het vereiste garantiekapitaal te laag zijn, </w:t>
      </w:r>
      <w:r w:rsidR="000C6DE8" w:rsidRPr="002237F0">
        <w:rPr>
          <w:lang w:val="nl-NL"/>
        </w:rPr>
        <w:t xml:space="preserve">en </w:t>
      </w:r>
      <w:r w:rsidR="00230D4B" w:rsidRPr="002237F0">
        <w:rPr>
          <w:lang w:val="nl-NL"/>
        </w:rPr>
        <w:t>zou</w:t>
      </w:r>
      <w:r w:rsidR="00EE2C59" w:rsidRPr="002237F0">
        <w:rPr>
          <w:lang w:val="nl-NL"/>
        </w:rPr>
        <w:t xml:space="preserve"> (b)</w:t>
      </w:r>
      <w:r w:rsidR="00230D4B" w:rsidRPr="002237F0">
        <w:rPr>
          <w:lang w:val="nl-NL"/>
        </w:rPr>
        <w:t xml:space="preserve"> het risico van de tegenpartij niet weergegeven zijn</w:t>
      </w:r>
      <w:r w:rsidR="000C6DE8" w:rsidRPr="002237F0">
        <w:rPr>
          <w:lang w:val="nl-NL"/>
        </w:rPr>
        <w:t>.</w:t>
      </w:r>
      <w:r w:rsidR="00E902A6" w:rsidRPr="002237F0">
        <w:rPr>
          <w:lang w:val="nl-NL"/>
        </w:rPr>
        <w:t xml:space="preserve"> </w:t>
      </w:r>
      <w:r w:rsidR="00230D4B" w:rsidRPr="002237F0">
        <w:rPr>
          <w:lang w:val="nl-NL"/>
        </w:rPr>
        <w:t>Daarnaast wordt een bank niet aangemoedigd een divers portfolio bij te houden</w:t>
      </w:r>
      <w:sdt>
        <w:sdtPr>
          <w:rPr>
            <w:lang w:val="nl-NL"/>
          </w:rPr>
          <w:id w:val="2041141"/>
          <w:citation/>
        </w:sdtPr>
        <w:sdtContent>
          <w:r w:rsidR="003C13F3" w:rsidRPr="002237F0">
            <w:rPr>
              <w:lang w:val="nl-NL"/>
            </w:rPr>
            <w:fldChar w:fldCharType="begin"/>
          </w:r>
          <w:r w:rsidR="009C1F8B" w:rsidRPr="002237F0">
            <w:rPr>
              <w:lang w:val="nl-NL"/>
            </w:rPr>
            <w:instrText xml:space="preserve"> CITATION Can09 \l 1043 </w:instrText>
          </w:r>
          <w:r w:rsidR="003C13F3" w:rsidRPr="002237F0">
            <w:rPr>
              <w:lang w:val="nl-NL"/>
            </w:rPr>
            <w:fldChar w:fldCharType="separate"/>
          </w:r>
          <w:r w:rsidR="009C1F8B" w:rsidRPr="002237F0">
            <w:rPr>
              <w:noProof/>
              <w:lang w:val="nl-NL"/>
            </w:rPr>
            <w:t xml:space="preserve"> (Cannata &amp; Quagliariello, 2009)</w:t>
          </w:r>
          <w:r w:rsidR="003C13F3" w:rsidRPr="002237F0">
            <w:rPr>
              <w:lang w:val="nl-NL"/>
            </w:rPr>
            <w:fldChar w:fldCharType="end"/>
          </w:r>
        </w:sdtContent>
      </w:sdt>
      <w:proofErr w:type="gramStart"/>
      <w:r w:rsidR="00230D4B" w:rsidRPr="002237F0">
        <w:rPr>
          <w:lang w:val="nl-NL"/>
        </w:rPr>
        <w:t xml:space="preserve">. </w:t>
      </w:r>
      <w:r w:rsidR="00B52365" w:rsidRPr="002237F0">
        <w:rPr>
          <w:lang w:val="nl-NL"/>
        </w:rPr>
        <w:t xml:space="preserve"> </w:t>
      </w:r>
      <w:proofErr w:type="gramEnd"/>
    </w:p>
    <w:p w:rsidR="00B52365" w:rsidRPr="002237F0" w:rsidRDefault="00B52365" w:rsidP="00C74E96">
      <w:pPr>
        <w:rPr>
          <w:lang w:val="nl-NL"/>
        </w:rPr>
      </w:pPr>
      <w:r w:rsidRPr="002237F0">
        <w:rPr>
          <w:lang w:val="nl-NL"/>
        </w:rPr>
        <w:t xml:space="preserve">Interessant zijn de algemene bezwaren die aangevoerd worden op hoe de financiële wereld mede door de </w:t>
      </w:r>
      <w:proofErr w:type="spellStart"/>
      <w:r w:rsidRPr="002237F0">
        <w:rPr>
          <w:lang w:val="nl-NL"/>
        </w:rPr>
        <w:t>Basel-akkoorden</w:t>
      </w:r>
      <w:proofErr w:type="spellEnd"/>
      <w:r w:rsidRPr="002237F0">
        <w:rPr>
          <w:lang w:val="nl-NL"/>
        </w:rPr>
        <w:t xml:space="preserve"> er uit ziet. </w:t>
      </w:r>
    </w:p>
    <w:p w:rsidR="00070FD9" w:rsidRPr="002237F0" w:rsidRDefault="00B52365" w:rsidP="00C74E96">
      <w:pPr>
        <w:rPr>
          <w:lang w:val="nl-NL"/>
        </w:rPr>
      </w:pPr>
      <w:r w:rsidRPr="002237F0">
        <w:rPr>
          <w:lang w:val="nl-NL"/>
        </w:rPr>
        <w:t>Een eerste argument bestaat uit de verkeerde motieven die de internationale financiële regeling creëert. Zo geven overheden bijvoorbeeld bankgaranties af. Dit werkt risicozoekende bankiers alleen maar in de hand</w:t>
      </w:r>
      <w:sdt>
        <w:sdtPr>
          <w:rPr>
            <w:lang w:val="nl-NL"/>
          </w:rPr>
          <w:id w:val="885549"/>
          <w:citation/>
        </w:sdtPr>
        <w:sdtContent>
          <w:r w:rsidR="003C13F3" w:rsidRPr="002237F0">
            <w:rPr>
              <w:lang w:val="nl-NL"/>
            </w:rPr>
            <w:fldChar w:fldCharType="begin"/>
          </w:r>
          <w:r w:rsidRPr="002237F0">
            <w:rPr>
              <w:lang w:val="nl-NL"/>
            </w:rPr>
            <w:instrText xml:space="preserve"> CITATION Dru09 \l 1043 </w:instrText>
          </w:r>
          <w:r w:rsidR="003C13F3" w:rsidRPr="002237F0">
            <w:rPr>
              <w:lang w:val="nl-NL"/>
            </w:rPr>
            <w:fldChar w:fldCharType="separate"/>
          </w:r>
          <w:r w:rsidR="00721EC3" w:rsidRPr="002237F0">
            <w:rPr>
              <w:noProof/>
              <w:lang w:val="nl-NL"/>
            </w:rPr>
            <w:t xml:space="preserve"> (Drumond, 2009)</w:t>
          </w:r>
          <w:r w:rsidR="003C13F3" w:rsidRPr="002237F0">
            <w:rPr>
              <w:lang w:val="nl-NL"/>
            </w:rPr>
            <w:fldChar w:fldCharType="end"/>
          </w:r>
        </w:sdtContent>
      </w:sdt>
      <w:r w:rsidRPr="002237F0">
        <w:rPr>
          <w:lang w:val="nl-NL"/>
        </w:rPr>
        <w:t xml:space="preserve">: Er kan gekozen worden voor strategieën met veel risico, en </w:t>
      </w:r>
      <w:r w:rsidR="009C1F8B" w:rsidRPr="002237F0">
        <w:rPr>
          <w:lang w:val="nl-NL"/>
        </w:rPr>
        <w:t>bankiers hoeven</w:t>
      </w:r>
      <w:r w:rsidRPr="002237F0">
        <w:rPr>
          <w:lang w:val="nl-NL"/>
        </w:rPr>
        <w:t xml:space="preserve"> niet bang te zijn voor verlies. Immers, de overheid draait er uiteindelijk voor op. </w:t>
      </w:r>
    </w:p>
    <w:p w:rsidR="00B52365" w:rsidRPr="002237F0" w:rsidRDefault="00B52365" w:rsidP="00C74E96">
      <w:pPr>
        <w:rPr>
          <w:lang w:val="nl-NL"/>
        </w:rPr>
      </w:pPr>
      <w:r w:rsidRPr="002237F0">
        <w:rPr>
          <w:lang w:val="nl-NL"/>
        </w:rPr>
        <w:t>Een tweede argument volgt uit een praktijkvoorbeeld</w:t>
      </w:r>
      <w:r w:rsidR="0022699B" w:rsidRPr="002237F0">
        <w:rPr>
          <w:lang w:val="nl-NL"/>
        </w:rPr>
        <w:t>, namelijk de ondergang van de IJslandse banken</w:t>
      </w:r>
      <w:r w:rsidR="009C1F8B" w:rsidRPr="002237F0">
        <w:rPr>
          <w:lang w:val="nl-NL"/>
        </w:rPr>
        <w:t xml:space="preserve"> </w:t>
      </w:r>
      <w:proofErr w:type="spellStart"/>
      <w:r w:rsidR="009C1F8B" w:rsidRPr="002237F0">
        <w:rPr>
          <w:lang w:val="nl-NL"/>
        </w:rPr>
        <w:t>Kaupthing</w:t>
      </w:r>
      <w:proofErr w:type="spellEnd"/>
      <w:r w:rsidR="009C1F8B" w:rsidRPr="002237F0">
        <w:rPr>
          <w:lang w:val="nl-NL"/>
        </w:rPr>
        <w:t xml:space="preserve"> en </w:t>
      </w:r>
      <w:proofErr w:type="spellStart"/>
      <w:r w:rsidR="009C1F8B" w:rsidRPr="002237F0">
        <w:rPr>
          <w:lang w:val="nl-NL"/>
        </w:rPr>
        <w:t>Landsbanki</w:t>
      </w:r>
      <w:proofErr w:type="spellEnd"/>
      <w:r w:rsidR="009C1F8B" w:rsidRPr="002237F0">
        <w:rPr>
          <w:rStyle w:val="FootnoteReference"/>
          <w:lang w:val="nl-NL"/>
        </w:rPr>
        <w:footnoteReference w:id="6"/>
      </w:r>
      <w:r w:rsidR="0022699B" w:rsidRPr="002237F0">
        <w:rPr>
          <w:lang w:val="nl-NL"/>
        </w:rPr>
        <w:t>, en de schermutselingen tussen enerzijds de IJslandse overheid en anderzijds de Nederlandse overheid</w:t>
      </w:r>
      <w:r w:rsidR="00B453C3" w:rsidRPr="002237F0">
        <w:rPr>
          <w:lang w:val="nl-NL"/>
        </w:rPr>
        <w:t xml:space="preserve"> en de Nederlandse spaarders</w:t>
      </w:r>
      <w:r w:rsidR="0022699B" w:rsidRPr="002237F0">
        <w:rPr>
          <w:lang w:val="nl-NL"/>
        </w:rPr>
        <w:t xml:space="preserve">. Het is binnen het internationaal bankenwezen de vraag welke overheid de rol krijgt </w:t>
      </w:r>
      <w:r w:rsidR="003373CA" w:rsidRPr="002237F0">
        <w:rPr>
          <w:lang w:val="nl-NL"/>
        </w:rPr>
        <w:t xml:space="preserve">bij de </w:t>
      </w:r>
      <w:r w:rsidR="0022699B" w:rsidRPr="002237F0">
        <w:rPr>
          <w:lang w:val="nl-NL"/>
        </w:rPr>
        <w:t>supervisie op banken die internationaal opereren. Basel II heeft dit niet duidelijk gerege</w:t>
      </w:r>
      <w:r w:rsidR="00CD0E92" w:rsidRPr="002237F0">
        <w:rPr>
          <w:lang w:val="nl-NL"/>
        </w:rPr>
        <w:t>ld. In de praktijk is het zo dat het thuisland van een bank toezicht houdt</w:t>
      </w:r>
      <w:sdt>
        <w:sdtPr>
          <w:rPr>
            <w:lang w:val="nl-NL"/>
          </w:rPr>
          <w:id w:val="885551"/>
          <w:citation/>
        </w:sdtPr>
        <w:sdtContent>
          <w:r w:rsidR="003C13F3" w:rsidRPr="002237F0">
            <w:rPr>
              <w:lang w:val="nl-NL"/>
            </w:rPr>
            <w:fldChar w:fldCharType="begin"/>
          </w:r>
          <w:r w:rsidR="00CD0E92" w:rsidRPr="002237F0">
            <w:rPr>
              <w:lang w:val="nl-NL"/>
            </w:rPr>
            <w:instrText xml:space="preserve"> CITATION Lev10 \l 1043 </w:instrText>
          </w:r>
          <w:r w:rsidR="003C13F3" w:rsidRPr="002237F0">
            <w:rPr>
              <w:lang w:val="nl-NL"/>
            </w:rPr>
            <w:fldChar w:fldCharType="separate"/>
          </w:r>
          <w:r w:rsidR="00721EC3" w:rsidRPr="002237F0">
            <w:rPr>
              <w:noProof/>
              <w:lang w:val="nl-NL"/>
            </w:rPr>
            <w:t xml:space="preserve"> (Levinson, 2010)</w:t>
          </w:r>
          <w:r w:rsidR="003C13F3" w:rsidRPr="002237F0">
            <w:rPr>
              <w:lang w:val="nl-NL"/>
            </w:rPr>
            <w:fldChar w:fldCharType="end"/>
          </w:r>
        </w:sdtContent>
      </w:sdt>
      <w:r w:rsidR="00CD0E92" w:rsidRPr="002237F0">
        <w:rPr>
          <w:lang w:val="nl-NL"/>
        </w:rPr>
        <w:t xml:space="preserve">. Dit is in de praktijk een problematische aanpak gebleken te zijn. Het land dat verantwoordelijk is voor regulering, is niet het vaderland van de burgers die getroffen kunnen worden door </w:t>
      </w:r>
      <w:r w:rsidR="003373CA" w:rsidRPr="002237F0">
        <w:rPr>
          <w:lang w:val="nl-NL"/>
        </w:rPr>
        <w:t>het falen van een bank</w:t>
      </w:r>
      <w:r w:rsidR="00CD0E92" w:rsidRPr="002237F0">
        <w:rPr>
          <w:lang w:val="nl-NL"/>
        </w:rPr>
        <w:t xml:space="preserve">. </w:t>
      </w:r>
      <w:proofErr w:type="gramStart"/>
      <w:r w:rsidR="00CD0E92" w:rsidRPr="002237F0">
        <w:rPr>
          <w:lang w:val="nl-NL"/>
        </w:rPr>
        <w:t>In de situatie die zich heeft voorgedaan h</w:t>
      </w:r>
      <w:r w:rsidR="00EE2C59" w:rsidRPr="002237F0">
        <w:rPr>
          <w:lang w:val="nl-NL"/>
        </w:rPr>
        <w:t>ebb</w:t>
      </w:r>
      <w:r w:rsidR="00CD0E92" w:rsidRPr="002237F0">
        <w:rPr>
          <w:lang w:val="nl-NL"/>
        </w:rPr>
        <w:t xml:space="preserve">en veel Nederlanders vanwege de hoge rentes hun spaargeld belegd bij IJslandse banken. </w:t>
      </w:r>
      <w:proofErr w:type="gramEnd"/>
      <w:r w:rsidR="00CD0E92" w:rsidRPr="002237F0">
        <w:rPr>
          <w:lang w:val="nl-NL"/>
        </w:rPr>
        <w:t xml:space="preserve">Op een gegeven moment gingen deze IJslandse banken failliet. </w:t>
      </w:r>
      <w:r w:rsidR="009D72B7" w:rsidRPr="002237F0">
        <w:rPr>
          <w:lang w:val="nl-NL"/>
        </w:rPr>
        <w:t>Op grond van de gewoonte was de IJslandse overheid verantwoordelijk voor de regulering, IJsland voelde zich echter niet geroepen de Nederlandse spaarders tegemoet te komen. Het was duidelijk dat reguleringsbevoegdheid en verantwoordelijkheid op het gebied van internationaal bankieren niet altijd samen lopen</w:t>
      </w:r>
      <w:sdt>
        <w:sdtPr>
          <w:rPr>
            <w:lang w:val="nl-NL"/>
          </w:rPr>
          <w:id w:val="2041142"/>
          <w:citation/>
        </w:sdtPr>
        <w:sdtContent>
          <w:r w:rsidR="003C13F3" w:rsidRPr="002237F0">
            <w:rPr>
              <w:lang w:val="nl-NL"/>
            </w:rPr>
            <w:fldChar w:fldCharType="begin"/>
          </w:r>
          <w:r w:rsidR="003373CA" w:rsidRPr="002237F0">
            <w:rPr>
              <w:lang w:val="nl-NL"/>
            </w:rPr>
            <w:instrText xml:space="preserve"> CITATION Lev10 \l 1043 </w:instrText>
          </w:r>
          <w:r w:rsidR="003C13F3" w:rsidRPr="002237F0">
            <w:rPr>
              <w:lang w:val="nl-NL"/>
            </w:rPr>
            <w:fldChar w:fldCharType="separate"/>
          </w:r>
          <w:r w:rsidR="003373CA" w:rsidRPr="002237F0">
            <w:rPr>
              <w:noProof/>
              <w:lang w:val="nl-NL"/>
            </w:rPr>
            <w:t xml:space="preserve"> (Levinson, 2010)</w:t>
          </w:r>
          <w:r w:rsidR="003C13F3" w:rsidRPr="002237F0">
            <w:rPr>
              <w:lang w:val="nl-NL"/>
            </w:rPr>
            <w:fldChar w:fldCharType="end"/>
          </w:r>
        </w:sdtContent>
      </w:sdt>
      <w:r w:rsidR="009D72B7" w:rsidRPr="002237F0">
        <w:rPr>
          <w:lang w:val="nl-NL"/>
        </w:rPr>
        <w:t xml:space="preserve">. Voor deze mindere kant aan de </w:t>
      </w:r>
      <w:proofErr w:type="spellStart"/>
      <w:r w:rsidR="009D72B7" w:rsidRPr="002237F0">
        <w:rPr>
          <w:lang w:val="nl-NL"/>
        </w:rPr>
        <w:t>geglobaliseerde</w:t>
      </w:r>
      <w:proofErr w:type="spellEnd"/>
      <w:r w:rsidR="009D72B7" w:rsidRPr="002237F0">
        <w:rPr>
          <w:lang w:val="nl-NL"/>
        </w:rPr>
        <w:t xml:space="preserve"> bankwereld moet nog een oplossing gevonden worden. </w:t>
      </w:r>
    </w:p>
    <w:p w:rsidR="00E23B1D" w:rsidRPr="002237F0" w:rsidRDefault="00E23B1D" w:rsidP="00C74E96">
      <w:pPr>
        <w:rPr>
          <w:b/>
          <w:sz w:val="24"/>
          <w:lang w:val="nl-NL"/>
        </w:rPr>
      </w:pPr>
      <w:r w:rsidRPr="002237F0">
        <w:rPr>
          <w:b/>
          <w:sz w:val="24"/>
          <w:lang w:val="nl-NL"/>
        </w:rPr>
        <w:t>Procyclische werking</w:t>
      </w:r>
    </w:p>
    <w:p w:rsidR="009D72B7" w:rsidRPr="002237F0" w:rsidRDefault="009D72B7" w:rsidP="00C74E96">
      <w:pPr>
        <w:rPr>
          <w:lang w:val="nl-NL"/>
        </w:rPr>
      </w:pPr>
      <w:r w:rsidRPr="002237F0">
        <w:rPr>
          <w:lang w:val="nl-NL"/>
        </w:rPr>
        <w:t xml:space="preserve">Terug naar de specifieke gevolgen van Basel II die ook te maken hebben met fair </w:t>
      </w:r>
      <w:proofErr w:type="spellStart"/>
      <w:r w:rsidRPr="002237F0">
        <w:rPr>
          <w:lang w:val="nl-NL"/>
        </w:rPr>
        <w:t>value</w:t>
      </w:r>
      <w:proofErr w:type="spellEnd"/>
      <w:r w:rsidRPr="002237F0">
        <w:rPr>
          <w:lang w:val="nl-NL"/>
        </w:rPr>
        <w:t xml:space="preserve"> waardering. </w:t>
      </w:r>
      <w:r w:rsidR="00070FD9" w:rsidRPr="002237F0">
        <w:rPr>
          <w:lang w:val="nl-NL"/>
        </w:rPr>
        <w:t>Vooral het genoemde eerste</w:t>
      </w:r>
      <w:r w:rsidRPr="002237F0">
        <w:rPr>
          <w:lang w:val="nl-NL"/>
        </w:rPr>
        <w:t xml:space="preserve"> genoemde</w:t>
      </w:r>
      <w:r w:rsidR="00070FD9" w:rsidRPr="002237F0">
        <w:rPr>
          <w:lang w:val="nl-NL"/>
        </w:rPr>
        <w:t xml:space="preserve"> punt is belangrijk voor de discussie </w:t>
      </w:r>
      <w:proofErr w:type="gramStart"/>
      <w:r w:rsidR="00070FD9" w:rsidRPr="002237F0">
        <w:rPr>
          <w:lang w:val="nl-NL"/>
        </w:rPr>
        <w:t>omtrent</w:t>
      </w:r>
      <w:proofErr w:type="gramEnd"/>
      <w:r w:rsidR="00070FD9" w:rsidRPr="002237F0">
        <w:rPr>
          <w:lang w:val="nl-NL"/>
        </w:rPr>
        <w:t xml:space="preserve"> de rol van fair </w:t>
      </w:r>
      <w:proofErr w:type="spellStart"/>
      <w:r w:rsidR="00070FD9" w:rsidRPr="002237F0">
        <w:rPr>
          <w:lang w:val="nl-NL"/>
        </w:rPr>
        <w:t>value</w:t>
      </w:r>
      <w:proofErr w:type="spellEnd"/>
      <w:r w:rsidR="00070FD9" w:rsidRPr="002237F0">
        <w:rPr>
          <w:lang w:val="nl-NL"/>
        </w:rPr>
        <w:t xml:space="preserve"> accounting.</w:t>
      </w:r>
      <w:r w:rsidR="003874DE" w:rsidRPr="002237F0">
        <w:rPr>
          <w:lang w:val="nl-NL"/>
        </w:rPr>
        <w:t xml:space="preserve"> </w:t>
      </w:r>
      <w:r w:rsidRPr="002237F0">
        <w:rPr>
          <w:lang w:val="nl-NL"/>
        </w:rPr>
        <w:t xml:space="preserve">Het gaat hier om de procyclische werking van kapitaalvereisten. </w:t>
      </w:r>
      <w:r w:rsidR="003874DE" w:rsidRPr="002237F0">
        <w:rPr>
          <w:lang w:val="nl-NL"/>
        </w:rPr>
        <w:t xml:space="preserve">Eerder is al besproken dat bij een neerwaartse spiraal in de prijs een reële waardebenadering wellicht procyclisch zou kunnen werken, omdat de vraag vermindert en de markt minder actief wordt. In de literatuur wordt besproken dat ook pijler 1 van de </w:t>
      </w:r>
      <w:proofErr w:type="spellStart"/>
      <w:r w:rsidR="003874DE" w:rsidRPr="002237F0">
        <w:rPr>
          <w:lang w:val="nl-NL"/>
        </w:rPr>
        <w:t>Basel-akkoorden</w:t>
      </w:r>
      <w:proofErr w:type="spellEnd"/>
      <w:r w:rsidR="003874DE" w:rsidRPr="002237F0">
        <w:rPr>
          <w:lang w:val="nl-NL"/>
        </w:rPr>
        <w:t xml:space="preserve"> procyclisch werkt</w:t>
      </w:r>
      <w:sdt>
        <w:sdtPr>
          <w:rPr>
            <w:lang w:val="nl-NL"/>
          </w:rPr>
          <w:id w:val="885548"/>
          <w:citation/>
        </w:sdtPr>
        <w:sdtContent>
          <w:r w:rsidR="003C13F3" w:rsidRPr="002237F0">
            <w:rPr>
              <w:lang w:val="nl-NL"/>
            </w:rPr>
            <w:fldChar w:fldCharType="begin"/>
          </w:r>
          <w:r w:rsidR="003874DE" w:rsidRPr="002237F0">
            <w:rPr>
              <w:lang w:val="nl-NL"/>
            </w:rPr>
            <w:instrText xml:space="preserve"> CITATION Dru09 \l 1043 </w:instrText>
          </w:r>
          <w:r w:rsidR="003C13F3" w:rsidRPr="002237F0">
            <w:rPr>
              <w:lang w:val="nl-NL"/>
            </w:rPr>
            <w:fldChar w:fldCharType="separate"/>
          </w:r>
          <w:r w:rsidR="00721EC3" w:rsidRPr="002237F0">
            <w:rPr>
              <w:noProof/>
              <w:lang w:val="nl-NL"/>
            </w:rPr>
            <w:t xml:space="preserve"> (Drumond, 2009)</w:t>
          </w:r>
          <w:r w:rsidR="003C13F3" w:rsidRPr="002237F0">
            <w:rPr>
              <w:lang w:val="nl-NL"/>
            </w:rPr>
            <w:fldChar w:fldCharType="end"/>
          </w:r>
        </w:sdtContent>
      </w:sdt>
      <w:r w:rsidR="003874DE" w:rsidRPr="002237F0">
        <w:rPr>
          <w:lang w:val="nl-NL"/>
        </w:rPr>
        <w:t xml:space="preserve">. Een verhoging van kredietrisico verhoogt namelijk de kans op een sanctie van toezichthouders, en daarmee de </w:t>
      </w:r>
      <w:r w:rsidRPr="002237F0">
        <w:rPr>
          <w:lang w:val="nl-NL"/>
        </w:rPr>
        <w:t>interne motivatie van een bank om geld uit te lenen.</w:t>
      </w:r>
      <w:r w:rsidR="003874DE" w:rsidRPr="002237F0">
        <w:rPr>
          <w:lang w:val="nl-NL"/>
        </w:rPr>
        <w:t xml:space="preserve"> Als kredietrisico fluctueert met de conjunctuurgolf, dan stimuleert het in slechte tijden om minder te lenen. Dit is een procyclisch effect</w:t>
      </w:r>
      <w:r w:rsidR="00B52365" w:rsidRPr="002237F0">
        <w:rPr>
          <w:lang w:val="nl-NL"/>
        </w:rPr>
        <w:t>, want in slechtere tijden zo</w:t>
      </w:r>
      <w:r w:rsidRPr="002237F0">
        <w:rPr>
          <w:lang w:val="nl-NL"/>
        </w:rPr>
        <w:t xml:space="preserve">rgt pijler 1 ervoor dat iemand die </w:t>
      </w:r>
      <w:proofErr w:type="gramStart"/>
      <w:r w:rsidRPr="002237F0">
        <w:rPr>
          <w:lang w:val="nl-NL"/>
        </w:rPr>
        <w:t>wilt</w:t>
      </w:r>
      <w:proofErr w:type="gramEnd"/>
      <w:r w:rsidRPr="002237F0">
        <w:rPr>
          <w:lang w:val="nl-NL"/>
        </w:rPr>
        <w:t xml:space="preserve"> lenen</w:t>
      </w:r>
      <w:r w:rsidR="00B52365" w:rsidRPr="002237F0">
        <w:rPr>
          <w:lang w:val="nl-NL"/>
        </w:rPr>
        <w:t xml:space="preserve"> nog minder makkelijk aan geld komt</w:t>
      </w:r>
      <w:r w:rsidR="003874DE" w:rsidRPr="002237F0">
        <w:rPr>
          <w:lang w:val="nl-NL"/>
        </w:rPr>
        <w:t>.</w:t>
      </w:r>
    </w:p>
    <w:p w:rsidR="00C74E96" w:rsidRPr="002237F0" w:rsidRDefault="009D72B7" w:rsidP="00C74E96">
      <w:pPr>
        <w:rPr>
          <w:lang w:val="nl-NL"/>
        </w:rPr>
      </w:pPr>
      <w:r w:rsidRPr="002237F0">
        <w:rPr>
          <w:lang w:val="nl-NL"/>
        </w:rPr>
        <w:t>Daarnaast zorgt een vermindering van het eigen vermogen voor motieven om minder geld uit te lenen. Dit leidt wee</w:t>
      </w:r>
      <w:r w:rsidR="00CF5DE6" w:rsidRPr="002237F0">
        <w:rPr>
          <w:lang w:val="nl-NL"/>
        </w:rPr>
        <w:t>r tot minder winst voor de bank</w:t>
      </w:r>
      <w:r w:rsidRPr="002237F0">
        <w:rPr>
          <w:lang w:val="nl-NL"/>
        </w:rPr>
        <w:t xml:space="preserve"> en uiteindelijk beïnvloedt dit</w:t>
      </w:r>
      <w:r w:rsidR="00315F6D" w:rsidRPr="002237F0">
        <w:rPr>
          <w:lang w:val="nl-NL"/>
        </w:rPr>
        <w:t xml:space="preserve"> weer het bedrag dat een bank </w:t>
      </w:r>
      <w:r w:rsidR="00435082" w:rsidRPr="002237F0">
        <w:rPr>
          <w:lang w:val="nl-NL"/>
        </w:rPr>
        <w:t>wil</w:t>
      </w:r>
      <w:r w:rsidR="00315F6D" w:rsidRPr="002237F0">
        <w:rPr>
          <w:lang w:val="nl-NL"/>
        </w:rPr>
        <w:t xml:space="preserve"> uitlenen</w:t>
      </w:r>
      <w:sdt>
        <w:sdtPr>
          <w:rPr>
            <w:lang w:val="nl-NL"/>
          </w:rPr>
          <w:id w:val="885552"/>
          <w:citation/>
        </w:sdtPr>
        <w:sdtContent>
          <w:r w:rsidR="003C13F3" w:rsidRPr="002237F0">
            <w:rPr>
              <w:lang w:val="nl-NL"/>
            </w:rPr>
            <w:fldChar w:fldCharType="begin"/>
          </w:r>
          <w:r w:rsidR="00E23B1D" w:rsidRPr="002237F0">
            <w:rPr>
              <w:lang w:val="nl-NL"/>
            </w:rPr>
            <w:instrText xml:space="preserve"> CITATION Dru09 \l 1043 </w:instrText>
          </w:r>
          <w:r w:rsidR="003C13F3" w:rsidRPr="002237F0">
            <w:rPr>
              <w:lang w:val="nl-NL"/>
            </w:rPr>
            <w:fldChar w:fldCharType="separate"/>
          </w:r>
          <w:r w:rsidR="00721EC3" w:rsidRPr="002237F0">
            <w:rPr>
              <w:noProof/>
              <w:lang w:val="nl-NL"/>
            </w:rPr>
            <w:t xml:space="preserve"> (Drumond, 2009)</w:t>
          </w:r>
          <w:r w:rsidR="003C13F3" w:rsidRPr="002237F0">
            <w:rPr>
              <w:lang w:val="nl-NL"/>
            </w:rPr>
            <w:fldChar w:fldCharType="end"/>
          </w:r>
        </w:sdtContent>
      </w:sdt>
      <w:r w:rsidR="00315F6D" w:rsidRPr="002237F0">
        <w:rPr>
          <w:lang w:val="nl-NL"/>
        </w:rPr>
        <w:t xml:space="preserve">. Als er minder geld uitgeleend wordt, </w:t>
      </w:r>
      <w:r w:rsidR="003373CA" w:rsidRPr="002237F0">
        <w:rPr>
          <w:lang w:val="nl-NL"/>
        </w:rPr>
        <w:t xml:space="preserve">kunnen bedrijven minder </w:t>
      </w:r>
      <w:proofErr w:type="gramStart"/>
      <w:r w:rsidR="003373CA" w:rsidRPr="002237F0">
        <w:rPr>
          <w:lang w:val="nl-NL"/>
        </w:rPr>
        <w:t>makkelijk</w:t>
      </w:r>
      <w:proofErr w:type="gramEnd"/>
      <w:r w:rsidR="003373CA" w:rsidRPr="002237F0">
        <w:rPr>
          <w:lang w:val="nl-NL"/>
        </w:rPr>
        <w:t xml:space="preserve"> </w:t>
      </w:r>
      <w:r w:rsidR="00CF5DE6" w:rsidRPr="002237F0">
        <w:rPr>
          <w:lang w:val="nl-NL"/>
        </w:rPr>
        <w:t>aan geld komen om te investeren</w:t>
      </w:r>
      <w:r w:rsidR="003373CA" w:rsidRPr="002237F0">
        <w:rPr>
          <w:lang w:val="nl-NL"/>
        </w:rPr>
        <w:t xml:space="preserve"> en dit beperkt de mogelijkheden tot groei</w:t>
      </w:r>
      <w:r w:rsidR="00315F6D" w:rsidRPr="002237F0">
        <w:rPr>
          <w:lang w:val="nl-NL"/>
        </w:rPr>
        <w:t xml:space="preserve">. </w:t>
      </w:r>
      <w:r w:rsidR="00CF5DE6" w:rsidRPr="002237F0">
        <w:rPr>
          <w:lang w:val="nl-NL"/>
        </w:rPr>
        <w:t>Ook dit is</w:t>
      </w:r>
      <w:r w:rsidR="00315F6D" w:rsidRPr="002237F0">
        <w:rPr>
          <w:lang w:val="nl-NL"/>
        </w:rPr>
        <w:t xml:space="preserve"> een neerwaartse spiraal die door Basel II wordt </w:t>
      </w:r>
      <w:r w:rsidR="00435082" w:rsidRPr="002237F0">
        <w:rPr>
          <w:lang w:val="nl-NL"/>
        </w:rPr>
        <w:t>bewerkstelligd</w:t>
      </w:r>
      <w:sdt>
        <w:sdtPr>
          <w:rPr>
            <w:lang w:val="nl-NL"/>
          </w:rPr>
          <w:id w:val="2041143"/>
          <w:citation/>
        </w:sdtPr>
        <w:sdtContent>
          <w:r w:rsidR="003C13F3" w:rsidRPr="002237F0">
            <w:rPr>
              <w:lang w:val="nl-NL"/>
            </w:rPr>
            <w:fldChar w:fldCharType="begin"/>
          </w:r>
          <w:r w:rsidR="003373CA" w:rsidRPr="002237F0">
            <w:rPr>
              <w:lang w:val="nl-NL"/>
            </w:rPr>
            <w:instrText xml:space="preserve"> CITATION Dru09 \l 1043 </w:instrText>
          </w:r>
          <w:r w:rsidR="003C13F3" w:rsidRPr="002237F0">
            <w:rPr>
              <w:lang w:val="nl-NL"/>
            </w:rPr>
            <w:fldChar w:fldCharType="separate"/>
          </w:r>
          <w:r w:rsidR="003373CA" w:rsidRPr="002237F0">
            <w:rPr>
              <w:noProof/>
              <w:lang w:val="nl-NL"/>
            </w:rPr>
            <w:t xml:space="preserve"> (Drumond, 2009)</w:t>
          </w:r>
          <w:r w:rsidR="003C13F3" w:rsidRPr="002237F0">
            <w:rPr>
              <w:lang w:val="nl-NL"/>
            </w:rPr>
            <w:fldChar w:fldCharType="end"/>
          </w:r>
        </w:sdtContent>
      </w:sdt>
      <w:r w:rsidR="00435082" w:rsidRPr="002237F0">
        <w:rPr>
          <w:lang w:val="nl-NL"/>
        </w:rPr>
        <w:t xml:space="preserve">. </w:t>
      </w:r>
    </w:p>
    <w:p w:rsidR="00E23B1D" w:rsidRPr="002237F0" w:rsidRDefault="00E23B1D" w:rsidP="00C74E96">
      <w:pPr>
        <w:rPr>
          <w:lang w:val="nl-NL"/>
        </w:rPr>
      </w:pPr>
      <w:r w:rsidRPr="002237F0">
        <w:rPr>
          <w:lang w:val="nl-NL"/>
        </w:rPr>
        <w:t xml:space="preserve">Het tweede punt dat genoemd werd is de kracht van ratingbureaus. Het is maar de vraag in hoeverre ratingbureaus de betrouwbaarheid van bepaalde instrumenten kunnen </w:t>
      </w:r>
      <w:proofErr w:type="gramStart"/>
      <w:r w:rsidRPr="002237F0">
        <w:rPr>
          <w:lang w:val="nl-NL"/>
        </w:rPr>
        <w:t>inschatten</w:t>
      </w:r>
      <w:proofErr w:type="gramEnd"/>
      <w:sdt>
        <w:sdtPr>
          <w:rPr>
            <w:lang w:val="nl-NL"/>
          </w:rPr>
          <w:id w:val="885553"/>
          <w:citation/>
        </w:sdtPr>
        <w:sdtContent>
          <w:r w:rsidR="003C13F3" w:rsidRPr="002237F0">
            <w:rPr>
              <w:lang w:val="nl-NL"/>
            </w:rPr>
            <w:fldChar w:fldCharType="begin"/>
          </w:r>
          <w:r w:rsidRPr="002237F0">
            <w:rPr>
              <w:lang w:val="nl-NL"/>
            </w:rPr>
            <w:instrText xml:space="preserve"> CITATION Can09 \l 1043 </w:instrText>
          </w:r>
          <w:r w:rsidR="003C13F3" w:rsidRPr="002237F0">
            <w:rPr>
              <w:lang w:val="nl-NL"/>
            </w:rPr>
            <w:fldChar w:fldCharType="separate"/>
          </w:r>
          <w:r w:rsidR="00721EC3" w:rsidRPr="002237F0">
            <w:rPr>
              <w:noProof/>
              <w:lang w:val="nl-NL"/>
            </w:rPr>
            <w:t xml:space="preserve"> (Cannata &amp; Quagliariello, 2009)</w:t>
          </w:r>
          <w:r w:rsidR="003C13F3" w:rsidRPr="002237F0">
            <w:rPr>
              <w:lang w:val="nl-NL"/>
            </w:rPr>
            <w:fldChar w:fldCharType="end"/>
          </w:r>
        </w:sdtContent>
      </w:sdt>
      <w:r w:rsidRPr="002237F0">
        <w:rPr>
          <w:lang w:val="nl-NL"/>
        </w:rPr>
        <w:t xml:space="preserve">. </w:t>
      </w:r>
      <w:r w:rsidR="003373CA" w:rsidRPr="002237F0">
        <w:rPr>
          <w:lang w:val="nl-NL"/>
        </w:rPr>
        <w:t>Dit komt er afgevraagd kan worden</w:t>
      </w:r>
      <w:r w:rsidR="00FC77F3" w:rsidRPr="002237F0">
        <w:rPr>
          <w:lang w:val="nl-NL"/>
        </w:rPr>
        <w:t xml:space="preserve"> in hoeverre statistische methodes een alomvattend oordeel kunnen vellen. Het oordeel van een ratingbureau beïnvloedt echter wel het rentepercentage waartegen partijen kunnen lenen, en de kredietwaardigheid van partijen. Deze kredietwaardigheid heeft weer procyclische effecten</w:t>
      </w:r>
      <w:sdt>
        <w:sdtPr>
          <w:rPr>
            <w:lang w:val="nl-NL"/>
          </w:rPr>
          <w:id w:val="-1104725927"/>
          <w:citation/>
        </w:sdtPr>
        <w:sdtContent>
          <w:r w:rsidR="003C13F3" w:rsidRPr="002237F0">
            <w:rPr>
              <w:lang w:val="nl-NL"/>
            </w:rPr>
            <w:fldChar w:fldCharType="begin"/>
          </w:r>
          <w:r w:rsidR="000C6DE8" w:rsidRPr="002237F0">
            <w:rPr>
              <w:lang w:val="nl-NL"/>
            </w:rPr>
            <w:instrText xml:space="preserve"> CITATION Dru09 \l 1033 </w:instrText>
          </w:r>
          <w:r w:rsidR="003C13F3" w:rsidRPr="002237F0">
            <w:rPr>
              <w:lang w:val="nl-NL"/>
            </w:rPr>
            <w:fldChar w:fldCharType="separate"/>
          </w:r>
          <w:r w:rsidR="000C6DE8" w:rsidRPr="002237F0">
            <w:rPr>
              <w:noProof/>
              <w:lang w:val="nl-NL"/>
            </w:rPr>
            <w:t xml:space="preserve"> (Drumond, 2009)</w:t>
          </w:r>
          <w:r w:rsidR="003C13F3" w:rsidRPr="002237F0">
            <w:rPr>
              <w:lang w:val="nl-NL"/>
            </w:rPr>
            <w:fldChar w:fldCharType="end"/>
          </w:r>
        </w:sdtContent>
      </w:sdt>
      <w:r w:rsidR="00FC77F3" w:rsidRPr="002237F0">
        <w:rPr>
          <w:lang w:val="nl-NL"/>
        </w:rPr>
        <w:t xml:space="preserve">. </w:t>
      </w:r>
      <w:r w:rsidR="000C6DE8" w:rsidRPr="002237F0">
        <w:rPr>
          <w:lang w:val="nl-NL"/>
        </w:rPr>
        <w:t xml:space="preserve">De </w:t>
      </w:r>
      <w:proofErr w:type="spellStart"/>
      <w:r w:rsidR="000C6DE8" w:rsidRPr="002237F0">
        <w:rPr>
          <w:lang w:val="nl-NL"/>
        </w:rPr>
        <w:t>Internal-Ratings-Based</w:t>
      </w:r>
      <w:proofErr w:type="spellEnd"/>
      <w:r w:rsidR="000C6DE8" w:rsidRPr="002237F0">
        <w:rPr>
          <w:lang w:val="nl-NL"/>
        </w:rPr>
        <w:t xml:space="preserve"> risicowaardering</w:t>
      </w:r>
      <w:r w:rsidR="003373CA" w:rsidRPr="002237F0">
        <w:rPr>
          <w:lang w:val="nl-NL"/>
        </w:rPr>
        <w:t xml:space="preserve"> die banken kunnen maken</w:t>
      </w:r>
      <w:r w:rsidR="000C6DE8" w:rsidRPr="002237F0">
        <w:rPr>
          <w:lang w:val="nl-NL"/>
        </w:rPr>
        <w:t xml:space="preserve"> krijgt dezelfde kritiek. Het idee dat banken beter het risico kunnen bepalen dan toezichthoudende instanties is nooit bewezen</w:t>
      </w:r>
      <w:sdt>
        <w:sdtPr>
          <w:rPr>
            <w:lang w:val="nl-NL"/>
          </w:rPr>
          <w:id w:val="1008566077"/>
          <w:citation/>
        </w:sdtPr>
        <w:sdtContent>
          <w:r w:rsidR="003C13F3" w:rsidRPr="002237F0">
            <w:rPr>
              <w:lang w:val="nl-NL"/>
            </w:rPr>
            <w:fldChar w:fldCharType="begin"/>
          </w:r>
          <w:r w:rsidR="000C6DE8" w:rsidRPr="002237F0">
            <w:rPr>
              <w:lang w:val="nl-NL"/>
            </w:rPr>
            <w:instrText xml:space="preserve"> CITATION Can09 \l 1033 </w:instrText>
          </w:r>
          <w:r w:rsidR="003C13F3" w:rsidRPr="002237F0">
            <w:rPr>
              <w:lang w:val="nl-NL"/>
            </w:rPr>
            <w:fldChar w:fldCharType="separate"/>
          </w:r>
          <w:r w:rsidR="000C6DE8" w:rsidRPr="002237F0">
            <w:rPr>
              <w:noProof/>
              <w:lang w:val="nl-NL"/>
            </w:rPr>
            <w:t xml:space="preserve"> (Cannata &amp; Quagliariello, 2009)</w:t>
          </w:r>
          <w:r w:rsidR="003C13F3" w:rsidRPr="002237F0">
            <w:rPr>
              <w:lang w:val="nl-NL"/>
            </w:rPr>
            <w:fldChar w:fldCharType="end"/>
          </w:r>
        </w:sdtContent>
      </w:sdt>
      <w:r w:rsidR="000C6DE8" w:rsidRPr="002237F0">
        <w:rPr>
          <w:lang w:val="nl-NL"/>
        </w:rPr>
        <w:t>.</w:t>
      </w:r>
    </w:p>
    <w:p w:rsidR="00EE2C59" w:rsidRPr="002237F0" w:rsidRDefault="00FC77F3" w:rsidP="007E2C3F">
      <w:pPr>
        <w:rPr>
          <w:lang w:val="nl-NL"/>
        </w:rPr>
      </w:pPr>
      <w:r w:rsidRPr="002237F0">
        <w:rPr>
          <w:lang w:val="nl-NL"/>
        </w:rPr>
        <w:t>Het laatste punt dat hier besproken wordt is dat Basel II banken zou prikkelen bepaalde risico</w:t>
      </w:r>
      <w:r w:rsidR="003373CA" w:rsidRPr="002237F0">
        <w:rPr>
          <w:lang w:val="nl-NL"/>
        </w:rPr>
        <w:t>’</w:t>
      </w:r>
      <w:r w:rsidRPr="002237F0">
        <w:rPr>
          <w:lang w:val="nl-NL"/>
        </w:rPr>
        <w:t xml:space="preserve">s </w:t>
      </w:r>
      <w:r w:rsidR="003373CA" w:rsidRPr="002237F0">
        <w:rPr>
          <w:lang w:val="nl-NL"/>
        </w:rPr>
        <w:t>niet op de balans te vermelden</w:t>
      </w:r>
      <w:r w:rsidRPr="002237F0">
        <w:rPr>
          <w:lang w:val="nl-NL"/>
        </w:rPr>
        <w:t xml:space="preserve">. Een voorbeeld hiervan is de </w:t>
      </w:r>
      <w:proofErr w:type="spellStart"/>
      <w:r w:rsidRPr="002237F0">
        <w:rPr>
          <w:lang w:val="nl-NL"/>
        </w:rPr>
        <w:t>securitisatie</w:t>
      </w:r>
      <w:proofErr w:type="spellEnd"/>
      <w:r w:rsidRPr="002237F0">
        <w:rPr>
          <w:lang w:val="nl-NL"/>
        </w:rPr>
        <w:t xml:space="preserve"> van de eerder besproken </w:t>
      </w:r>
      <w:proofErr w:type="spellStart"/>
      <w:r w:rsidRPr="002237F0">
        <w:rPr>
          <w:lang w:val="nl-NL"/>
        </w:rPr>
        <w:t>Mortgage-Backed-Securities</w:t>
      </w:r>
      <w:proofErr w:type="spellEnd"/>
      <w:sdt>
        <w:sdtPr>
          <w:rPr>
            <w:lang w:val="nl-NL"/>
          </w:rPr>
          <w:id w:val="885554"/>
          <w:citation/>
        </w:sdtPr>
        <w:sdtContent>
          <w:r w:rsidR="003C13F3" w:rsidRPr="002237F0">
            <w:rPr>
              <w:lang w:val="nl-NL"/>
            </w:rPr>
            <w:fldChar w:fldCharType="begin"/>
          </w:r>
          <w:r w:rsidRPr="002237F0">
            <w:rPr>
              <w:lang w:val="nl-NL"/>
            </w:rPr>
            <w:instrText xml:space="preserve"> CITATION Can09 \l 1043 </w:instrText>
          </w:r>
          <w:r w:rsidR="003C13F3" w:rsidRPr="002237F0">
            <w:rPr>
              <w:lang w:val="nl-NL"/>
            </w:rPr>
            <w:fldChar w:fldCharType="separate"/>
          </w:r>
          <w:r w:rsidR="00721EC3" w:rsidRPr="002237F0">
            <w:rPr>
              <w:noProof/>
              <w:lang w:val="nl-NL"/>
            </w:rPr>
            <w:t xml:space="preserve"> (Cannata &amp; Quagliariello, 2009)</w:t>
          </w:r>
          <w:r w:rsidR="003C13F3" w:rsidRPr="002237F0">
            <w:rPr>
              <w:lang w:val="nl-NL"/>
            </w:rPr>
            <w:fldChar w:fldCharType="end"/>
          </w:r>
        </w:sdtContent>
      </w:sdt>
      <w:r w:rsidRPr="002237F0">
        <w:rPr>
          <w:lang w:val="nl-NL"/>
        </w:rPr>
        <w:t xml:space="preserve">. Een hypotheek kon van de balans gehaald worden, en via </w:t>
      </w:r>
      <w:proofErr w:type="spellStart"/>
      <w:r w:rsidRPr="002237F0">
        <w:rPr>
          <w:lang w:val="nl-NL"/>
        </w:rPr>
        <w:t>securitisatie</w:t>
      </w:r>
      <w:proofErr w:type="spellEnd"/>
      <w:r w:rsidRPr="002237F0">
        <w:rPr>
          <w:lang w:val="nl-NL"/>
        </w:rPr>
        <w:t xml:space="preserve"> als een aandeel verpakt worden. Het risico werd</w:t>
      </w:r>
      <w:r w:rsidR="00EE2C59" w:rsidRPr="002237F0">
        <w:rPr>
          <w:lang w:val="nl-NL"/>
        </w:rPr>
        <w:t xml:space="preserve"> afgewend naar een derde partij.</w:t>
      </w:r>
      <w:r w:rsidRPr="002237F0">
        <w:rPr>
          <w:lang w:val="nl-NL"/>
        </w:rPr>
        <w:t xml:space="preserve"> Er was achteraf echter weinig transparantie of die derde partij wel echt voor de hypotheek instond. Echter, door deze maatregel was het </w:t>
      </w:r>
      <w:proofErr w:type="spellStart"/>
      <w:r w:rsidRPr="002237F0">
        <w:rPr>
          <w:lang w:val="nl-NL"/>
        </w:rPr>
        <w:t>risico-gewogen</w:t>
      </w:r>
      <w:proofErr w:type="spellEnd"/>
      <w:r w:rsidRPr="002237F0">
        <w:rPr>
          <w:lang w:val="nl-NL"/>
        </w:rPr>
        <w:t xml:space="preserve"> kapitaal een stuk </w:t>
      </w:r>
      <w:r w:rsidR="003373CA" w:rsidRPr="002237F0">
        <w:rPr>
          <w:lang w:val="nl-NL"/>
        </w:rPr>
        <w:t>kleiner</w:t>
      </w:r>
      <w:r w:rsidRPr="002237F0">
        <w:rPr>
          <w:lang w:val="nl-NL"/>
        </w:rPr>
        <w:t xml:space="preserve">. </w:t>
      </w:r>
      <w:r w:rsidR="00B453C3" w:rsidRPr="002237F0">
        <w:rPr>
          <w:lang w:val="nl-NL"/>
        </w:rPr>
        <w:t xml:space="preserve">Banken konden door veel MBS aan te schaffen het minimumgarantievermogen eigenlijk omzeilen. </w:t>
      </w:r>
      <w:r w:rsidRPr="002237F0">
        <w:rPr>
          <w:lang w:val="nl-NL"/>
        </w:rPr>
        <w:t xml:space="preserve">Eerder was het verband tussen fair </w:t>
      </w:r>
      <w:proofErr w:type="spellStart"/>
      <w:r w:rsidRPr="002237F0">
        <w:rPr>
          <w:lang w:val="nl-NL"/>
        </w:rPr>
        <w:t>value</w:t>
      </w:r>
      <w:proofErr w:type="spellEnd"/>
      <w:r w:rsidRPr="002237F0">
        <w:rPr>
          <w:lang w:val="nl-NL"/>
        </w:rPr>
        <w:t xml:space="preserve"> accounting en </w:t>
      </w:r>
      <w:r w:rsidR="004667FB" w:rsidRPr="002237F0">
        <w:rPr>
          <w:lang w:val="nl-NL"/>
        </w:rPr>
        <w:t>MBS al besproken, nu blijkt dat Basel II het creëren van MBS heeft aangemoedigd.</w:t>
      </w:r>
      <w:r w:rsidR="00EE2C59" w:rsidRPr="002237F0">
        <w:rPr>
          <w:lang w:val="nl-NL"/>
        </w:rPr>
        <w:t xml:space="preserve"> In de praktijk ziet het voorbeeld met de risicoweging van MBS er zo uit:</w:t>
      </w:r>
    </w:p>
    <w:p w:rsidR="00EE2C59" w:rsidRPr="002237F0" w:rsidRDefault="00EE2C59" w:rsidP="007E2C3F">
      <w:pPr>
        <w:rPr>
          <w:i/>
          <w:sz w:val="24"/>
          <w:lang w:val="nl-NL"/>
        </w:rPr>
      </w:pPr>
      <w:r w:rsidRPr="002237F0">
        <w:rPr>
          <w:i/>
          <w:sz w:val="24"/>
          <w:lang w:val="nl-NL"/>
        </w:rPr>
        <w:t>Voorbeeld</w:t>
      </w:r>
    </w:p>
    <w:p w:rsidR="00230D4B" w:rsidRPr="002237F0" w:rsidRDefault="00B453C3" w:rsidP="00B453C3">
      <w:pPr>
        <w:pBdr>
          <w:top w:val="single" w:sz="4" w:space="1" w:color="auto"/>
          <w:left w:val="single" w:sz="4" w:space="4" w:color="auto"/>
          <w:bottom w:val="single" w:sz="4" w:space="1" w:color="auto"/>
          <w:right w:val="single" w:sz="4" w:space="4" w:color="auto"/>
        </w:pBdr>
        <w:rPr>
          <w:sz w:val="20"/>
          <w:lang w:val="nl-NL"/>
        </w:rPr>
      </w:pPr>
      <w:r w:rsidRPr="002237F0">
        <w:rPr>
          <w:sz w:val="20"/>
          <w:lang w:val="nl-NL"/>
        </w:rPr>
        <w:t xml:space="preserve">Een bank heeft een aandeel gekocht in een </w:t>
      </w:r>
      <w:proofErr w:type="spellStart"/>
      <w:r w:rsidRPr="002237F0">
        <w:rPr>
          <w:sz w:val="20"/>
          <w:lang w:val="nl-NL"/>
        </w:rPr>
        <w:t>geeffectueerde</w:t>
      </w:r>
      <w:proofErr w:type="spellEnd"/>
      <w:r w:rsidRPr="002237F0">
        <w:rPr>
          <w:sz w:val="20"/>
          <w:lang w:val="nl-NL"/>
        </w:rPr>
        <w:t xml:space="preserve"> hypotheek. De bank heeft recht op de hypotheekbetalingen, maar draagt het risico van wanbetaling. De hypotheek bedraagt 1000 euro. Het minimumgarantievermogen dat de bank moet aanhouden is 8%. De risicoweging van het aandeel in de hypotheek is 100 procent, dus de bank moet 80 euro eigen vermogen aanhouden voor het aandeel in de hypotheek. Echter, de bank sluit een credit </w:t>
      </w:r>
      <w:proofErr w:type="spellStart"/>
      <w:r w:rsidRPr="002237F0">
        <w:rPr>
          <w:sz w:val="20"/>
          <w:lang w:val="nl-NL"/>
        </w:rPr>
        <w:t>default</w:t>
      </w:r>
      <w:proofErr w:type="spellEnd"/>
      <w:r w:rsidRPr="002237F0">
        <w:rPr>
          <w:sz w:val="20"/>
          <w:lang w:val="nl-NL"/>
        </w:rPr>
        <w:t xml:space="preserve"> swap(CDS) af met een andere bank. Het risico van het aandeel in de hypotheek is nu gelijk aan het risico dat de tweede bank niet kan betalen. De risicoweging wordt als gevolg hiervan verlaagd naar 20%(van de oorspronkelijke 80 euro). De bank hoeft nu dus maar 16 euro aan eigen vermogen aan te houden. In de praktijk zal de tweede bank een zeer lage reserve aanhouden voor de CDS</w:t>
      </w:r>
      <w:sdt>
        <w:sdtPr>
          <w:rPr>
            <w:sz w:val="20"/>
            <w:lang w:val="nl-NL"/>
          </w:rPr>
          <w:id w:val="2041144"/>
          <w:citation/>
        </w:sdtPr>
        <w:sdtContent>
          <w:r w:rsidR="003C13F3" w:rsidRPr="002237F0">
            <w:rPr>
              <w:sz w:val="20"/>
              <w:lang w:val="nl-NL"/>
            </w:rPr>
            <w:fldChar w:fldCharType="begin"/>
          </w:r>
          <w:r w:rsidR="003373CA" w:rsidRPr="002237F0">
            <w:rPr>
              <w:sz w:val="20"/>
              <w:lang w:val="nl-NL"/>
            </w:rPr>
            <w:instrText xml:space="preserve"> CITATION Can09 \l 1043 </w:instrText>
          </w:r>
          <w:r w:rsidR="003C13F3" w:rsidRPr="002237F0">
            <w:rPr>
              <w:sz w:val="20"/>
              <w:lang w:val="nl-NL"/>
            </w:rPr>
            <w:fldChar w:fldCharType="separate"/>
          </w:r>
          <w:r w:rsidR="003373CA" w:rsidRPr="002237F0">
            <w:rPr>
              <w:noProof/>
              <w:sz w:val="20"/>
              <w:lang w:val="nl-NL"/>
            </w:rPr>
            <w:t xml:space="preserve"> (Cannata &amp; Quagliariello, 2009)</w:t>
          </w:r>
          <w:r w:rsidR="003C13F3" w:rsidRPr="002237F0">
            <w:rPr>
              <w:sz w:val="20"/>
              <w:lang w:val="nl-NL"/>
            </w:rPr>
            <w:fldChar w:fldCharType="end"/>
          </w:r>
        </w:sdtContent>
      </w:sdt>
      <w:r w:rsidRPr="002237F0">
        <w:rPr>
          <w:sz w:val="20"/>
          <w:lang w:val="nl-NL"/>
        </w:rPr>
        <w:t>, dus eigenlijk wordt het riskante aandeel in een hyp</w:t>
      </w:r>
      <w:r w:rsidR="003373CA" w:rsidRPr="002237F0">
        <w:rPr>
          <w:sz w:val="20"/>
          <w:lang w:val="nl-NL"/>
        </w:rPr>
        <w:t>otheek gedekt alsof het een</w:t>
      </w:r>
      <w:r w:rsidRPr="002237F0">
        <w:rPr>
          <w:sz w:val="20"/>
          <w:lang w:val="nl-NL"/>
        </w:rPr>
        <w:t xml:space="preserve"> veilige investering is</w:t>
      </w:r>
      <w:r w:rsidR="003373CA" w:rsidRPr="002237F0">
        <w:rPr>
          <w:sz w:val="20"/>
          <w:lang w:val="nl-NL"/>
        </w:rPr>
        <w:t xml:space="preserve">(van een risicoweging van 100% naar plus minus </w:t>
      </w:r>
      <w:proofErr w:type="gramStart"/>
      <w:r w:rsidR="003373CA" w:rsidRPr="002237F0">
        <w:rPr>
          <w:sz w:val="20"/>
          <w:lang w:val="nl-NL"/>
        </w:rPr>
        <w:t>20%).</w:t>
      </w:r>
      <w:r w:rsidR="00FC77F3" w:rsidRPr="002237F0">
        <w:rPr>
          <w:sz w:val="20"/>
          <w:lang w:val="nl-NL"/>
        </w:rPr>
        <w:t xml:space="preserve">  </w:t>
      </w:r>
      <w:proofErr w:type="gramEnd"/>
    </w:p>
    <w:p w:rsidR="006E7C85" w:rsidRPr="002237F0" w:rsidRDefault="00230D4B" w:rsidP="007E2C3F">
      <w:pPr>
        <w:rPr>
          <w:b/>
          <w:sz w:val="28"/>
          <w:lang w:val="nl-NL"/>
        </w:rPr>
      </w:pPr>
      <w:r w:rsidRPr="002237F0">
        <w:rPr>
          <w:b/>
          <w:sz w:val="28"/>
          <w:lang w:val="nl-NL"/>
        </w:rPr>
        <w:t xml:space="preserve">4.3. Basel III en het toekomstige financiële systeem </w:t>
      </w:r>
    </w:p>
    <w:p w:rsidR="00230D4B" w:rsidRPr="002237F0" w:rsidRDefault="00230D4B" w:rsidP="007E2C3F">
      <w:pPr>
        <w:rPr>
          <w:lang w:val="nl-NL"/>
        </w:rPr>
      </w:pPr>
      <w:r w:rsidRPr="002237F0">
        <w:rPr>
          <w:lang w:val="nl-NL"/>
        </w:rPr>
        <w:t xml:space="preserve">Naar aanleiding van de financiële crisis, en de besproken kritiek op </w:t>
      </w:r>
      <w:r w:rsidR="00F9571C" w:rsidRPr="002237F0">
        <w:rPr>
          <w:lang w:val="nl-NL"/>
        </w:rPr>
        <w:t xml:space="preserve">Basel II, is in december 2010 het ontwerp van Basel III naar buiten gebracht. De totstandkoming </w:t>
      </w:r>
      <w:r w:rsidR="003373CA" w:rsidRPr="002237F0">
        <w:rPr>
          <w:lang w:val="nl-NL"/>
        </w:rPr>
        <w:t>verliep</w:t>
      </w:r>
      <w:r w:rsidR="00F9571C" w:rsidRPr="002237F0">
        <w:rPr>
          <w:lang w:val="nl-NL"/>
        </w:rPr>
        <w:t xml:space="preserve"> anders dan die van Basel II</w:t>
      </w:r>
      <w:sdt>
        <w:sdtPr>
          <w:rPr>
            <w:lang w:val="nl-NL"/>
          </w:rPr>
          <w:id w:val="885555"/>
          <w:citation/>
        </w:sdtPr>
        <w:sdtContent>
          <w:r w:rsidR="003C13F3" w:rsidRPr="002237F0">
            <w:rPr>
              <w:lang w:val="nl-NL"/>
            </w:rPr>
            <w:fldChar w:fldCharType="begin"/>
          </w:r>
          <w:r w:rsidR="00F9571C" w:rsidRPr="002237F0">
            <w:rPr>
              <w:lang w:val="nl-NL"/>
            </w:rPr>
            <w:instrText xml:space="preserve"> CITATION Vér12 \l 1043 </w:instrText>
          </w:r>
          <w:r w:rsidR="003C13F3" w:rsidRPr="002237F0">
            <w:rPr>
              <w:lang w:val="nl-NL"/>
            </w:rPr>
            <w:fldChar w:fldCharType="separate"/>
          </w:r>
          <w:r w:rsidR="00721EC3" w:rsidRPr="002237F0">
            <w:rPr>
              <w:noProof/>
              <w:lang w:val="nl-NL"/>
            </w:rPr>
            <w:t xml:space="preserve"> (Véron, 2012)</w:t>
          </w:r>
          <w:r w:rsidR="003C13F3" w:rsidRPr="002237F0">
            <w:rPr>
              <w:lang w:val="nl-NL"/>
            </w:rPr>
            <w:fldChar w:fldCharType="end"/>
          </w:r>
        </w:sdtContent>
      </w:sdt>
      <w:r w:rsidR="00F9571C" w:rsidRPr="002237F0">
        <w:rPr>
          <w:lang w:val="nl-NL"/>
        </w:rPr>
        <w:t>. Basel II</w:t>
      </w:r>
      <w:r w:rsidR="003373CA" w:rsidRPr="002237F0">
        <w:rPr>
          <w:lang w:val="nl-NL"/>
        </w:rPr>
        <w:t xml:space="preserve"> was</w:t>
      </w:r>
      <w:r w:rsidR="00F9571C" w:rsidRPr="002237F0">
        <w:rPr>
          <w:lang w:val="nl-NL"/>
        </w:rPr>
        <w:t xml:space="preserve"> vooral een project van grote financiële instellingen, waar overheden slechts toekeken</w:t>
      </w:r>
      <w:sdt>
        <w:sdtPr>
          <w:rPr>
            <w:lang w:val="nl-NL"/>
          </w:rPr>
          <w:id w:val="2041145"/>
          <w:citation/>
        </w:sdtPr>
        <w:sdtContent>
          <w:r w:rsidR="003C13F3" w:rsidRPr="002237F0">
            <w:rPr>
              <w:lang w:val="nl-NL"/>
            </w:rPr>
            <w:fldChar w:fldCharType="begin"/>
          </w:r>
          <w:r w:rsidR="00A96DED" w:rsidRPr="002237F0">
            <w:rPr>
              <w:lang w:val="nl-NL"/>
            </w:rPr>
            <w:instrText xml:space="preserve"> CITATION Vér12 \l 1043 </w:instrText>
          </w:r>
          <w:r w:rsidR="003C13F3" w:rsidRPr="002237F0">
            <w:rPr>
              <w:lang w:val="nl-NL"/>
            </w:rPr>
            <w:fldChar w:fldCharType="separate"/>
          </w:r>
          <w:r w:rsidR="00A96DED" w:rsidRPr="002237F0">
            <w:rPr>
              <w:noProof/>
              <w:lang w:val="nl-NL"/>
            </w:rPr>
            <w:t xml:space="preserve"> (Véron, 2012)</w:t>
          </w:r>
          <w:r w:rsidR="003C13F3" w:rsidRPr="002237F0">
            <w:rPr>
              <w:lang w:val="nl-NL"/>
            </w:rPr>
            <w:fldChar w:fldCharType="end"/>
          </w:r>
        </w:sdtContent>
      </w:sdt>
      <w:r w:rsidR="00F9571C" w:rsidRPr="002237F0">
        <w:rPr>
          <w:lang w:val="nl-NL"/>
        </w:rPr>
        <w:t xml:space="preserve">. Naar aanleiding van de crisis namen overheden echter het heft in handen, mede omdat zij van mening waren dat het akkoord veel macro-economische effecten zou hebben. Dit leidde tot veel spanningen tussen de publieke sector en private banksector. </w:t>
      </w:r>
    </w:p>
    <w:p w:rsidR="00DA7821" w:rsidRPr="002237F0" w:rsidRDefault="00F9571C" w:rsidP="00DA7821">
      <w:pPr>
        <w:rPr>
          <w:lang w:val="nl-NL"/>
        </w:rPr>
      </w:pPr>
      <w:r w:rsidRPr="002237F0">
        <w:rPr>
          <w:lang w:val="nl-NL"/>
        </w:rPr>
        <w:t>De</w:t>
      </w:r>
      <w:r w:rsidR="00DA7821" w:rsidRPr="002237F0">
        <w:rPr>
          <w:lang w:val="nl-NL"/>
        </w:rPr>
        <w:t xml:space="preserve"> belangrijkste </w:t>
      </w:r>
      <w:r w:rsidRPr="002237F0">
        <w:rPr>
          <w:lang w:val="nl-NL"/>
        </w:rPr>
        <w:t xml:space="preserve">voorstellen van het derde Basel akkoord </w:t>
      </w:r>
      <w:r w:rsidR="00DA7821" w:rsidRPr="002237F0">
        <w:rPr>
          <w:lang w:val="nl-NL"/>
        </w:rPr>
        <w:t>komen nu aan bod</w:t>
      </w:r>
      <w:sdt>
        <w:sdtPr>
          <w:rPr>
            <w:lang w:val="nl-NL"/>
          </w:rPr>
          <w:id w:val="885556"/>
          <w:citation/>
        </w:sdtPr>
        <w:sdtContent>
          <w:r w:rsidR="003C13F3" w:rsidRPr="002237F0">
            <w:rPr>
              <w:lang w:val="nl-NL"/>
            </w:rPr>
            <w:fldChar w:fldCharType="begin"/>
          </w:r>
          <w:r w:rsidRPr="002237F0">
            <w:rPr>
              <w:lang w:val="nl-NL"/>
            </w:rPr>
            <w:instrText xml:space="preserve"> CITATION Blu10 \l 1043 </w:instrText>
          </w:r>
          <w:r w:rsidR="003C13F3" w:rsidRPr="002237F0">
            <w:rPr>
              <w:lang w:val="nl-NL"/>
            </w:rPr>
            <w:fldChar w:fldCharType="separate"/>
          </w:r>
          <w:r w:rsidR="00721EC3" w:rsidRPr="002237F0">
            <w:rPr>
              <w:noProof/>
              <w:lang w:val="nl-NL"/>
            </w:rPr>
            <w:t xml:space="preserve"> (Atkinson &amp; Blundell-Wignall, 2010)</w:t>
          </w:r>
          <w:r w:rsidR="003C13F3" w:rsidRPr="002237F0">
            <w:rPr>
              <w:lang w:val="nl-NL"/>
            </w:rPr>
            <w:fldChar w:fldCharType="end"/>
          </w:r>
        </w:sdtContent>
      </w:sdt>
      <w:r w:rsidR="00DA7821" w:rsidRPr="002237F0">
        <w:rPr>
          <w:lang w:val="nl-NL"/>
        </w:rPr>
        <w:t xml:space="preserve">. Ten eerste dient het risicoprofiel van een wederpartij binnen een financiële transactie meegewogen te worden. Als een partij minder kredietwaardig wordt, leidt dit automatisch tot een verlies van kapitaal. Ook wordt er een maximum </w:t>
      </w:r>
      <w:proofErr w:type="spellStart"/>
      <w:r w:rsidR="00DA7821" w:rsidRPr="002237F0">
        <w:rPr>
          <w:lang w:val="nl-NL"/>
        </w:rPr>
        <w:t>leverage</w:t>
      </w:r>
      <w:proofErr w:type="spellEnd"/>
      <w:r w:rsidR="00DA7821" w:rsidRPr="002237F0">
        <w:rPr>
          <w:lang w:val="nl-NL"/>
        </w:rPr>
        <w:t xml:space="preserve"> ratio ingesteld. Ter bestrijding van de procyclische werking zijn de volgende maatregelen genomen:</w:t>
      </w:r>
    </w:p>
    <w:p w:rsidR="00DA7821" w:rsidRPr="002237F0" w:rsidRDefault="00DA7821" w:rsidP="00DA7821">
      <w:pPr>
        <w:pStyle w:val="ListParagraph"/>
        <w:numPr>
          <w:ilvl w:val="0"/>
          <w:numId w:val="16"/>
        </w:numPr>
        <w:rPr>
          <w:lang w:val="nl-NL"/>
        </w:rPr>
      </w:pPr>
      <w:r w:rsidRPr="002237F0">
        <w:rPr>
          <w:lang w:val="nl-NL"/>
        </w:rPr>
        <w:t>Bij het berekenen van risico, wordt er meer nadruk gelegd op kans op wanbetaling op lange termijn. Zo hebben korte termijn fluctuaties minder invloed op het garantievermogen van een bank;</w:t>
      </w:r>
    </w:p>
    <w:p w:rsidR="00DA7821" w:rsidRPr="002237F0" w:rsidRDefault="00DA7821" w:rsidP="00DA7821">
      <w:pPr>
        <w:pStyle w:val="ListParagraph"/>
        <w:numPr>
          <w:ilvl w:val="0"/>
          <w:numId w:val="16"/>
        </w:numPr>
        <w:rPr>
          <w:lang w:val="nl-NL"/>
        </w:rPr>
      </w:pPr>
      <w:r w:rsidRPr="002237F0">
        <w:rPr>
          <w:lang w:val="nl-NL"/>
        </w:rPr>
        <w:t>Ook op het gebied van te nemen verliezen is het de bedoeling dat er meer naar de lange termijn gekeken moet worden. Verliezen moeten al genomen kunnen worden als ze verwacht worden, niet als ze daadwerkelijk geleden worden;</w:t>
      </w:r>
    </w:p>
    <w:p w:rsidR="00DA7821" w:rsidRPr="002237F0" w:rsidRDefault="00595DEA" w:rsidP="00DA7821">
      <w:pPr>
        <w:pStyle w:val="ListParagraph"/>
        <w:numPr>
          <w:ilvl w:val="0"/>
          <w:numId w:val="16"/>
        </w:numPr>
        <w:rPr>
          <w:lang w:val="nl-NL"/>
        </w:rPr>
      </w:pPr>
      <w:r w:rsidRPr="002237F0">
        <w:rPr>
          <w:lang w:val="nl-NL"/>
        </w:rPr>
        <w:t>Banken moeten buffers aanhouden boven hun garantiekapitaal, zodat in slechte tijden deze buffer aangesproken kan worden. In goede tijden dienen deze buffers dan weer opgebouwd te worden;</w:t>
      </w:r>
    </w:p>
    <w:p w:rsidR="008F4A8D" w:rsidRPr="002237F0" w:rsidRDefault="00595DEA" w:rsidP="008F4A8D">
      <w:pPr>
        <w:pStyle w:val="ListParagraph"/>
        <w:numPr>
          <w:ilvl w:val="0"/>
          <w:numId w:val="16"/>
        </w:numPr>
        <w:rPr>
          <w:lang w:val="nl-NL"/>
        </w:rPr>
      </w:pPr>
      <w:r w:rsidRPr="002237F0">
        <w:rPr>
          <w:lang w:val="nl-NL"/>
        </w:rPr>
        <w:t>In tijden waar er op maatschappelijk niveau sprake is van veel schuldgroei, kan het banken verplicht gesteld worden extra kapitaal aan te houden. Deze buffer wordt de anticyclische kapitaalbuffer genoemd.</w:t>
      </w:r>
    </w:p>
    <w:p w:rsidR="00435082" w:rsidRPr="002237F0" w:rsidRDefault="008F4A8D" w:rsidP="008F4A8D">
      <w:pPr>
        <w:rPr>
          <w:lang w:val="nl-NL"/>
        </w:rPr>
      </w:pPr>
      <w:r w:rsidRPr="002237F0">
        <w:rPr>
          <w:lang w:val="nl-NL"/>
        </w:rPr>
        <w:t>Daarnaast is er een liquiditeitsvereiste opgesteld. Deze houdt in</w:t>
      </w:r>
      <w:r w:rsidR="000521CF" w:rsidRPr="002237F0">
        <w:rPr>
          <w:lang w:val="nl-NL"/>
        </w:rPr>
        <w:t xml:space="preserve"> dat een bank zoveel hoge kwaliteitsaandelen</w:t>
      </w:r>
      <w:r w:rsidRPr="002237F0">
        <w:rPr>
          <w:lang w:val="nl-NL"/>
        </w:rPr>
        <w:t xml:space="preserve"> moet hebben, dat het aan alle betalingsverplichtingen van de komende 30 dagen moet kunnen voldoen. </w:t>
      </w:r>
      <w:proofErr w:type="gramStart"/>
      <w:r w:rsidRPr="002237F0">
        <w:rPr>
          <w:lang w:val="nl-NL"/>
        </w:rPr>
        <w:t>D</w:t>
      </w:r>
      <w:r w:rsidR="00A96DED" w:rsidRPr="002237F0">
        <w:rPr>
          <w:lang w:val="nl-NL"/>
        </w:rPr>
        <w:t>eze</w:t>
      </w:r>
      <w:proofErr w:type="gramEnd"/>
      <w:r w:rsidRPr="002237F0">
        <w:rPr>
          <w:lang w:val="nl-NL"/>
        </w:rPr>
        <w:t xml:space="preserve"> vereiste is er zodat in tijden van ‘bevriezing van de markt’ banken 30 dagen </w:t>
      </w:r>
      <w:r w:rsidR="00A96DED" w:rsidRPr="002237F0">
        <w:rPr>
          <w:lang w:val="nl-NL"/>
        </w:rPr>
        <w:t>geen liquiditeitsproblemen hebben, en als gevolg daarvan geen</w:t>
      </w:r>
      <w:r w:rsidR="000C6DE8" w:rsidRPr="002237F0">
        <w:rPr>
          <w:lang w:val="nl-NL"/>
        </w:rPr>
        <w:t xml:space="preserve"> negatieve lange </w:t>
      </w:r>
      <w:r w:rsidRPr="002237F0">
        <w:rPr>
          <w:lang w:val="nl-NL"/>
        </w:rPr>
        <w:t>termijn</w:t>
      </w:r>
      <w:r w:rsidR="000C6DE8" w:rsidRPr="002237F0">
        <w:rPr>
          <w:lang w:val="nl-NL"/>
        </w:rPr>
        <w:t xml:space="preserve"> </w:t>
      </w:r>
      <w:r w:rsidRPr="002237F0">
        <w:rPr>
          <w:lang w:val="nl-NL"/>
        </w:rPr>
        <w:t>gevolgen</w:t>
      </w:r>
      <w:r w:rsidR="00A96DED" w:rsidRPr="002237F0">
        <w:rPr>
          <w:lang w:val="nl-NL"/>
        </w:rPr>
        <w:t xml:space="preserve"> ondervinden</w:t>
      </w:r>
      <w:sdt>
        <w:sdtPr>
          <w:rPr>
            <w:lang w:val="nl-NL"/>
          </w:rPr>
          <w:id w:val="2041146"/>
          <w:citation/>
        </w:sdtPr>
        <w:sdtContent>
          <w:r w:rsidR="003C13F3" w:rsidRPr="002237F0">
            <w:rPr>
              <w:lang w:val="nl-NL"/>
            </w:rPr>
            <w:fldChar w:fldCharType="begin"/>
          </w:r>
          <w:r w:rsidR="00A96DED" w:rsidRPr="002237F0">
            <w:rPr>
              <w:lang w:val="nl-NL"/>
            </w:rPr>
            <w:instrText xml:space="preserve"> CITATION Blu10 \l 1043 </w:instrText>
          </w:r>
          <w:r w:rsidR="003C13F3" w:rsidRPr="002237F0">
            <w:rPr>
              <w:lang w:val="nl-NL"/>
            </w:rPr>
            <w:fldChar w:fldCharType="separate"/>
          </w:r>
          <w:r w:rsidR="00A96DED" w:rsidRPr="002237F0">
            <w:rPr>
              <w:noProof/>
              <w:lang w:val="nl-NL"/>
            </w:rPr>
            <w:t xml:space="preserve"> (Atkinson &amp; Blundell-Wignall, 2010)</w:t>
          </w:r>
          <w:r w:rsidR="003C13F3" w:rsidRPr="002237F0">
            <w:rPr>
              <w:lang w:val="nl-NL"/>
            </w:rPr>
            <w:fldChar w:fldCharType="end"/>
          </w:r>
        </w:sdtContent>
      </w:sdt>
      <w:r w:rsidRPr="002237F0">
        <w:rPr>
          <w:lang w:val="nl-NL"/>
        </w:rPr>
        <w:t>.</w:t>
      </w:r>
    </w:p>
    <w:p w:rsidR="00595DEA" w:rsidRPr="002237F0" w:rsidRDefault="00435082" w:rsidP="008F4A8D">
      <w:pPr>
        <w:rPr>
          <w:lang w:val="nl-NL"/>
        </w:rPr>
      </w:pPr>
      <w:r w:rsidRPr="002237F0">
        <w:rPr>
          <w:b/>
          <w:lang w:val="nl-NL"/>
        </w:rPr>
        <w:t xml:space="preserve">Kritiek op Basel </w:t>
      </w:r>
      <w:proofErr w:type="gramStart"/>
      <w:r w:rsidRPr="002237F0">
        <w:rPr>
          <w:b/>
          <w:lang w:val="nl-NL"/>
        </w:rPr>
        <w:t>III</w:t>
      </w:r>
      <w:r w:rsidR="008F4A8D" w:rsidRPr="002237F0">
        <w:rPr>
          <w:lang w:val="nl-NL"/>
        </w:rPr>
        <w:t xml:space="preserve"> </w:t>
      </w:r>
      <w:r w:rsidR="00595DEA" w:rsidRPr="002237F0">
        <w:rPr>
          <w:lang w:val="nl-NL"/>
        </w:rPr>
        <w:t xml:space="preserve"> </w:t>
      </w:r>
      <w:proofErr w:type="gramEnd"/>
    </w:p>
    <w:p w:rsidR="000521CF" w:rsidRPr="002237F0" w:rsidRDefault="00394748" w:rsidP="00394748">
      <w:pPr>
        <w:rPr>
          <w:lang w:val="nl-NL"/>
        </w:rPr>
      </w:pPr>
      <w:r w:rsidRPr="002237F0">
        <w:rPr>
          <w:lang w:val="nl-NL"/>
        </w:rPr>
        <w:t>Met de nieuwe regels van Basel III is de regulering van het internationale banksysteem complexer geworden</w:t>
      </w:r>
      <w:sdt>
        <w:sdtPr>
          <w:rPr>
            <w:lang w:val="nl-NL"/>
          </w:rPr>
          <w:id w:val="885558"/>
          <w:citation/>
        </w:sdtPr>
        <w:sdtContent>
          <w:r w:rsidR="003C13F3" w:rsidRPr="002237F0">
            <w:rPr>
              <w:lang w:val="nl-NL"/>
            </w:rPr>
            <w:fldChar w:fldCharType="begin"/>
          </w:r>
          <w:r w:rsidRPr="002237F0">
            <w:rPr>
              <w:lang w:val="nl-NL"/>
            </w:rPr>
            <w:instrText xml:space="preserve"> CITATION Kar11 \l 1043 </w:instrText>
          </w:r>
          <w:r w:rsidR="003C13F3" w:rsidRPr="002237F0">
            <w:rPr>
              <w:lang w:val="nl-NL"/>
            </w:rPr>
            <w:fldChar w:fldCharType="separate"/>
          </w:r>
          <w:r w:rsidR="00721EC3" w:rsidRPr="002237F0">
            <w:rPr>
              <w:noProof/>
              <w:lang w:val="nl-NL"/>
            </w:rPr>
            <w:t xml:space="preserve"> (Lannoo, 2011)</w:t>
          </w:r>
          <w:r w:rsidR="003C13F3" w:rsidRPr="002237F0">
            <w:rPr>
              <w:lang w:val="nl-NL"/>
            </w:rPr>
            <w:fldChar w:fldCharType="end"/>
          </w:r>
        </w:sdtContent>
      </w:sdt>
      <w:r w:rsidRPr="002237F0">
        <w:rPr>
          <w:lang w:val="nl-NL"/>
        </w:rPr>
        <w:t>.</w:t>
      </w:r>
      <w:r w:rsidR="008F4A8D" w:rsidRPr="002237F0">
        <w:rPr>
          <w:lang w:val="nl-NL"/>
        </w:rPr>
        <w:t xml:space="preserve"> De meeste aanpassingen zijn gedaan om wat te doen aan de procyclische werking van het Basel akkoord. Echter, het Basel III akkoord is nog niet in werking getreden. Een nadeel van de maatregelen tegen procyclische werking is dat ze de</w:t>
      </w:r>
      <w:r w:rsidR="000521CF" w:rsidRPr="002237F0">
        <w:rPr>
          <w:lang w:val="nl-NL"/>
        </w:rPr>
        <w:t xml:space="preserve"> het maximale aandeel van vreemd vermogen binnen een bank verlagen. Waar eerst het garantiepercentage op 8% lag, kan dat nu –afhankelijk van </w:t>
      </w:r>
      <w:proofErr w:type="gramStart"/>
      <w:r w:rsidR="000521CF" w:rsidRPr="002237F0">
        <w:rPr>
          <w:lang w:val="nl-NL"/>
        </w:rPr>
        <w:t>de</w:t>
      </w:r>
      <w:proofErr w:type="gramEnd"/>
      <w:r w:rsidR="000521CF" w:rsidRPr="002237F0">
        <w:rPr>
          <w:lang w:val="nl-NL"/>
        </w:rPr>
        <w:t xml:space="preserve"> staat van de economie- oplopen tot 13%</w:t>
      </w:r>
      <w:sdt>
        <w:sdtPr>
          <w:rPr>
            <w:lang w:val="nl-NL"/>
          </w:rPr>
          <w:id w:val="23137226"/>
          <w:citation/>
        </w:sdtPr>
        <w:sdtContent>
          <w:r w:rsidR="003C13F3" w:rsidRPr="002237F0">
            <w:rPr>
              <w:lang w:val="nl-NL"/>
            </w:rPr>
            <w:fldChar w:fldCharType="begin"/>
          </w:r>
          <w:r w:rsidR="000521CF" w:rsidRPr="002237F0">
            <w:rPr>
              <w:lang w:val="nl-NL"/>
            </w:rPr>
            <w:instrText xml:space="preserve"> CITATION Tom13 \l 1043 </w:instrText>
          </w:r>
          <w:r w:rsidR="003C13F3" w:rsidRPr="002237F0">
            <w:rPr>
              <w:lang w:val="nl-NL"/>
            </w:rPr>
            <w:fldChar w:fldCharType="separate"/>
          </w:r>
          <w:r w:rsidR="00721EC3" w:rsidRPr="002237F0">
            <w:rPr>
              <w:noProof/>
              <w:lang w:val="nl-NL"/>
            </w:rPr>
            <w:t xml:space="preserve"> (Norendaal, 2013)</w:t>
          </w:r>
          <w:r w:rsidR="003C13F3" w:rsidRPr="002237F0">
            <w:rPr>
              <w:lang w:val="nl-NL"/>
            </w:rPr>
            <w:fldChar w:fldCharType="end"/>
          </w:r>
        </w:sdtContent>
      </w:sdt>
      <w:r w:rsidR="000521CF" w:rsidRPr="002237F0">
        <w:rPr>
          <w:lang w:val="nl-NL"/>
        </w:rPr>
        <w:t>. Dit verlaagt de economische efficiëntie enorm, en maakt het verschil tussen gewone banken en het schaduwbankcircuit groter</w:t>
      </w:r>
      <w:sdt>
        <w:sdtPr>
          <w:rPr>
            <w:lang w:val="nl-NL"/>
          </w:rPr>
          <w:id w:val="23137227"/>
          <w:citation/>
        </w:sdtPr>
        <w:sdtContent>
          <w:r w:rsidR="003C13F3" w:rsidRPr="002237F0">
            <w:rPr>
              <w:lang w:val="nl-NL"/>
            </w:rPr>
            <w:fldChar w:fldCharType="begin"/>
          </w:r>
          <w:r w:rsidR="000521CF" w:rsidRPr="002237F0">
            <w:rPr>
              <w:lang w:val="nl-NL"/>
            </w:rPr>
            <w:instrText xml:space="preserve"> CITATION DeA13 \l 1043 </w:instrText>
          </w:r>
          <w:r w:rsidR="003C13F3" w:rsidRPr="002237F0">
            <w:rPr>
              <w:lang w:val="nl-NL"/>
            </w:rPr>
            <w:fldChar w:fldCharType="separate"/>
          </w:r>
          <w:r w:rsidR="00721EC3" w:rsidRPr="002237F0">
            <w:rPr>
              <w:noProof/>
              <w:lang w:val="nl-NL"/>
            </w:rPr>
            <w:t xml:space="preserve"> (DeAngelo &amp; Stulz, 2013)</w:t>
          </w:r>
          <w:r w:rsidR="003C13F3" w:rsidRPr="002237F0">
            <w:rPr>
              <w:lang w:val="nl-NL"/>
            </w:rPr>
            <w:fldChar w:fldCharType="end"/>
          </w:r>
        </w:sdtContent>
      </w:sdt>
      <w:r w:rsidR="000521CF" w:rsidRPr="002237F0">
        <w:rPr>
          <w:lang w:val="nl-NL"/>
        </w:rPr>
        <w:t xml:space="preserve">. Schaduwbanken zijn instellingen die handelen in dezelfde instrumenten als banken, maar niet gebonden zijn aan dezelfde voorwaarden. Een voorbeeld van een schaduwbank is een </w:t>
      </w:r>
      <w:proofErr w:type="spellStart"/>
      <w:r w:rsidR="000521CF" w:rsidRPr="002237F0">
        <w:rPr>
          <w:lang w:val="nl-NL"/>
        </w:rPr>
        <w:t>hedgefonds</w:t>
      </w:r>
      <w:proofErr w:type="spellEnd"/>
      <w:r w:rsidR="000521CF" w:rsidRPr="002237F0">
        <w:rPr>
          <w:lang w:val="nl-NL"/>
        </w:rPr>
        <w:t>.</w:t>
      </w:r>
    </w:p>
    <w:p w:rsidR="000521CF" w:rsidRPr="002237F0" w:rsidRDefault="000521CF" w:rsidP="00394748">
      <w:pPr>
        <w:rPr>
          <w:lang w:val="nl-NL"/>
        </w:rPr>
      </w:pPr>
      <w:r w:rsidRPr="002237F0">
        <w:rPr>
          <w:lang w:val="nl-NL"/>
        </w:rPr>
        <w:t xml:space="preserve">Een ander punt van kritiek op het nog niet geïmplementeerde akkoord van Basel III is dat het discrimineert </w:t>
      </w:r>
      <w:proofErr w:type="gramStart"/>
      <w:r w:rsidRPr="002237F0">
        <w:rPr>
          <w:lang w:val="nl-NL"/>
        </w:rPr>
        <w:t>jegens</w:t>
      </w:r>
      <w:proofErr w:type="gramEnd"/>
      <w:r w:rsidRPr="002237F0">
        <w:rPr>
          <w:lang w:val="nl-NL"/>
        </w:rPr>
        <w:t xml:space="preserve"> kleinere bedrijven(SME). Banken moeten namelijk voor 30 dagen voldoende liquiditeit bij zich dragen, en staatsobligaties worden met een hogere kwaliteit beoordeeld. Dit discrimineert </w:t>
      </w:r>
      <w:proofErr w:type="gramStart"/>
      <w:r w:rsidRPr="002237F0">
        <w:rPr>
          <w:lang w:val="nl-NL"/>
        </w:rPr>
        <w:t>jegens</w:t>
      </w:r>
      <w:proofErr w:type="gramEnd"/>
      <w:r w:rsidRPr="002237F0">
        <w:rPr>
          <w:lang w:val="nl-NL"/>
        </w:rPr>
        <w:t xml:space="preserve"> bedrijven, en dan vooral jegens de kleinere</w:t>
      </w:r>
      <w:sdt>
        <w:sdtPr>
          <w:rPr>
            <w:lang w:val="nl-NL"/>
          </w:rPr>
          <w:id w:val="23137228"/>
          <w:citation/>
        </w:sdtPr>
        <w:sdtContent>
          <w:r w:rsidR="003C13F3" w:rsidRPr="002237F0">
            <w:rPr>
              <w:lang w:val="nl-NL"/>
            </w:rPr>
            <w:fldChar w:fldCharType="begin"/>
          </w:r>
          <w:r w:rsidRPr="002237F0">
            <w:rPr>
              <w:lang w:val="nl-NL"/>
            </w:rPr>
            <w:instrText xml:space="preserve"> CITATION Blu10 \l 1043 </w:instrText>
          </w:r>
          <w:r w:rsidR="003C13F3" w:rsidRPr="002237F0">
            <w:rPr>
              <w:lang w:val="nl-NL"/>
            </w:rPr>
            <w:fldChar w:fldCharType="separate"/>
          </w:r>
          <w:r w:rsidR="00721EC3" w:rsidRPr="002237F0">
            <w:rPr>
              <w:noProof/>
              <w:lang w:val="nl-NL"/>
            </w:rPr>
            <w:t xml:space="preserve"> (Atkinson &amp; Blundell-Wignall, 2010)</w:t>
          </w:r>
          <w:r w:rsidR="003C13F3" w:rsidRPr="002237F0">
            <w:rPr>
              <w:lang w:val="nl-NL"/>
            </w:rPr>
            <w:fldChar w:fldCharType="end"/>
          </w:r>
        </w:sdtContent>
      </w:sdt>
      <w:r w:rsidRPr="002237F0">
        <w:rPr>
          <w:lang w:val="nl-NL"/>
        </w:rPr>
        <w:t>.</w:t>
      </w:r>
    </w:p>
    <w:p w:rsidR="000521CF" w:rsidRPr="002237F0" w:rsidRDefault="000521CF" w:rsidP="00394748">
      <w:pPr>
        <w:rPr>
          <w:b/>
          <w:sz w:val="28"/>
          <w:lang w:val="nl-NL"/>
        </w:rPr>
      </w:pPr>
      <w:r w:rsidRPr="002237F0">
        <w:rPr>
          <w:b/>
          <w:sz w:val="28"/>
          <w:lang w:val="nl-NL"/>
        </w:rPr>
        <w:t>4.4. Afsluiting</w:t>
      </w:r>
    </w:p>
    <w:p w:rsidR="007618F5" w:rsidRPr="002237F0" w:rsidRDefault="007618F5" w:rsidP="00394748">
      <w:pPr>
        <w:rPr>
          <w:lang w:val="nl-NL"/>
        </w:rPr>
      </w:pPr>
      <w:r w:rsidRPr="002237F0">
        <w:rPr>
          <w:lang w:val="nl-NL"/>
        </w:rPr>
        <w:t>He</w:t>
      </w:r>
      <w:r w:rsidR="00826E7F" w:rsidRPr="002237F0">
        <w:rPr>
          <w:lang w:val="nl-NL"/>
        </w:rPr>
        <w:t xml:space="preserve">t doel van dit hoofdstuk was </w:t>
      </w:r>
      <w:r w:rsidRPr="002237F0">
        <w:rPr>
          <w:lang w:val="nl-NL"/>
        </w:rPr>
        <w:t xml:space="preserve">meer inzicht te geven in de geldende en op handen zijnde regels betreffende de internationale bankenwereld. In het vorige hoofdstuk was al besproken welke invloed fair </w:t>
      </w:r>
      <w:proofErr w:type="spellStart"/>
      <w:r w:rsidRPr="002237F0">
        <w:rPr>
          <w:lang w:val="nl-NL"/>
        </w:rPr>
        <w:t>value</w:t>
      </w:r>
      <w:proofErr w:type="spellEnd"/>
      <w:r w:rsidRPr="002237F0">
        <w:rPr>
          <w:lang w:val="nl-NL"/>
        </w:rPr>
        <w:t xml:space="preserve"> accounting heeft gehad op de crisis en op banken, nu is er een beeld gegeven van in wat voor situatie de bankenwereld </w:t>
      </w:r>
      <w:r w:rsidR="00826E7F" w:rsidRPr="002237F0">
        <w:rPr>
          <w:lang w:val="nl-NL"/>
        </w:rPr>
        <w:t>op dit moment</w:t>
      </w:r>
      <w:r w:rsidRPr="002237F0">
        <w:rPr>
          <w:lang w:val="nl-NL"/>
        </w:rPr>
        <w:t xml:space="preserve"> zit</w:t>
      </w:r>
      <w:r w:rsidR="000C6DE8" w:rsidRPr="002237F0">
        <w:rPr>
          <w:lang w:val="nl-NL"/>
        </w:rPr>
        <w:t xml:space="preserve">, en wat de </w:t>
      </w:r>
      <w:proofErr w:type="spellStart"/>
      <w:r w:rsidR="000C6DE8" w:rsidRPr="002237F0">
        <w:rPr>
          <w:lang w:val="nl-NL"/>
        </w:rPr>
        <w:t>Basel-akkoorden</w:t>
      </w:r>
      <w:proofErr w:type="spellEnd"/>
      <w:r w:rsidR="000C6DE8" w:rsidRPr="002237F0">
        <w:rPr>
          <w:lang w:val="nl-NL"/>
        </w:rPr>
        <w:t xml:space="preserve"> inhou</w:t>
      </w:r>
      <w:r w:rsidR="00826E7F" w:rsidRPr="002237F0">
        <w:rPr>
          <w:lang w:val="nl-NL"/>
        </w:rPr>
        <w:t>d</w:t>
      </w:r>
      <w:r w:rsidR="000C6DE8" w:rsidRPr="002237F0">
        <w:rPr>
          <w:lang w:val="nl-NL"/>
        </w:rPr>
        <w:t>en</w:t>
      </w:r>
      <w:r w:rsidRPr="002237F0">
        <w:rPr>
          <w:lang w:val="nl-NL"/>
        </w:rPr>
        <w:t xml:space="preserve">. Daarnaast is het interessant dat in het vorige hoofdstuk is opgemerkt dat de fair </w:t>
      </w:r>
      <w:proofErr w:type="spellStart"/>
      <w:r w:rsidRPr="002237F0">
        <w:rPr>
          <w:lang w:val="nl-NL"/>
        </w:rPr>
        <w:t>value</w:t>
      </w:r>
      <w:proofErr w:type="spellEnd"/>
      <w:r w:rsidRPr="002237F0">
        <w:rPr>
          <w:lang w:val="nl-NL"/>
        </w:rPr>
        <w:t xml:space="preserve"> waardering bijdraagt aan procyclische ontwikkelingen van de economie, doordat er een minimumkapitaalratio bestaat, ter</w:t>
      </w:r>
      <w:r w:rsidR="00826E7F" w:rsidRPr="002237F0">
        <w:rPr>
          <w:lang w:val="nl-NL"/>
        </w:rPr>
        <w:t>wijl er nu is ontdekt dat ook het</w:t>
      </w:r>
      <w:r w:rsidRPr="002237F0">
        <w:rPr>
          <w:lang w:val="nl-NL"/>
        </w:rPr>
        <w:t xml:space="preserve"> minimumkapitaalrati</w:t>
      </w:r>
      <w:r w:rsidR="00826E7F" w:rsidRPr="002237F0">
        <w:rPr>
          <w:lang w:val="nl-NL"/>
        </w:rPr>
        <w:t xml:space="preserve">o(of garantievermogen) zelf </w:t>
      </w:r>
      <w:r w:rsidRPr="002237F0">
        <w:rPr>
          <w:lang w:val="nl-NL"/>
        </w:rPr>
        <w:t xml:space="preserve">bijdraagt aan procyclische bewegingen. </w:t>
      </w:r>
    </w:p>
    <w:p w:rsidR="00826E7F" w:rsidRPr="002237F0" w:rsidRDefault="007618F5" w:rsidP="00394748">
      <w:pPr>
        <w:rPr>
          <w:lang w:val="nl-NL"/>
        </w:rPr>
      </w:pPr>
      <w:r w:rsidRPr="002237F0">
        <w:rPr>
          <w:lang w:val="nl-NL"/>
        </w:rPr>
        <w:t>Wat verder opgevallen is, is dat er steeds meer regelgeving komt en dat er steeds meer sprake is van harmonisatie. Dit heeft niet alleen maar goede effecten. Zo zijn bepaalde banken betiteld als ‘</w:t>
      </w:r>
      <w:proofErr w:type="spellStart"/>
      <w:r w:rsidRPr="002237F0">
        <w:rPr>
          <w:lang w:val="nl-NL"/>
        </w:rPr>
        <w:t>too</w:t>
      </w:r>
      <w:proofErr w:type="spellEnd"/>
      <w:r w:rsidRPr="002237F0">
        <w:rPr>
          <w:lang w:val="nl-NL"/>
        </w:rPr>
        <w:t xml:space="preserve"> big to </w:t>
      </w:r>
      <w:proofErr w:type="spellStart"/>
      <w:r w:rsidRPr="002237F0">
        <w:rPr>
          <w:lang w:val="nl-NL"/>
        </w:rPr>
        <w:t>fail</w:t>
      </w:r>
      <w:proofErr w:type="spellEnd"/>
      <w:r w:rsidRPr="002237F0">
        <w:rPr>
          <w:lang w:val="nl-NL"/>
        </w:rPr>
        <w:t xml:space="preserve">’, wat een competitief voordeel oplevert tegenover banken die dit </w:t>
      </w:r>
      <w:r w:rsidR="009907BF" w:rsidRPr="002237F0">
        <w:rPr>
          <w:lang w:val="nl-NL"/>
        </w:rPr>
        <w:t>predicaat</w:t>
      </w:r>
      <w:r w:rsidRPr="002237F0">
        <w:rPr>
          <w:lang w:val="nl-NL"/>
        </w:rPr>
        <w:t xml:space="preserve"> niet hebben</w:t>
      </w:r>
      <w:sdt>
        <w:sdtPr>
          <w:rPr>
            <w:lang w:val="nl-NL"/>
          </w:rPr>
          <w:id w:val="23137229"/>
          <w:citation/>
        </w:sdtPr>
        <w:sdtContent>
          <w:r w:rsidR="003C13F3" w:rsidRPr="002237F0">
            <w:rPr>
              <w:lang w:val="nl-NL"/>
            </w:rPr>
            <w:fldChar w:fldCharType="begin"/>
          </w:r>
          <w:r w:rsidRPr="002237F0">
            <w:rPr>
              <w:lang w:val="nl-NL"/>
            </w:rPr>
            <w:instrText xml:space="preserve"> CITATION Vér12 \l 1043 </w:instrText>
          </w:r>
          <w:r w:rsidR="003C13F3" w:rsidRPr="002237F0">
            <w:rPr>
              <w:lang w:val="nl-NL"/>
            </w:rPr>
            <w:fldChar w:fldCharType="separate"/>
          </w:r>
          <w:r w:rsidR="00721EC3" w:rsidRPr="002237F0">
            <w:rPr>
              <w:noProof/>
              <w:lang w:val="nl-NL"/>
            </w:rPr>
            <w:t xml:space="preserve"> (Véron, 2012)</w:t>
          </w:r>
          <w:r w:rsidR="003C13F3" w:rsidRPr="002237F0">
            <w:rPr>
              <w:lang w:val="nl-NL"/>
            </w:rPr>
            <w:fldChar w:fldCharType="end"/>
          </w:r>
        </w:sdtContent>
      </w:sdt>
      <w:r w:rsidRPr="002237F0">
        <w:rPr>
          <w:lang w:val="nl-NL"/>
        </w:rPr>
        <w:t>. ‘</w:t>
      </w:r>
      <w:proofErr w:type="spellStart"/>
      <w:r w:rsidRPr="002237F0">
        <w:rPr>
          <w:lang w:val="nl-NL"/>
        </w:rPr>
        <w:t>Too</w:t>
      </w:r>
      <w:proofErr w:type="spellEnd"/>
      <w:r w:rsidRPr="002237F0">
        <w:rPr>
          <w:lang w:val="nl-NL"/>
        </w:rPr>
        <w:t xml:space="preserve"> big to </w:t>
      </w:r>
      <w:proofErr w:type="spellStart"/>
      <w:r w:rsidRPr="002237F0">
        <w:rPr>
          <w:lang w:val="nl-NL"/>
        </w:rPr>
        <w:t>fail</w:t>
      </w:r>
      <w:proofErr w:type="spellEnd"/>
      <w:r w:rsidRPr="002237F0">
        <w:rPr>
          <w:lang w:val="nl-NL"/>
        </w:rPr>
        <w:t>’ betekent namelijk dat een overheid altijd achter de bank zal staan. Daarnaast wordt terecht de vraag opgeworpen of al deze harmonisatie niet slecht is. Zo is de bewering dat bij internationaal homogene regels verkeerde regelgeving tot een internationale crisis leidt</w:t>
      </w:r>
      <w:sdt>
        <w:sdtPr>
          <w:rPr>
            <w:lang w:val="nl-NL"/>
          </w:rPr>
          <w:id w:val="23137230"/>
          <w:citation/>
        </w:sdtPr>
        <w:sdtContent>
          <w:r w:rsidR="003C13F3" w:rsidRPr="002237F0">
            <w:rPr>
              <w:lang w:val="nl-NL"/>
            </w:rPr>
            <w:fldChar w:fldCharType="begin"/>
          </w:r>
          <w:r w:rsidRPr="002237F0">
            <w:rPr>
              <w:lang w:val="nl-NL"/>
            </w:rPr>
            <w:instrText xml:space="preserve"> CITATION Lev10 \l 1043 </w:instrText>
          </w:r>
          <w:r w:rsidR="003C13F3" w:rsidRPr="002237F0">
            <w:rPr>
              <w:lang w:val="nl-NL"/>
            </w:rPr>
            <w:fldChar w:fldCharType="separate"/>
          </w:r>
          <w:r w:rsidR="00721EC3" w:rsidRPr="002237F0">
            <w:rPr>
              <w:noProof/>
              <w:lang w:val="nl-NL"/>
            </w:rPr>
            <w:t xml:space="preserve"> (Levinson, 2010)</w:t>
          </w:r>
          <w:r w:rsidR="003C13F3" w:rsidRPr="002237F0">
            <w:rPr>
              <w:lang w:val="nl-NL"/>
            </w:rPr>
            <w:fldChar w:fldCharType="end"/>
          </w:r>
        </w:sdtContent>
      </w:sdt>
      <w:r w:rsidRPr="002237F0">
        <w:rPr>
          <w:lang w:val="nl-NL"/>
        </w:rPr>
        <w:t xml:space="preserve"> geen vreemd idee. Als er veel verschillende systemen zouden bestaan, zouden ze alle</w:t>
      </w:r>
      <w:r w:rsidR="0061373C" w:rsidRPr="002237F0">
        <w:rPr>
          <w:lang w:val="nl-NL"/>
        </w:rPr>
        <w:t>maal wel eens een fout bevatten. M</w:t>
      </w:r>
      <w:r w:rsidRPr="002237F0">
        <w:rPr>
          <w:lang w:val="nl-NL"/>
        </w:rPr>
        <w:t xml:space="preserve">aar </w:t>
      </w:r>
      <w:r w:rsidR="0061373C" w:rsidRPr="002237F0">
        <w:rPr>
          <w:lang w:val="nl-NL"/>
        </w:rPr>
        <w:t>dit zou niet tegelijkertijd gebeuren</w:t>
      </w:r>
      <w:r w:rsidR="00826E7F" w:rsidRPr="002237F0">
        <w:rPr>
          <w:lang w:val="nl-NL"/>
        </w:rPr>
        <w:t xml:space="preserve"> en het zou ook niet dezelfde fout betreffen</w:t>
      </w:r>
      <w:r w:rsidRPr="002237F0">
        <w:rPr>
          <w:lang w:val="nl-NL"/>
        </w:rPr>
        <w:t>.</w:t>
      </w:r>
      <w:r w:rsidR="009907BF" w:rsidRPr="002237F0">
        <w:rPr>
          <w:lang w:val="nl-NL"/>
        </w:rPr>
        <w:t xml:space="preserve"> </w:t>
      </w:r>
    </w:p>
    <w:p w:rsidR="00172B08" w:rsidRPr="002237F0" w:rsidRDefault="009907BF" w:rsidP="00394748">
      <w:pPr>
        <w:rPr>
          <w:lang w:val="nl-NL"/>
        </w:rPr>
      </w:pPr>
      <w:r w:rsidRPr="002237F0">
        <w:rPr>
          <w:lang w:val="nl-NL"/>
        </w:rPr>
        <w:t>Nu bekend is wat de rol van en</w:t>
      </w:r>
      <w:r w:rsidR="007618F5" w:rsidRPr="002237F0">
        <w:rPr>
          <w:lang w:val="nl-NL"/>
        </w:rPr>
        <w:t>e</w:t>
      </w:r>
      <w:r w:rsidRPr="002237F0">
        <w:rPr>
          <w:lang w:val="nl-NL"/>
        </w:rPr>
        <w:t>r</w:t>
      </w:r>
      <w:r w:rsidR="007618F5" w:rsidRPr="002237F0">
        <w:rPr>
          <w:lang w:val="nl-NL"/>
        </w:rPr>
        <w:t xml:space="preserve">zijds fair </w:t>
      </w:r>
      <w:proofErr w:type="spellStart"/>
      <w:r w:rsidR="007618F5" w:rsidRPr="002237F0">
        <w:rPr>
          <w:lang w:val="nl-NL"/>
        </w:rPr>
        <w:t>value</w:t>
      </w:r>
      <w:proofErr w:type="spellEnd"/>
      <w:r w:rsidR="007618F5" w:rsidRPr="002237F0">
        <w:rPr>
          <w:lang w:val="nl-NL"/>
        </w:rPr>
        <w:t xml:space="preserve"> accounting en anderzijds de Basel ak</w:t>
      </w:r>
      <w:r w:rsidR="00826E7F" w:rsidRPr="002237F0">
        <w:rPr>
          <w:lang w:val="nl-NL"/>
        </w:rPr>
        <w:t xml:space="preserve">koorden zijn geweest, is </w:t>
      </w:r>
      <w:proofErr w:type="gramStart"/>
      <w:r w:rsidR="00826E7F" w:rsidRPr="002237F0">
        <w:rPr>
          <w:lang w:val="nl-NL"/>
        </w:rPr>
        <w:t>het</w:t>
      </w:r>
      <w:proofErr w:type="gramEnd"/>
      <w:r w:rsidR="00826E7F" w:rsidRPr="002237F0">
        <w:rPr>
          <w:lang w:val="nl-NL"/>
        </w:rPr>
        <w:t xml:space="preserve"> </w:t>
      </w:r>
      <w:r w:rsidR="007618F5" w:rsidRPr="002237F0">
        <w:rPr>
          <w:lang w:val="nl-NL"/>
        </w:rPr>
        <w:t>tijd voor het laatste hoofdstuk. Hie</w:t>
      </w:r>
      <w:r w:rsidR="00172B08" w:rsidRPr="002237F0">
        <w:rPr>
          <w:lang w:val="nl-NL"/>
        </w:rPr>
        <w:t xml:space="preserve">r wordt gekeken naar wat in de toekomst gaat gebeuren, en wordt er overwogen welke rol fair </w:t>
      </w:r>
      <w:proofErr w:type="spellStart"/>
      <w:r w:rsidR="00172B08" w:rsidRPr="002237F0">
        <w:rPr>
          <w:lang w:val="nl-NL"/>
        </w:rPr>
        <w:t>value</w:t>
      </w:r>
      <w:proofErr w:type="spellEnd"/>
      <w:r w:rsidR="00172B08" w:rsidRPr="002237F0">
        <w:rPr>
          <w:lang w:val="nl-NL"/>
        </w:rPr>
        <w:t xml:space="preserve"> accounting hier in speelt. </w:t>
      </w:r>
    </w:p>
    <w:p w:rsidR="000C6DE8" w:rsidRPr="002237F0" w:rsidRDefault="000C6DE8" w:rsidP="00394748">
      <w:pPr>
        <w:rPr>
          <w:lang w:val="nl-NL"/>
        </w:rPr>
      </w:pPr>
      <w:r w:rsidRPr="002237F0">
        <w:rPr>
          <w:lang w:val="nl-NL"/>
        </w:rPr>
        <w:t>Schematisch kunnen de bevindingen van dit hoofdstuk als volgt weergegeven worden:</w:t>
      </w:r>
    </w:p>
    <w:tbl>
      <w:tblPr>
        <w:tblStyle w:val="TableGrid"/>
        <w:tblW w:w="0" w:type="auto"/>
        <w:tblLook w:val="04A0"/>
      </w:tblPr>
      <w:tblGrid>
        <w:gridCol w:w="4621"/>
        <w:gridCol w:w="4621"/>
      </w:tblGrid>
      <w:tr w:rsidR="000C6DE8" w:rsidRPr="002237F0" w:rsidTr="000C6DE8">
        <w:tc>
          <w:tcPr>
            <w:tcW w:w="4621" w:type="dxa"/>
          </w:tcPr>
          <w:p w:rsidR="000C6DE8" w:rsidRPr="002237F0" w:rsidRDefault="000C6DE8" w:rsidP="00394748">
            <w:pPr>
              <w:rPr>
                <w:b/>
                <w:u w:val="single"/>
                <w:lang w:val="nl-NL"/>
              </w:rPr>
            </w:pPr>
            <w:r w:rsidRPr="002237F0">
              <w:rPr>
                <w:b/>
                <w:u w:val="single"/>
                <w:lang w:val="nl-NL"/>
              </w:rPr>
              <w:t>Verschijnsel</w:t>
            </w:r>
          </w:p>
        </w:tc>
        <w:tc>
          <w:tcPr>
            <w:tcW w:w="4621" w:type="dxa"/>
          </w:tcPr>
          <w:p w:rsidR="000C6DE8" w:rsidRPr="002237F0" w:rsidRDefault="00826E7F" w:rsidP="00394748">
            <w:pPr>
              <w:rPr>
                <w:b/>
                <w:u w:val="single"/>
                <w:lang w:val="nl-NL"/>
              </w:rPr>
            </w:pPr>
            <w:r w:rsidRPr="002237F0">
              <w:rPr>
                <w:b/>
                <w:u w:val="single"/>
                <w:lang w:val="nl-NL"/>
              </w:rPr>
              <w:t>Bron</w:t>
            </w:r>
          </w:p>
        </w:tc>
      </w:tr>
      <w:tr w:rsidR="000C6DE8" w:rsidRPr="002237F0" w:rsidTr="000C6DE8">
        <w:tc>
          <w:tcPr>
            <w:tcW w:w="4621" w:type="dxa"/>
          </w:tcPr>
          <w:p w:rsidR="00E902A6" w:rsidRPr="002237F0" w:rsidRDefault="00E902A6" w:rsidP="00E902A6">
            <w:pPr>
              <w:rPr>
                <w:sz w:val="18"/>
                <w:lang w:val="nl-NL"/>
              </w:rPr>
            </w:pPr>
            <w:r w:rsidRPr="002237F0">
              <w:rPr>
                <w:sz w:val="18"/>
                <w:lang w:val="nl-NL"/>
              </w:rPr>
              <w:t>Bankgaranties creëren een ‘</w:t>
            </w:r>
            <w:proofErr w:type="spellStart"/>
            <w:r w:rsidRPr="002237F0">
              <w:rPr>
                <w:sz w:val="18"/>
                <w:lang w:val="nl-NL"/>
              </w:rPr>
              <w:t>moral</w:t>
            </w:r>
            <w:proofErr w:type="spellEnd"/>
            <w:r w:rsidRPr="002237F0">
              <w:rPr>
                <w:sz w:val="18"/>
                <w:lang w:val="nl-NL"/>
              </w:rPr>
              <w:t xml:space="preserve">’ hazard, zodat banken risico’s nemen die ze zonder de garantie niet zouden nemen. </w:t>
            </w:r>
          </w:p>
          <w:p w:rsidR="00E902A6" w:rsidRPr="002237F0" w:rsidRDefault="00E902A6" w:rsidP="00E902A6">
            <w:pPr>
              <w:rPr>
                <w:sz w:val="18"/>
                <w:lang w:val="nl-NL"/>
              </w:rPr>
            </w:pPr>
          </w:p>
          <w:p w:rsidR="00E902A6" w:rsidRPr="002237F0" w:rsidRDefault="00E902A6" w:rsidP="00E902A6">
            <w:pPr>
              <w:rPr>
                <w:sz w:val="18"/>
                <w:lang w:val="nl-NL"/>
              </w:rPr>
            </w:pPr>
            <w:r w:rsidRPr="002237F0">
              <w:rPr>
                <w:sz w:val="18"/>
                <w:lang w:val="nl-NL"/>
              </w:rPr>
              <w:t xml:space="preserve">Daarnaast verhoogt een verhoging van kredietrisico de kans op een sanctie van toezichthouders, en daarmee de interne motivatie van een bank om geld uit te lenen. </w:t>
            </w:r>
          </w:p>
          <w:p w:rsidR="00E902A6" w:rsidRPr="002237F0" w:rsidRDefault="00E902A6" w:rsidP="00E902A6">
            <w:pPr>
              <w:rPr>
                <w:sz w:val="18"/>
                <w:lang w:val="nl-NL"/>
              </w:rPr>
            </w:pPr>
          </w:p>
          <w:p w:rsidR="000C6DE8" w:rsidRPr="002237F0" w:rsidRDefault="00E902A6" w:rsidP="00E902A6">
            <w:pPr>
              <w:rPr>
                <w:sz w:val="18"/>
                <w:lang w:val="nl-NL"/>
              </w:rPr>
            </w:pPr>
            <w:r w:rsidRPr="002237F0">
              <w:rPr>
                <w:sz w:val="18"/>
                <w:lang w:val="nl-NL"/>
              </w:rPr>
              <w:t>Ook zorgt een vermindering van het eigen vermogen via het minimumgarantievermogen dat een bank mi</w:t>
            </w:r>
            <w:r w:rsidR="00826E7F" w:rsidRPr="002237F0">
              <w:rPr>
                <w:sz w:val="18"/>
                <w:lang w:val="nl-NL"/>
              </w:rPr>
              <w:t xml:space="preserve">nder wil </w:t>
            </w:r>
            <w:r w:rsidRPr="002237F0">
              <w:rPr>
                <w:sz w:val="18"/>
                <w:lang w:val="nl-NL"/>
              </w:rPr>
              <w:t>lenen. Dit is een procyclisch effect</w:t>
            </w:r>
            <w:r w:rsidR="00435082" w:rsidRPr="002237F0">
              <w:rPr>
                <w:sz w:val="18"/>
                <w:lang w:val="nl-NL"/>
              </w:rPr>
              <w:t>.</w:t>
            </w:r>
          </w:p>
        </w:tc>
        <w:tc>
          <w:tcPr>
            <w:tcW w:w="4621" w:type="dxa"/>
          </w:tcPr>
          <w:p w:rsidR="000C6DE8" w:rsidRPr="002237F0" w:rsidRDefault="00E902A6" w:rsidP="00394748">
            <w:pPr>
              <w:rPr>
                <w:lang w:val="nl-NL"/>
              </w:rPr>
            </w:pPr>
            <w:r w:rsidRPr="002237F0">
              <w:rPr>
                <w:noProof/>
                <w:sz w:val="18"/>
              </w:rPr>
              <w:t xml:space="preserve">Drumond, I. (2009). Bank Capital Requirements, Business Cycle Fluctuations and the Basel Accords: A Synthesis. </w:t>
            </w:r>
            <w:r w:rsidRPr="002237F0">
              <w:rPr>
                <w:i/>
                <w:iCs/>
                <w:noProof/>
                <w:sz w:val="18"/>
              </w:rPr>
              <w:t>Journal of Economic Surveys</w:t>
            </w:r>
            <w:r w:rsidRPr="002237F0">
              <w:rPr>
                <w:noProof/>
                <w:sz w:val="18"/>
              </w:rPr>
              <w:t xml:space="preserve"> , 798-830.</w:t>
            </w:r>
          </w:p>
        </w:tc>
      </w:tr>
      <w:tr w:rsidR="000C6DE8" w:rsidRPr="002237F0" w:rsidTr="000C6DE8">
        <w:tc>
          <w:tcPr>
            <w:tcW w:w="4621" w:type="dxa"/>
          </w:tcPr>
          <w:p w:rsidR="000C6DE8" w:rsidRPr="002237F0" w:rsidRDefault="00E902A6" w:rsidP="00394748">
            <w:pPr>
              <w:rPr>
                <w:lang w:val="nl-NL"/>
              </w:rPr>
            </w:pPr>
            <w:r w:rsidRPr="002237F0">
              <w:rPr>
                <w:sz w:val="18"/>
                <w:lang w:val="nl-NL"/>
              </w:rPr>
              <w:t xml:space="preserve">Scheiding van </w:t>
            </w:r>
            <w:proofErr w:type="spellStart"/>
            <w:r w:rsidRPr="002237F0">
              <w:rPr>
                <w:sz w:val="18"/>
                <w:lang w:val="nl-NL"/>
              </w:rPr>
              <w:t>toezichtsfunctie</w:t>
            </w:r>
            <w:proofErr w:type="spellEnd"/>
            <w:r w:rsidRPr="002237F0">
              <w:rPr>
                <w:sz w:val="18"/>
                <w:lang w:val="nl-NL"/>
              </w:rPr>
              <w:t xml:space="preserve"> en verantwoordingsfunctie werkt niet goed binnen de bankensector.</w:t>
            </w:r>
          </w:p>
        </w:tc>
        <w:tc>
          <w:tcPr>
            <w:tcW w:w="4621" w:type="dxa"/>
          </w:tcPr>
          <w:p w:rsidR="00E902A6" w:rsidRPr="002237F0" w:rsidRDefault="00E902A6" w:rsidP="00E902A6">
            <w:pPr>
              <w:pStyle w:val="Bibliography"/>
              <w:rPr>
                <w:noProof/>
                <w:sz w:val="18"/>
              </w:rPr>
            </w:pPr>
            <w:r w:rsidRPr="002237F0">
              <w:rPr>
                <w:noProof/>
                <w:sz w:val="18"/>
              </w:rPr>
              <w:t xml:space="preserve">Levinson, M. (2010). Faulty Basel. </w:t>
            </w:r>
            <w:r w:rsidRPr="002237F0">
              <w:rPr>
                <w:i/>
                <w:iCs/>
                <w:noProof/>
                <w:sz w:val="18"/>
              </w:rPr>
              <w:t>Foreign Affairs</w:t>
            </w:r>
            <w:r w:rsidRPr="002237F0">
              <w:rPr>
                <w:noProof/>
                <w:sz w:val="18"/>
              </w:rPr>
              <w:t xml:space="preserve"> , 1-8.</w:t>
            </w:r>
          </w:p>
          <w:p w:rsidR="000C6DE8" w:rsidRPr="002237F0" w:rsidRDefault="000C6DE8" w:rsidP="00394748"/>
        </w:tc>
      </w:tr>
      <w:tr w:rsidR="000C6DE8" w:rsidRPr="002237F0" w:rsidTr="000C6DE8">
        <w:tc>
          <w:tcPr>
            <w:tcW w:w="4621" w:type="dxa"/>
          </w:tcPr>
          <w:p w:rsidR="000C6DE8" w:rsidRPr="002237F0" w:rsidRDefault="00E902A6" w:rsidP="00394748">
            <w:pPr>
              <w:rPr>
                <w:sz w:val="18"/>
                <w:lang w:val="nl-NL"/>
              </w:rPr>
            </w:pPr>
            <w:r w:rsidRPr="002237F0">
              <w:rPr>
                <w:sz w:val="18"/>
                <w:lang w:val="nl-NL"/>
              </w:rPr>
              <w:t xml:space="preserve">Het schatten van risico door enerzijds </w:t>
            </w:r>
            <w:r w:rsidR="005E1EEA" w:rsidRPr="002237F0">
              <w:rPr>
                <w:sz w:val="18"/>
                <w:lang w:val="nl-NL"/>
              </w:rPr>
              <w:t>ratingbureaus</w:t>
            </w:r>
            <w:r w:rsidRPr="002237F0">
              <w:rPr>
                <w:sz w:val="18"/>
                <w:lang w:val="nl-NL"/>
              </w:rPr>
              <w:t xml:space="preserve"> of anderzijds door banken zelf is arbitrair, maar heeft wel veel invloed op het </w:t>
            </w:r>
            <w:r w:rsidR="00435082" w:rsidRPr="002237F0">
              <w:rPr>
                <w:sz w:val="18"/>
                <w:lang w:val="nl-NL"/>
              </w:rPr>
              <w:t>garantievermogen.</w:t>
            </w:r>
          </w:p>
          <w:p w:rsidR="00435082" w:rsidRPr="002237F0" w:rsidRDefault="00435082" w:rsidP="00394748">
            <w:pPr>
              <w:rPr>
                <w:sz w:val="18"/>
                <w:lang w:val="nl-NL"/>
              </w:rPr>
            </w:pPr>
          </w:p>
          <w:p w:rsidR="00435082" w:rsidRPr="002237F0" w:rsidRDefault="00435082" w:rsidP="00394748">
            <w:pPr>
              <w:rPr>
                <w:lang w:val="nl-NL"/>
              </w:rPr>
            </w:pPr>
            <w:r w:rsidRPr="002237F0">
              <w:rPr>
                <w:sz w:val="18"/>
                <w:lang w:val="nl-NL"/>
              </w:rPr>
              <w:t xml:space="preserve">De verschillende </w:t>
            </w:r>
            <w:proofErr w:type="spellStart"/>
            <w:r w:rsidRPr="002237F0">
              <w:rPr>
                <w:sz w:val="18"/>
                <w:lang w:val="nl-NL"/>
              </w:rPr>
              <w:t>risico-categorieën</w:t>
            </w:r>
            <w:proofErr w:type="spellEnd"/>
            <w:r w:rsidRPr="002237F0">
              <w:rPr>
                <w:sz w:val="18"/>
                <w:lang w:val="nl-NL"/>
              </w:rPr>
              <w:t xml:space="preserve"> van het </w:t>
            </w:r>
            <w:proofErr w:type="spellStart"/>
            <w:r w:rsidRPr="002237F0">
              <w:rPr>
                <w:sz w:val="18"/>
                <w:lang w:val="nl-NL"/>
              </w:rPr>
              <w:t>Basel-akkoord</w:t>
            </w:r>
            <w:proofErr w:type="spellEnd"/>
            <w:r w:rsidRPr="002237F0">
              <w:rPr>
                <w:sz w:val="18"/>
                <w:lang w:val="nl-NL"/>
              </w:rPr>
              <w:t xml:space="preserve"> hebben de bubbel in MBS aangemoedigd.</w:t>
            </w:r>
          </w:p>
        </w:tc>
        <w:tc>
          <w:tcPr>
            <w:tcW w:w="4621" w:type="dxa"/>
          </w:tcPr>
          <w:p w:rsidR="00E902A6" w:rsidRPr="002237F0" w:rsidRDefault="00E902A6" w:rsidP="00E902A6">
            <w:pPr>
              <w:pStyle w:val="Bibliography"/>
              <w:rPr>
                <w:noProof/>
                <w:sz w:val="18"/>
              </w:rPr>
            </w:pPr>
            <w:r w:rsidRPr="002237F0">
              <w:rPr>
                <w:noProof/>
                <w:sz w:val="18"/>
              </w:rPr>
              <w:t xml:space="preserve">Cannata, &amp; Quagliariello. (2009). The role of Basel II in the subprime financial crisis: guilty or not guilty? </w:t>
            </w:r>
            <w:r w:rsidRPr="002237F0">
              <w:rPr>
                <w:i/>
                <w:iCs/>
                <w:noProof/>
                <w:sz w:val="18"/>
              </w:rPr>
              <w:t>Carefin Working Papers</w:t>
            </w:r>
            <w:r w:rsidRPr="002237F0">
              <w:rPr>
                <w:noProof/>
                <w:sz w:val="18"/>
              </w:rPr>
              <w:t xml:space="preserve"> , 1-17.</w:t>
            </w:r>
          </w:p>
          <w:p w:rsidR="000C6DE8" w:rsidRPr="002237F0" w:rsidRDefault="000C6DE8" w:rsidP="00394748"/>
        </w:tc>
      </w:tr>
      <w:tr w:rsidR="000C6DE8" w:rsidRPr="002237F0" w:rsidTr="000C6DE8">
        <w:tc>
          <w:tcPr>
            <w:tcW w:w="4621" w:type="dxa"/>
          </w:tcPr>
          <w:p w:rsidR="000C6DE8" w:rsidRPr="002237F0" w:rsidRDefault="00435082" w:rsidP="00394748">
            <w:pPr>
              <w:rPr>
                <w:lang w:val="nl-NL"/>
              </w:rPr>
            </w:pPr>
            <w:r w:rsidRPr="002237F0">
              <w:rPr>
                <w:sz w:val="18"/>
                <w:lang w:val="nl-NL"/>
              </w:rPr>
              <w:t xml:space="preserve">De vernieuwde eisen van Basel III hebben het minimumgarantievermogen vergroot. Hierdoor wordt het verschil tussen banken en andere instellingen groter, en worden banken gedwongen een </w:t>
            </w:r>
            <w:proofErr w:type="spellStart"/>
            <w:r w:rsidRPr="002237F0">
              <w:rPr>
                <w:sz w:val="18"/>
                <w:lang w:val="nl-NL"/>
              </w:rPr>
              <w:t>sub-optimale</w:t>
            </w:r>
            <w:proofErr w:type="spellEnd"/>
            <w:r w:rsidRPr="002237F0">
              <w:rPr>
                <w:sz w:val="18"/>
                <w:lang w:val="nl-NL"/>
              </w:rPr>
              <w:t xml:space="preserve"> </w:t>
            </w:r>
            <w:proofErr w:type="spellStart"/>
            <w:r w:rsidRPr="002237F0">
              <w:rPr>
                <w:sz w:val="18"/>
                <w:lang w:val="nl-NL"/>
              </w:rPr>
              <w:t>leverage</w:t>
            </w:r>
            <w:proofErr w:type="spellEnd"/>
            <w:r w:rsidRPr="002237F0">
              <w:rPr>
                <w:sz w:val="18"/>
                <w:lang w:val="nl-NL"/>
              </w:rPr>
              <w:t xml:space="preserve"> aan te houden. </w:t>
            </w:r>
          </w:p>
        </w:tc>
        <w:tc>
          <w:tcPr>
            <w:tcW w:w="4621" w:type="dxa"/>
          </w:tcPr>
          <w:p w:rsidR="000C6DE8" w:rsidRPr="002237F0" w:rsidRDefault="00435082" w:rsidP="00394748">
            <w:r w:rsidRPr="002237F0">
              <w:rPr>
                <w:noProof/>
                <w:sz w:val="18"/>
              </w:rPr>
              <w:t xml:space="preserve">DeAngelo, &amp; Stulz. (2013). </w:t>
            </w:r>
            <w:r w:rsidRPr="002237F0">
              <w:rPr>
                <w:i/>
                <w:iCs/>
                <w:noProof/>
                <w:sz w:val="18"/>
              </w:rPr>
              <w:t>Why High Leverage is Optimal for Banks.</w:t>
            </w:r>
            <w:r w:rsidRPr="002237F0">
              <w:rPr>
                <w:noProof/>
                <w:sz w:val="18"/>
              </w:rPr>
              <w:t xml:space="preserve"> Wharton.</w:t>
            </w:r>
          </w:p>
        </w:tc>
      </w:tr>
      <w:tr w:rsidR="00435082" w:rsidRPr="002237F0" w:rsidTr="000C6DE8">
        <w:tc>
          <w:tcPr>
            <w:tcW w:w="4621" w:type="dxa"/>
          </w:tcPr>
          <w:p w:rsidR="00435082" w:rsidRPr="002237F0" w:rsidRDefault="00435082" w:rsidP="00394748">
            <w:pPr>
              <w:rPr>
                <w:sz w:val="18"/>
                <w:lang w:val="nl-NL"/>
              </w:rPr>
            </w:pPr>
            <w:r w:rsidRPr="002237F0">
              <w:rPr>
                <w:sz w:val="18"/>
                <w:lang w:val="nl-NL"/>
              </w:rPr>
              <w:t xml:space="preserve">Het vernieuwde liquiditeitsvereiste van het Basel III akkoord discrimineert </w:t>
            </w:r>
            <w:proofErr w:type="gramStart"/>
            <w:r w:rsidRPr="002237F0">
              <w:rPr>
                <w:sz w:val="18"/>
                <w:lang w:val="nl-NL"/>
              </w:rPr>
              <w:t>jegens</w:t>
            </w:r>
            <w:proofErr w:type="gramEnd"/>
            <w:r w:rsidRPr="002237F0">
              <w:rPr>
                <w:sz w:val="18"/>
                <w:lang w:val="nl-NL"/>
              </w:rPr>
              <w:t xml:space="preserve"> partijen met een lagere kredietwaardigheid</w:t>
            </w:r>
            <w:r w:rsidR="005E1EEA" w:rsidRPr="002237F0">
              <w:rPr>
                <w:sz w:val="18"/>
                <w:lang w:val="nl-NL"/>
              </w:rPr>
              <w:t>.</w:t>
            </w:r>
          </w:p>
        </w:tc>
        <w:tc>
          <w:tcPr>
            <w:tcW w:w="4621" w:type="dxa"/>
          </w:tcPr>
          <w:p w:rsidR="00435082" w:rsidRPr="002237F0" w:rsidRDefault="00435082" w:rsidP="00435082">
            <w:pPr>
              <w:pStyle w:val="Bibliography"/>
              <w:rPr>
                <w:noProof/>
                <w:sz w:val="18"/>
              </w:rPr>
            </w:pPr>
            <w:r w:rsidRPr="002237F0">
              <w:rPr>
                <w:noProof/>
                <w:sz w:val="18"/>
              </w:rPr>
              <w:t xml:space="preserve">Atkinson, &amp; Blundell-Wignall. (2010). Thinking beyond Basel III: Necessary Solutions for Capital and Liquidity. </w:t>
            </w:r>
            <w:r w:rsidRPr="002237F0">
              <w:rPr>
                <w:i/>
                <w:iCs/>
                <w:noProof/>
                <w:sz w:val="18"/>
              </w:rPr>
              <w:t>OECD Journal</w:t>
            </w:r>
            <w:r w:rsidRPr="002237F0">
              <w:rPr>
                <w:noProof/>
                <w:sz w:val="18"/>
              </w:rPr>
              <w:t xml:space="preserve"> , 9-33.</w:t>
            </w:r>
          </w:p>
          <w:p w:rsidR="00435082" w:rsidRPr="002237F0" w:rsidRDefault="00435082" w:rsidP="00394748">
            <w:pPr>
              <w:rPr>
                <w:noProof/>
                <w:sz w:val="18"/>
              </w:rPr>
            </w:pPr>
          </w:p>
        </w:tc>
      </w:tr>
    </w:tbl>
    <w:p w:rsidR="00394748" w:rsidRPr="002237F0" w:rsidRDefault="00172B08" w:rsidP="00394748">
      <w:r w:rsidRPr="002237F0">
        <w:t xml:space="preserve"> </w:t>
      </w:r>
      <w:r w:rsidR="007618F5" w:rsidRPr="002237F0">
        <w:t xml:space="preserve">   </w:t>
      </w:r>
      <w:r w:rsidR="000521CF" w:rsidRPr="002237F0">
        <w:rPr>
          <w:sz w:val="20"/>
        </w:rPr>
        <w:t xml:space="preserve">  </w:t>
      </w:r>
      <w:r w:rsidR="008F4A8D" w:rsidRPr="002237F0">
        <w:rPr>
          <w:sz w:val="20"/>
        </w:rPr>
        <w:t xml:space="preserve"> </w:t>
      </w:r>
      <w:r w:rsidR="00394748" w:rsidRPr="002237F0">
        <w:rPr>
          <w:sz w:val="20"/>
        </w:rPr>
        <w:t xml:space="preserve"> </w:t>
      </w:r>
    </w:p>
    <w:p w:rsidR="009907BF" w:rsidRPr="002237F0" w:rsidRDefault="005E1EEA" w:rsidP="001A6C33">
      <w:pPr>
        <w:rPr>
          <w:lang w:val="nl-NL"/>
        </w:rPr>
      </w:pPr>
      <w:r w:rsidRPr="002237F0">
        <w:rPr>
          <w:lang w:val="nl-NL"/>
        </w:rPr>
        <w:t xml:space="preserve">Dit hoofdstuk stelde de vraag welk verband er is tussen de </w:t>
      </w:r>
      <w:proofErr w:type="spellStart"/>
      <w:r w:rsidRPr="002237F0">
        <w:rPr>
          <w:lang w:val="nl-NL"/>
        </w:rPr>
        <w:t>Basel-akkoorden</w:t>
      </w:r>
      <w:proofErr w:type="spellEnd"/>
      <w:r w:rsidRPr="002237F0">
        <w:rPr>
          <w:lang w:val="nl-NL"/>
        </w:rPr>
        <w:t xml:space="preserve"> en de fair </w:t>
      </w:r>
      <w:proofErr w:type="spellStart"/>
      <w:r w:rsidRPr="002237F0">
        <w:rPr>
          <w:lang w:val="nl-NL"/>
        </w:rPr>
        <w:t>value</w:t>
      </w:r>
      <w:proofErr w:type="spellEnd"/>
      <w:r w:rsidRPr="002237F0">
        <w:rPr>
          <w:lang w:val="nl-NL"/>
        </w:rPr>
        <w:t xml:space="preserve"> waardering. In hoofdstuk 3 was al naar voren gekomen dat waar fair </w:t>
      </w:r>
      <w:proofErr w:type="spellStart"/>
      <w:r w:rsidRPr="002237F0">
        <w:rPr>
          <w:lang w:val="nl-NL"/>
        </w:rPr>
        <w:t>value</w:t>
      </w:r>
      <w:proofErr w:type="spellEnd"/>
      <w:r w:rsidRPr="002237F0">
        <w:rPr>
          <w:lang w:val="nl-NL"/>
        </w:rPr>
        <w:t xml:space="preserve"> procyclisch werkt, minimumgarantievermogen een rol speelt. Na onderzocht te hebben wat de </w:t>
      </w:r>
      <w:proofErr w:type="spellStart"/>
      <w:r w:rsidRPr="002237F0">
        <w:rPr>
          <w:lang w:val="nl-NL"/>
        </w:rPr>
        <w:t>Basel-akkoorden</w:t>
      </w:r>
      <w:proofErr w:type="spellEnd"/>
      <w:r w:rsidRPr="002237F0">
        <w:rPr>
          <w:lang w:val="nl-NL"/>
        </w:rPr>
        <w:t xml:space="preserve"> inhouden en welke effecten dit heeft gehad op banken, komt dit onderzoek tot de conclusie dat </w:t>
      </w:r>
      <w:proofErr w:type="spellStart"/>
      <w:r w:rsidRPr="002237F0">
        <w:rPr>
          <w:lang w:val="nl-NL"/>
        </w:rPr>
        <w:t>Basel-akkoorden</w:t>
      </w:r>
      <w:proofErr w:type="spellEnd"/>
      <w:r w:rsidRPr="002237F0">
        <w:rPr>
          <w:lang w:val="nl-NL"/>
        </w:rPr>
        <w:t xml:space="preserve"> procyclisch werken via het minimumgarantievermogen en via de risicowegingsfactoren. De conclusie van hoofdstuk 4 wordt bevestigd, namelijk dat fair </w:t>
      </w:r>
      <w:proofErr w:type="spellStart"/>
      <w:r w:rsidRPr="002237F0">
        <w:rPr>
          <w:lang w:val="nl-NL"/>
        </w:rPr>
        <w:t>value</w:t>
      </w:r>
      <w:proofErr w:type="spellEnd"/>
      <w:r w:rsidRPr="002237F0">
        <w:rPr>
          <w:lang w:val="nl-NL"/>
        </w:rPr>
        <w:t xml:space="preserve"> accounting een vroege boodschapper is bij waardedaling. Na dit hoofdstuk kan worden geconcludeerd dat fair </w:t>
      </w:r>
      <w:proofErr w:type="spellStart"/>
      <w:r w:rsidRPr="002237F0">
        <w:rPr>
          <w:lang w:val="nl-NL"/>
        </w:rPr>
        <w:t>value</w:t>
      </w:r>
      <w:proofErr w:type="spellEnd"/>
      <w:r w:rsidRPr="002237F0">
        <w:rPr>
          <w:lang w:val="nl-NL"/>
        </w:rPr>
        <w:t xml:space="preserve"> daarnaast meewerkt aan de procyclische gevolgen van het </w:t>
      </w:r>
      <w:proofErr w:type="spellStart"/>
      <w:r w:rsidRPr="002237F0">
        <w:rPr>
          <w:lang w:val="nl-NL"/>
        </w:rPr>
        <w:t>Basel-akkoord</w:t>
      </w:r>
      <w:proofErr w:type="spellEnd"/>
      <w:r w:rsidRPr="002237F0">
        <w:rPr>
          <w:lang w:val="nl-NL"/>
        </w:rPr>
        <w:t>.</w:t>
      </w:r>
    </w:p>
    <w:p w:rsidR="009907BF" w:rsidRPr="002237F0" w:rsidRDefault="009907BF" w:rsidP="001A6C33">
      <w:pPr>
        <w:rPr>
          <w:b/>
          <w:sz w:val="32"/>
          <w:lang w:val="nl-NL"/>
        </w:rPr>
      </w:pPr>
    </w:p>
    <w:p w:rsidR="00817B81" w:rsidRPr="002237F0" w:rsidRDefault="00817B81" w:rsidP="001A6C33">
      <w:pPr>
        <w:rPr>
          <w:b/>
          <w:sz w:val="32"/>
          <w:lang w:val="nl-NL"/>
        </w:rPr>
      </w:pPr>
    </w:p>
    <w:p w:rsidR="00817B81" w:rsidRPr="002237F0" w:rsidRDefault="00817B81" w:rsidP="001A6C33">
      <w:pPr>
        <w:rPr>
          <w:b/>
          <w:sz w:val="32"/>
          <w:lang w:val="nl-NL"/>
        </w:rPr>
      </w:pPr>
    </w:p>
    <w:p w:rsidR="00817B81" w:rsidRPr="002237F0" w:rsidRDefault="00817B81" w:rsidP="001A6C33">
      <w:pPr>
        <w:rPr>
          <w:b/>
          <w:sz w:val="32"/>
          <w:lang w:val="nl-NL"/>
        </w:rPr>
      </w:pPr>
    </w:p>
    <w:p w:rsidR="00817B81" w:rsidRPr="002237F0" w:rsidRDefault="00817B81" w:rsidP="001A6C33">
      <w:pPr>
        <w:rPr>
          <w:b/>
          <w:sz w:val="32"/>
          <w:lang w:val="nl-NL"/>
        </w:rPr>
      </w:pPr>
    </w:p>
    <w:p w:rsidR="005E1EEA" w:rsidRPr="002237F0" w:rsidRDefault="005E1EEA" w:rsidP="001A6C33">
      <w:pPr>
        <w:rPr>
          <w:b/>
          <w:sz w:val="32"/>
          <w:lang w:val="nl-NL"/>
        </w:rPr>
      </w:pPr>
    </w:p>
    <w:p w:rsidR="005E1EEA" w:rsidRPr="002237F0" w:rsidRDefault="005E1EEA" w:rsidP="001A6C33">
      <w:pPr>
        <w:rPr>
          <w:b/>
          <w:sz w:val="32"/>
          <w:lang w:val="nl-NL"/>
        </w:rPr>
      </w:pPr>
    </w:p>
    <w:p w:rsidR="005E1EEA" w:rsidRPr="002237F0" w:rsidRDefault="005E1EEA" w:rsidP="001A6C33">
      <w:pPr>
        <w:rPr>
          <w:b/>
          <w:sz w:val="32"/>
          <w:lang w:val="nl-NL"/>
        </w:rPr>
      </w:pPr>
    </w:p>
    <w:p w:rsidR="005E1EEA" w:rsidRPr="002237F0" w:rsidRDefault="005E1EEA" w:rsidP="001A6C33">
      <w:pPr>
        <w:rPr>
          <w:b/>
          <w:sz w:val="32"/>
          <w:lang w:val="nl-NL"/>
        </w:rPr>
      </w:pPr>
    </w:p>
    <w:p w:rsidR="005E1EEA" w:rsidRPr="002237F0" w:rsidRDefault="005E1EEA" w:rsidP="001A6C33">
      <w:pPr>
        <w:rPr>
          <w:b/>
          <w:sz w:val="32"/>
          <w:lang w:val="nl-NL"/>
        </w:rPr>
      </w:pPr>
    </w:p>
    <w:p w:rsidR="005E1EEA" w:rsidRPr="002237F0" w:rsidRDefault="005E1EEA" w:rsidP="001A6C33">
      <w:pPr>
        <w:rPr>
          <w:b/>
          <w:sz w:val="32"/>
          <w:lang w:val="nl-NL"/>
        </w:rPr>
      </w:pPr>
    </w:p>
    <w:p w:rsidR="005E1EEA" w:rsidRPr="002237F0" w:rsidRDefault="005E1EEA" w:rsidP="001A6C33">
      <w:pPr>
        <w:rPr>
          <w:b/>
          <w:sz w:val="32"/>
          <w:lang w:val="nl-NL"/>
        </w:rPr>
      </w:pPr>
    </w:p>
    <w:p w:rsidR="005E1EEA" w:rsidRPr="002237F0" w:rsidRDefault="005E1EEA" w:rsidP="001A6C33">
      <w:pPr>
        <w:rPr>
          <w:b/>
          <w:sz w:val="32"/>
          <w:lang w:val="nl-NL"/>
        </w:rPr>
      </w:pPr>
    </w:p>
    <w:p w:rsidR="005E1EEA" w:rsidRPr="002237F0" w:rsidRDefault="005E1EEA" w:rsidP="001A6C33">
      <w:pPr>
        <w:rPr>
          <w:b/>
          <w:sz w:val="32"/>
          <w:lang w:val="nl-NL"/>
        </w:rPr>
      </w:pPr>
    </w:p>
    <w:p w:rsidR="005E1EEA" w:rsidRPr="002237F0" w:rsidRDefault="005E1EEA" w:rsidP="001A6C33">
      <w:pPr>
        <w:rPr>
          <w:b/>
          <w:sz w:val="32"/>
          <w:lang w:val="nl-NL"/>
        </w:rPr>
      </w:pPr>
    </w:p>
    <w:p w:rsidR="005E1EEA" w:rsidRPr="002237F0" w:rsidRDefault="005E1EEA" w:rsidP="001A6C33">
      <w:pPr>
        <w:rPr>
          <w:b/>
          <w:sz w:val="32"/>
          <w:lang w:val="nl-NL"/>
        </w:rPr>
      </w:pPr>
    </w:p>
    <w:p w:rsidR="005E1EEA" w:rsidRPr="002237F0" w:rsidRDefault="005E1EEA" w:rsidP="001A6C33">
      <w:pPr>
        <w:rPr>
          <w:b/>
          <w:sz w:val="32"/>
          <w:lang w:val="nl-NL"/>
        </w:rPr>
      </w:pPr>
    </w:p>
    <w:p w:rsidR="00D34422" w:rsidRPr="002237F0" w:rsidRDefault="00D34422" w:rsidP="001A6C33">
      <w:pPr>
        <w:rPr>
          <w:b/>
          <w:sz w:val="32"/>
          <w:lang w:val="nl-NL"/>
        </w:rPr>
      </w:pPr>
    </w:p>
    <w:p w:rsidR="001A6C33" w:rsidRPr="002237F0" w:rsidRDefault="00172B08" w:rsidP="001A6C33">
      <w:pPr>
        <w:rPr>
          <w:b/>
          <w:sz w:val="32"/>
          <w:lang w:val="nl-NL"/>
        </w:rPr>
      </w:pPr>
      <w:r w:rsidRPr="002237F0">
        <w:rPr>
          <w:b/>
          <w:sz w:val="32"/>
          <w:lang w:val="nl-NL"/>
        </w:rPr>
        <w:t>5</w:t>
      </w:r>
      <w:r w:rsidR="001A6C33" w:rsidRPr="002237F0">
        <w:rPr>
          <w:b/>
          <w:sz w:val="32"/>
          <w:lang w:val="nl-NL"/>
        </w:rPr>
        <w:t xml:space="preserve">. </w:t>
      </w:r>
      <w:r w:rsidR="009907BF" w:rsidRPr="002237F0">
        <w:rPr>
          <w:b/>
          <w:sz w:val="32"/>
          <w:lang w:val="nl-NL"/>
        </w:rPr>
        <w:t xml:space="preserve">Fair </w:t>
      </w:r>
      <w:proofErr w:type="spellStart"/>
      <w:r w:rsidR="009907BF" w:rsidRPr="002237F0">
        <w:rPr>
          <w:b/>
          <w:sz w:val="32"/>
          <w:lang w:val="nl-NL"/>
        </w:rPr>
        <w:t>value</w:t>
      </w:r>
      <w:proofErr w:type="spellEnd"/>
      <w:r w:rsidR="009907BF" w:rsidRPr="002237F0">
        <w:rPr>
          <w:b/>
          <w:sz w:val="32"/>
          <w:lang w:val="nl-NL"/>
        </w:rPr>
        <w:t xml:space="preserve"> en de toekomst</w:t>
      </w:r>
    </w:p>
    <w:p w:rsidR="009907BF" w:rsidRPr="002237F0" w:rsidRDefault="009907BF" w:rsidP="001A6C33">
      <w:pPr>
        <w:rPr>
          <w:lang w:val="nl-NL"/>
        </w:rPr>
      </w:pPr>
      <w:r w:rsidRPr="002237F0">
        <w:rPr>
          <w:lang w:val="nl-NL"/>
        </w:rPr>
        <w:t xml:space="preserve">Dit hoofdstuk kijkt vooral naar de toekomst. Ten eerste zal er gekeken worden naar de toekomstige standaard voor regelgeving betreffende financiële instrumenten, IFRS 9. </w:t>
      </w:r>
      <w:r w:rsidR="00DF3850" w:rsidRPr="002237F0">
        <w:rPr>
          <w:lang w:val="nl-NL"/>
        </w:rPr>
        <w:t xml:space="preserve">Daarna wordt er ingegaan op de eventuele convergentie tussen waarderingsmaatstaven uit de Verenigde Staten en die van de IASB, en de rol die politiek gespeeld heeft en speelt binnen de waardering van financiële instrumenten. Als laatste wordt er gekeken naar de veranderingen die IFRS 9 teweeg zal brengen, en wordt er </w:t>
      </w:r>
      <w:proofErr w:type="gramStart"/>
      <w:r w:rsidR="00DF3850" w:rsidRPr="002237F0">
        <w:rPr>
          <w:lang w:val="nl-NL"/>
        </w:rPr>
        <w:t>gepoogd</w:t>
      </w:r>
      <w:proofErr w:type="gramEnd"/>
      <w:r w:rsidR="00DF3850" w:rsidRPr="002237F0">
        <w:rPr>
          <w:lang w:val="nl-NL"/>
        </w:rPr>
        <w:t xml:space="preserve"> een antwoord te geven op de vraag welke rol fair </w:t>
      </w:r>
      <w:proofErr w:type="spellStart"/>
      <w:r w:rsidR="00DF3850" w:rsidRPr="002237F0">
        <w:rPr>
          <w:lang w:val="nl-NL"/>
        </w:rPr>
        <w:t>value</w:t>
      </w:r>
      <w:proofErr w:type="spellEnd"/>
      <w:r w:rsidR="00DF3850" w:rsidRPr="002237F0">
        <w:rPr>
          <w:lang w:val="nl-NL"/>
        </w:rPr>
        <w:t xml:space="preserve"> gespeeld heeft in het verleden, en </w:t>
      </w:r>
      <w:r w:rsidR="005A1AD1" w:rsidRPr="002237F0">
        <w:rPr>
          <w:lang w:val="nl-NL"/>
        </w:rPr>
        <w:t xml:space="preserve">waarschijnlijk </w:t>
      </w:r>
      <w:r w:rsidR="00DF3850" w:rsidRPr="002237F0">
        <w:rPr>
          <w:lang w:val="nl-NL"/>
        </w:rPr>
        <w:t xml:space="preserve">zal spelen in de toekomst. </w:t>
      </w:r>
    </w:p>
    <w:p w:rsidR="001A6C33" w:rsidRPr="002237F0" w:rsidRDefault="00172B08" w:rsidP="001A6C33">
      <w:pPr>
        <w:rPr>
          <w:b/>
          <w:sz w:val="28"/>
          <w:lang w:val="nl-NL"/>
        </w:rPr>
      </w:pPr>
      <w:r w:rsidRPr="002237F0">
        <w:rPr>
          <w:b/>
          <w:sz w:val="28"/>
          <w:lang w:val="nl-NL"/>
        </w:rPr>
        <w:t>5</w:t>
      </w:r>
      <w:r w:rsidR="001A6C33" w:rsidRPr="002237F0">
        <w:rPr>
          <w:b/>
          <w:sz w:val="28"/>
          <w:lang w:val="nl-NL"/>
        </w:rPr>
        <w:t xml:space="preserve">.1. </w:t>
      </w:r>
      <w:r w:rsidR="009907BF" w:rsidRPr="002237F0">
        <w:rPr>
          <w:b/>
          <w:sz w:val="28"/>
          <w:lang w:val="nl-NL"/>
        </w:rPr>
        <w:t>IFRS 9, naar een nieuwe standaard</w:t>
      </w:r>
    </w:p>
    <w:p w:rsidR="00BA06E9" w:rsidRPr="002237F0" w:rsidRDefault="00DF3850" w:rsidP="001A6C33">
      <w:pPr>
        <w:rPr>
          <w:lang w:val="nl-NL"/>
        </w:rPr>
      </w:pPr>
      <w:r w:rsidRPr="002237F0">
        <w:rPr>
          <w:lang w:val="nl-NL"/>
        </w:rPr>
        <w:t>IAS 39 werd door sommigen beschouwd als ‘de meest onvriendelijke der IFRS regelgevingen’</w:t>
      </w:r>
      <w:sdt>
        <w:sdtPr>
          <w:rPr>
            <w:lang w:val="nl-NL"/>
          </w:rPr>
          <w:id w:val="23137231"/>
          <w:citation/>
        </w:sdtPr>
        <w:sdtContent>
          <w:r w:rsidR="003C13F3" w:rsidRPr="002237F0">
            <w:rPr>
              <w:lang w:val="nl-NL"/>
            </w:rPr>
            <w:fldChar w:fldCharType="begin"/>
          </w:r>
          <w:r w:rsidRPr="002237F0">
            <w:rPr>
              <w:lang w:val="nl-NL"/>
            </w:rPr>
            <w:instrText xml:space="preserve"> CITATION Ste10 \l 1043 </w:instrText>
          </w:r>
          <w:r w:rsidR="003C13F3" w:rsidRPr="002237F0">
            <w:rPr>
              <w:lang w:val="nl-NL"/>
            </w:rPr>
            <w:fldChar w:fldCharType="separate"/>
          </w:r>
          <w:r w:rsidR="00721EC3" w:rsidRPr="002237F0">
            <w:rPr>
              <w:noProof/>
              <w:lang w:val="nl-NL"/>
            </w:rPr>
            <w:t xml:space="preserve"> (Chan, 2010)</w:t>
          </w:r>
          <w:r w:rsidR="003C13F3" w:rsidRPr="002237F0">
            <w:rPr>
              <w:lang w:val="nl-NL"/>
            </w:rPr>
            <w:fldChar w:fldCharType="end"/>
          </w:r>
        </w:sdtContent>
      </w:sdt>
      <w:r w:rsidRPr="002237F0">
        <w:rPr>
          <w:lang w:val="nl-NL"/>
        </w:rPr>
        <w:t>. Dit kwam door de complexiteit en de vermeende interne tegenstrijdigheden. Het is de bedoeling dat zijn vervanger, IFRS 9, vanaf 1 januari 2015 in werking</w:t>
      </w:r>
      <w:r w:rsidR="00BA06E9" w:rsidRPr="002237F0">
        <w:rPr>
          <w:lang w:val="nl-NL"/>
        </w:rPr>
        <w:t xml:space="preserve"> treedt</w:t>
      </w:r>
      <w:sdt>
        <w:sdtPr>
          <w:rPr>
            <w:lang w:val="nl-NL"/>
          </w:rPr>
          <w:id w:val="2041147"/>
          <w:citation/>
        </w:sdtPr>
        <w:sdtContent>
          <w:r w:rsidR="003C13F3" w:rsidRPr="002237F0">
            <w:rPr>
              <w:lang w:val="nl-NL"/>
            </w:rPr>
            <w:fldChar w:fldCharType="begin"/>
          </w:r>
          <w:r w:rsidR="005A1AD1" w:rsidRPr="002237F0">
            <w:rPr>
              <w:lang w:val="nl-NL"/>
            </w:rPr>
            <w:instrText xml:space="preserve"> CITATION IFR10 \l 1043 </w:instrText>
          </w:r>
          <w:r w:rsidR="003C13F3" w:rsidRPr="002237F0">
            <w:rPr>
              <w:lang w:val="nl-NL"/>
            </w:rPr>
            <w:fldChar w:fldCharType="separate"/>
          </w:r>
          <w:r w:rsidR="005A1AD1" w:rsidRPr="002237F0">
            <w:rPr>
              <w:noProof/>
              <w:lang w:val="nl-NL"/>
            </w:rPr>
            <w:t xml:space="preserve"> (IFRS 9: Financial Instruments, 2010)</w:t>
          </w:r>
          <w:r w:rsidR="003C13F3" w:rsidRPr="002237F0">
            <w:rPr>
              <w:lang w:val="nl-NL"/>
            </w:rPr>
            <w:fldChar w:fldCharType="end"/>
          </w:r>
        </w:sdtContent>
      </w:sdt>
      <w:r w:rsidR="00BA06E9" w:rsidRPr="002237F0">
        <w:rPr>
          <w:lang w:val="nl-NL"/>
        </w:rPr>
        <w:t>. In deze paragraaf zullen</w:t>
      </w:r>
      <w:r w:rsidRPr="002237F0">
        <w:rPr>
          <w:lang w:val="nl-NL"/>
        </w:rPr>
        <w:t xml:space="preserve"> niet zoals in </w:t>
      </w:r>
      <w:r w:rsidR="00BA06E9" w:rsidRPr="002237F0">
        <w:rPr>
          <w:lang w:val="nl-NL"/>
        </w:rPr>
        <w:t xml:space="preserve">hoofdstuk </w:t>
      </w:r>
      <w:proofErr w:type="gramStart"/>
      <w:r w:rsidR="00BA06E9" w:rsidRPr="002237F0">
        <w:rPr>
          <w:lang w:val="nl-NL"/>
        </w:rPr>
        <w:t>1</w:t>
      </w:r>
      <w:proofErr w:type="gramEnd"/>
      <w:r w:rsidR="00BA06E9" w:rsidRPr="002237F0">
        <w:rPr>
          <w:lang w:val="nl-NL"/>
        </w:rPr>
        <w:t xml:space="preserve"> alle regels benoemd worden</w:t>
      </w:r>
      <w:r w:rsidRPr="002237F0">
        <w:rPr>
          <w:lang w:val="nl-NL"/>
        </w:rPr>
        <w:t>, omdat er vee</w:t>
      </w:r>
      <w:r w:rsidR="005A1AD1" w:rsidRPr="002237F0">
        <w:rPr>
          <w:lang w:val="nl-NL"/>
        </w:rPr>
        <w:t xml:space="preserve">l overlap zal zijn met IAS 39. </w:t>
      </w:r>
      <w:r w:rsidR="00BA06E9" w:rsidRPr="002237F0">
        <w:rPr>
          <w:lang w:val="nl-NL"/>
        </w:rPr>
        <w:t xml:space="preserve">De belangrijkste veranderingen zullen aan bod komen. </w:t>
      </w:r>
    </w:p>
    <w:p w:rsidR="008305B3" w:rsidRPr="002237F0" w:rsidRDefault="008305B3" w:rsidP="001A6C33">
      <w:pPr>
        <w:rPr>
          <w:b/>
          <w:sz w:val="24"/>
          <w:lang w:val="nl-NL"/>
        </w:rPr>
      </w:pPr>
      <w:r w:rsidRPr="002237F0">
        <w:rPr>
          <w:b/>
          <w:sz w:val="24"/>
          <w:lang w:val="nl-NL"/>
        </w:rPr>
        <w:t>Minder categorieën</w:t>
      </w:r>
    </w:p>
    <w:p w:rsidR="00BA06E9" w:rsidRPr="002237F0" w:rsidRDefault="00005448" w:rsidP="001A6C33">
      <w:pPr>
        <w:rPr>
          <w:lang w:val="nl-NL"/>
        </w:rPr>
      </w:pPr>
      <w:r w:rsidRPr="002237F0">
        <w:rPr>
          <w:lang w:val="nl-NL"/>
        </w:rPr>
        <w:t xml:space="preserve">Een </w:t>
      </w:r>
      <w:r w:rsidR="00E64406" w:rsidRPr="002237F0">
        <w:rPr>
          <w:lang w:val="nl-NL"/>
        </w:rPr>
        <w:t xml:space="preserve">belangrijke verandering </w:t>
      </w:r>
      <w:r w:rsidR="005A1AD1" w:rsidRPr="002237F0">
        <w:rPr>
          <w:lang w:val="nl-NL"/>
        </w:rPr>
        <w:t>is</w:t>
      </w:r>
      <w:r w:rsidR="00BA06E9" w:rsidRPr="002237F0">
        <w:rPr>
          <w:lang w:val="nl-NL"/>
        </w:rPr>
        <w:t xml:space="preserve"> het feit dat er minder categorieën zullen zijn waarnaar een financieel instrument kan worden ingedeeld</w:t>
      </w:r>
      <w:sdt>
        <w:sdtPr>
          <w:rPr>
            <w:lang w:val="nl-NL"/>
          </w:rPr>
          <w:id w:val="2041148"/>
          <w:citation/>
        </w:sdtPr>
        <w:sdtContent>
          <w:r w:rsidR="003C13F3" w:rsidRPr="002237F0">
            <w:rPr>
              <w:lang w:val="nl-NL"/>
            </w:rPr>
            <w:fldChar w:fldCharType="begin"/>
          </w:r>
          <w:r w:rsidR="005A1AD1" w:rsidRPr="002237F0">
            <w:rPr>
              <w:lang w:val="nl-NL"/>
            </w:rPr>
            <w:instrText xml:space="preserve"> CITATION Ste10 \l 1043 </w:instrText>
          </w:r>
          <w:r w:rsidR="003C13F3" w:rsidRPr="002237F0">
            <w:rPr>
              <w:lang w:val="nl-NL"/>
            </w:rPr>
            <w:fldChar w:fldCharType="separate"/>
          </w:r>
          <w:r w:rsidR="005A1AD1" w:rsidRPr="002237F0">
            <w:rPr>
              <w:noProof/>
              <w:lang w:val="nl-NL"/>
            </w:rPr>
            <w:t xml:space="preserve"> (Chan, 2010)</w:t>
          </w:r>
          <w:r w:rsidR="003C13F3" w:rsidRPr="002237F0">
            <w:rPr>
              <w:lang w:val="nl-NL"/>
            </w:rPr>
            <w:fldChar w:fldCharType="end"/>
          </w:r>
        </w:sdtContent>
      </w:sdt>
      <w:r w:rsidR="00BA06E9" w:rsidRPr="002237F0">
        <w:rPr>
          <w:lang w:val="nl-NL"/>
        </w:rPr>
        <w:t xml:space="preserve">. De categorieën Held To </w:t>
      </w:r>
      <w:proofErr w:type="spellStart"/>
      <w:r w:rsidR="00BA06E9" w:rsidRPr="002237F0">
        <w:rPr>
          <w:lang w:val="nl-NL"/>
        </w:rPr>
        <w:t>Maturity</w:t>
      </w:r>
      <w:proofErr w:type="spellEnd"/>
      <w:r w:rsidR="00BA06E9" w:rsidRPr="002237F0">
        <w:rPr>
          <w:lang w:val="nl-NL"/>
        </w:rPr>
        <w:t xml:space="preserve">(HTM), </w:t>
      </w:r>
      <w:proofErr w:type="spellStart"/>
      <w:r w:rsidR="00BA06E9" w:rsidRPr="002237F0">
        <w:rPr>
          <w:lang w:val="nl-NL"/>
        </w:rPr>
        <w:t>Available</w:t>
      </w:r>
      <w:proofErr w:type="spellEnd"/>
      <w:r w:rsidR="00BA06E9" w:rsidRPr="002237F0">
        <w:rPr>
          <w:lang w:val="nl-NL"/>
        </w:rPr>
        <w:t xml:space="preserve"> </w:t>
      </w:r>
      <w:proofErr w:type="spellStart"/>
      <w:r w:rsidR="00BA06E9" w:rsidRPr="002237F0">
        <w:rPr>
          <w:lang w:val="nl-NL"/>
        </w:rPr>
        <w:t>for</w:t>
      </w:r>
      <w:proofErr w:type="spellEnd"/>
      <w:r w:rsidR="00BA06E9" w:rsidRPr="002237F0">
        <w:rPr>
          <w:lang w:val="nl-NL"/>
        </w:rPr>
        <w:t xml:space="preserve"> Sale(AVS) en de categorie </w:t>
      </w:r>
      <w:proofErr w:type="spellStart"/>
      <w:r w:rsidR="00BA06E9" w:rsidRPr="002237F0">
        <w:rPr>
          <w:lang w:val="nl-NL"/>
        </w:rPr>
        <w:t>loans</w:t>
      </w:r>
      <w:proofErr w:type="spellEnd"/>
      <w:r w:rsidR="00BA06E9" w:rsidRPr="002237F0">
        <w:rPr>
          <w:lang w:val="nl-NL"/>
        </w:rPr>
        <w:t xml:space="preserve"> and </w:t>
      </w:r>
      <w:proofErr w:type="spellStart"/>
      <w:r w:rsidR="00BA06E9" w:rsidRPr="002237F0">
        <w:rPr>
          <w:lang w:val="nl-NL"/>
        </w:rPr>
        <w:t>receivables</w:t>
      </w:r>
      <w:proofErr w:type="spellEnd"/>
      <w:r w:rsidR="00BA06E9" w:rsidRPr="002237F0">
        <w:rPr>
          <w:lang w:val="nl-NL"/>
        </w:rPr>
        <w:t xml:space="preserve">(L&amp;R) zullen ophouden te bestaan. Een financieel instrument zal enkel nog gecategoriseerd kunnen worden naar fair </w:t>
      </w:r>
      <w:proofErr w:type="spellStart"/>
      <w:r w:rsidR="00BA06E9" w:rsidRPr="002237F0">
        <w:rPr>
          <w:lang w:val="nl-NL"/>
        </w:rPr>
        <w:t>value</w:t>
      </w:r>
      <w:proofErr w:type="spellEnd"/>
      <w:r w:rsidR="00BA06E9" w:rsidRPr="002237F0">
        <w:rPr>
          <w:lang w:val="nl-NL"/>
        </w:rPr>
        <w:t xml:space="preserve"> of naar de geamortiseerde kostprijs. Daarnaast zijn er strengere voorwaarden gekomen wil een instrument gewaardeerd mogen worden tegen geamortiseerde kostprijs: Het instrument moet gehouden worden om er kasstromen uit te ontvangen, en de te ontvangen kasstromen worden ontvangen op van tevoren vaststaande tijdstippen</w:t>
      </w:r>
      <w:sdt>
        <w:sdtPr>
          <w:rPr>
            <w:lang w:val="nl-NL"/>
          </w:rPr>
          <w:id w:val="882984978"/>
          <w:citation/>
        </w:sdtPr>
        <w:sdtContent>
          <w:r w:rsidR="003C13F3" w:rsidRPr="002237F0">
            <w:rPr>
              <w:lang w:val="nl-NL"/>
            </w:rPr>
            <w:fldChar w:fldCharType="begin"/>
          </w:r>
          <w:r w:rsidR="0061373C" w:rsidRPr="002237F0">
            <w:rPr>
              <w:lang w:val="nl-NL"/>
            </w:rPr>
            <w:instrText xml:space="preserve"> CITATION IFR10 \l 1033 </w:instrText>
          </w:r>
          <w:r w:rsidR="003C13F3" w:rsidRPr="002237F0">
            <w:rPr>
              <w:lang w:val="nl-NL"/>
            </w:rPr>
            <w:fldChar w:fldCharType="separate"/>
          </w:r>
          <w:r w:rsidR="0061373C" w:rsidRPr="002237F0">
            <w:rPr>
              <w:noProof/>
              <w:lang w:val="nl-NL"/>
            </w:rPr>
            <w:t xml:space="preserve"> (IFRS 9: Financial Instruments, 2010)</w:t>
          </w:r>
          <w:r w:rsidR="003C13F3" w:rsidRPr="002237F0">
            <w:rPr>
              <w:lang w:val="nl-NL"/>
            </w:rPr>
            <w:fldChar w:fldCharType="end"/>
          </w:r>
        </w:sdtContent>
      </w:sdt>
      <w:r w:rsidR="00BA06E9" w:rsidRPr="002237F0">
        <w:rPr>
          <w:lang w:val="nl-NL"/>
        </w:rPr>
        <w:t xml:space="preserve">. </w:t>
      </w:r>
    </w:p>
    <w:p w:rsidR="00544D9D" w:rsidRPr="002237F0" w:rsidRDefault="00544D9D" w:rsidP="001A6C33">
      <w:pPr>
        <w:rPr>
          <w:lang w:val="nl-NL"/>
        </w:rPr>
      </w:pPr>
      <w:r w:rsidRPr="002237F0">
        <w:rPr>
          <w:lang w:val="nl-NL"/>
        </w:rPr>
        <w:t>Eigen vermogens</w:t>
      </w:r>
      <w:r w:rsidR="00BA06E9" w:rsidRPr="002237F0">
        <w:rPr>
          <w:lang w:val="nl-NL"/>
        </w:rPr>
        <w:t xml:space="preserve">instrumenten vallen vanwege de strengere eisen voor waardering tegen geamortiseerde kostprijs dus altijd onder de fair </w:t>
      </w:r>
      <w:proofErr w:type="spellStart"/>
      <w:r w:rsidR="00BA06E9" w:rsidRPr="002237F0">
        <w:rPr>
          <w:lang w:val="nl-NL"/>
        </w:rPr>
        <w:t>value</w:t>
      </w:r>
      <w:proofErr w:type="spellEnd"/>
      <w:r w:rsidR="00BA06E9" w:rsidRPr="002237F0">
        <w:rPr>
          <w:lang w:val="nl-NL"/>
        </w:rPr>
        <w:t xml:space="preserve"> categorie. Ook instrumenten waarvan de waarde moeilijk gemeten kan worden, mogen niet gewaardeerd worden tegen geamortiseerde kostprijs. </w:t>
      </w:r>
      <w:r w:rsidRPr="002237F0">
        <w:rPr>
          <w:lang w:val="nl-NL"/>
        </w:rPr>
        <w:t xml:space="preserve">Eigen vermogensinstrumenten mogen wel, alleen wanneer hier bij aanwending al mee begonnen wordt, gewaardeerd worden tegen fair </w:t>
      </w:r>
      <w:proofErr w:type="spellStart"/>
      <w:r w:rsidRPr="002237F0">
        <w:rPr>
          <w:lang w:val="nl-NL"/>
        </w:rPr>
        <w:t>value</w:t>
      </w:r>
      <w:proofErr w:type="spellEnd"/>
      <w:r w:rsidRPr="002237F0">
        <w:rPr>
          <w:lang w:val="nl-NL"/>
        </w:rPr>
        <w:t xml:space="preserve"> met waardeveranderingen via het OCI(</w:t>
      </w:r>
      <w:proofErr w:type="spellStart"/>
      <w:r w:rsidRPr="002237F0">
        <w:rPr>
          <w:lang w:val="nl-NL"/>
        </w:rPr>
        <w:t>Other</w:t>
      </w:r>
      <w:proofErr w:type="spellEnd"/>
      <w:r w:rsidRPr="002237F0">
        <w:rPr>
          <w:lang w:val="nl-NL"/>
        </w:rPr>
        <w:t xml:space="preserve"> </w:t>
      </w:r>
      <w:proofErr w:type="spellStart"/>
      <w:r w:rsidRPr="002237F0">
        <w:rPr>
          <w:lang w:val="nl-NL"/>
        </w:rPr>
        <w:t>Comprehensive</w:t>
      </w:r>
      <w:proofErr w:type="spellEnd"/>
      <w:r w:rsidRPr="002237F0">
        <w:rPr>
          <w:lang w:val="nl-NL"/>
        </w:rPr>
        <w:t xml:space="preserve"> </w:t>
      </w:r>
      <w:proofErr w:type="spellStart"/>
      <w:r w:rsidRPr="002237F0">
        <w:rPr>
          <w:lang w:val="nl-NL"/>
        </w:rPr>
        <w:t>Income</w:t>
      </w:r>
      <w:proofErr w:type="spellEnd"/>
      <w:r w:rsidRPr="002237F0">
        <w:rPr>
          <w:lang w:val="nl-NL"/>
        </w:rPr>
        <w:t>)</w:t>
      </w:r>
      <w:sdt>
        <w:sdtPr>
          <w:rPr>
            <w:lang w:val="nl-NL"/>
          </w:rPr>
          <w:id w:val="-2136017662"/>
          <w:citation/>
        </w:sdtPr>
        <w:sdtContent>
          <w:r w:rsidR="003C13F3" w:rsidRPr="002237F0">
            <w:rPr>
              <w:lang w:val="nl-NL"/>
            </w:rPr>
            <w:fldChar w:fldCharType="begin"/>
          </w:r>
          <w:r w:rsidR="0061373C" w:rsidRPr="002237F0">
            <w:rPr>
              <w:lang w:val="nl-NL"/>
            </w:rPr>
            <w:instrText xml:space="preserve"> CITATION IFR10 \l 1033 </w:instrText>
          </w:r>
          <w:r w:rsidR="003C13F3" w:rsidRPr="002237F0">
            <w:rPr>
              <w:lang w:val="nl-NL"/>
            </w:rPr>
            <w:fldChar w:fldCharType="separate"/>
          </w:r>
          <w:r w:rsidR="0061373C" w:rsidRPr="002237F0">
            <w:rPr>
              <w:noProof/>
              <w:lang w:val="nl-NL"/>
            </w:rPr>
            <w:t xml:space="preserve"> (IFRS 9: Financial Instruments, 2010)</w:t>
          </w:r>
          <w:r w:rsidR="003C13F3" w:rsidRPr="002237F0">
            <w:rPr>
              <w:lang w:val="nl-NL"/>
            </w:rPr>
            <w:fldChar w:fldCharType="end"/>
          </w:r>
        </w:sdtContent>
      </w:sdt>
      <w:r w:rsidRPr="002237F0">
        <w:rPr>
          <w:lang w:val="nl-NL"/>
        </w:rPr>
        <w:t>.</w:t>
      </w:r>
    </w:p>
    <w:p w:rsidR="008305B3" w:rsidRPr="002237F0" w:rsidRDefault="008305B3" w:rsidP="001A6C33">
      <w:pPr>
        <w:rPr>
          <w:b/>
          <w:sz w:val="24"/>
          <w:lang w:val="nl-NL"/>
        </w:rPr>
      </w:pPr>
      <w:r w:rsidRPr="002237F0">
        <w:rPr>
          <w:b/>
          <w:sz w:val="24"/>
          <w:lang w:val="nl-NL"/>
        </w:rPr>
        <w:t xml:space="preserve">Fair </w:t>
      </w:r>
      <w:proofErr w:type="spellStart"/>
      <w:r w:rsidRPr="002237F0">
        <w:rPr>
          <w:b/>
          <w:sz w:val="24"/>
          <w:lang w:val="nl-NL"/>
        </w:rPr>
        <w:t>value</w:t>
      </w:r>
      <w:proofErr w:type="spellEnd"/>
      <w:r w:rsidRPr="002237F0">
        <w:rPr>
          <w:b/>
          <w:sz w:val="24"/>
          <w:lang w:val="nl-NL"/>
        </w:rPr>
        <w:t xml:space="preserve"> </w:t>
      </w:r>
      <w:proofErr w:type="spellStart"/>
      <w:r w:rsidRPr="002237F0">
        <w:rPr>
          <w:b/>
          <w:sz w:val="24"/>
          <w:lang w:val="nl-NL"/>
        </w:rPr>
        <w:t>option</w:t>
      </w:r>
      <w:proofErr w:type="spellEnd"/>
      <w:r w:rsidRPr="002237F0">
        <w:rPr>
          <w:b/>
          <w:sz w:val="24"/>
          <w:lang w:val="nl-NL"/>
        </w:rPr>
        <w:t xml:space="preserve"> &amp; </w:t>
      </w:r>
      <w:proofErr w:type="spellStart"/>
      <w:r w:rsidRPr="002237F0">
        <w:rPr>
          <w:b/>
          <w:sz w:val="24"/>
          <w:lang w:val="nl-NL"/>
        </w:rPr>
        <w:t>herclassificatie</w:t>
      </w:r>
      <w:proofErr w:type="spellEnd"/>
    </w:p>
    <w:p w:rsidR="00544D9D" w:rsidRPr="002237F0" w:rsidRDefault="00544D9D" w:rsidP="001A6C33">
      <w:pPr>
        <w:rPr>
          <w:lang w:val="nl-NL"/>
        </w:rPr>
      </w:pPr>
      <w:r w:rsidRPr="002237F0">
        <w:rPr>
          <w:lang w:val="nl-NL"/>
        </w:rPr>
        <w:t xml:space="preserve">Net zoals gebruikelijk is bij IAS 39, zal bij IFRS 9 de fair </w:t>
      </w:r>
      <w:proofErr w:type="spellStart"/>
      <w:r w:rsidRPr="002237F0">
        <w:rPr>
          <w:lang w:val="nl-NL"/>
        </w:rPr>
        <w:t>value</w:t>
      </w:r>
      <w:proofErr w:type="spellEnd"/>
      <w:r w:rsidRPr="002237F0">
        <w:rPr>
          <w:lang w:val="nl-NL"/>
        </w:rPr>
        <w:t xml:space="preserve"> </w:t>
      </w:r>
      <w:proofErr w:type="spellStart"/>
      <w:r w:rsidRPr="002237F0">
        <w:rPr>
          <w:lang w:val="nl-NL"/>
        </w:rPr>
        <w:t>option</w:t>
      </w:r>
      <w:proofErr w:type="spellEnd"/>
      <w:r w:rsidRPr="002237F0">
        <w:rPr>
          <w:lang w:val="nl-NL"/>
        </w:rPr>
        <w:t xml:space="preserve"> blijven bestaan. Echter, de voorwaarde om deze te mogen toepassen wordt zwaarder. Een instrument dat normaliter met geamortiseerde kostprijs gewaardeerd dient te worden, komt alleen in aanmerking voor een reële waardering wanneer er een onregelmatigheid in waarde- of resultaatsbepaling weggenomen wordt</w:t>
      </w:r>
      <w:sdt>
        <w:sdtPr>
          <w:rPr>
            <w:lang w:val="nl-NL"/>
          </w:rPr>
          <w:id w:val="-1645186170"/>
          <w:citation/>
        </w:sdtPr>
        <w:sdtContent>
          <w:r w:rsidR="003C13F3" w:rsidRPr="002237F0">
            <w:rPr>
              <w:lang w:val="nl-NL"/>
            </w:rPr>
            <w:fldChar w:fldCharType="begin"/>
          </w:r>
          <w:r w:rsidR="0061373C" w:rsidRPr="002237F0">
            <w:rPr>
              <w:lang w:val="nl-NL"/>
            </w:rPr>
            <w:instrText xml:space="preserve"> CITATION IFR10 \l 1033 </w:instrText>
          </w:r>
          <w:r w:rsidR="003C13F3" w:rsidRPr="002237F0">
            <w:rPr>
              <w:lang w:val="nl-NL"/>
            </w:rPr>
            <w:fldChar w:fldCharType="separate"/>
          </w:r>
          <w:r w:rsidR="0061373C" w:rsidRPr="002237F0">
            <w:rPr>
              <w:noProof/>
              <w:lang w:val="nl-NL"/>
            </w:rPr>
            <w:t xml:space="preserve"> (IFRS 9: Financial Instruments, 2010)</w:t>
          </w:r>
          <w:r w:rsidR="003C13F3" w:rsidRPr="002237F0">
            <w:rPr>
              <w:lang w:val="nl-NL"/>
            </w:rPr>
            <w:fldChar w:fldCharType="end"/>
          </w:r>
        </w:sdtContent>
      </w:sdt>
      <w:r w:rsidRPr="002237F0">
        <w:rPr>
          <w:lang w:val="nl-NL"/>
        </w:rPr>
        <w:t xml:space="preserve">. </w:t>
      </w:r>
    </w:p>
    <w:p w:rsidR="00244AB7" w:rsidRPr="002237F0" w:rsidRDefault="00544D9D" w:rsidP="001A6C33">
      <w:pPr>
        <w:rPr>
          <w:lang w:val="nl-NL"/>
        </w:rPr>
      </w:pPr>
      <w:r w:rsidRPr="002237F0">
        <w:rPr>
          <w:lang w:val="nl-NL"/>
        </w:rPr>
        <w:t xml:space="preserve">Op het gebied van </w:t>
      </w:r>
      <w:proofErr w:type="spellStart"/>
      <w:r w:rsidRPr="002237F0">
        <w:rPr>
          <w:lang w:val="nl-NL"/>
        </w:rPr>
        <w:t>herclassificatie</w:t>
      </w:r>
      <w:proofErr w:type="spellEnd"/>
      <w:r w:rsidRPr="002237F0">
        <w:rPr>
          <w:lang w:val="nl-NL"/>
        </w:rPr>
        <w:t xml:space="preserve"> zijn de verschillen tussen IFRS 9 en IAS 39 erg groot, vooral na het inwerkingtreden van het amendement van 2008. </w:t>
      </w:r>
      <w:proofErr w:type="spellStart"/>
      <w:r w:rsidRPr="002237F0">
        <w:rPr>
          <w:lang w:val="nl-NL"/>
        </w:rPr>
        <w:t>Herclassificatie</w:t>
      </w:r>
      <w:proofErr w:type="spellEnd"/>
      <w:r w:rsidRPr="002237F0">
        <w:rPr>
          <w:lang w:val="nl-NL"/>
        </w:rPr>
        <w:t xml:space="preserve"> is namelijk in bijna alle gevallen verboden. Dit kan alleen als een rapporterende entiteit zodanig van</w:t>
      </w:r>
      <w:r w:rsidR="00244AB7" w:rsidRPr="002237F0">
        <w:rPr>
          <w:lang w:val="nl-NL"/>
        </w:rPr>
        <w:t xml:space="preserve"> model verandert op het gebied van het kapitaalbeheer, dat een </w:t>
      </w:r>
      <w:proofErr w:type="spellStart"/>
      <w:r w:rsidR="00244AB7" w:rsidRPr="002237F0">
        <w:rPr>
          <w:lang w:val="nl-NL"/>
        </w:rPr>
        <w:t>herclassificatie</w:t>
      </w:r>
      <w:proofErr w:type="spellEnd"/>
      <w:r w:rsidR="00244AB7" w:rsidRPr="002237F0">
        <w:rPr>
          <w:lang w:val="nl-NL"/>
        </w:rPr>
        <w:t xml:space="preserve"> wel nodig is</w:t>
      </w:r>
      <w:sdt>
        <w:sdtPr>
          <w:rPr>
            <w:lang w:val="nl-NL"/>
          </w:rPr>
          <w:id w:val="259647260"/>
          <w:citation/>
        </w:sdtPr>
        <w:sdtContent>
          <w:r w:rsidR="003C13F3" w:rsidRPr="002237F0">
            <w:rPr>
              <w:lang w:val="nl-NL"/>
            </w:rPr>
            <w:fldChar w:fldCharType="begin"/>
          </w:r>
          <w:r w:rsidR="0061373C" w:rsidRPr="002237F0">
            <w:rPr>
              <w:lang w:val="nl-NL"/>
            </w:rPr>
            <w:instrText xml:space="preserve"> CITATION IFR10 \l 1033 </w:instrText>
          </w:r>
          <w:r w:rsidR="003C13F3" w:rsidRPr="002237F0">
            <w:rPr>
              <w:lang w:val="nl-NL"/>
            </w:rPr>
            <w:fldChar w:fldCharType="separate"/>
          </w:r>
          <w:r w:rsidR="0061373C" w:rsidRPr="002237F0">
            <w:rPr>
              <w:noProof/>
              <w:lang w:val="nl-NL"/>
            </w:rPr>
            <w:t xml:space="preserve"> (IFRS 9: Financial Instruments, 2010)</w:t>
          </w:r>
          <w:r w:rsidR="003C13F3" w:rsidRPr="002237F0">
            <w:rPr>
              <w:lang w:val="nl-NL"/>
            </w:rPr>
            <w:fldChar w:fldCharType="end"/>
          </w:r>
        </w:sdtContent>
      </w:sdt>
      <w:r w:rsidR="00244AB7" w:rsidRPr="002237F0">
        <w:rPr>
          <w:lang w:val="nl-NL"/>
        </w:rPr>
        <w:t xml:space="preserve">. </w:t>
      </w:r>
    </w:p>
    <w:p w:rsidR="00DF3850" w:rsidRPr="002237F0" w:rsidRDefault="00244AB7" w:rsidP="001A6C33">
      <w:pPr>
        <w:rPr>
          <w:lang w:val="nl-NL"/>
        </w:rPr>
      </w:pPr>
      <w:r w:rsidRPr="002237F0">
        <w:rPr>
          <w:lang w:val="nl-NL"/>
        </w:rPr>
        <w:t>Er kan zeker geconcludeerd worden dat de verandering van IAS 39 naar IFRS 7 meer is dan een naamsverandering</w:t>
      </w:r>
      <w:sdt>
        <w:sdtPr>
          <w:rPr>
            <w:lang w:val="nl-NL"/>
          </w:rPr>
          <w:id w:val="23137232"/>
          <w:citation/>
        </w:sdtPr>
        <w:sdtContent>
          <w:r w:rsidR="003C13F3" w:rsidRPr="002237F0">
            <w:rPr>
              <w:lang w:val="nl-NL"/>
            </w:rPr>
            <w:fldChar w:fldCharType="begin"/>
          </w:r>
          <w:r w:rsidRPr="002237F0">
            <w:rPr>
              <w:lang w:val="nl-NL"/>
            </w:rPr>
            <w:instrText xml:space="preserve"> CITATION Ste10 \l 1043 </w:instrText>
          </w:r>
          <w:r w:rsidR="003C13F3" w:rsidRPr="002237F0">
            <w:rPr>
              <w:lang w:val="nl-NL"/>
            </w:rPr>
            <w:fldChar w:fldCharType="separate"/>
          </w:r>
          <w:r w:rsidR="00721EC3" w:rsidRPr="002237F0">
            <w:rPr>
              <w:noProof/>
              <w:lang w:val="nl-NL"/>
            </w:rPr>
            <w:t xml:space="preserve"> (Chan, 2010)</w:t>
          </w:r>
          <w:r w:rsidR="003C13F3" w:rsidRPr="002237F0">
            <w:rPr>
              <w:lang w:val="nl-NL"/>
            </w:rPr>
            <w:fldChar w:fldCharType="end"/>
          </w:r>
        </w:sdtContent>
      </w:sdt>
      <w:r w:rsidRPr="002237F0">
        <w:rPr>
          <w:lang w:val="nl-NL"/>
        </w:rPr>
        <w:t xml:space="preserve">. </w:t>
      </w:r>
      <w:r w:rsidR="00005448" w:rsidRPr="002237F0">
        <w:rPr>
          <w:lang w:val="nl-NL"/>
        </w:rPr>
        <w:t xml:space="preserve">Dit komt mede door het feit dat er minder categorieën zijn, maar vooral omdat in feite het amendement van 2008 volledig los is gelaten. </w:t>
      </w:r>
      <w:proofErr w:type="spellStart"/>
      <w:r w:rsidR="00005448" w:rsidRPr="002237F0">
        <w:rPr>
          <w:lang w:val="nl-NL"/>
        </w:rPr>
        <w:t>Herclassificatie</w:t>
      </w:r>
      <w:proofErr w:type="spellEnd"/>
      <w:r w:rsidR="00005448" w:rsidRPr="002237F0">
        <w:rPr>
          <w:lang w:val="nl-NL"/>
        </w:rPr>
        <w:t xml:space="preserve"> is nauwelijks meer mogelijk. Het lijkt erop dat regelgevers van de IASB achteraf niet blij zijn met het amendement. Er wordt ook wel beweerd dat IFRS 9 speciaal gecreëerd is om de ‘besmette’ IAS 39 te vervangen</w:t>
      </w:r>
      <w:sdt>
        <w:sdtPr>
          <w:rPr>
            <w:lang w:val="nl-NL"/>
          </w:rPr>
          <w:id w:val="23137233"/>
          <w:citation/>
        </w:sdtPr>
        <w:sdtContent>
          <w:r w:rsidR="003C13F3" w:rsidRPr="002237F0">
            <w:rPr>
              <w:lang w:val="nl-NL"/>
            </w:rPr>
            <w:fldChar w:fldCharType="begin"/>
          </w:r>
          <w:r w:rsidR="00005448" w:rsidRPr="002237F0">
            <w:rPr>
              <w:lang w:val="nl-NL"/>
            </w:rPr>
            <w:instrText xml:space="preserve"> CITATION Fie11 \t  \l 1043  </w:instrText>
          </w:r>
          <w:r w:rsidR="003C13F3" w:rsidRPr="002237F0">
            <w:rPr>
              <w:lang w:val="nl-NL"/>
            </w:rPr>
            <w:fldChar w:fldCharType="separate"/>
          </w:r>
          <w:r w:rsidR="00721EC3" w:rsidRPr="002237F0">
            <w:rPr>
              <w:noProof/>
              <w:lang w:val="nl-NL"/>
            </w:rPr>
            <w:t xml:space="preserve"> (Fiechter, 2011)</w:t>
          </w:r>
          <w:r w:rsidR="003C13F3" w:rsidRPr="002237F0">
            <w:rPr>
              <w:lang w:val="nl-NL"/>
            </w:rPr>
            <w:fldChar w:fldCharType="end"/>
          </w:r>
        </w:sdtContent>
      </w:sdt>
      <w:r w:rsidR="00005448" w:rsidRPr="002237F0">
        <w:rPr>
          <w:lang w:val="nl-NL"/>
        </w:rPr>
        <w:t xml:space="preserve">. Niet alleen moest de regelgeving vervangen worden, de IASB moest onder de indruk uit dat het te veel onder invloed stond van vooral de Europese </w:t>
      </w:r>
      <w:proofErr w:type="gramStart"/>
      <w:r w:rsidR="00005448" w:rsidRPr="002237F0">
        <w:rPr>
          <w:lang w:val="nl-NL"/>
        </w:rPr>
        <w:t xml:space="preserve">politiek.   </w:t>
      </w:r>
      <w:proofErr w:type="gramEnd"/>
    </w:p>
    <w:p w:rsidR="001A6C33" w:rsidRPr="002237F0" w:rsidRDefault="00172B08" w:rsidP="001A6C33">
      <w:pPr>
        <w:rPr>
          <w:b/>
          <w:sz w:val="28"/>
          <w:lang w:val="nl-NL"/>
        </w:rPr>
      </w:pPr>
      <w:r w:rsidRPr="002237F0">
        <w:rPr>
          <w:b/>
          <w:sz w:val="28"/>
          <w:lang w:val="nl-NL"/>
        </w:rPr>
        <w:t>5</w:t>
      </w:r>
      <w:r w:rsidR="001A6C33" w:rsidRPr="002237F0">
        <w:rPr>
          <w:b/>
          <w:sz w:val="28"/>
          <w:lang w:val="nl-NL"/>
        </w:rPr>
        <w:t xml:space="preserve">.2. </w:t>
      </w:r>
      <w:r w:rsidR="009907BF" w:rsidRPr="002237F0">
        <w:rPr>
          <w:b/>
          <w:sz w:val="28"/>
          <w:lang w:val="nl-NL"/>
        </w:rPr>
        <w:t xml:space="preserve">De </w:t>
      </w:r>
      <w:r w:rsidR="005A1AD1" w:rsidRPr="002237F0">
        <w:rPr>
          <w:b/>
          <w:sz w:val="28"/>
          <w:lang w:val="nl-NL"/>
        </w:rPr>
        <w:t>politieke invloed</w:t>
      </w:r>
      <w:r w:rsidR="009907BF" w:rsidRPr="002237F0">
        <w:rPr>
          <w:b/>
          <w:sz w:val="28"/>
          <w:lang w:val="nl-NL"/>
        </w:rPr>
        <w:t xml:space="preserve"> op regelgeving, en de internationale verschillen</w:t>
      </w:r>
    </w:p>
    <w:p w:rsidR="00D7641D" w:rsidRPr="002237F0" w:rsidRDefault="00721EC3" w:rsidP="001A6C33">
      <w:pPr>
        <w:rPr>
          <w:lang w:val="nl-NL"/>
        </w:rPr>
      </w:pPr>
      <w:r w:rsidRPr="002237F0">
        <w:rPr>
          <w:lang w:val="nl-NL"/>
        </w:rPr>
        <w:t xml:space="preserve">Al </w:t>
      </w:r>
      <w:r w:rsidR="005A1AD1" w:rsidRPr="002237F0">
        <w:rPr>
          <w:lang w:val="nl-NL"/>
        </w:rPr>
        <w:t xml:space="preserve">vele </w:t>
      </w:r>
      <w:r w:rsidRPr="002237F0">
        <w:rPr>
          <w:lang w:val="nl-NL"/>
        </w:rPr>
        <w:t xml:space="preserve">jaren is er in de financiële wereld een discussie gaande over de mogelijke aansluiting van de Verenigde Staten bij de IASB. Dit gaat echter niet </w:t>
      </w:r>
      <w:proofErr w:type="gramStart"/>
      <w:r w:rsidRPr="002237F0">
        <w:rPr>
          <w:lang w:val="nl-NL"/>
        </w:rPr>
        <w:t>makkelijk</w:t>
      </w:r>
      <w:proofErr w:type="gramEnd"/>
      <w:r w:rsidRPr="002237F0">
        <w:rPr>
          <w:lang w:val="nl-NL"/>
        </w:rPr>
        <w:t>, omdat de Verenigde Staten vasthoud</w:t>
      </w:r>
      <w:r w:rsidR="00793EDC" w:rsidRPr="002237F0">
        <w:rPr>
          <w:lang w:val="nl-NL"/>
        </w:rPr>
        <w:t>t</w:t>
      </w:r>
      <w:r w:rsidRPr="002237F0">
        <w:rPr>
          <w:lang w:val="nl-NL"/>
        </w:rPr>
        <w:t xml:space="preserve"> aan de eigen manier van waarderen, waarvoor de Financial Accounting </w:t>
      </w:r>
      <w:proofErr w:type="spellStart"/>
      <w:r w:rsidRPr="002237F0">
        <w:rPr>
          <w:lang w:val="nl-NL"/>
        </w:rPr>
        <w:t>Standards</w:t>
      </w:r>
      <w:proofErr w:type="spellEnd"/>
      <w:r w:rsidRPr="002237F0">
        <w:rPr>
          <w:lang w:val="nl-NL"/>
        </w:rPr>
        <w:t xml:space="preserve"> Board(FASB) verantwoordelijk is. Omdat de Verenigde Staten zich niet zomaar aansluiten, is er een </w:t>
      </w:r>
      <w:r w:rsidR="00793EDC" w:rsidRPr="002237F0">
        <w:rPr>
          <w:lang w:val="nl-NL"/>
        </w:rPr>
        <w:t>‘</w:t>
      </w:r>
      <w:proofErr w:type="spellStart"/>
      <w:r w:rsidRPr="002237F0">
        <w:rPr>
          <w:lang w:val="nl-NL"/>
        </w:rPr>
        <w:t>conceptual</w:t>
      </w:r>
      <w:proofErr w:type="spellEnd"/>
      <w:r w:rsidRPr="002237F0">
        <w:rPr>
          <w:lang w:val="nl-NL"/>
        </w:rPr>
        <w:t xml:space="preserve"> </w:t>
      </w:r>
      <w:proofErr w:type="spellStart"/>
      <w:r w:rsidRPr="002237F0">
        <w:rPr>
          <w:lang w:val="nl-NL"/>
        </w:rPr>
        <w:t>framework</w:t>
      </w:r>
      <w:proofErr w:type="spellEnd"/>
      <w:r w:rsidR="00793EDC" w:rsidRPr="002237F0">
        <w:rPr>
          <w:lang w:val="nl-NL"/>
        </w:rPr>
        <w:t>’</w:t>
      </w:r>
      <w:r w:rsidRPr="002237F0">
        <w:rPr>
          <w:lang w:val="nl-NL"/>
        </w:rPr>
        <w:t>(conceptueel raamwerk) gecreëerd, die beide waarderingssystemen dichter bij elkaar moet brengen</w:t>
      </w:r>
      <w:sdt>
        <w:sdtPr>
          <w:rPr>
            <w:lang w:val="nl-NL"/>
          </w:rPr>
          <w:id w:val="23137234"/>
          <w:citation/>
        </w:sdtPr>
        <w:sdtContent>
          <w:r w:rsidR="003C13F3" w:rsidRPr="002237F0">
            <w:rPr>
              <w:lang w:val="nl-NL"/>
            </w:rPr>
            <w:fldChar w:fldCharType="begin"/>
          </w:r>
          <w:r w:rsidRPr="002237F0">
            <w:rPr>
              <w:lang w:val="nl-NL"/>
            </w:rPr>
            <w:instrText xml:space="preserve"> CITATION Whi08 \l 1043 </w:instrText>
          </w:r>
          <w:r w:rsidR="003C13F3" w:rsidRPr="002237F0">
            <w:rPr>
              <w:lang w:val="nl-NL"/>
            </w:rPr>
            <w:fldChar w:fldCharType="separate"/>
          </w:r>
          <w:r w:rsidRPr="002237F0">
            <w:rPr>
              <w:noProof/>
              <w:lang w:val="nl-NL"/>
            </w:rPr>
            <w:t xml:space="preserve"> (Whittington, 2008)</w:t>
          </w:r>
          <w:r w:rsidR="003C13F3" w:rsidRPr="002237F0">
            <w:rPr>
              <w:lang w:val="nl-NL"/>
            </w:rPr>
            <w:fldChar w:fldCharType="end"/>
          </w:r>
        </w:sdtContent>
      </w:sdt>
      <w:r w:rsidRPr="002237F0">
        <w:rPr>
          <w:lang w:val="nl-NL"/>
        </w:rPr>
        <w:t xml:space="preserve">. Fair </w:t>
      </w:r>
      <w:proofErr w:type="spellStart"/>
      <w:r w:rsidRPr="002237F0">
        <w:rPr>
          <w:lang w:val="nl-NL"/>
        </w:rPr>
        <w:t>value</w:t>
      </w:r>
      <w:proofErr w:type="spellEnd"/>
      <w:r w:rsidR="00793EDC" w:rsidRPr="002237F0">
        <w:rPr>
          <w:lang w:val="nl-NL"/>
        </w:rPr>
        <w:t xml:space="preserve"> accounting</w:t>
      </w:r>
      <w:r w:rsidR="008305B3" w:rsidRPr="002237F0">
        <w:rPr>
          <w:lang w:val="nl-NL"/>
        </w:rPr>
        <w:t xml:space="preserve"> waar het kan</w:t>
      </w:r>
      <w:r w:rsidRPr="002237F0">
        <w:rPr>
          <w:lang w:val="nl-NL"/>
        </w:rPr>
        <w:t xml:space="preserve"> is daarbinnen de gedeelde noemer.</w:t>
      </w:r>
      <w:r w:rsidR="00793EDC" w:rsidRPr="002237F0">
        <w:rPr>
          <w:lang w:val="nl-NL"/>
        </w:rPr>
        <w:t xml:space="preserve"> Omdat fair </w:t>
      </w:r>
      <w:proofErr w:type="spellStart"/>
      <w:r w:rsidR="00793EDC" w:rsidRPr="002237F0">
        <w:rPr>
          <w:lang w:val="nl-NL"/>
        </w:rPr>
        <w:t>value</w:t>
      </w:r>
      <w:proofErr w:type="spellEnd"/>
      <w:r w:rsidR="00793EDC" w:rsidRPr="002237F0">
        <w:rPr>
          <w:lang w:val="nl-NL"/>
        </w:rPr>
        <w:t xml:space="preserve"> accounting gevoelig ligt bij de waardering van financiële instrumenten, is convergentie op dit gebied lastiger.</w:t>
      </w:r>
      <w:r w:rsidR="00D7641D" w:rsidRPr="002237F0">
        <w:rPr>
          <w:lang w:val="nl-NL"/>
        </w:rPr>
        <w:t xml:space="preserve"> Vooral gedurende de crisis ontstond er door het amendement een groot verschil tussen Amerikaanse regelgeving en Europese regelgeving</w:t>
      </w:r>
      <w:sdt>
        <w:sdtPr>
          <w:rPr>
            <w:lang w:val="nl-NL"/>
          </w:rPr>
          <w:id w:val="2041150"/>
          <w:citation/>
        </w:sdtPr>
        <w:sdtContent>
          <w:r w:rsidR="003C13F3" w:rsidRPr="002237F0">
            <w:rPr>
              <w:lang w:val="nl-NL"/>
            </w:rPr>
            <w:fldChar w:fldCharType="begin"/>
          </w:r>
          <w:r w:rsidR="005A1AD1" w:rsidRPr="002237F0">
            <w:rPr>
              <w:lang w:val="nl-NL"/>
            </w:rPr>
            <w:instrText xml:space="preserve"> CITATION Bis12 \t  \l 1043  </w:instrText>
          </w:r>
          <w:r w:rsidR="003C13F3" w:rsidRPr="002237F0">
            <w:rPr>
              <w:lang w:val="nl-NL"/>
            </w:rPr>
            <w:fldChar w:fldCharType="separate"/>
          </w:r>
          <w:r w:rsidR="005A1AD1" w:rsidRPr="002237F0">
            <w:rPr>
              <w:noProof/>
              <w:lang w:val="nl-NL"/>
            </w:rPr>
            <w:t xml:space="preserve"> (Bischof, Brüggeman, &amp; Daske, 2012)</w:t>
          </w:r>
          <w:r w:rsidR="003C13F3" w:rsidRPr="002237F0">
            <w:rPr>
              <w:lang w:val="nl-NL"/>
            </w:rPr>
            <w:fldChar w:fldCharType="end"/>
          </w:r>
        </w:sdtContent>
      </w:sdt>
      <w:r w:rsidR="00D7641D" w:rsidRPr="002237F0">
        <w:rPr>
          <w:lang w:val="nl-NL"/>
        </w:rPr>
        <w:t xml:space="preserve">. </w:t>
      </w:r>
    </w:p>
    <w:p w:rsidR="00D7641D" w:rsidRPr="002237F0" w:rsidRDefault="00D7641D" w:rsidP="001A6C33">
      <w:pPr>
        <w:rPr>
          <w:lang w:val="nl-NL"/>
        </w:rPr>
      </w:pPr>
      <w:r w:rsidRPr="002237F0">
        <w:rPr>
          <w:lang w:val="nl-NL"/>
        </w:rPr>
        <w:t>Op dit gebied werd ook de invloed van de politiek duidelijk. Europese politici drongen aan op veranderingen van de regels, en de IASB danste naar de pijpen van Europese politici</w:t>
      </w:r>
      <w:sdt>
        <w:sdtPr>
          <w:rPr>
            <w:lang w:val="nl-NL"/>
          </w:rPr>
          <w:id w:val="23137316"/>
          <w:citation/>
        </w:sdtPr>
        <w:sdtContent>
          <w:r w:rsidR="003C13F3" w:rsidRPr="002237F0">
            <w:rPr>
              <w:lang w:val="nl-NL"/>
            </w:rPr>
            <w:fldChar w:fldCharType="begin"/>
          </w:r>
          <w:r w:rsidRPr="002237F0">
            <w:rPr>
              <w:lang w:val="nl-NL"/>
            </w:rPr>
            <w:instrText xml:space="preserve"> CITATION Fie11 \t  \l 1043  </w:instrText>
          </w:r>
          <w:r w:rsidR="003C13F3" w:rsidRPr="002237F0">
            <w:rPr>
              <w:lang w:val="nl-NL"/>
            </w:rPr>
            <w:fldChar w:fldCharType="separate"/>
          </w:r>
          <w:r w:rsidRPr="002237F0">
            <w:rPr>
              <w:noProof/>
              <w:lang w:val="nl-NL"/>
            </w:rPr>
            <w:t xml:space="preserve"> (Fiechter, 2011)</w:t>
          </w:r>
          <w:r w:rsidR="003C13F3" w:rsidRPr="002237F0">
            <w:rPr>
              <w:lang w:val="nl-NL"/>
            </w:rPr>
            <w:fldChar w:fldCharType="end"/>
          </w:r>
        </w:sdtContent>
      </w:sdt>
      <w:r w:rsidRPr="002237F0">
        <w:rPr>
          <w:lang w:val="nl-NL"/>
        </w:rPr>
        <w:t xml:space="preserve">. Dit heeft bij de Amerikanen de indruk doen ontstaan dat de IASB voor Europa is wat de FASB voor Amerika is. Dit maakt adoptie van de IFRS regels door de Verenigde Staten een stuk gevoeliger. </w:t>
      </w:r>
    </w:p>
    <w:p w:rsidR="00C47299" w:rsidRPr="002237F0" w:rsidRDefault="005A1AD1" w:rsidP="00A13C26">
      <w:pPr>
        <w:rPr>
          <w:lang w:val="nl-NL"/>
        </w:rPr>
      </w:pPr>
      <w:r w:rsidRPr="002237F0">
        <w:rPr>
          <w:lang w:val="nl-NL"/>
        </w:rPr>
        <w:t>De invloed van de politiek op het samenstellen van regelgeving is</w:t>
      </w:r>
      <w:r w:rsidR="00D7641D" w:rsidRPr="002237F0">
        <w:rPr>
          <w:lang w:val="nl-NL"/>
        </w:rPr>
        <w:t xml:space="preserve"> de afg</w:t>
      </w:r>
      <w:r w:rsidRPr="002237F0">
        <w:rPr>
          <w:lang w:val="nl-NL"/>
        </w:rPr>
        <w:t>elopen jaren sterk gegroeid</w:t>
      </w:r>
      <w:sdt>
        <w:sdtPr>
          <w:rPr>
            <w:lang w:val="nl-NL"/>
          </w:rPr>
          <w:id w:val="23137317"/>
          <w:citation/>
        </w:sdtPr>
        <w:sdtContent>
          <w:r w:rsidR="003C13F3" w:rsidRPr="002237F0">
            <w:rPr>
              <w:lang w:val="nl-NL"/>
            </w:rPr>
            <w:fldChar w:fldCharType="begin"/>
          </w:r>
          <w:r w:rsidR="00D7641D" w:rsidRPr="002237F0">
            <w:rPr>
              <w:lang w:val="nl-NL"/>
            </w:rPr>
            <w:instrText xml:space="preserve"> CITATION Vér12 \l 1043 </w:instrText>
          </w:r>
          <w:r w:rsidR="003C13F3" w:rsidRPr="002237F0">
            <w:rPr>
              <w:lang w:val="nl-NL"/>
            </w:rPr>
            <w:fldChar w:fldCharType="separate"/>
          </w:r>
          <w:r w:rsidR="00D7641D" w:rsidRPr="002237F0">
            <w:rPr>
              <w:noProof/>
              <w:lang w:val="nl-NL"/>
            </w:rPr>
            <w:t xml:space="preserve"> (Véron, 2012)</w:t>
          </w:r>
          <w:r w:rsidR="003C13F3" w:rsidRPr="002237F0">
            <w:rPr>
              <w:lang w:val="nl-NL"/>
            </w:rPr>
            <w:fldChar w:fldCharType="end"/>
          </w:r>
        </w:sdtContent>
      </w:sdt>
      <w:r w:rsidR="00D7641D" w:rsidRPr="002237F0">
        <w:rPr>
          <w:lang w:val="nl-NL"/>
        </w:rPr>
        <w:t xml:space="preserve">. </w:t>
      </w:r>
      <w:r w:rsidR="006F3D9D" w:rsidRPr="002237F0">
        <w:rPr>
          <w:lang w:val="nl-NL"/>
        </w:rPr>
        <w:t>Vroeger was het bepalen van beleid vooral voorgesc</w:t>
      </w:r>
      <w:r w:rsidRPr="002237F0">
        <w:rPr>
          <w:lang w:val="nl-NL"/>
        </w:rPr>
        <w:t xml:space="preserve">hreven aan een kleine groep </w:t>
      </w:r>
      <w:r w:rsidR="006F3D9D" w:rsidRPr="002237F0">
        <w:rPr>
          <w:lang w:val="nl-NL"/>
        </w:rPr>
        <w:t xml:space="preserve">technici, vandaag de dag bemoeien zelfs de leiders van landen zich met de regelgeving. Ter illustratie, president </w:t>
      </w:r>
      <w:proofErr w:type="spellStart"/>
      <w:r w:rsidR="006F3D9D" w:rsidRPr="002237F0">
        <w:rPr>
          <w:lang w:val="nl-NL"/>
        </w:rPr>
        <w:t>Sarkozy</w:t>
      </w:r>
      <w:proofErr w:type="spellEnd"/>
      <w:r w:rsidR="006F3D9D" w:rsidRPr="002237F0">
        <w:rPr>
          <w:lang w:val="nl-NL"/>
        </w:rPr>
        <w:t xml:space="preserve"> van Frankrijk sprak in zijn eerste </w:t>
      </w:r>
      <w:proofErr w:type="gramStart"/>
      <w:r w:rsidR="006F3D9D" w:rsidRPr="002237F0">
        <w:rPr>
          <w:lang w:val="nl-NL"/>
        </w:rPr>
        <w:t>speech</w:t>
      </w:r>
      <w:proofErr w:type="gramEnd"/>
      <w:r w:rsidR="006F3D9D" w:rsidRPr="002237F0">
        <w:rPr>
          <w:lang w:val="nl-NL"/>
        </w:rPr>
        <w:t xml:space="preserve"> voor het Wereld Economisch Forum in </w:t>
      </w:r>
      <w:proofErr w:type="spellStart"/>
      <w:r w:rsidR="006F3D9D" w:rsidRPr="002237F0">
        <w:rPr>
          <w:lang w:val="nl-NL"/>
        </w:rPr>
        <w:t>Davos</w:t>
      </w:r>
      <w:proofErr w:type="spellEnd"/>
      <w:r w:rsidR="006F3D9D" w:rsidRPr="002237F0">
        <w:rPr>
          <w:lang w:val="nl-NL"/>
        </w:rPr>
        <w:t xml:space="preserve"> maar</w:t>
      </w:r>
      <w:r w:rsidR="00435082" w:rsidRPr="002237F0">
        <w:rPr>
          <w:lang w:val="nl-NL"/>
        </w:rPr>
        <w:t xml:space="preserve"> </w:t>
      </w:r>
      <w:r w:rsidR="006F3D9D" w:rsidRPr="002237F0">
        <w:rPr>
          <w:lang w:val="nl-NL"/>
        </w:rPr>
        <w:t>liefst 7 keer over accountingstandaarden</w:t>
      </w:r>
      <w:r w:rsidR="00C47299" w:rsidRPr="002237F0">
        <w:rPr>
          <w:rStyle w:val="FootnoteReference"/>
          <w:lang w:val="nl-NL"/>
        </w:rPr>
        <w:footnoteReference w:id="7"/>
      </w:r>
      <w:r w:rsidR="00A13C26" w:rsidRPr="002237F0">
        <w:rPr>
          <w:lang w:val="nl-NL"/>
        </w:rPr>
        <w:t>.</w:t>
      </w:r>
      <w:r w:rsidR="00C47299" w:rsidRPr="002237F0">
        <w:rPr>
          <w:lang w:val="nl-NL"/>
        </w:rPr>
        <w:t xml:space="preserve"> De bevindingen dat de politiek veel meer invloed heeft gehad op de totsta</w:t>
      </w:r>
      <w:r w:rsidR="00435082" w:rsidRPr="002237F0">
        <w:rPr>
          <w:lang w:val="nl-NL"/>
        </w:rPr>
        <w:t xml:space="preserve">ndkoming van Basel III </w:t>
      </w:r>
      <w:proofErr w:type="gramStart"/>
      <w:r w:rsidR="00435082" w:rsidRPr="002237F0">
        <w:rPr>
          <w:lang w:val="nl-NL"/>
        </w:rPr>
        <w:t>bevestigt</w:t>
      </w:r>
      <w:proofErr w:type="gramEnd"/>
      <w:r w:rsidR="00C47299" w:rsidRPr="002237F0">
        <w:rPr>
          <w:lang w:val="nl-NL"/>
        </w:rPr>
        <w:t xml:space="preserve"> deze trend. </w:t>
      </w:r>
    </w:p>
    <w:p w:rsidR="00A57DEA" w:rsidRPr="002237F0" w:rsidRDefault="00C47299" w:rsidP="00A13C26">
      <w:pPr>
        <w:rPr>
          <w:lang w:val="nl-NL"/>
        </w:rPr>
      </w:pPr>
      <w:r w:rsidRPr="002237F0">
        <w:rPr>
          <w:lang w:val="nl-NL"/>
        </w:rPr>
        <w:t>Daarnaast kan er op gewezen worden dat internationale convergentie van regels moeilijker wordt doordat er ook steeds meer verschillende machtsblokken bij zijn betrokken</w:t>
      </w:r>
      <w:sdt>
        <w:sdtPr>
          <w:rPr>
            <w:lang w:val="nl-NL"/>
          </w:rPr>
          <w:id w:val="69010830"/>
          <w:citation/>
        </w:sdtPr>
        <w:sdtContent>
          <w:r w:rsidR="003C13F3" w:rsidRPr="002237F0">
            <w:rPr>
              <w:lang w:val="nl-NL"/>
            </w:rPr>
            <w:fldChar w:fldCharType="begin"/>
          </w:r>
          <w:r w:rsidRPr="002237F0">
            <w:rPr>
              <w:lang w:val="nl-NL"/>
            </w:rPr>
            <w:instrText xml:space="preserve"> CITATION Vér12 \l 1033 </w:instrText>
          </w:r>
          <w:r w:rsidR="003C13F3" w:rsidRPr="002237F0">
            <w:rPr>
              <w:lang w:val="nl-NL"/>
            </w:rPr>
            <w:fldChar w:fldCharType="separate"/>
          </w:r>
          <w:r w:rsidRPr="002237F0">
            <w:rPr>
              <w:noProof/>
              <w:lang w:val="nl-NL"/>
            </w:rPr>
            <w:t xml:space="preserve"> (Véron, 2012)</w:t>
          </w:r>
          <w:r w:rsidR="003C13F3" w:rsidRPr="002237F0">
            <w:rPr>
              <w:lang w:val="nl-NL"/>
            </w:rPr>
            <w:fldChar w:fldCharType="end"/>
          </w:r>
        </w:sdtContent>
      </w:sdt>
      <w:r w:rsidRPr="002237F0">
        <w:rPr>
          <w:lang w:val="nl-NL"/>
        </w:rPr>
        <w:t>. Vroeger was er vooral discussie tussen de Verenigde Staten enerzijds en Europa anderzijds, nu beginnen opkomende economieën als China en Brazilië een grotere rol te spelen.</w:t>
      </w:r>
      <w:r w:rsidR="00A57DEA" w:rsidRPr="002237F0">
        <w:rPr>
          <w:lang w:val="nl-NL"/>
        </w:rPr>
        <w:t xml:space="preserve"> </w:t>
      </w:r>
    </w:p>
    <w:p w:rsidR="00A57DEA" w:rsidRPr="002237F0" w:rsidRDefault="00A57DEA" w:rsidP="00A13C26">
      <w:pPr>
        <w:rPr>
          <w:lang w:val="nl-NL"/>
        </w:rPr>
      </w:pPr>
      <w:r w:rsidRPr="002237F0">
        <w:rPr>
          <w:lang w:val="nl-NL"/>
        </w:rPr>
        <w:t>Een laatste vraag die gesteld moet worden is of internationale harmonisatie wel gewenst is. Zo is er beargumenteerd dat diversiteit aan nationale regelgeving de wereldeconomie meer bestendig zal maken tegen grote schokken</w:t>
      </w:r>
      <w:sdt>
        <w:sdtPr>
          <w:rPr>
            <w:lang w:val="nl-NL"/>
          </w:rPr>
          <w:id w:val="-1443290300"/>
          <w:citation/>
        </w:sdtPr>
        <w:sdtContent>
          <w:r w:rsidR="003C13F3" w:rsidRPr="002237F0">
            <w:rPr>
              <w:lang w:val="nl-NL"/>
            </w:rPr>
            <w:fldChar w:fldCharType="begin"/>
          </w:r>
          <w:r w:rsidRPr="002237F0">
            <w:rPr>
              <w:lang w:val="nl-NL"/>
            </w:rPr>
            <w:instrText xml:space="preserve"> CITATION Lev10 \l 1033 </w:instrText>
          </w:r>
          <w:r w:rsidR="003C13F3" w:rsidRPr="002237F0">
            <w:rPr>
              <w:lang w:val="nl-NL"/>
            </w:rPr>
            <w:fldChar w:fldCharType="separate"/>
          </w:r>
          <w:r w:rsidRPr="002237F0">
            <w:rPr>
              <w:noProof/>
              <w:lang w:val="nl-NL"/>
            </w:rPr>
            <w:t xml:space="preserve"> (Levinson, 2010)</w:t>
          </w:r>
          <w:r w:rsidR="003C13F3" w:rsidRPr="002237F0">
            <w:rPr>
              <w:lang w:val="nl-NL"/>
            </w:rPr>
            <w:fldChar w:fldCharType="end"/>
          </w:r>
        </w:sdtContent>
      </w:sdt>
      <w:r w:rsidRPr="002237F0">
        <w:rPr>
          <w:lang w:val="nl-NL"/>
        </w:rPr>
        <w:t xml:space="preserve">. Er wordt betoogd dat supranationaal toezicht altijd zijn </w:t>
      </w:r>
      <w:proofErr w:type="gramStart"/>
      <w:r w:rsidRPr="002237F0">
        <w:rPr>
          <w:lang w:val="nl-NL"/>
        </w:rPr>
        <w:t>falen</w:t>
      </w:r>
      <w:proofErr w:type="gramEnd"/>
      <w:r w:rsidRPr="002237F0">
        <w:rPr>
          <w:lang w:val="nl-NL"/>
        </w:rPr>
        <w:t xml:space="preserve"> zal blijven behouden, omdat de toezichtfunctie en de verantwoordelijkheidsfunctie niet gescheiden kunnen worden. Er is echter geen enkele internationale organisatie aanspreekbaar voor verliezen geleden door het failliet gaan van een bank. De conclusies van het artikel van Marc </w:t>
      </w:r>
      <w:proofErr w:type="spellStart"/>
      <w:r w:rsidRPr="002237F0">
        <w:rPr>
          <w:lang w:val="nl-NL"/>
        </w:rPr>
        <w:t>Levinson</w:t>
      </w:r>
      <w:proofErr w:type="spellEnd"/>
      <w:r w:rsidRPr="002237F0">
        <w:rPr>
          <w:lang w:val="nl-NL"/>
        </w:rPr>
        <w:t xml:space="preserve"> zijn belangrijk om in de toekomst rekening mee te houden. Wellicht zou het beter zijn als grote banken hun a</w:t>
      </w:r>
      <w:r w:rsidR="005A1AD1" w:rsidRPr="002237F0">
        <w:rPr>
          <w:lang w:val="nl-NL"/>
        </w:rPr>
        <w:t>ctiviteiten opsplitsen per land. Z</w:t>
      </w:r>
      <w:r w:rsidRPr="002237F0">
        <w:rPr>
          <w:lang w:val="nl-NL"/>
        </w:rPr>
        <w:t>o kan ieder land weer zijn toezichtfunctie en verantwoordelijkheid kunnen combineren. Dit zou tevens de diversiteit van regelgeving creëren. Als er over diversiteit van regelgeving gesproken wordt, dan wordt hiermee de diversiteit van bankregul</w:t>
      </w:r>
      <w:r w:rsidR="005A1AD1" w:rsidRPr="002237F0">
        <w:rPr>
          <w:lang w:val="nl-NL"/>
        </w:rPr>
        <w:t>ering</w:t>
      </w:r>
      <w:r w:rsidRPr="002237F0">
        <w:rPr>
          <w:lang w:val="nl-NL"/>
        </w:rPr>
        <w:t xml:space="preserve"> genoemd. Diversiteit van waarderingssystemen is inefficiënt en niet goed voor de vergelijkbaarheid en relevantie van accountingsystemen</w:t>
      </w:r>
      <w:sdt>
        <w:sdtPr>
          <w:rPr>
            <w:lang w:val="nl-NL"/>
          </w:rPr>
          <w:id w:val="2041151"/>
          <w:citation/>
        </w:sdtPr>
        <w:sdtContent>
          <w:r w:rsidR="003C13F3" w:rsidRPr="002237F0">
            <w:rPr>
              <w:lang w:val="nl-NL"/>
            </w:rPr>
            <w:fldChar w:fldCharType="begin"/>
          </w:r>
          <w:r w:rsidR="005A1AD1" w:rsidRPr="002237F0">
            <w:rPr>
              <w:lang w:val="nl-NL"/>
            </w:rPr>
            <w:instrText xml:space="preserve"> CITATION Tho11 \l 1043 </w:instrText>
          </w:r>
          <w:r w:rsidR="003C13F3" w:rsidRPr="002237F0">
            <w:rPr>
              <w:lang w:val="nl-NL"/>
            </w:rPr>
            <w:fldChar w:fldCharType="separate"/>
          </w:r>
          <w:r w:rsidR="005A1AD1" w:rsidRPr="002237F0">
            <w:rPr>
              <w:noProof/>
              <w:lang w:val="nl-NL"/>
            </w:rPr>
            <w:t xml:space="preserve"> (Linsmeier, 2011)</w:t>
          </w:r>
          <w:r w:rsidR="003C13F3" w:rsidRPr="002237F0">
            <w:rPr>
              <w:lang w:val="nl-NL"/>
            </w:rPr>
            <w:fldChar w:fldCharType="end"/>
          </w:r>
        </w:sdtContent>
      </w:sdt>
      <w:r w:rsidRPr="002237F0">
        <w:rPr>
          <w:lang w:val="nl-NL"/>
        </w:rPr>
        <w:t>.</w:t>
      </w:r>
    </w:p>
    <w:p w:rsidR="00461A64" w:rsidRPr="002237F0" w:rsidRDefault="00A57DEA" w:rsidP="00A13C26">
      <w:pPr>
        <w:rPr>
          <w:lang w:val="nl-NL"/>
        </w:rPr>
      </w:pPr>
      <w:r w:rsidRPr="002237F0">
        <w:rPr>
          <w:lang w:val="nl-NL"/>
        </w:rPr>
        <w:t xml:space="preserve">Daarom </w:t>
      </w:r>
      <w:r w:rsidR="005A1AD1" w:rsidRPr="002237F0">
        <w:rPr>
          <w:lang w:val="nl-NL"/>
        </w:rPr>
        <w:t xml:space="preserve">komt dit onderzoek tot de conclusie dat </w:t>
      </w:r>
      <w:r w:rsidRPr="002237F0">
        <w:rPr>
          <w:lang w:val="nl-NL"/>
        </w:rPr>
        <w:t>het goed</w:t>
      </w:r>
      <w:r w:rsidR="005A1AD1" w:rsidRPr="002237F0">
        <w:rPr>
          <w:lang w:val="nl-NL"/>
        </w:rPr>
        <w:t xml:space="preserve"> is</w:t>
      </w:r>
      <w:r w:rsidRPr="002237F0">
        <w:rPr>
          <w:lang w:val="nl-NL"/>
        </w:rPr>
        <w:t xml:space="preserve"> dat IFRS 9 IAS 37 vervangen heeft. IFRS 9 is een stuk minder complex dan IAS 39, </w:t>
      </w:r>
      <w:r w:rsidR="00461A64" w:rsidRPr="002237F0">
        <w:rPr>
          <w:lang w:val="nl-NL"/>
        </w:rPr>
        <w:t xml:space="preserve">zodat de Amerikaanse standaardzetters een duidelijk kompas hebben </w:t>
      </w:r>
      <w:proofErr w:type="spellStart"/>
      <w:r w:rsidR="00461A64" w:rsidRPr="002237F0">
        <w:rPr>
          <w:lang w:val="nl-NL"/>
        </w:rPr>
        <w:t>waarnaartoe</w:t>
      </w:r>
      <w:proofErr w:type="spellEnd"/>
      <w:r w:rsidR="00461A64" w:rsidRPr="002237F0">
        <w:rPr>
          <w:lang w:val="nl-NL"/>
        </w:rPr>
        <w:t xml:space="preserve"> gewerkt kan worden</w:t>
      </w:r>
      <w:sdt>
        <w:sdtPr>
          <w:rPr>
            <w:lang w:val="nl-NL"/>
          </w:rPr>
          <w:id w:val="649877734"/>
          <w:citation/>
        </w:sdtPr>
        <w:sdtContent>
          <w:r w:rsidR="003C13F3" w:rsidRPr="002237F0">
            <w:rPr>
              <w:lang w:val="nl-NL"/>
            </w:rPr>
            <w:fldChar w:fldCharType="begin"/>
          </w:r>
          <w:r w:rsidR="00461A64" w:rsidRPr="002237F0">
            <w:rPr>
              <w:lang w:val="nl-NL"/>
            </w:rPr>
            <w:instrText xml:space="preserve"> CITATION Ste10 \l 1033 </w:instrText>
          </w:r>
          <w:r w:rsidR="003C13F3" w:rsidRPr="002237F0">
            <w:rPr>
              <w:lang w:val="nl-NL"/>
            </w:rPr>
            <w:fldChar w:fldCharType="separate"/>
          </w:r>
          <w:r w:rsidR="00461A64" w:rsidRPr="002237F0">
            <w:rPr>
              <w:noProof/>
              <w:lang w:val="nl-NL"/>
            </w:rPr>
            <w:t xml:space="preserve"> (Chan, 2010)</w:t>
          </w:r>
          <w:r w:rsidR="003C13F3" w:rsidRPr="002237F0">
            <w:rPr>
              <w:lang w:val="nl-NL"/>
            </w:rPr>
            <w:fldChar w:fldCharType="end"/>
          </w:r>
        </w:sdtContent>
      </w:sdt>
      <w:r w:rsidR="00461A64" w:rsidRPr="002237F0">
        <w:rPr>
          <w:lang w:val="nl-NL"/>
        </w:rPr>
        <w:t>.</w:t>
      </w:r>
    </w:p>
    <w:p w:rsidR="00461A64" w:rsidRPr="002237F0" w:rsidRDefault="00461A64" w:rsidP="00A13C26">
      <w:pPr>
        <w:rPr>
          <w:b/>
          <w:sz w:val="28"/>
          <w:lang w:val="nl-NL"/>
        </w:rPr>
      </w:pPr>
      <w:r w:rsidRPr="002237F0">
        <w:rPr>
          <w:b/>
          <w:sz w:val="28"/>
          <w:lang w:val="nl-NL"/>
        </w:rPr>
        <w:t xml:space="preserve">5.3. </w:t>
      </w:r>
      <w:r w:rsidR="00C0665D" w:rsidRPr="002237F0">
        <w:rPr>
          <w:b/>
          <w:sz w:val="28"/>
          <w:lang w:val="nl-NL"/>
        </w:rPr>
        <w:t xml:space="preserve">Fair </w:t>
      </w:r>
      <w:proofErr w:type="spellStart"/>
      <w:r w:rsidR="00C0665D" w:rsidRPr="002237F0">
        <w:rPr>
          <w:b/>
          <w:sz w:val="28"/>
          <w:lang w:val="nl-NL"/>
        </w:rPr>
        <w:t>value</w:t>
      </w:r>
      <w:proofErr w:type="spellEnd"/>
      <w:r w:rsidR="00C0665D" w:rsidRPr="002237F0">
        <w:rPr>
          <w:b/>
          <w:sz w:val="28"/>
          <w:lang w:val="nl-NL"/>
        </w:rPr>
        <w:t>: een reële waarde?</w:t>
      </w:r>
    </w:p>
    <w:p w:rsidR="008305B3" w:rsidRPr="002237F0" w:rsidRDefault="00461A64" w:rsidP="00A13C26">
      <w:pPr>
        <w:rPr>
          <w:lang w:val="nl-NL"/>
        </w:rPr>
      </w:pPr>
      <w:r w:rsidRPr="002237F0">
        <w:rPr>
          <w:lang w:val="nl-NL"/>
        </w:rPr>
        <w:t xml:space="preserve">De belangrijkste bevindingen die </w:t>
      </w:r>
      <w:r w:rsidR="00C0665D" w:rsidRPr="002237F0">
        <w:rPr>
          <w:lang w:val="nl-NL"/>
        </w:rPr>
        <w:t xml:space="preserve">tot nu toe </w:t>
      </w:r>
      <w:r w:rsidRPr="002237F0">
        <w:rPr>
          <w:lang w:val="nl-NL"/>
        </w:rPr>
        <w:t xml:space="preserve">gedaan zijn in dit hoofdstuk hebben te maken met de motieven van de IASB om IAS 39 te vervangen door IFRS 9. Ten eerste was er de indruk ontstaan dat IAS 39 standaarden te beïnvloeden waren onder druk van de Europese Unie. Belangrijke kritiek hierop </w:t>
      </w:r>
      <w:r w:rsidR="00B14ACB" w:rsidRPr="002237F0">
        <w:rPr>
          <w:lang w:val="nl-NL"/>
        </w:rPr>
        <w:t xml:space="preserve">is dat het de vergelijkbaarheid, maar vooral de zekerheid van constante accountingstandaarden hierdoor minder zijn geworden. IFRS 9 heeft een heel ander karakter gekregen dan IAS 39. Er is gekozen voor veel zekerheid: Instrumenten kunnen nog </w:t>
      </w:r>
      <w:r w:rsidR="00EA76DD" w:rsidRPr="002237F0">
        <w:rPr>
          <w:lang w:val="nl-NL"/>
        </w:rPr>
        <w:t>maar in twee categorieën vallen</w:t>
      </w:r>
      <w:r w:rsidR="00B14ACB" w:rsidRPr="002237F0">
        <w:rPr>
          <w:lang w:val="nl-NL"/>
        </w:rPr>
        <w:t xml:space="preserve"> en </w:t>
      </w:r>
      <w:proofErr w:type="spellStart"/>
      <w:r w:rsidR="00B14ACB" w:rsidRPr="002237F0">
        <w:rPr>
          <w:lang w:val="nl-NL"/>
        </w:rPr>
        <w:t>herclassificatie</w:t>
      </w:r>
      <w:proofErr w:type="spellEnd"/>
      <w:r w:rsidR="00B14ACB" w:rsidRPr="002237F0">
        <w:rPr>
          <w:lang w:val="nl-NL"/>
        </w:rPr>
        <w:t xml:space="preserve"> is bijna niet meer mogelijk. In feite wordt het amendement van 2008 ongedaan gemaakt. Daarnaast is de kritiek uit de literatuur besproken over de internationalisering van het de bankenwereld. Er zijn kantteke</w:t>
      </w:r>
      <w:r w:rsidR="005A1AD1" w:rsidRPr="002237F0">
        <w:rPr>
          <w:lang w:val="nl-NL"/>
        </w:rPr>
        <w:t xml:space="preserve">ningen geplaatst bij het steeds </w:t>
      </w:r>
      <w:r w:rsidR="00B14ACB" w:rsidRPr="002237F0">
        <w:rPr>
          <w:lang w:val="nl-NL"/>
        </w:rPr>
        <w:t>groter worden van banken, en de steeds grotere risico’s waaraan overheden worden blootgesteld.</w:t>
      </w:r>
    </w:p>
    <w:p w:rsidR="00C47299" w:rsidRPr="002237F0" w:rsidRDefault="008305B3" w:rsidP="00A13C26">
      <w:pPr>
        <w:rPr>
          <w:lang w:val="nl-NL"/>
        </w:rPr>
      </w:pPr>
      <w:r w:rsidRPr="002237F0">
        <w:rPr>
          <w:b/>
          <w:sz w:val="24"/>
          <w:lang w:val="nl-NL"/>
        </w:rPr>
        <w:t>Slotsom</w:t>
      </w:r>
      <w:r w:rsidRPr="002237F0">
        <w:rPr>
          <w:lang w:val="nl-NL"/>
        </w:rPr>
        <w:t xml:space="preserve"> </w:t>
      </w:r>
    </w:p>
    <w:p w:rsidR="008305B3" w:rsidRPr="002237F0" w:rsidRDefault="00C0665D" w:rsidP="00A13C26">
      <w:pPr>
        <w:rPr>
          <w:lang w:val="nl-NL"/>
        </w:rPr>
      </w:pPr>
      <w:r w:rsidRPr="002237F0">
        <w:rPr>
          <w:lang w:val="nl-NL"/>
        </w:rPr>
        <w:t xml:space="preserve">Uiteindelijk moet geconcludeerd worden of fair </w:t>
      </w:r>
      <w:proofErr w:type="spellStart"/>
      <w:r w:rsidRPr="002237F0">
        <w:rPr>
          <w:lang w:val="nl-NL"/>
        </w:rPr>
        <w:t>value</w:t>
      </w:r>
      <w:proofErr w:type="spellEnd"/>
      <w:r w:rsidRPr="002237F0">
        <w:rPr>
          <w:lang w:val="nl-NL"/>
        </w:rPr>
        <w:t xml:space="preserve"> accounting een geschikte waarderingsmaatstaf is voor financiële instrumenten, rekening houdend met de situatie waarin de internationale bankenwereld zich </w:t>
      </w:r>
      <w:proofErr w:type="gramStart"/>
      <w:r w:rsidRPr="002237F0">
        <w:rPr>
          <w:lang w:val="nl-NL"/>
        </w:rPr>
        <w:t>verkeert</w:t>
      </w:r>
      <w:proofErr w:type="gramEnd"/>
      <w:r w:rsidRPr="002237F0">
        <w:rPr>
          <w:lang w:val="nl-NL"/>
        </w:rPr>
        <w:t>. In het eerste hoofdstuk is uitgelegd wat financiële instrumenten</w:t>
      </w:r>
      <w:r w:rsidR="005A1AD1" w:rsidRPr="002237F0">
        <w:rPr>
          <w:lang w:val="nl-NL"/>
        </w:rPr>
        <w:t xml:space="preserve"> zijn</w:t>
      </w:r>
      <w:r w:rsidRPr="002237F0">
        <w:rPr>
          <w:lang w:val="nl-NL"/>
        </w:rPr>
        <w:t xml:space="preserve"> en welke regelgeving er vandaag de dag geldt. In hoofdstuk </w:t>
      </w:r>
      <w:r w:rsidR="005A1AD1" w:rsidRPr="002237F0">
        <w:rPr>
          <w:lang w:val="nl-NL"/>
        </w:rPr>
        <w:t>2</w:t>
      </w:r>
      <w:r w:rsidRPr="002237F0">
        <w:rPr>
          <w:lang w:val="nl-NL"/>
        </w:rPr>
        <w:t xml:space="preserve"> is de ges</w:t>
      </w:r>
      <w:r w:rsidR="001971F4" w:rsidRPr="002237F0">
        <w:rPr>
          <w:lang w:val="nl-NL"/>
        </w:rPr>
        <w:t xml:space="preserve">chiedenis van IAS 39 besproken </w:t>
      </w:r>
      <w:r w:rsidRPr="002237F0">
        <w:rPr>
          <w:lang w:val="nl-NL"/>
        </w:rPr>
        <w:t xml:space="preserve">en is aan de hand van de situatie van banken in de crisis uitgelegd waarom er bepaalde veranderingen aan de regels rondom fair </w:t>
      </w:r>
      <w:proofErr w:type="spellStart"/>
      <w:r w:rsidRPr="002237F0">
        <w:rPr>
          <w:lang w:val="nl-NL"/>
        </w:rPr>
        <w:t>value</w:t>
      </w:r>
      <w:proofErr w:type="spellEnd"/>
      <w:r w:rsidRPr="002237F0">
        <w:rPr>
          <w:lang w:val="nl-NL"/>
        </w:rPr>
        <w:t xml:space="preserve"> waardering zijn gedaan.</w:t>
      </w:r>
      <w:r w:rsidR="00E64406" w:rsidRPr="002237F0">
        <w:rPr>
          <w:lang w:val="nl-NL"/>
        </w:rPr>
        <w:t xml:space="preserve"> Het derde hoofdstuk was, in combinatie met het vierde hoofdstuk, het belangrijkste hoofdstuk van deze scriptie. De vraag die rest na de twee hoofdstukken over de invloed van enerzijds fair </w:t>
      </w:r>
      <w:proofErr w:type="spellStart"/>
      <w:r w:rsidR="00E64406" w:rsidRPr="002237F0">
        <w:rPr>
          <w:lang w:val="nl-NL"/>
        </w:rPr>
        <w:t>value</w:t>
      </w:r>
      <w:proofErr w:type="spellEnd"/>
      <w:r w:rsidR="00E64406" w:rsidRPr="002237F0">
        <w:rPr>
          <w:lang w:val="nl-NL"/>
        </w:rPr>
        <w:t xml:space="preserve"> </w:t>
      </w:r>
      <w:proofErr w:type="spellStart"/>
      <w:r w:rsidR="00E64406" w:rsidRPr="002237F0">
        <w:rPr>
          <w:lang w:val="nl-NL"/>
        </w:rPr>
        <w:t>acounting</w:t>
      </w:r>
      <w:proofErr w:type="spellEnd"/>
      <w:r w:rsidR="00E64406" w:rsidRPr="002237F0">
        <w:rPr>
          <w:lang w:val="nl-NL"/>
        </w:rPr>
        <w:t xml:space="preserve"> en anderzijds het Basel II akkoord op de crisis, is welke van de twee als hoofdschuldige bestempeld kan worden aan het verergeren van de crisis.</w:t>
      </w:r>
      <w:r w:rsidR="008305B3" w:rsidRPr="002237F0">
        <w:rPr>
          <w:lang w:val="nl-NL"/>
        </w:rPr>
        <w:t xml:space="preserve"> De conclusies van de be</w:t>
      </w:r>
      <w:r w:rsidR="001971F4" w:rsidRPr="002237F0">
        <w:rPr>
          <w:lang w:val="nl-NL"/>
        </w:rPr>
        <w:t xml:space="preserve">ide hoofdstukken worden weer </w:t>
      </w:r>
      <w:r w:rsidR="008305B3" w:rsidRPr="002237F0">
        <w:rPr>
          <w:lang w:val="nl-NL"/>
        </w:rPr>
        <w:t>voren gehaa</w:t>
      </w:r>
      <w:r w:rsidR="00817B81" w:rsidRPr="002237F0">
        <w:rPr>
          <w:lang w:val="nl-NL"/>
        </w:rPr>
        <w:t>ld.</w:t>
      </w:r>
    </w:p>
    <w:p w:rsidR="008305B3" w:rsidRPr="002237F0" w:rsidRDefault="008305B3" w:rsidP="00A13C26">
      <w:pPr>
        <w:rPr>
          <w:b/>
          <w:sz w:val="24"/>
        </w:rPr>
      </w:pPr>
      <w:proofErr w:type="spellStart"/>
      <w:r w:rsidRPr="002237F0">
        <w:rPr>
          <w:b/>
          <w:sz w:val="24"/>
        </w:rPr>
        <w:t>Geconstateerde</w:t>
      </w:r>
      <w:proofErr w:type="spellEnd"/>
      <w:r w:rsidRPr="002237F0">
        <w:rPr>
          <w:b/>
          <w:sz w:val="24"/>
        </w:rPr>
        <w:t xml:space="preserve"> </w:t>
      </w:r>
      <w:proofErr w:type="spellStart"/>
      <w:r w:rsidRPr="002237F0">
        <w:rPr>
          <w:b/>
          <w:sz w:val="24"/>
        </w:rPr>
        <w:t>problemen</w:t>
      </w:r>
      <w:proofErr w:type="spellEnd"/>
      <w:r w:rsidRPr="002237F0">
        <w:rPr>
          <w:b/>
          <w:sz w:val="24"/>
        </w:rPr>
        <w:t xml:space="preserve"> </w:t>
      </w:r>
      <w:proofErr w:type="spellStart"/>
      <w:r w:rsidRPr="002237F0">
        <w:rPr>
          <w:b/>
          <w:sz w:val="24"/>
        </w:rPr>
        <w:t>m.b.t</w:t>
      </w:r>
      <w:proofErr w:type="spellEnd"/>
      <w:r w:rsidRPr="002237F0">
        <w:rPr>
          <w:b/>
          <w:sz w:val="24"/>
        </w:rPr>
        <w:t>. fair value accounting</w:t>
      </w:r>
    </w:p>
    <w:p w:rsidR="008305B3" w:rsidRPr="002237F0" w:rsidRDefault="00E64406" w:rsidP="00A13C26">
      <w:pPr>
        <w:rPr>
          <w:lang w:val="nl-NL"/>
        </w:rPr>
      </w:pPr>
      <w:r w:rsidRPr="002237F0">
        <w:rPr>
          <w:lang w:val="en-GB"/>
        </w:rPr>
        <w:t xml:space="preserve"> </w:t>
      </w:r>
      <w:r w:rsidR="008305B3" w:rsidRPr="002237F0">
        <w:rPr>
          <w:lang w:val="nl-NL"/>
        </w:rPr>
        <w:t xml:space="preserve">In hoofdstuk 3 zijn de volgende problemen met betrekking tot fair </w:t>
      </w:r>
      <w:proofErr w:type="spellStart"/>
      <w:r w:rsidR="008305B3" w:rsidRPr="002237F0">
        <w:rPr>
          <w:lang w:val="nl-NL"/>
        </w:rPr>
        <w:t>value</w:t>
      </w:r>
      <w:proofErr w:type="spellEnd"/>
      <w:r w:rsidR="008305B3" w:rsidRPr="002237F0">
        <w:rPr>
          <w:lang w:val="nl-NL"/>
        </w:rPr>
        <w:t xml:space="preserve"> accounting gevonden:</w:t>
      </w:r>
    </w:p>
    <w:p w:rsidR="008305B3" w:rsidRPr="002237F0" w:rsidRDefault="00B34BFE" w:rsidP="00B34BFE">
      <w:pPr>
        <w:pStyle w:val="ListParagraph"/>
        <w:numPr>
          <w:ilvl w:val="0"/>
          <w:numId w:val="16"/>
        </w:numPr>
        <w:rPr>
          <w:lang w:val="nl-NL"/>
        </w:rPr>
      </w:pPr>
      <w:r w:rsidRPr="002237F0">
        <w:rPr>
          <w:lang w:val="nl-NL"/>
        </w:rPr>
        <w:t xml:space="preserve">Het gebruiken van </w:t>
      </w:r>
      <w:proofErr w:type="gramStart"/>
      <w:r w:rsidRPr="002237F0">
        <w:rPr>
          <w:lang w:val="nl-NL"/>
        </w:rPr>
        <w:t>de</w:t>
      </w:r>
      <w:proofErr w:type="gramEnd"/>
      <w:r w:rsidRPr="002237F0">
        <w:rPr>
          <w:lang w:val="nl-NL"/>
        </w:rPr>
        <w:t xml:space="preserve"> niveau 3 waardering, bij het afwezig zijn van een duidelijke markt, levert </w:t>
      </w:r>
      <w:proofErr w:type="spellStart"/>
      <w:r w:rsidRPr="002237F0">
        <w:rPr>
          <w:lang w:val="nl-NL"/>
        </w:rPr>
        <w:t>informatie-asymmetrie</w:t>
      </w:r>
      <w:proofErr w:type="spellEnd"/>
      <w:r w:rsidRPr="002237F0">
        <w:rPr>
          <w:lang w:val="nl-NL"/>
        </w:rPr>
        <w:t xml:space="preserve"> op. Achteraf gezien blijkt dat banken die heer meer gebruik van maakten relatief vaker failliet gingen. Vaak wordt de historische kostprijs gebruikt als niveau 3 waardering</w:t>
      </w:r>
      <w:sdt>
        <w:sdtPr>
          <w:rPr>
            <w:lang w:val="nl-NL"/>
          </w:rPr>
          <w:id w:val="2041152"/>
          <w:citation/>
        </w:sdtPr>
        <w:sdtContent>
          <w:r w:rsidR="003C13F3" w:rsidRPr="002237F0">
            <w:rPr>
              <w:lang w:val="nl-NL"/>
            </w:rPr>
            <w:fldChar w:fldCharType="begin"/>
          </w:r>
          <w:r w:rsidR="001971F4" w:rsidRPr="002237F0">
            <w:rPr>
              <w:lang w:val="nl-NL"/>
            </w:rPr>
            <w:instrText xml:space="preserve"> CITATION Kot12 \l 1043 </w:instrText>
          </w:r>
          <w:r w:rsidR="00561058" w:rsidRPr="002237F0">
            <w:rPr>
              <w:lang w:val="nl-NL"/>
            </w:rPr>
            <w:instrText xml:space="preserve"> \m Gla13</w:instrText>
          </w:r>
          <w:r w:rsidR="003C13F3" w:rsidRPr="002237F0">
            <w:rPr>
              <w:lang w:val="nl-NL"/>
            </w:rPr>
            <w:fldChar w:fldCharType="separate"/>
          </w:r>
          <w:r w:rsidR="00561058" w:rsidRPr="002237F0">
            <w:rPr>
              <w:noProof/>
              <w:lang w:val="nl-NL"/>
            </w:rPr>
            <w:t xml:space="preserve"> (Kothari &amp; Lester, 2012; Glaser, Mohrmann, &amp; Riepe, 2013)</w:t>
          </w:r>
          <w:r w:rsidR="003C13F3" w:rsidRPr="002237F0">
            <w:rPr>
              <w:lang w:val="nl-NL"/>
            </w:rPr>
            <w:fldChar w:fldCharType="end"/>
          </w:r>
        </w:sdtContent>
      </w:sdt>
      <w:r w:rsidRPr="002237F0">
        <w:rPr>
          <w:lang w:val="nl-NL"/>
        </w:rPr>
        <w:t>;</w:t>
      </w:r>
    </w:p>
    <w:p w:rsidR="00B34BFE" w:rsidRPr="002237F0" w:rsidRDefault="00B34BFE" w:rsidP="00B34BFE">
      <w:pPr>
        <w:pStyle w:val="ListParagraph"/>
        <w:numPr>
          <w:ilvl w:val="0"/>
          <w:numId w:val="16"/>
        </w:numPr>
        <w:rPr>
          <w:lang w:val="nl-NL"/>
        </w:rPr>
      </w:pPr>
      <w:r w:rsidRPr="002237F0">
        <w:rPr>
          <w:lang w:val="nl-NL"/>
        </w:rPr>
        <w:t>Niveau 2 waardering wordt gebruikt om weergegeven risico’s in de rapportering te manipuleren</w:t>
      </w:r>
      <w:sdt>
        <w:sdtPr>
          <w:rPr>
            <w:lang w:val="nl-NL"/>
          </w:rPr>
          <w:id w:val="2041153"/>
          <w:citation/>
        </w:sdtPr>
        <w:sdtContent>
          <w:r w:rsidR="003C13F3" w:rsidRPr="002237F0">
            <w:rPr>
              <w:lang w:val="nl-NL"/>
            </w:rPr>
            <w:fldChar w:fldCharType="begin"/>
          </w:r>
          <w:r w:rsidR="001971F4" w:rsidRPr="002237F0">
            <w:rPr>
              <w:lang w:val="nl-NL"/>
            </w:rPr>
            <w:instrText xml:space="preserve"> CITATION Kot12 \l 1043 </w:instrText>
          </w:r>
          <w:r w:rsidR="003C13F3" w:rsidRPr="002237F0">
            <w:rPr>
              <w:lang w:val="nl-NL"/>
            </w:rPr>
            <w:fldChar w:fldCharType="separate"/>
          </w:r>
          <w:r w:rsidR="001971F4" w:rsidRPr="002237F0">
            <w:rPr>
              <w:noProof/>
              <w:lang w:val="nl-NL"/>
            </w:rPr>
            <w:t xml:space="preserve"> (Kothari &amp; Lester, 2012)</w:t>
          </w:r>
          <w:r w:rsidR="003C13F3" w:rsidRPr="002237F0">
            <w:rPr>
              <w:lang w:val="nl-NL"/>
            </w:rPr>
            <w:fldChar w:fldCharType="end"/>
          </w:r>
        </w:sdtContent>
      </w:sdt>
      <w:r w:rsidRPr="002237F0">
        <w:rPr>
          <w:lang w:val="nl-NL"/>
        </w:rPr>
        <w:t>;</w:t>
      </w:r>
    </w:p>
    <w:p w:rsidR="00B34BFE" w:rsidRPr="002237F0" w:rsidRDefault="00B34BFE" w:rsidP="00B34BFE">
      <w:pPr>
        <w:pStyle w:val="ListParagraph"/>
        <w:numPr>
          <w:ilvl w:val="0"/>
          <w:numId w:val="16"/>
        </w:numPr>
        <w:rPr>
          <w:lang w:val="nl-NL"/>
        </w:rPr>
      </w:pPr>
      <w:r w:rsidRPr="002237F0">
        <w:rPr>
          <w:lang w:val="nl-NL"/>
        </w:rPr>
        <w:t xml:space="preserve">Fair </w:t>
      </w:r>
      <w:proofErr w:type="spellStart"/>
      <w:r w:rsidRPr="002237F0">
        <w:rPr>
          <w:lang w:val="nl-NL"/>
        </w:rPr>
        <w:t>value</w:t>
      </w:r>
      <w:proofErr w:type="spellEnd"/>
      <w:r w:rsidRPr="002237F0">
        <w:rPr>
          <w:lang w:val="nl-NL"/>
        </w:rPr>
        <w:t xml:space="preserve"> accounting </w:t>
      </w:r>
      <w:r w:rsidR="001971F4" w:rsidRPr="002237F0">
        <w:rPr>
          <w:lang w:val="nl-NL"/>
        </w:rPr>
        <w:t>bij</w:t>
      </w:r>
      <w:r w:rsidRPr="002237F0">
        <w:rPr>
          <w:lang w:val="nl-NL"/>
        </w:rPr>
        <w:t xml:space="preserve"> activa die niet bestemd zijn voor handel </w:t>
      </w:r>
      <w:proofErr w:type="gramStart"/>
      <w:r w:rsidRPr="002237F0">
        <w:rPr>
          <w:lang w:val="nl-NL"/>
        </w:rPr>
        <w:t>vermindert</w:t>
      </w:r>
      <w:proofErr w:type="gramEnd"/>
      <w:r w:rsidRPr="002237F0">
        <w:rPr>
          <w:lang w:val="nl-NL"/>
        </w:rPr>
        <w:t xml:space="preserve"> de leencapaciteit van banken, omdat </w:t>
      </w:r>
      <w:r w:rsidR="001971F4" w:rsidRPr="002237F0">
        <w:rPr>
          <w:lang w:val="nl-NL"/>
        </w:rPr>
        <w:t>de banken</w:t>
      </w:r>
      <w:r w:rsidRPr="002237F0">
        <w:rPr>
          <w:lang w:val="nl-NL"/>
        </w:rPr>
        <w:t xml:space="preserve"> als minder kredietwaardig worden gezien</w:t>
      </w:r>
      <w:sdt>
        <w:sdtPr>
          <w:rPr>
            <w:lang w:val="nl-NL"/>
          </w:rPr>
          <w:id w:val="2041155"/>
          <w:citation/>
        </w:sdtPr>
        <w:sdtContent>
          <w:r w:rsidR="003C13F3" w:rsidRPr="002237F0">
            <w:rPr>
              <w:lang w:val="nl-NL"/>
            </w:rPr>
            <w:fldChar w:fldCharType="begin"/>
          </w:r>
          <w:r w:rsidR="001971F4" w:rsidRPr="002237F0">
            <w:rPr>
              <w:lang w:val="nl-NL"/>
            </w:rPr>
            <w:instrText xml:space="preserve"> CITATION Bad12 \l 1043 </w:instrText>
          </w:r>
          <w:r w:rsidR="003C13F3" w:rsidRPr="002237F0">
            <w:rPr>
              <w:lang w:val="nl-NL"/>
            </w:rPr>
            <w:fldChar w:fldCharType="separate"/>
          </w:r>
          <w:r w:rsidR="001971F4" w:rsidRPr="002237F0">
            <w:rPr>
              <w:noProof/>
              <w:lang w:val="nl-NL"/>
            </w:rPr>
            <w:t xml:space="preserve"> (Badertscher, Burks, &amp; Easton, 2012)</w:t>
          </w:r>
          <w:r w:rsidR="003C13F3" w:rsidRPr="002237F0">
            <w:rPr>
              <w:lang w:val="nl-NL"/>
            </w:rPr>
            <w:fldChar w:fldCharType="end"/>
          </w:r>
        </w:sdtContent>
      </w:sdt>
      <w:r w:rsidRPr="002237F0">
        <w:rPr>
          <w:lang w:val="nl-NL"/>
        </w:rPr>
        <w:t xml:space="preserve">; </w:t>
      </w:r>
    </w:p>
    <w:p w:rsidR="00B34BFE" w:rsidRPr="002237F0" w:rsidRDefault="00B34BFE" w:rsidP="00B34BFE">
      <w:pPr>
        <w:pStyle w:val="ListParagraph"/>
        <w:numPr>
          <w:ilvl w:val="0"/>
          <w:numId w:val="16"/>
        </w:numPr>
        <w:rPr>
          <w:lang w:val="nl-NL"/>
        </w:rPr>
      </w:pPr>
      <w:r w:rsidRPr="002237F0">
        <w:rPr>
          <w:lang w:val="nl-NL"/>
        </w:rPr>
        <w:t xml:space="preserve">Tijdens de crisis was de boekwaarde van veel bedrijven </w:t>
      </w:r>
      <w:r w:rsidR="001971F4" w:rsidRPr="002237F0">
        <w:rPr>
          <w:lang w:val="nl-NL"/>
        </w:rPr>
        <w:t>hoger</w:t>
      </w:r>
      <w:r w:rsidRPr="002237F0">
        <w:rPr>
          <w:lang w:val="nl-NL"/>
        </w:rPr>
        <w:t xml:space="preserve"> dan de marktwaarde</w:t>
      </w:r>
      <w:sdt>
        <w:sdtPr>
          <w:rPr>
            <w:lang w:val="nl-NL"/>
          </w:rPr>
          <w:id w:val="2041156"/>
          <w:citation/>
        </w:sdtPr>
        <w:sdtContent>
          <w:r w:rsidR="003C13F3" w:rsidRPr="002237F0">
            <w:rPr>
              <w:lang w:val="nl-NL"/>
            </w:rPr>
            <w:fldChar w:fldCharType="begin"/>
          </w:r>
          <w:r w:rsidR="001971F4" w:rsidRPr="002237F0">
            <w:rPr>
              <w:lang w:val="nl-NL"/>
            </w:rPr>
            <w:instrText xml:space="preserve"> CITATION Hui09 \l 1043 </w:instrText>
          </w:r>
          <w:r w:rsidR="003C13F3" w:rsidRPr="002237F0">
            <w:rPr>
              <w:lang w:val="nl-NL"/>
            </w:rPr>
            <w:fldChar w:fldCharType="separate"/>
          </w:r>
          <w:r w:rsidR="001971F4" w:rsidRPr="002237F0">
            <w:rPr>
              <w:noProof/>
              <w:lang w:val="nl-NL"/>
            </w:rPr>
            <w:t xml:space="preserve"> (Huizinga &amp; Laeven, 2009)</w:t>
          </w:r>
          <w:r w:rsidR="003C13F3" w:rsidRPr="002237F0">
            <w:rPr>
              <w:lang w:val="nl-NL"/>
            </w:rPr>
            <w:fldChar w:fldCharType="end"/>
          </w:r>
        </w:sdtContent>
      </w:sdt>
      <w:r w:rsidRPr="002237F0">
        <w:rPr>
          <w:lang w:val="nl-NL"/>
        </w:rPr>
        <w:t>;</w:t>
      </w:r>
    </w:p>
    <w:p w:rsidR="00B34BFE" w:rsidRPr="002237F0" w:rsidRDefault="00B34BFE" w:rsidP="00A13C26">
      <w:pPr>
        <w:pStyle w:val="ListParagraph"/>
        <w:numPr>
          <w:ilvl w:val="0"/>
          <w:numId w:val="16"/>
        </w:numPr>
        <w:rPr>
          <w:lang w:val="nl-NL"/>
        </w:rPr>
      </w:pPr>
      <w:r w:rsidRPr="002237F0">
        <w:rPr>
          <w:lang w:val="nl-NL"/>
        </w:rPr>
        <w:t xml:space="preserve">Het belang van fair </w:t>
      </w:r>
      <w:proofErr w:type="spellStart"/>
      <w:r w:rsidRPr="002237F0">
        <w:rPr>
          <w:lang w:val="nl-NL"/>
        </w:rPr>
        <w:t>value</w:t>
      </w:r>
      <w:proofErr w:type="spellEnd"/>
      <w:r w:rsidRPr="002237F0">
        <w:rPr>
          <w:lang w:val="nl-NL"/>
        </w:rPr>
        <w:t xml:space="preserve"> dient en</w:t>
      </w:r>
      <w:r w:rsidR="000F7EA9" w:rsidRPr="002237F0">
        <w:rPr>
          <w:lang w:val="nl-NL"/>
        </w:rPr>
        <w:t>igszins gerelativeerd te worden.</w:t>
      </w:r>
      <w:r w:rsidRPr="002237F0">
        <w:rPr>
          <w:lang w:val="nl-NL"/>
        </w:rPr>
        <w:t xml:space="preserve"> De post uitstaande leningen is vaak</w:t>
      </w:r>
      <w:r w:rsidR="000F7EA9" w:rsidRPr="002237F0">
        <w:rPr>
          <w:lang w:val="nl-NL"/>
        </w:rPr>
        <w:t xml:space="preserve"> de grootste post op een balans</w:t>
      </w:r>
      <w:r w:rsidRPr="002237F0">
        <w:rPr>
          <w:lang w:val="nl-NL"/>
        </w:rPr>
        <w:t xml:space="preserve"> en die dient gewaardeerd te worden tegen geamortiseerde kostprijs</w:t>
      </w:r>
      <w:sdt>
        <w:sdtPr>
          <w:rPr>
            <w:lang w:val="nl-NL"/>
          </w:rPr>
          <w:id w:val="2041157"/>
          <w:citation/>
        </w:sdtPr>
        <w:sdtContent>
          <w:r w:rsidR="003C13F3" w:rsidRPr="002237F0">
            <w:rPr>
              <w:lang w:val="nl-NL"/>
            </w:rPr>
            <w:fldChar w:fldCharType="begin"/>
          </w:r>
          <w:r w:rsidR="001971F4" w:rsidRPr="002237F0">
            <w:rPr>
              <w:lang w:val="nl-NL"/>
            </w:rPr>
            <w:instrText xml:space="preserve"> CITATION Bar10 \l 1043 </w:instrText>
          </w:r>
          <w:r w:rsidR="003C13F3" w:rsidRPr="002237F0">
            <w:rPr>
              <w:lang w:val="nl-NL"/>
            </w:rPr>
            <w:fldChar w:fldCharType="separate"/>
          </w:r>
          <w:r w:rsidR="001971F4" w:rsidRPr="002237F0">
            <w:rPr>
              <w:noProof/>
              <w:lang w:val="nl-NL"/>
            </w:rPr>
            <w:t xml:space="preserve"> (Barth &amp; Landsman, 2010)</w:t>
          </w:r>
          <w:r w:rsidR="003C13F3" w:rsidRPr="002237F0">
            <w:rPr>
              <w:lang w:val="nl-NL"/>
            </w:rPr>
            <w:fldChar w:fldCharType="end"/>
          </w:r>
        </w:sdtContent>
      </w:sdt>
      <w:r w:rsidRPr="002237F0">
        <w:rPr>
          <w:lang w:val="nl-NL"/>
        </w:rPr>
        <w:t>;</w:t>
      </w:r>
    </w:p>
    <w:p w:rsidR="00E64406" w:rsidRPr="002237F0" w:rsidRDefault="00B34BFE" w:rsidP="00A13C26">
      <w:pPr>
        <w:pStyle w:val="ListParagraph"/>
        <w:numPr>
          <w:ilvl w:val="0"/>
          <w:numId w:val="16"/>
        </w:numPr>
        <w:rPr>
          <w:lang w:val="nl-NL"/>
        </w:rPr>
      </w:pPr>
      <w:r w:rsidRPr="002237F0">
        <w:rPr>
          <w:lang w:val="nl-NL"/>
        </w:rPr>
        <w:t xml:space="preserve">Op het gebied van </w:t>
      </w:r>
      <w:proofErr w:type="spellStart"/>
      <w:r w:rsidRPr="002237F0">
        <w:rPr>
          <w:lang w:val="nl-NL"/>
        </w:rPr>
        <w:t>Mortgage</w:t>
      </w:r>
      <w:proofErr w:type="spellEnd"/>
      <w:r w:rsidRPr="002237F0">
        <w:rPr>
          <w:lang w:val="nl-NL"/>
        </w:rPr>
        <w:t xml:space="preserve"> </w:t>
      </w:r>
      <w:proofErr w:type="spellStart"/>
      <w:r w:rsidRPr="002237F0">
        <w:rPr>
          <w:lang w:val="nl-NL"/>
        </w:rPr>
        <w:t>Backed</w:t>
      </w:r>
      <w:proofErr w:type="spellEnd"/>
      <w:r w:rsidRPr="002237F0">
        <w:rPr>
          <w:lang w:val="nl-NL"/>
        </w:rPr>
        <w:t xml:space="preserve"> </w:t>
      </w:r>
      <w:proofErr w:type="spellStart"/>
      <w:r w:rsidRPr="002237F0">
        <w:rPr>
          <w:lang w:val="nl-NL"/>
        </w:rPr>
        <w:t>Securities</w:t>
      </w:r>
      <w:proofErr w:type="spellEnd"/>
      <w:r w:rsidRPr="002237F0">
        <w:rPr>
          <w:lang w:val="nl-NL"/>
        </w:rPr>
        <w:t xml:space="preserve"> heeft fair </w:t>
      </w:r>
      <w:proofErr w:type="spellStart"/>
      <w:r w:rsidRPr="002237F0">
        <w:rPr>
          <w:lang w:val="nl-NL"/>
        </w:rPr>
        <w:t>value</w:t>
      </w:r>
      <w:proofErr w:type="spellEnd"/>
      <w:r w:rsidRPr="002237F0">
        <w:rPr>
          <w:lang w:val="nl-NL"/>
        </w:rPr>
        <w:t xml:space="preserve"> een waardering laten zien die te hoog was. Fair </w:t>
      </w:r>
      <w:proofErr w:type="spellStart"/>
      <w:r w:rsidRPr="002237F0">
        <w:rPr>
          <w:lang w:val="nl-NL"/>
        </w:rPr>
        <w:t>value</w:t>
      </w:r>
      <w:proofErr w:type="spellEnd"/>
      <w:r w:rsidRPr="002237F0">
        <w:rPr>
          <w:lang w:val="nl-NL"/>
        </w:rPr>
        <w:t xml:space="preserve"> accounting wordt beschuldigd van procyclisch gedrag</w:t>
      </w:r>
      <w:sdt>
        <w:sdtPr>
          <w:rPr>
            <w:lang w:val="nl-NL"/>
          </w:rPr>
          <w:id w:val="2041158"/>
          <w:citation/>
        </w:sdtPr>
        <w:sdtContent>
          <w:r w:rsidR="003C13F3" w:rsidRPr="002237F0">
            <w:rPr>
              <w:lang w:val="nl-NL"/>
            </w:rPr>
            <w:fldChar w:fldCharType="begin"/>
          </w:r>
          <w:r w:rsidR="001971F4" w:rsidRPr="002237F0">
            <w:rPr>
              <w:lang w:val="nl-NL"/>
            </w:rPr>
            <w:instrText xml:space="preserve"> CITATION Kot12 \l 1043 </w:instrText>
          </w:r>
          <w:r w:rsidR="003C13F3" w:rsidRPr="002237F0">
            <w:rPr>
              <w:lang w:val="nl-NL"/>
            </w:rPr>
            <w:fldChar w:fldCharType="separate"/>
          </w:r>
          <w:r w:rsidR="001971F4" w:rsidRPr="002237F0">
            <w:rPr>
              <w:noProof/>
              <w:lang w:val="nl-NL"/>
            </w:rPr>
            <w:t xml:space="preserve"> (Kothari &amp; Lester, 2012)</w:t>
          </w:r>
          <w:r w:rsidR="003C13F3" w:rsidRPr="002237F0">
            <w:rPr>
              <w:lang w:val="nl-NL"/>
            </w:rPr>
            <w:fldChar w:fldCharType="end"/>
          </w:r>
        </w:sdtContent>
      </w:sdt>
      <w:r w:rsidRPr="002237F0">
        <w:rPr>
          <w:lang w:val="nl-NL"/>
        </w:rPr>
        <w:t xml:space="preserve">. </w:t>
      </w:r>
    </w:p>
    <w:p w:rsidR="00C83A31" w:rsidRPr="002237F0" w:rsidRDefault="00B34BFE" w:rsidP="00B34BFE">
      <w:pPr>
        <w:rPr>
          <w:lang w:val="nl-NL"/>
        </w:rPr>
      </w:pPr>
      <w:r w:rsidRPr="002237F0">
        <w:rPr>
          <w:lang w:val="nl-NL"/>
        </w:rPr>
        <w:t xml:space="preserve">Hieruit kan geconcludeerd worden dat </w:t>
      </w:r>
      <w:r w:rsidR="00C83A31" w:rsidRPr="002237F0">
        <w:rPr>
          <w:lang w:val="nl-NL"/>
        </w:rPr>
        <w:t>er veel moeite bestaat met de beantwoording van de vraag hoe om te gaan met de waardering van financiële instrumenten wanneer er geen goed functionerende markt meer is. Geconstateerd is dat er</w:t>
      </w:r>
      <w:r w:rsidR="001971F4" w:rsidRPr="002237F0">
        <w:rPr>
          <w:lang w:val="nl-NL"/>
        </w:rPr>
        <w:t xml:space="preserve"> economisch opgaande trends zijn en dat d</w:t>
      </w:r>
      <w:r w:rsidR="00C83A31" w:rsidRPr="002237F0">
        <w:rPr>
          <w:lang w:val="nl-NL"/>
        </w:rPr>
        <w:t>e</w:t>
      </w:r>
      <w:r w:rsidR="001971F4" w:rsidRPr="002237F0">
        <w:rPr>
          <w:lang w:val="nl-NL"/>
        </w:rPr>
        <w:t>ze</w:t>
      </w:r>
      <w:r w:rsidR="00C83A31" w:rsidRPr="002237F0">
        <w:rPr>
          <w:lang w:val="nl-NL"/>
        </w:rPr>
        <w:t xml:space="preserve"> </w:t>
      </w:r>
      <w:r w:rsidR="001971F4" w:rsidRPr="002237F0">
        <w:rPr>
          <w:lang w:val="nl-NL"/>
        </w:rPr>
        <w:t>van tijdelijke aard zijn</w:t>
      </w:r>
      <w:r w:rsidR="00C83A31" w:rsidRPr="002237F0">
        <w:rPr>
          <w:lang w:val="nl-NL"/>
        </w:rPr>
        <w:t xml:space="preserve">. </w:t>
      </w:r>
      <w:r w:rsidR="001971F4" w:rsidRPr="002237F0">
        <w:rPr>
          <w:lang w:val="nl-NL"/>
        </w:rPr>
        <w:t>Dit onderzoek komt tot de conclusie</w:t>
      </w:r>
      <w:r w:rsidR="00C83A31" w:rsidRPr="002237F0">
        <w:rPr>
          <w:lang w:val="nl-NL"/>
        </w:rPr>
        <w:t xml:space="preserve"> dat dit fair </w:t>
      </w:r>
      <w:proofErr w:type="spellStart"/>
      <w:r w:rsidR="00C83A31" w:rsidRPr="002237F0">
        <w:rPr>
          <w:lang w:val="nl-NL"/>
        </w:rPr>
        <w:t>value</w:t>
      </w:r>
      <w:proofErr w:type="spellEnd"/>
      <w:r w:rsidR="00C83A31" w:rsidRPr="002237F0">
        <w:rPr>
          <w:lang w:val="nl-NL"/>
        </w:rPr>
        <w:t xml:space="preserve"> accounting niet aangerekend kan worden. Gezien de moeilijke situatie van de crisis is er toch besloten over te gaan op een benadering waarbij de geamortiseerde kostprijs vaker gebruikt kon worden. Dit heeft onder meer de volgende </w:t>
      </w:r>
      <w:r w:rsidR="001971F4" w:rsidRPr="002237F0">
        <w:rPr>
          <w:lang w:val="nl-NL"/>
        </w:rPr>
        <w:t>bevindingen</w:t>
      </w:r>
      <w:r w:rsidR="00C83A31" w:rsidRPr="002237F0">
        <w:rPr>
          <w:lang w:val="nl-NL"/>
        </w:rPr>
        <w:t xml:space="preserve"> opgeleverd:</w:t>
      </w:r>
    </w:p>
    <w:p w:rsidR="00C83A31" w:rsidRPr="002237F0" w:rsidRDefault="00C83A31" w:rsidP="00C83A31">
      <w:pPr>
        <w:pStyle w:val="ListParagraph"/>
        <w:numPr>
          <w:ilvl w:val="0"/>
          <w:numId w:val="16"/>
        </w:numPr>
        <w:rPr>
          <w:lang w:val="nl-NL"/>
        </w:rPr>
      </w:pPr>
      <w:r w:rsidRPr="002237F0">
        <w:rPr>
          <w:lang w:val="nl-NL"/>
        </w:rPr>
        <w:t>Banken die dichter bij het minimumgarantievermogen zaten, waren eerder geneigd gebruik te maken van het amendement</w:t>
      </w:r>
      <w:sdt>
        <w:sdtPr>
          <w:rPr>
            <w:lang w:val="nl-NL"/>
          </w:rPr>
          <w:id w:val="2041159"/>
          <w:citation/>
        </w:sdtPr>
        <w:sdtContent>
          <w:r w:rsidR="003C13F3" w:rsidRPr="002237F0">
            <w:rPr>
              <w:lang w:val="nl-NL"/>
            </w:rPr>
            <w:fldChar w:fldCharType="begin"/>
          </w:r>
          <w:r w:rsidR="001971F4" w:rsidRPr="002237F0">
            <w:rPr>
              <w:lang w:val="nl-NL"/>
            </w:rPr>
            <w:instrText xml:space="preserve"> CITATION Bis12 \t  \l 1043  </w:instrText>
          </w:r>
          <w:r w:rsidR="003C13F3" w:rsidRPr="002237F0">
            <w:rPr>
              <w:lang w:val="nl-NL"/>
            </w:rPr>
            <w:fldChar w:fldCharType="separate"/>
          </w:r>
          <w:r w:rsidR="001971F4" w:rsidRPr="002237F0">
            <w:rPr>
              <w:noProof/>
              <w:lang w:val="nl-NL"/>
            </w:rPr>
            <w:t xml:space="preserve"> (Bischof, Brüggeman, &amp; Daske, 2012)</w:t>
          </w:r>
          <w:r w:rsidR="003C13F3" w:rsidRPr="002237F0">
            <w:rPr>
              <w:lang w:val="nl-NL"/>
            </w:rPr>
            <w:fldChar w:fldCharType="end"/>
          </w:r>
        </w:sdtContent>
      </w:sdt>
      <w:r w:rsidRPr="002237F0">
        <w:rPr>
          <w:lang w:val="nl-NL"/>
        </w:rPr>
        <w:t>;</w:t>
      </w:r>
    </w:p>
    <w:p w:rsidR="00C83A31" w:rsidRPr="002237F0" w:rsidRDefault="00C83A31" w:rsidP="00C83A31">
      <w:pPr>
        <w:pStyle w:val="ListParagraph"/>
        <w:numPr>
          <w:ilvl w:val="0"/>
          <w:numId w:val="16"/>
        </w:numPr>
        <w:rPr>
          <w:lang w:val="nl-NL"/>
        </w:rPr>
      </w:pPr>
      <w:r w:rsidRPr="002237F0">
        <w:rPr>
          <w:lang w:val="nl-NL"/>
        </w:rPr>
        <w:t xml:space="preserve">Het amendement kende ook </w:t>
      </w:r>
      <w:proofErr w:type="spellStart"/>
      <w:r w:rsidRPr="002237F0">
        <w:rPr>
          <w:lang w:val="nl-NL"/>
        </w:rPr>
        <w:t>toelichtingseisen</w:t>
      </w:r>
      <w:proofErr w:type="spellEnd"/>
      <w:r w:rsidRPr="002237F0">
        <w:rPr>
          <w:lang w:val="nl-NL"/>
        </w:rPr>
        <w:t xml:space="preserve">, die het verschil in de waardering tussen fair </w:t>
      </w:r>
      <w:proofErr w:type="spellStart"/>
      <w:r w:rsidRPr="002237F0">
        <w:rPr>
          <w:lang w:val="nl-NL"/>
        </w:rPr>
        <w:t>value</w:t>
      </w:r>
      <w:proofErr w:type="spellEnd"/>
      <w:r w:rsidRPr="002237F0">
        <w:rPr>
          <w:lang w:val="nl-NL"/>
        </w:rPr>
        <w:t xml:space="preserve"> en de geamortiseerde kostprijs weer moesten geven. Verondersteld kan worden dat er geen sprake zou zijn van informatieverlies. Twee derde van de banken heeft dit niet gedaan. Dit heeft geleid tot onzekerheid bij investeerders</w:t>
      </w:r>
      <w:sdt>
        <w:sdtPr>
          <w:rPr>
            <w:lang w:val="nl-NL"/>
          </w:rPr>
          <w:id w:val="2041160"/>
          <w:citation/>
        </w:sdtPr>
        <w:sdtContent>
          <w:r w:rsidR="003C13F3" w:rsidRPr="002237F0">
            <w:rPr>
              <w:lang w:val="nl-NL"/>
            </w:rPr>
            <w:fldChar w:fldCharType="begin"/>
          </w:r>
          <w:r w:rsidR="00561058" w:rsidRPr="002237F0">
            <w:rPr>
              <w:lang w:val="nl-NL"/>
            </w:rPr>
            <w:instrText xml:space="preserve"> CITATION Bis10 \t  \m Fie11 \t  \l 1043  </w:instrText>
          </w:r>
          <w:r w:rsidR="003C13F3" w:rsidRPr="002237F0">
            <w:rPr>
              <w:lang w:val="nl-NL"/>
            </w:rPr>
            <w:fldChar w:fldCharType="separate"/>
          </w:r>
          <w:r w:rsidR="00561058" w:rsidRPr="002237F0">
            <w:rPr>
              <w:noProof/>
              <w:lang w:val="nl-NL"/>
            </w:rPr>
            <w:t xml:space="preserve"> (Bischof, Brüggeman, &amp; Daske, 2010; Fiechter, 2011)</w:t>
          </w:r>
          <w:r w:rsidR="003C13F3" w:rsidRPr="002237F0">
            <w:rPr>
              <w:lang w:val="nl-NL"/>
            </w:rPr>
            <w:fldChar w:fldCharType="end"/>
          </w:r>
        </w:sdtContent>
      </w:sdt>
      <w:r w:rsidRPr="002237F0">
        <w:rPr>
          <w:lang w:val="nl-NL"/>
        </w:rPr>
        <w:t xml:space="preserve">; </w:t>
      </w:r>
    </w:p>
    <w:p w:rsidR="00C83A31" w:rsidRPr="002237F0" w:rsidRDefault="00C83A31" w:rsidP="00C83A31">
      <w:pPr>
        <w:pStyle w:val="ListParagraph"/>
        <w:numPr>
          <w:ilvl w:val="0"/>
          <w:numId w:val="16"/>
        </w:numPr>
        <w:rPr>
          <w:lang w:val="nl-NL"/>
        </w:rPr>
      </w:pPr>
      <w:r w:rsidRPr="002237F0">
        <w:rPr>
          <w:lang w:val="nl-NL"/>
        </w:rPr>
        <w:t xml:space="preserve">De marktwaarde van </w:t>
      </w:r>
      <w:proofErr w:type="spellStart"/>
      <w:r w:rsidRPr="002237F0">
        <w:rPr>
          <w:lang w:val="nl-NL"/>
        </w:rPr>
        <w:t>cyclus-gevoelige</w:t>
      </w:r>
      <w:proofErr w:type="spellEnd"/>
      <w:r w:rsidRPr="002237F0">
        <w:rPr>
          <w:lang w:val="nl-NL"/>
        </w:rPr>
        <w:t xml:space="preserve"> banken steeg na aankondiging van het amendement, de marktwaarde van kleine banken daalde</w:t>
      </w:r>
      <w:sdt>
        <w:sdtPr>
          <w:rPr>
            <w:lang w:val="nl-NL"/>
          </w:rPr>
          <w:id w:val="2041163"/>
          <w:citation/>
        </w:sdtPr>
        <w:sdtContent>
          <w:r w:rsidR="003C13F3" w:rsidRPr="002237F0">
            <w:rPr>
              <w:lang w:val="nl-NL"/>
            </w:rPr>
            <w:fldChar w:fldCharType="begin"/>
          </w:r>
          <w:r w:rsidR="00561058" w:rsidRPr="002237F0">
            <w:rPr>
              <w:lang w:val="nl-NL"/>
            </w:rPr>
            <w:instrText xml:space="preserve"> CITATION Bow10 \l 1043 </w:instrText>
          </w:r>
          <w:r w:rsidR="003C13F3" w:rsidRPr="002237F0">
            <w:rPr>
              <w:lang w:val="nl-NL"/>
            </w:rPr>
            <w:fldChar w:fldCharType="separate"/>
          </w:r>
          <w:r w:rsidR="00561058" w:rsidRPr="002237F0">
            <w:rPr>
              <w:noProof/>
              <w:lang w:val="nl-NL"/>
            </w:rPr>
            <w:t xml:space="preserve"> (Bowen, Khan, &amp; Rajgopal, 2010)</w:t>
          </w:r>
          <w:r w:rsidR="003C13F3" w:rsidRPr="002237F0">
            <w:rPr>
              <w:lang w:val="nl-NL"/>
            </w:rPr>
            <w:fldChar w:fldCharType="end"/>
          </w:r>
        </w:sdtContent>
      </w:sdt>
      <w:r w:rsidRPr="002237F0">
        <w:rPr>
          <w:lang w:val="nl-NL"/>
        </w:rPr>
        <w:t>;</w:t>
      </w:r>
    </w:p>
    <w:p w:rsidR="00C83A31" w:rsidRPr="002237F0" w:rsidRDefault="00C83A31" w:rsidP="00C83A31">
      <w:pPr>
        <w:pStyle w:val="ListParagraph"/>
        <w:numPr>
          <w:ilvl w:val="0"/>
          <w:numId w:val="16"/>
        </w:numPr>
        <w:rPr>
          <w:lang w:val="nl-NL"/>
        </w:rPr>
      </w:pPr>
      <w:r w:rsidRPr="002237F0">
        <w:rPr>
          <w:lang w:val="nl-NL"/>
        </w:rPr>
        <w:t xml:space="preserve">Banken met veel </w:t>
      </w:r>
      <w:proofErr w:type="spellStart"/>
      <w:r w:rsidRPr="002237F0">
        <w:rPr>
          <w:lang w:val="nl-NL"/>
        </w:rPr>
        <w:t>Mortgage-Backed-Securities</w:t>
      </w:r>
      <w:proofErr w:type="spellEnd"/>
      <w:r w:rsidRPr="002237F0">
        <w:rPr>
          <w:lang w:val="nl-NL"/>
        </w:rPr>
        <w:t xml:space="preserve"> stegen in marktwaarde na aankondiging van het amendement</w:t>
      </w:r>
      <w:sdt>
        <w:sdtPr>
          <w:rPr>
            <w:lang w:val="nl-NL"/>
          </w:rPr>
          <w:id w:val="2041164"/>
          <w:citation/>
        </w:sdtPr>
        <w:sdtContent>
          <w:r w:rsidR="003C13F3" w:rsidRPr="002237F0">
            <w:rPr>
              <w:lang w:val="nl-NL"/>
            </w:rPr>
            <w:fldChar w:fldCharType="begin"/>
          </w:r>
          <w:r w:rsidR="00561058" w:rsidRPr="002237F0">
            <w:rPr>
              <w:lang w:val="nl-NL"/>
            </w:rPr>
            <w:instrText xml:space="preserve"> CITATION Hui09 \l 1043 </w:instrText>
          </w:r>
          <w:r w:rsidR="003C13F3" w:rsidRPr="002237F0">
            <w:rPr>
              <w:lang w:val="nl-NL"/>
            </w:rPr>
            <w:fldChar w:fldCharType="separate"/>
          </w:r>
          <w:r w:rsidR="00561058" w:rsidRPr="002237F0">
            <w:rPr>
              <w:noProof/>
              <w:lang w:val="nl-NL"/>
            </w:rPr>
            <w:t xml:space="preserve"> (Huizinga &amp; Laeven, 2009)</w:t>
          </w:r>
          <w:r w:rsidR="003C13F3" w:rsidRPr="002237F0">
            <w:rPr>
              <w:lang w:val="nl-NL"/>
            </w:rPr>
            <w:fldChar w:fldCharType="end"/>
          </w:r>
        </w:sdtContent>
      </w:sdt>
      <w:r w:rsidRPr="002237F0">
        <w:rPr>
          <w:lang w:val="nl-NL"/>
        </w:rPr>
        <w:t>.</w:t>
      </w:r>
    </w:p>
    <w:p w:rsidR="00561058" w:rsidRPr="002237F0" w:rsidRDefault="005620AD" w:rsidP="00B34BFE">
      <w:pPr>
        <w:rPr>
          <w:lang w:val="nl-NL"/>
        </w:rPr>
      </w:pPr>
      <w:r w:rsidRPr="002237F0">
        <w:rPr>
          <w:lang w:val="nl-NL"/>
        </w:rPr>
        <w:t>Wat opvalt is dat ‘slechtere banken’ veel baat hadden bij het amendement. Echter, dit ging in de meeste gevallen gepaard met onzekerheid. Het is onduidelijk welke effecten het amendement op langere termijn heeft gehad, maar de transparantie van banken is wel verminderd. De geamortiseerde kostprijs ligt ver van de marktprijs af, dus banken die deze waardering gebruiken verbergen wat de huidige waarde is van hun financiële instrumenten.</w:t>
      </w:r>
      <w:r w:rsidR="00561058" w:rsidRPr="002237F0">
        <w:rPr>
          <w:lang w:val="nl-NL"/>
        </w:rPr>
        <w:t xml:space="preserve"> Dit onderzoek concludeert het amendement van 2008 in principe goed was voor de bankensector, maar dat dit niets te maken heeft met de kwaliteit van de eigenschappen van fair </w:t>
      </w:r>
      <w:proofErr w:type="spellStart"/>
      <w:r w:rsidR="00561058" w:rsidRPr="002237F0">
        <w:rPr>
          <w:lang w:val="nl-NL"/>
        </w:rPr>
        <w:t>value</w:t>
      </w:r>
      <w:proofErr w:type="spellEnd"/>
      <w:r w:rsidR="00561058" w:rsidRPr="002237F0">
        <w:rPr>
          <w:lang w:val="nl-NL"/>
        </w:rPr>
        <w:t xml:space="preserve"> waardering. Als politiek instrument wordt het amendement als een goed amendement beoordeeld, als waarderingsmaatstaf krijgt het echter geen voldoende. </w:t>
      </w:r>
    </w:p>
    <w:p w:rsidR="005620AD" w:rsidRPr="002237F0" w:rsidRDefault="005620AD" w:rsidP="00B34BFE">
      <w:pPr>
        <w:rPr>
          <w:lang w:val="nl-NL"/>
        </w:rPr>
      </w:pPr>
      <w:r w:rsidRPr="002237F0">
        <w:rPr>
          <w:lang w:val="nl-NL"/>
        </w:rPr>
        <w:t xml:space="preserve">Er zijn twee dingen die </w:t>
      </w:r>
      <w:r w:rsidR="00561058" w:rsidRPr="002237F0">
        <w:rPr>
          <w:lang w:val="nl-NL"/>
        </w:rPr>
        <w:t>binnen dit onderzoek opvallen</w:t>
      </w:r>
      <w:r w:rsidRPr="002237F0">
        <w:rPr>
          <w:lang w:val="nl-NL"/>
        </w:rPr>
        <w:t xml:space="preserve">. Ten eerste zou bij volledige informatie in combinatie met de geamortiseerde kostprijs er volgens onderzoek geen verschil zijn in de marktwaarde van financiële instellingen. De vraag is in hoeverre het afstappen van fair </w:t>
      </w:r>
      <w:proofErr w:type="spellStart"/>
      <w:r w:rsidRPr="002237F0">
        <w:rPr>
          <w:lang w:val="nl-NL"/>
        </w:rPr>
        <w:t>value</w:t>
      </w:r>
      <w:proofErr w:type="spellEnd"/>
      <w:r w:rsidRPr="002237F0">
        <w:rPr>
          <w:lang w:val="nl-NL"/>
        </w:rPr>
        <w:t xml:space="preserve"> accounting, bij gelijke transparantie, tot andere situaties zou leiden. Daarnaast valt op dat veel problemen te maken hebben met aandelen in hypotheken en met minimumkapitaalstandaarden. Het volgende hoofdstuk in dit onderzoek ging daarom dan ook over de </w:t>
      </w:r>
      <w:proofErr w:type="spellStart"/>
      <w:r w:rsidRPr="002237F0">
        <w:rPr>
          <w:lang w:val="nl-NL"/>
        </w:rPr>
        <w:t>Basel-akkoorden</w:t>
      </w:r>
      <w:proofErr w:type="spellEnd"/>
      <w:r w:rsidRPr="002237F0">
        <w:rPr>
          <w:lang w:val="nl-NL"/>
        </w:rPr>
        <w:t xml:space="preserve">, die invloed </w:t>
      </w:r>
      <w:r w:rsidR="00561058" w:rsidRPr="002237F0">
        <w:rPr>
          <w:lang w:val="nl-NL"/>
        </w:rPr>
        <w:t>hebben op minimumkapitaalstandaarden</w:t>
      </w:r>
      <w:r w:rsidRPr="002237F0">
        <w:rPr>
          <w:lang w:val="nl-NL"/>
        </w:rPr>
        <w:t>.</w:t>
      </w:r>
    </w:p>
    <w:p w:rsidR="005620AD" w:rsidRPr="002237F0" w:rsidRDefault="005620AD" w:rsidP="00B34BFE">
      <w:pPr>
        <w:rPr>
          <w:b/>
          <w:sz w:val="24"/>
          <w:lang w:val="nl-NL"/>
        </w:rPr>
      </w:pPr>
      <w:r w:rsidRPr="002237F0">
        <w:rPr>
          <w:b/>
          <w:sz w:val="24"/>
          <w:lang w:val="nl-NL"/>
        </w:rPr>
        <w:t xml:space="preserve">De </w:t>
      </w:r>
      <w:proofErr w:type="spellStart"/>
      <w:r w:rsidRPr="002237F0">
        <w:rPr>
          <w:b/>
          <w:sz w:val="24"/>
          <w:lang w:val="nl-NL"/>
        </w:rPr>
        <w:t>Basel-akkoorden</w:t>
      </w:r>
      <w:proofErr w:type="spellEnd"/>
      <w:r w:rsidRPr="002237F0">
        <w:rPr>
          <w:b/>
          <w:sz w:val="24"/>
          <w:lang w:val="nl-NL"/>
        </w:rPr>
        <w:t xml:space="preserve"> </w:t>
      </w:r>
    </w:p>
    <w:p w:rsidR="005620AD" w:rsidRPr="002237F0" w:rsidRDefault="005620AD" w:rsidP="00B34BFE">
      <w:pPr>
        <w:rPr>
          <w:lang w:val="nl-NL"/>
        </w:rPr>
      </w:pPr>
      <w:r w:rsidRPr="002237F0">
        <w:rPr>
          <w:lang w:val="nl-NL"/>
        </w:rPr>
        <w:t xml:space="preserve">De geconstateerde problemen met betrekking tot de </w:t>
      </w:r>
      <w:proofErr w:type="spellStart"/>
      <w:r w:rsidRPr="002237F0">
        <w:rPr>
          <w:lang w:val="nl-NL"/>
        </w:rPr>
        <w:t>Basel-akkoorden</w:t>
      </w:r>
      <w:proofErr w:type="spellEnd"/>
      <w:r w:rsidRPr="002237F0">
        <w:rPr>
          <w:lang w:val="nl-NL"/>
        </w:rPr>
        <w:t>, en ruimer genomen ook tot het gedrag van overheden, zijn de volgende:</w:t>
      </w:r>
    </w:p>
    <w:p w:rsidR="00B34BFE" w:rsidRPr="002237F0" w:rsidRDefault="005620AD" w:rsidP="005620AD">
      <w:pPr>
        <w:pStyle w:val="ListParagraph"/>
        <w:numPr>
          <w:ilvl w:val="0"/>
          <w:numId w:val="16"/>
        </w:numPr>
        <w:rPr>
          <w:lang w:val="nl-NL"/>
        </w:rPr>
      </w:pPr>
      <w:r w:rsidRPr="002237F0">
        <w:rPr>
          <w:lang w:val="nl-NL"/>
        </w:rPr>
        <w:t xml:space="preserve">Bankgaranties creëren een </w:t>
      </w:r>
      <w:proofErr w:type="spellStart"/>
      <w:r w:rsidRPr="002237F0">
        <w:rPr>
          <w:lang w:val="nl-NL"/>
        </w:rPr>
        <w:t>moral</w:t>
      </w:r>
      <w:proofErr w:type="spellEnd"/>
      <w:r w:rsidRPr="002237F0">
        <w:rPr>
          <w:lang w:val="nl-NL"/>
        </w:rPr>
        <w:t xml:space="preserve"> hazard, waardoor banken te veel risico nemen</w:t>
      </w:r>
      <w:sdt>
        <w:sdtPr>
          <w:rPr>
            <w:lang w:val="nl-NL"/>
          </w:rPr>
          <w:id w:val="2041165"/>
          <w:citation/>
        </w:sdtPr>
        <w:sdtContent>
          <w:r w:rsidR="003C13F3" w:rsidRPr="002237F0">
            <w:rPr>
              <w:lang w:val="nl-NL"/>
            </w:rPr>
            <w:fldChar w:fldCharType="begin"/>
          </w:r>
          <w:r w:rsidR="00561058" w:rsidRPr="002237F0">
            <w:rPr>
              <w:lang w:val="nl-NL"/>
            </w:rPr>
            <w:instrText xml:space="preserve"> CITATION Dru09 \l 1043 </w:instrText>
          </w:r>
          <w:r w:rsidR="003C13F3" w:rsidRPr="002237F0">
            <w:rPr>
              <w:lang w:val="nl-NL"/>
            </w:rPr>
            <w:fldChar w:fldCharType="separate"/>
          </w:r>
          <w:r w:rsidR="00561058" w:rsidRPr="002237F0">
            <w:rPr>
              <w:noProof/>
              <w:lang w:val="nl-NL"/>
            </w:rPr>
            <w:t xml:space="preserve"> (Drumond, 2009)</w:t>
          </w:r>
          <w:r w:rsidR="003C13F3" w:rsidRPr="002237F0">
            <w:rPr>
              <w:lang w:val="nl-NL"/>
            </w:rPr>
            <w:fldChar w:fldCharType="end"/>
          </w:r>
        </w:sdtContent>
      </w:sdt>
      <w:r w:rsidRPr="002237F0">
        <w:rPr>
          <w:lang w:val="nl-NL"/>
        </w:rPr>
        <w:t>;</w:t>
      </w:r>
    </w:p>
    <w:p w:rsidR="005620AD" w:rsidRPr="002237F0" w:rsidRDefault="00892F65" w:rsidP="005620AD">
      <w:pPr>
        <w:pStyle w:val="ListParagraph"/>
        <w:numPr>
          <w:ilvl w:val="0"/>
          <w:numId w:val="16"/>
        </w:numPr>
        <w:rPr>
          <w:lang w:val="nl-NL"/>
        </w:rPr>
      </w:pPr>
      <w:r w:rsidRPr="002237F0">
        <w:rPr>
          <w:lang w:val="nl-NL"/>
        </w:rPr>
        <w:t xml:space="preserve">Via de formule </w:t>
      </w:r>
      <w:r w:rsidR="00561058" w:rsidRPr="002237F0">
        <w:rPr>
          <w:lang w:val="nl-NL"/>
        </w:rPr>
        <w:t>van het minimumgarantievermogen</w:t>
      </w:r>
      <w:r w:rsidRPr="002237F0">
        <w:rPr>
          <w:lang w:val="nl-NL"/>
        </w:rPr>
        <w:t xml:space="preserve"> zorgt een verhoging van het kredietrisico voor een verhoogde kans op sancties van toezichthouders. Ook een vermindering van het eigen vermogen zorgt daarvoor. Banken verliezen hierdoor motivatie om geld uit te lenen. Het minimumgarantievermogen geeft dus procyclische prikkels</w:t>
      </w:r>
      <w:sdt>
        <w:sdtPr>
          <w:rPr>
            <w:lang w:val="nl-NL"/>
          </w:rPr>
          <w:id w:val="2041166"/>
          <w:citation/>
        </w:sdtPr>
        <w:sdtContent>
          <w:r w:rsidR="003C13F3" w:rsidRPr="002237F0">
            <w:rPr>
              <w:lang w:val="nl-NL"/>
            </w:rPr>
            <w:fldChar w:fldCharType="begin"/>
          </w:r>
          <w:r w:rsidR="00595F0B" w:rsidRPr="002237F0">
            <w:rPr>
              <w:lang w:val="nl-NL"/>
            </w:rPr>
            <w:instrText xml:space="preserve"> CITATION Dru09 \l 1043 </w:instrText>
          </w:r>
          <w:r w:rsidR="003C13F3" w:rsidRPr="002237F0">
            <w:rPr>
              <w:lang w:val="nl-NL"/>
            </w:rPr>
            <w:fldChar w:fldCharType="separate"/>
          </w:r>
          <w:r w:rsidR="00595F0B" w:rsidRPr="002237F0">
            <w:rPr>
              <w:noProof/>
              <w:lang w:val="nl-NL"/>
            </w:rPr>
            <w:t xml:space="preserve"> (Drumond, 2009)</w:t>
          </w:r>
          <w:r w:rsidR="003C13F3" w:rsidRPr="002237F0">
            <w:rPr>
              <w:lang w:val="nl-NL"/>
            </w:rPr>
            <w:fldChar w:fldCharType="end"/>
          </w:r>
        </w:sdtContent>
      </w:sdt>
      <w:r w:rsidRPr="002237F0">
        <w:rPr>
          <w:lang w:val="nl-NL"/>
        </w:rPr>
        <w:t>;</w:t>
      </w:r>
    </w:p>
    <w:p w:rsidR="00892F65" w:rsidRPr="002237F0" w:rsidRDefault="00892F65" w:rsidP="005620AD">
      <w:pPr>
        <w:pStyle w:val="ListParagraph"/>
        <w:numPr>
          <w:ilvl w:val="0"/>
          <w:numId w:val="16"/>
        </w:numPr>
        <w:rPr>
          <w:lang w:val="nl-NL"/>
        </w:rPr>
      </w:pPr>
      <w:r w:rsidRPr="002237F0">
        <w:rPr>
          <w:lang w:val="nl-NL"/>
        </w:rPr>
        <w:t xml:space="preserve">Het schatten van de risico’s, die gebruikt worden bij de berekening van het minimumgarantievermogen, </w:t>
      </w:r>
      <w:proofErr w:type="gramStart"/>
      <w:r w:rsidRPr="002237F0">
        <w:rPr>
          <w:lang w:val="nl-NL"/>
        </w:rPr>
        <w:t>gebeurt</w:t>
      </w:r>
      <w:proofErr w:type="gramEnd"/>
      <w:r w:rsidRPr="002237F0">
        <w:rPr>
          <w:lang w:val="nl-NL"/>
        </w:rPr>
        <w:t xml:space="preserve"> op een arbitraire wijze</w:t>
      </w:r>
      <w:sdt>
        <w:sdtPr>
          <w:rPr>
            <w:lang w:val="nl-NL"/>
          </w:rPr>
          <w:id w:val="2041167"/>
          <w:citation/>
        </w:sdtPr>
        <w:sdtContent>
          <w:r w:rsidR="003C13F3" w:rsidRPr="002237F0">
            <w:rPr>
              <w:lang w:val="nl-NL"/>
            </w:rPr>
            <w:fldChar w:fldCharType="begin"/>
          </w:r>
          <w:r w:rsidR="00595F0B" w:rsidRPr="002237F0">
            <w:rPr>
              <w:lang w:val="nl-NL"/>
            </w:rPr>
            <w:instrText xml:space="preserve"> CITATION Can09 \l 1043 </w:instrText>
          </w:r>
          <w:r w:rsidR="003C13F3" w:rsidRPr="002237F0">
            <w:rPr>
              <w:lang w:val="nl-NL"/>
            </w:rPr>
            <w:fldChar w:fldCharType="separate"/>
          </w:r>
          <w:r w:rsidR="00595F0B" w:rsidRPr="002237F0">
            <w:rPr>
              <w:noProof/>
              <w:lang w:val="nl-NL"/>
            </w:rPr>
            <w:t xml:space="preserve"> (Cannata &amp; Quagliariello, 2009)</w:t>
          </w:r>
          <w:r w:rsidR="003C13F3" w:rsidRPr="002237F0">
            <w:rPr>
              <w:lang w:val="nl-NL"/>
            </w:rPr>
            <w:fldChar w:fldCharType="end"/>
          </w:r>
        </w:sdtContent>
      </w:sdt>
      <w:r w:rsidRPr="002237F0">
        <w:rPr>
          <w:lang w:val="nl-NL"/>
        </w:rPr>
        <w:t>;</w:t>
      </w:r>
    </w:p>
    <w:p w:rsidR="00892F65" w:rsidRPr="002237F0" w:rsidRDefault="00892F65" w:rsidP="005620AD">
      <w:pPr>
        <w:pStyle w:val="ListParagraph"/>
        <w:numPr>
          <w:ilvl w:val="0"/>
          <w:numId w:val="16"/>
        </w:numPr>
        <w:rPr>
          <w:lang w:val="nl-NL"/>
        </w:rPr>
      </w:pPr>
      <w:r w:rsidRPr="002237F0">
        <w:rPr>
          <w:lang w:val="nl-NL"/>
        </w:rPr>
        <w:t xml:space="preserve">De bubbel in </w:t>
      </w:r>
      <w:proofErr w:type="spellStart"/>
      <w:r w:rsidRPr="002237F0">
        <w:rPr>
          <w:lang w:val="nl-NL"/>
        </w:rPr>
        <w:t>Mortgage-Backed-Securities</w:t>
      </w:r>
      <w:proofErr w:type="spellEnd"/>
      <w:r w:rsidRPr="002237F0">
        <w:rPr>
          <w:lang w:val="nl-NL"/>
        </w:rPr>
        <w:t xml:space="preserve"> is via de risicoweging door de </w:t>
      </w:r>
      <w:proofErr w:type="spellStart"/>
      <w:r w:rsidRPr="002237F0">
        <w:rPr>
          <w:lang w:val="nl-NL"/>
        </w:rPr>
        <w:t>Basel-akkoorden</w:t>
      </w:r>
      <w:proofErr w:type="spellEnd"/>
      <w:r w:rsidRPr="002237F0">
        <w:rPr>
          <w:lang w:val="nl-NL"/>
        </w:rPr>
        <w:t xml:space="preserve"> aangemoedigd</w:t>
      </w:r>
      <w:sdt>
        <w:sdtPr>
          <w:rPr>
            <w:lang w:val="nl-NL"/>
          </w:rPr>
          <w:id w:val="2041168"/>
          <w:citation/>
        </w:sdtPr>
        <w:sdtContent>
          <w:r w:rsidR="003C13F3" w:rsidRPr="002237F0">
            <w:rPr>
              <w:lang w:val="nl-NL"/>
            </w:rPr>
            <w:fldChar w:fldCharType="begin"/>
          </w:r>
          <w:r w:rsidR="00595F0B" w:rsidRPr="002237F0">
            <w:rPr>
              <w:lang w:val="nl-NL"/>
            </w:rPr>
            <w:instrText xml:space="preserve"> CITATION Can09 \l 1043 </w:instrText>
          </w:r>
          <w:r w:rsidR="003C13F3" w:rsidRPr="002237F0">
            <w:rPr>
              <w:lang w:val="nl-NL"/>
            </w:rPr>
            <w:fldChar w:fldCharType="separate"/>
          </w:r>
          <w:r w:rsidR="00595F0B" w:rsidRPr="002237F0">
            <w:rPr>
              <w:noProof/>
              <w:lang w:val="nl-NL"/>
            </w:rPr>
            <w:t xml:space="preserve"> (Cannata &amp; Quagliariello, 2009)</w:t>
          </w:r>
          <w:r w:rsidR="003C13F3" w:rsidRPr="002237F0">
            <w:rPr>
              <w:lang w:val="nl-NL"/>
            </w:rPr>
            <w:fldChar w:fldCharType="end"/>
          </w:r>
        </w:sdtContent>
      </w:sdt>
      <w:r w:rsidRPr="002237F0">
        <w:rPr>
          <w:lang w:val="nl-NL"/>
        </w:rPr>
        <w:t>;</w:t>
      </w:r>
    </w:p>
    <w:p w:rsidR="00892F65" w:rsidRPr="002237F0" w:rsidRDefault="00892F65" w:rsidP="00892F65">
      <w:pPr>
        <w:pStyle w:val="ListParagraph"/>
        <w:numPr>
          <w:ilvl w:val="0"/>
          <w:numId w:val="16"/>
        </w:numPr>
        <w:rPr>
          <w:lang w:val="nl-NL"/>
        </w:rPr>
      </w:pPr>
      <w:r w:rsidRPr="002237F0">
        <w:rPr>
          <w:lang w:val="nl-NL"/>
        </w:rPr>
        <w:t>Minimumgarantievermogen zorgt voor marktinefficiëntie doordat banken andere regels opgelegd krijgen die andere marktpartijen niet kennen</w:t>
      </w:r>
      <w:sdt>
        <w:sdtPr>
          <w:rPr>
            <w:lang w:val="nl-NL"/>
          </w:rPr>
          <w:id w:val="2041169"/>
          <w:citation/>
        </w:sdtPr>
        <w:sdtContent>
          <w:r w:rsidR="003C13F3" w:rsidRPr="002237F0">
            <w:rPr>
              <w:lang w:val="nl-NL"/>
            </w:rPr>
            <w:fldChar w:fldCharType="begin"/>
          </w:r>
          <w:r w:rsidR="00595F0B" w:rsidRPr="002237F0">
            <w:rPr>
              <w:lang w:val="nl-NL"/>
            </w:rPr>
            <w:instrText xml:space="preserve"> CITATION DeA13 \l 1043 </w:instrText>
          </w:r>
          <w:r w:rsidR="003C13F3" w:rsidRPr="002237F0">
            <w:rPr>
              <w:lang w:val="nl-NL"/>
            </w:rPr>
            <w:fldChar w:fldCharType="separate"/>
          </w:r>
          <w:r w:rsidR="00595F0B" w:rsidRPr="002237F0">
            <w:rPr>
              <w:noProof/>
              <w:lang w:val="nl-NL"/>
            </w:rPr>
            <w:t xml:space="preserve"> (DeAngelo &amp; Stulz, 2013)</w:t>
          </w:r>
          <w:r w:rsidR="003C13F3" w:rsidRPr="002237F0">
            <w:rPr>
              <w:lang w:val="nl-NL"/>
            </w:rPr>
            <w:fldChar w:fldCharType="end"/>
          </w:r>
        </w:sdtContent>
      </w:sdt>
      <w:r w:rsidRPr="002237F0">
        <w:rPr>
          <w:lang w:val="nl-NL"/>
        </w:rPr>
        <w:t>;</w:t>
      </w:r>
    </w:p>
    <w:p w:rsidR="00892F65" w:rsidRPr="002237F0" w:rsidRDefault="00892F65" w:rsidP="00892F65">
      <w:pPr>
        <w:pStyle w:val="ListParagraph"/>
        <w:numPr>
          <w:ilvl w:val="0"/>
          <w:numId w:val="16"/>
        </w:numPr>
        <w:rPr>
          <w:lang w:val="nl-NL"/>
        </w:rPr>
      </w:pPr>
      <w:r w:rsidRPr="002237F0">
        <w:rPr>
          <w:lang w:val="nl-NL"/>
        </w:rPr>
        <w:t xml:space="preserve">De </w:t>
      </w:r>
      <w:proofErr w:type="spellStart"/>
      <w:r w:rsidRPr="002237F0">
        <w:rPr>
          <w:lang w:val="nl-NL"/>
        </w:rPr>
        <w:t>Basel-akkoorden</w:t>
      </w:r>
      <w:proofErr w:type="spellEnd"/>
      <w:r w:rsidRPr="002237F0">
        <w:rPr>
          <w:lang w:val="nl-NL"/>
        </w:rPr>
        <w:t xml:space="preserve"> discrimineren </w:t>
      </w:r>
      <w:proofErr w:type="gramStart"/>
      <w:r w:rsidRPr="002237F0">
        <w:rPr>
          <w:lang w:val="nl-NL"/>
        </w:rPr>
        <w:t>jegens</w:t>
      </w:r>
      <w:proofErr w:type="gramEnd"/>
      <w:r w:rsidRPr="002237F0">
        <w:rPr>
          <w:lang w:val="nl-NL"/>
        </w:rPr>
        <w:t xml:space="preserve"> partijen met een lagere kredietwaardigheid</w:t>
      </w:r>
      <w:sdt>
        <w:sdtPr>
          <w:rPr>
            <w:lang w:val="nl-NL"/>
          </w:rPr>
          <w:id w:val="2041170"/>
          <w:citation/>
        </w:sdtPr>
        <w:sdtContent>
          <w:r w:rsidR="003C13F3" w:rsidRPr="002237F0">
            <w:rPr>
              <w:lang w:val="nl-NL"/>
            </w:rPr>
            <w:fldChar w:fldCharType="begin"/>
          </w:r>
          <w:r w:rsidR="00595F0B" w:rsidRPr="002237F0">
            <w:rPr>
              <w:lang w:val="nl-NL"/>
            </w:rPr>
            <w:instrText xml:space="preserve"> CITATION Blu10 \l 1043 </w:instrText>
          </w:r>
          <w:r w:rsidR="003C13F3" w:rsidRPr="002237F0">
            <w:rPr>
              <w:lang w:val="nl-NL"/>
            </w:rPr>
            <w:fldChar w:fldCharType="separate"/>
          </w:r>
          <w:r w:rsidR="00595F0B" w:rsidRPr="002237F0">
            <w:rPr>
              <w:noProof/>
              <w:lang w:val="nl-NL"/>
            </w:rPr>
            <w:t xml:space="preserve"> (Atkinson &amp; Blundell-Wignall, 2010)</w:t>
          </w:r>
          <w:r w:rsidR="003C13F3" w:rsidRPr="002237F0">
            <w:rPr>
              <w:lang w:val="nl-NL"/>
            </w:rPr>
            <w:fldChar w:fldCharType="end"/>
          </w:r>
        </w:sdtContent>
      </w:sdt>
      <w:r w:rsidRPr="002237F0">
        <w:rPr>
          <w:lang w:val="nl-NL"/>
        </w:rPr>
        <w:t>.</w:t>
      </w:r>
    </w:p>
    <w:p w:rsidR="00B54FA4" w:rsidRPr="002237F0" w:rsidRDefault="00892F65" w:rsidP="00892F65">
      <w:pPr>
        <w:rPr>
          <w:lang w:val="nl-NL"/>
        </w:rPr>
      </w:pPr>
      <w:r w:rsidRPr="002237F0">
        <w:rPr>
          <w:lang w:val="nl-NL"/>
        </w:rPr>
        <w:t>De meest opvallende conclusie die</w:t>
      </w:r>
      <w:r w:rsidR="00595F0B" w:rsidRPr="002237F0">
        <w:rPr>
          <w:lang w:val="nl-NL"/>
        </w:rPr>
        <w:t xml:space="preserve"> naar aanleiding van dit onderzoek</w:t>
      </w:r>
      <w:r w:rsidRPr="002237F0">
        <w:rPr>
          <w:lang w:val="nl-NL"/>
        </w:rPr>
        <w:t xml:space="preserve"> getrokken kan worden uit de vergelijking met de problemen rondom de </w:t>
      </w:r>
      <w:proofErr w:type="spellStart"/>
      <w:r w:rsidRPr="002237F0">
        <w:rPr>
          <w:lang w:val="nl-NL"/>
        </w:rPr>
        <w:t>Basel-akkoorden</w:t>
      </w:r>
      <w:proofErr w:type="spellEnd"/>
      <w:r w:rsidRPr="002237F0">
        <w:rPr>
          <w:lang w:val="nl-NL"/>
        </w:rPr>
        <w:t xml:space="preserve"> en fair </w:t>
      </w:r>
      <w:proofErr w:type="spellStart"/>
      <w:r w:rsidRPr="002237F0">
        <w:rPr>
          <w:lang w:val="nl-NL"/>
        </w:rPr>
        <w:t>value</w:t>
      </w:r>
      <w:proofErr w:type="spellEnd"/>
      <w:r w:rsidRPr="002237F0">
        <w:rPr>
          <w:lang w:val="nl-NL"/>
        </w:rPr>
        <w:t xml:space="preserve"> accounting, is dat fair </w:t>
      </w:r>
      <w:proofErr w:type="spellStart"/>
      <w:r w:rsidRPr="002237F0">
        <w:rPr>
          <w:lang w:val="nl-NL"/>
        </w:rPr>
        <w:t>value</w:t>
      </w:r>
      <w:proofErr w:type="spellEnd"/>
      <w:r w:rsidRPr="002237F0">
        <w:rPr>
          <w:lang w:val="nl-NL"/>
        </w:rPr>
        <w:t xml:space="preserve"> accounting in principe de problemen laat zien die in een aantal gevallen door de </w:t>
      </w:r>
      <w:proofErr w:type="spellStart"/>
      <w:r w:rsidRPr="002237F0">
        <w:rPr>
          <w:lang w:val="nl-NL"/>
        </w:rPr>
        <w:t>Basel-akkoorden</w:t>
      </w:r>
      <w:proofErr w:type="spellEnd"/>
      <w:r w:rsidRPr="002237F0">
        <w:rPr>
          <w:lang w:val="nl-NL"/>
        </w:rPr>
        <w:t xml:space="preserve"> gecreëerd worden.</w:t>
      </w:r>
      <w:r w:rsidR="00B54FA4" w:rsidRPr="002237F0">
        <w:rPr>
          <w:lang w:val="nl-NL"/>
        </w:rPr>
        <w:t xml:space="preserve"> Zo is de angst dat er een minimumgarantievermogen overschreden wordt, een reden waarom er activa verkocht worden en waarom de neerwaartse spiraal ontstaat. Daarnaast is de problematiek van de hypothekenmarkt mede mogelijk gemaakt</w:t>
      </w:r>
      <w:r w:rsidR="00595F0B" w:rsidRPr="002237F0">
        <w:rPr>
          <w:lang w:val="nl-NL"/>
        </w:rPr>
        <w:t xml:space="preserve"> door</w:t>
      </w:r>
      <w:r w:rsidR="00B54FA4" w:rsidRPr="002237F0">
        <w:rPr>
          <w:lang w:val="nl-NL"/>
        </w:rPr>
        <w:t xml:space="preserve"> de </w:t>
      </w:r>
      <w:proofErr w:type="spellStart"/>
      <w:r w:rsidR="00B54FA4" w:rsidRPr="002237F0">
        <w:rPr>
          <w:lang w:val="nl-NL"/>
        </w:rPr>
        <w:t>Basel-akkoorden</w:t>
      </w:r>
      <w:proofErr w:type="spellEnd"/>
      <w:r w:rsidR="00B54FA4" w:rsidRPr="002237F0">
        <w:rPr>
          <w:lang w:val="nl-NL"/>
        </w:rPr>
        <w:t xml:space="preserve">. Naar aanleiding van deze bevindingen is het volgens dit onderzoek verstandiger om te zoeken naar bankregels die wel zekerheid creëren, maar geen marktschommelingen veroorzaken. Het afstappen van een fair </w:t>
      </w:r>
      <w:proofErr w:type="spellStart"/>
      <w:r w:rsidR="00B54FA4" w:rsidRPr="002237F0">
        <w:rPr>
          <w:lang w:val="nl-NL"/>
        </w:rPr>
        <w:t>value</w:t>
      </w:r>
      <w:proofErr w:type="spellEnd"/>
      <w:r w:rsidR="00B54FA4" w:rsidRPr="002237F0">
        <w:rPr>
          <w:lang w:val="nl-NL"/>
        </w:rPr>
        <w:t xml:space="preserve"> waardering zou de schijn wel op kunnen houden dat banken gezond zijn, maar laat de werkelijkheid niet zien.</w:t>
      </w:r>
      <w:r w:rsidR="00595F0B" w:rsidRPr="002237F0">
        <w:rPr>
          <w:lang w:val="nl-NL"/>
        </w:rPr>
        <w:t xml:space="preserve"> Daarom moet nog een amendement als dat van 2008 in de toekomst voorkomen worden.</w:t>
      </w:r>
      <w:r w:rsidR="00B54FA4" w:rsidRPr="002237F0">
        <w:rPr>
          <w:lang w:val="nl-NL"/>
        </w:rPr>
        <w:t xml:space="preserve"> Dit onderzoek komt tot de conclusie dat het vereiste van relevantie enkel gediend is bij waardering tegen fair </w:t>
      </w:r>
      <w:proofErr w:type="spellStart"/>
      <w:r w:rsidR="00B54FA4" w:rsidRPr="002237F0">
        <w:rPr>
          <w:lang w:val="nl-NL"/>
        </w:rPr>
        <w:t>value</w:t>
      </w:r>
      <w:proofErr w:type="spellEnd"/>
      <w:r w:rsidR="00B54FA4" w:rsidRPr="002237F0">
        <w:rPr>
          <w:lang w:val="nl-NL"/>
        </w:rPr>
        <w:t xml:space="preserve">. Betrouwbaarheid is volgens dit onderzoek ook het beste gediend bij fair </w:t>
      </w:r>
      <w:proofErr w:type="spellStart"/>
      <w:r w:rsidR="00B54FA4" w:rsidRPr="002237F0">
        <w:rPr>
          <w:lang w:val="nl-NL"/>
        </w:rPr>
        <w:t>value</w:t>
      </w:r>
      <w:proofErr w:type="spellEnd"/>
      <w:r w:rsidR="00B54FA4" w:rsidRPr="002237F0">
        <w:rPr>
          <w:lang w:val="nl-NL"/>
        </w:rPr>
        <w:t xml:space="preserve"> accounting. De waarde van financiële instrumenten fluctueert weliswaar nogal, maar dit is markteigen. Als slotconclusie van dit onderzoek kan meegedeeld worden dat de op handen zijnde verandering van IAS 39 naar IFRS 9 een positieve ontwikkeling is. Er is duidelijk welke waarderingsmaatstaf gebruikt moet worden, en afwijking hiervan is zelden mogelijk.</w:t>
      </w:r>
      <w:r w:rsidR="00595F0B" w:rsidRPr="002237F0">
        <w:rPr>
          <w:lang w:val="nl-NL"/>
        </w:rPr>
        <w:t xml:space="preserve"> Het amendement wordt in feite weer ongedaan gemaakt.</w:t>
      </w:r>
      <w:r w:rsidR="00B54FA4" w:rsidRPr="002237F0">
        <w:rPr>
          <w:lang w:val="nl-NL"/>
        </w:rPr>
        <w:t xml:space="preserve"> Dit zal het vertrouwen van investeerders in financië</w:t>
      </w:r>
      <w:r w:rsidR="00595F0B" w:rsidRPr="002237F0">
        <w:rPr>
          <w:lang w:val="nl-NL"/>
        </w:rPr>
        <w:t>le verslaggeving doen toenemen.</w:t>
      </w:r>
    </w:p>
    <w:p w:rsidR="00B54FA4" w:rsidRPr="002237F0" w:rsidRDefault="00E41C34" w:rsidP="00892F65">
      <w:pPr>
        <w:rPr>
          <w:b/>
          <w:sz w:val="28"/>
          <w:lang w:val="nl-NL"/>
        </w:rPr>
      </w:pPr>
      <w:bookmarkStart w:id="0" w:name="_GoBack"/>
      <w:bookmarkEnd w:id="0"/>
      <w:r w:rsidRPr="002237F0">
        <w:rPr>
          <w:b/>
          <w:sz w:val="28"/>
          <w:lang w:val="nl-NL"/>
        </w:rPr>
        <w:t>5.4. De toekomst</w:t>
      </w:r>
    </w:p>
    <w:p w:rsidR="005620AD" w:rsidRPr="002237F0" w:rsidRDefault="00E41C34" w:rsidP="00A13C26">
      <w:pPr>
        <w:rPr>
          <w:lang w:val="nl-NL"/>
        </w:rPr>
      </w:pPr>
      <w:r w:rsidRPr="002237F0">
        <w:rPr>
          <w:lang w:val="nl-NL"/>
        </w:rPr>
        <w:t xml:space="preserve">Wat nu? </w:t>
      </w:r>
      <w:r w:rsidR="00595F0B" w:rsidRPr="002237F0">
        <w:rPr>
          <w:lang w:val="nl-NL"/>
        </w:rPr>
        <w:t>Dit onderzoek heeft</w:t>
      </w:r>
      <w:r w:rsidR="006C5A71" w:rsidRPr="002237F0">
        <w:rPr>
          <w:lang w:val="nl-NL"/>
        </w:rPr>
        <w:t xml:space="preserve"> geconcludeerd</w:t>
      </w:r>
      <w:r w:rsidRPr="002237F0">
        <w:rPr>
          <w:lang w:val="nl-NL"/>
        </w:rPr>
        <w:t xml:space="preserve"> dat fair </w:t>
      </w:r>
      <w:proofErr w:type="spellStart"/>
      <w:r w:rsidRPr="002237F0">
        <w:rPr>
          <w:lang w:val="nl-NL"/>
        </w:rPr>
        <w:t>value</w:t>
      </w:r>
      <w:proofErr w:type="spellEnd"/>
      <w:r w:rsidRPr="002237F0">
        <w:rPr>
          <w:lang w:val="nl-NL"/>
        </w:rPr>
        <w:t xml:space="preserve"> accounting geen oorzaak is geweest voor diverse geconstateerde problemen in de kredietcrisis. Betekent dit dat alles gelaten moet worden zoals het is? Dat zeker niet. Zoals eerder in </w:t>
      </w:r>
      <w:r w:rsidR="00595F0B" w:rsidRPr="002237F0">
        <w:rPr>
          <w:lang w:val="nl-NL"/>
        </w:rPr>
        <w:t>dit hoofdstuk naar voren is gekomen</w:t>
      </w:r>
      <w:r w:rsidRPr="002237F0">
        <w:rPr>
          <w:lang w:val="nl-NL"/>
        </w:rPr>
        <w:t xml:space="preserve">, moet er gezocht worden naar oplossingen die de zekerheid van het financiële systeem vergroten, maar zo min mogelijk invloed hebben op de werking van het financiële systeem. De eerste twee </w:t>
      </w:r>
      <w:proofErr w:type="spellStart"/>
      <w:r w:rsidRPr="002237F0">
        <w:rPr>
          <w:lang w:val="nl-NL"/>
        </w:rPr>
        <w:t>Basel-akkoorden</w:t>
      </w:r>
      <w:proofErr w:type="spellEnd"/>
      <w:r w:rsidRPr="002237F0">
        <w:rPr>
          <w:lang w:val="nl-NL"/>
        </w:rPr>
        <w:t xml:space="preserve"> probeerden namelijk te zorgen voor stabiliteit, maar bereikten ook het tegenovergestelde. De volgende problemen </w:t>
      </w:r>
      <w:r w:rsidR="00595F0B" w:rsidRPr="002237F0">
        <w:rPr>
          <w:lang w:val="nl-NL"/>
        </w:rPr>
        <w:t xml:space="preserve">hebben nog een oplossing </w:t>
      </w:r>
      <w:proofErr w:type="gramStart"/>
      <w:r w:rsidR="00595F0B" w:rsidRPr="002237F0">
        <w:rPr>
          <w:lang w:val="nl-NL"/>
        </w:rPr>
        <w:t>nodig</w:t>
      </w:r>
      <w:r w:rsidRPr="002237F0">
        <w:rPr>
          <w:lang w:val="nl-NL"/>
        </w:rPr>
        <w:t xml:space="preserve">:  </w:t>
      </w:r>
      <w:proofErr w:type="gramEnd"/>
    </w:p>
    <w:p w:rsidR="00205E35" w:rsidRPr="002237F0" w:rsidRDefault="00332104" w:rsidP="00332104">
      <w:pPr>
        <w:pStyle w:val="ListParagraph"/>
        <w:numPr>
          <w:ilvl w:val="0"/>
          <w:numId w:val="29"/>
        </w:numPr>
        <w:rPr>
          <w:lang w:val="nl-NL"/>
        </w:rPr>
      </w:pPr>
      <w:r w:rsidRPr="002237F0">
        <w:rPr>
          <w:lang w:val="nl-NL"/>
        </w:rPr>
        <w:t xml:space="preserve">De vraag wat er met de waardering van activa moet gebeuren als er sprake is van een inactieve markt, is onopgelost. Waardering naar fair </w:t>
      </w:r>
      <w:proofErr w:type="spellStart"/>
      <w:r w:rsidRPr="002237F0">
        <w:rPr>
          <w:lang w:val="nl-NL"/>
        </w:rPr>
        <w:t>value</w:t>
      </w:r>
      <w:proofErr w:type="spellEnd"/>
      <w:r w:rsidRPr="002237F0">
        <w:rPr>
          <w:lang w:val="nl-NL"/>
        </w:rPr>
        <w:t xml:space="preserve"> </w:t>
      </w:r>
      <w:r w:rsidR="00205E35" w:rsidRPr="002237F0">
        <w:rPr>
          <w:lang w:val="nl-NL"/>
        </w:rPr>
        <w:t>laat een enorme prijsdaling zien, maar dat is wel de reële waarde van dat moment.</w:t>
      </w:r>
      <w:r w:rsidR="00E41C34" w:rsidRPr="002237F0">
        <w:rPr>
          <w:lang w:val="nl-NL"/>
        </w:rPr>
        <w:t xml:space="preserve"> </w:t>
      </w:r>
      <w:r w:rsidR="00595F0B" w:rsidRPr="002237F0">
        <w:rPr>
          <w:lang w:val="nl-NL"/>
        </w:rPr>
        <w:t>De vraag is of er gekozen moet worden voor een waardering die zich meer richt op de lange termijn.</w:t>
      </w:r>
    </w:p>
    <w:p w:rsidR="00205E35" w:rsidRPr="002237F0" w:rsidRDefault="00205E35" w:rsidP="00332104">
      <w:pPr>
        <w:pStyle w:val="ListParagraph"/>
        <w:numPr>
          <w:ilvl w:val="0"/>
          <w:numId w:val="29"/>
        </w:numPr>
        <w:rPr>
          <w:lang w:val="nl-NL"/>
        </w:rPr>
      </w:pPr>
      <w:r w:rsidRPr="002237F0">
        <w:rPr>
          <w:lang w:val="nl-NL"/>
        </w:rPr>
        <w:t>Kapitaalminima zullen ook in de toekomst ook een probleem zijn. Als een bank dicht bij het minimumgarantievermogen komt, past het zijn gedrag aan om overschrijding van</w:t>
      </w:r>
      <w:r w:rsidR="00373D41" w:rsidRPr="002237F0">
        <w:rPr>
          <w:lang w:val="nl-NL"/>
        </w:rPr>
        <w:t xml:space="preserve"> dit vermogen te voorkomen. D</w:t>
      </w:r>
      <w:r w:rsidRPr="002237F0">
        <w:rPr>
          <w:lang w:val="nl-NL"/>
        </w:rPr>
        <w:t>it heeft vele negatieve effecten.</w:t>
      </w:r>
      <w:r w:rsidR="00595F0B" w:rsidRPr="002237F0">
        <w:rPr>
          <w:lang w:val="nl-NL"/>
        </w:rPr>
        <w:t xml:space="preserve"> Dit doet de vraag rijzen hoe streng kapitaalminima in de toekomst moeten zijn.</w:t>
      </w:r>
    </w:p>
    <w:p w:rsidR="00205E35" w:rsidRPr="002237F0" w:rsidRDefault="00595F0B" w:rsidP="00332104">
      <w:pPr>
        <w:pStyle w:val="ListParagraph"/>
        <w:numPr>
          <w:ilvl w:val="0"/>
          <w:numId w:val="29"/>
        </w:numPr>
        <w:rPr>
          <w:lang w:val="nl-NL"/>
        </w:rPr>
      </w:pPr>
      <w:r w:rsidRPr="002237F0">
        <w:rPr>
          <w:lang w:val="nl-NL"/>
        </w:rPr>
        <w:t>Economisch opgaande trends</w:t>
      </w:r>
      <w:r w:rsidR="00205E35" w:rsidRPr="002237F0">
        <w:rPr>
          <w:lang w:val="nl-NL"/>
        </w:rPr>
        <w:t xml:space="preserve"> en fair </w:t>
      </w:r>
      <w:proofErr w:type="spellStart"/>
      <w:r w:rsidR="00205E35" w:rsidRPr="002237F0">
        <w:rPr>
          <w:lang w:val="nl-NL"/>
        </w:rPr>
        <w:t>value</w:t>
      </w:r>
      <w:proofErr w:type="spellEnd"/>
      <w:r w:rsidR="00205E35" w:rsidRPr="002237F0">
        <w:rPr>
          <w:lang w:val="nl-NL"/>
        </w:rPr>
        <w:t xml:space="preserve"> accounting blijven een moeilijke combinatie. </w:t>
      </w:r>
      <w:r w:rsidRPr="002237F0">
        <w:rPr>
          <w:lang w:val="nl-NL"/>
        </w:rPr>
        <w:t>Hieruit volgt de vraag hoe het beste omgegaan kan worden met waardering van instrumenten bij een opgaande economische trend.</w:t>
      </w:r>
    </w:p>
    <w:p w:rsidR="00205E35" w:rsidRPr="002237F0" w:rsidRDefault="00205E35" w:rsidP="00332104">
      <w:pPr>
        <w:pStyle w:val="ListParagraph"/>
        <w:numPr>
          <w:ilvl w:val="0"/>
          <w:numId w:val="29"/>
        </w:numPr>
        <w:rPr>
          <w:lang w:val="nl-NL"/>
        </w:rPr>
      </w:pPr>
      <w:r w:rsidRPr="002237F0">
        <w:rPr>
          <w:lang w:val="nl-NL"/>
        </w:rPr>
        <w:t xml:space="preserve">Interessant is de rol van grote banken en kleine banken. Naar aanleiding van de </w:t>
      </w:r>
      <w:proofErr w:type="spellStart"/>
      <w:r w:rsidRPr="002237F0">
        <w:rPr>
          <w:lang w:val="nl-NL"/>
        </w:rPr>
        <w:t>globaliserende</w:t>
      </w:r>
      <w:proofErr w:type="spellEnd"/>
      <w:r w:rsidRPr="002237F0">
        <w:rPr>
          <w:lang w:val="nl-NL"/>
        </w:rPr>
        <w:t xml:space="preserve"> markt zijn er banken aangewezen die ‘</w:t>
      </w:r>
      <w:proofErr w:type="spellStart"/>
      <w:r w:rsidRPr="002237F0">
        <w:rPr>
          <w:lang w:val="nl-NL"/>
        </w:rPr>
        <w:t>too</w:t>
      </w:r>
      <w:proofErr w:type="spellEnd"/>
      <w:r w:rsidRPr="002237F0">
        <w:rPr>
          <w:lang w:val="nl-NL"/>
        </w:rPr>
        <w:t xml:space="preserve"> big to </w:t>
      </w:r>
      <w:proofErr w:type="spellStart"/>
      <w:r w:rsidRPr="002237F0">
        <w:rPr>
          <w:lang w:val="nl-NL"/>
        </w:rPr>
        <w:t>fail</w:t>
      </w:r>
      <w:proofErr w:type="spellEnd"/>
      <w:r w:rsidRPr="002237F0">
        <w:rPr>
          <w:lang w:val="nl-NL"/>
        </w:rPr>
        <w:t xml:space="preserve"> zijn’. Dit levert een relatief voordeel op voor grotere banken. Ook complexe regelgeving</w:t>
      </w:r>
      <w:r w:rsidR="00E41C34" w:rsidRPr="002237F0">
        <w:rPr>
          <w:lang w:val="nl-NL"/>
        </w:rPr>
        <w:t xml:space="preserve"> en risicowegingen geven</w:t>
      </w:r>
      <w:r w:rsidRPr="002237F0">
        <w:rPr>
          <w:lang w:val="nl-NL"/>
        </w:rPr>
        <w:t xml:space="preserve"> een relatief </w:t>
      </w:r>
      <w:r w:rsidR="00E41C34" w:rsidRPr="002237F0">
        <w:rPr>
          <w:lang w:val="nl-NL"/>
        </w:rPr>
        <w:t>groter nadeel voor kleine</w:t>
      </w:r>
      <w:r w:rsidRPr="002237F0">
        <w:rPr>
          <w:lang w:val="nl-NL"/>
        </w:rPr>
        <w:t xml:space="preserve"> banken. </w:t>
      </w:r>
      <w:r w:rsidR="00595F0B" w:rsidRPr="002237F0">
        <w:rPr>
          <w:lang w:val="nl-NL"/>
        </w:rPr>
        <w:t>De vraag welke rol kleine banken zouden moeten spelen in het toekomstige financiële systeem is onbeantwoord.</w:t>
      </w:r>
    </w:p>
    <w:p w:rsidR="007202E9" w:rsidRPr="002237F0" w:rsidRDefault="00595F0B" w:rsidP="007202E9">
      <w:pPr>
        <w:pStyle w:val="ListParagraph"/>
        <w:numPr>
          <w:ilvl w:val="0"/>
          <w:numId w:val="29"/>
        </w:numPr>
        <w:rPr>
          <w:lang w:val="nl-NL"/>
        </w:rPr>
      </w:pPr>
      <w:r w:rsidRPr="002237F0">
        <w:rPr>
          <w:lang w:val="nl-NL"/>
        </w:rPr>
        <w:t>Het laatste punt gaat over</w:t>
      </w:r>
      <w:r w:rsidR="00C12177" w:rsidRPr="002237F0">
        <w:rPr>
          <w:lang w:val="nl-NL"/>
        </w:rPr>
        <w:t xml:space="preserve"> de</w:t>
      </w:r>
      <w:r w:rsidRPr="002237F0">
        <w:rPr>
          <w:lang w:val="nl-NL"/>
        </w:rPr>
        <w:t xml:space="preserve"> </w:t>
      </w:r>
      <w:proofErr w:type="spellStart"/>
      <w:r w:rsidRPr="002237F0">
        <w:rPr>
          <w:lang w:val="nl-NL"/>
        </w:rPr>
        <w:t>u</w:t>
      </w:r>
      <w:r w:rsidR="00205E35" w:rsidRPr="002237F0">
        <w:rPr>
          <w:lang w:val="nl-NL"/>
        </w:rPr>
        <w:t>niformele</w:t>
      </w:r>
      <w:proofErr w:type="spellEnd"/>
      <w:r w:rsidR="00205E35" w:rsidRPr="002237F0">
        <w:rPr>
          <w:lang w:val="nl-NL"/>
        </w:rPr>
        <w:t xml:space="preserve"> toepassing van fair </w:t>
      </w:r>
      <w:proofErr w:type="spellStart"/>
      <w:r w:rsidR="00205E35" w:rsidRPr="002237F0">
        <w:rPr>
          <w:lang w:val="nl-NL"/>
        </w:rPr>
        <w:t>value</w:t>
      </w:r>
      <w:proofErr w:type="spellEnd"/>
      <w:r w:rsidR="00205E35" w:rsidRPr="002237F0">
        <w:rPr>
          <w:lang w:val="nl-NL"/>
        </w:rPr>
        <w:t xml:space="preserve">. Gezien de aard van bepaalde instrumenten, zoals deposito’s en leningen, is het moeilijk om over de gehele balans van een bank fair </w:t>
      </w:r>
      <w:proofErr w:type="spellStart"/>
      <w:r w:rsidR="00205E35" w:rsidRPr="002237F0">
        <w:rPr>
          <w:lang w:val="nl-NL"/>
        </w:rPr>
        <w:t>value</w:t>
      </w:r>
      <w:proofErr w:type="spellEnd"/>
      <w:r w:rsidR="00205E35" w:rsidRPr="002237F0">
        <w:rPr>
          <w:lang w:val="nl-NL"/>
        </w:rPr>
        <w:t xml:space="preserve"> waardering toe te passen. Dit is echter wel gewenst, zodat alle posten op een balans op dezelfde manier reageren op </w:t>
      </w:r>
      <w:r w:rsidR="007202E9" w:rsidRPr="002237F0">
        <w:rPr>
          <w:lang w:val="nl-NL"/>
        </w:rPr>
        <w:t>marktfluctuaties</w:t>
      </w:r>
      <w:r w:rsidRPr="002237F0">
        <w:rPr>
          <w:lang w:val="nl-NL"/>
        </w:rPr>
        <w:t>.</w:t>
      </w:r>
    </w:p>
    <w:p w:rsidR="00E41C34" w:rsidRPr="002237F0" w:rsidRDefault="007202E9" w:rsidP="007202E9">
      <w:pPr>
        <w:rPr>
          <w:lang w:val="nl-NL"/>
        </w:rPr>
      </w:pPr>
      <w:r w:rsidRPr="002237F0">
        <w:rPr>
          <w:lang w:val="nl-NL"/>
        </w:rPr>
        <w:t>Het grootste geconstateerd</w:t>
      </w:r>
      <w:r w:rsidR="00595F0B" w:rsidRPr="002237F0">
        <w:rPr>
          <w:lang w:val="nl-NL"/>
        </w:rPr>
        <w:t>e probleem binnen dit onderzoek</w:t>
      </w:r>
      <w:r w:rsidRPr="002237F0">
        <w:rPr>
          <w:lang w:val="nl-NL"/>
        </w:rPr>
        <w:t xml:space="preserve"> is dat de risico’s die gepaard gaan met internationaal bankieren erg groot worden. Fair </w:t>
      </w:r>
      <w:proofErr w:type="spellStart"/>
      <w:r w:rsidRPr="002237F0">
        <w:rPr>
          <w:lang w:val="nl-NL"/>
        </w:rPr>
        <w:t>value</w:t>
      </w:r>
      <w:proofErr w:type="spellEnd"/>
      <w:r w:rsidRPr="002237F0">
        <w:rPr>
          <w:lang w:val="nl-NL"/>
        </w:rPr>
        <w:t xml:space="preserve"> accounting heeft de schuld gekregen, terwijl het slecht de risico’s heeft blootgelegd. Er is in deze scriptie geen reden gevonden waarom fair </w:t>
      </w:r>
      <w:proofErr w:type="spellStart"/>
      <w:r w:rsidRPr="002237F0">
        <w:rPr>
          <w:lang w:val="nl-NL"/>
        </w:rPr>
        <w:t>value</w:t>
      </w:r>
      <w:proofErr w:type="spellEnd"/>
      <w:r w:rsidRPr="002237F0">
        <w:rPr>
          <w:lang w:val="nl-NL"/>
        </w:rPr>
        <w:t xml:space="preserve"> niet toegepast zou kunnen worden op financiële instrumenten. Echter, er zijn wel situaties gevonden waarbij fair </w:t>
      </w:r>
      <w:proofErr w:type="spellStart"/>
      <w:r w:rsidRPr="002237F0">
        <w:rPr>
          <w:lang w:val="nl-NL"/>
        </w:rPr>
        <w:t>value</w:t>
      </w:r>
      <w:proofErr w:type="spellEnd"/>
      <w:r w:rsidRPr="002237F0">
        <w:rPr>
          <w:lang w:val="nl-NL"/>
        </w:rPr>
        <w:t xml:space="preserve"> accounting zijn doel niet meer dient, en zorgt voor instabiliteit. Dit is het geval bij veel regelgeving die de laatste 15 jaar is ontworpen door internationale instanties.</w:t>
      </w:r>
    </w:p>
    <w:p w:rsidR="00E41C34" w:rsidRPr="002237F0" w:rsidRDefault="007202E9" w:rsidP="007202E9">
      <w:pPr>
        <w:rPr>
          <w:lang w:val="nl-NL"/>
        </w:rPr>
      </w:pPr>
      <w:r w:rsidRPr="002237F0">
        <w:rPr>
          <w:lang w:val="nl-NL"/>
        </w:rPr>
        <w:t xml:space="preserve">Internationalisering en schaalvergroting zijn </w:t>
      </w:r>
      <w:r w:rsidR="00595F0B" w:rsidRPr="002237F0">
        <w:rPr>
          <w:lang w:val="nl-NL"/>
        </w:rPr>
        <w:t>oorzaken van</w:t>
      </w:r>
      <w:r w:rsidRPr="002237F0">
        <w:rPr>
          <w:lang w:val="nl-NL"/>
        </w:rPr>
        <w:t xml:space="preserve"> de grote marktschommelingen die de wereld de afgelopen jaren ge</w:t>
      </w:r>
      <w:r w:rsidR="00595F0B" w:rsidRPr="002237F0">
        <w:rPr>
          <w:lang w:val="nl-NL"/>
        </w:rPr>
        <w:t>kend heeft. Het is volgens dit onderzoek</w:t>
      </w:r>
      <w:r w:rsidRPr="002237F0">
        <w:rPr>
          <w:lang w:val="nl-NL"/>
        </w:rPr>
        <w:t>, samen met d</w:t>
      </w:r>
      <w:r w:rsidR="00595F0B" w:rsidRPr="002237F0">
        <w:rPr>
          <w:lang w:val="nl-NL"/>
        </w:rPr>
        <w:t>at</w:t>
      </w:r>
      <w:r w:rsidRPr="002237F0">
        <w:rPr>
          <w:lang w:val="nl-NL"/>
        </w:rPr>
        <w:t xml:space="preserve"> van </w:t>
      </w:r>
      <w:proofErr w:type="spellStart"/>
      <w:r w:rsidRPr="002237F0">
        <w:rPr>
          <w:lang w:val="nl-NL"/>
        </w:rPr>
        <w:t>Levinson</w:t>
      </w:r>
      <w:proofErr w:type="spellEnd"/>
      <w:r w:rsidR="00E41C34" w:rsidRPr="002237F0">
        <w:rPr>
          <w:rStyle w:val="FootnoteReference"/>
          <w:lang w:val="nl-NL"/>
        </w:rPr>
        <w:footnoteReference w:id="8"/>
      </w:r>
      <w:r w:rsidRPr="002237F0">
        <w:rPr>
          <w:lang w:val="nl-NL"/>
        </w:rPr>
        <w:t xml:space="preserve">, noodzakelijk om verantwoordelijkheid binnen het financiële systeem terug te brengen naar nationale instanties, die ook </w:t>
      </w:r>
      <w:proofErr w:type="spellStart"/>
      <w:r w:rsidRPr="002237F0">
        <w:rPr>
          <w:lang w:val="nl-NL"/>
        </w:rPr>
        <w:t>regelgeven</w:t>
      </w:r>
      <w:proofErr w:type="spellEnd"/>
      <w:r w:rsidRPr="002237F0">
        <w:rPr>
          <w:lang w:val="nl-NL"/>
        </w:rPr>
        <w:t xml:space="preserve">. Daarbij moet wel de vergelijkbaarheid van financiële rapportage op internationaal gebied in acht worden genomen. </w:t>
      </w:r>
    </w:p>
    <w:p w:rsidR="006C5A71" w:rsidRPr="002237F0" w:rsidRDefault="00595F0B" w:rsidP="007202E9">
      <w:pPr>
        <w:rPr>
          <w:lang w:val="nl-NL"/>
        </w:rPr>
      </w:pPr>
      <w:r w:rsidRPr="002237F0">
        <w:rPr>
          <w:lang w:val="nl-NL"/>
        </w:rPr>
        <w:t>Dit onderzoek concludeert dat het</w:t>
      </w:r>
      <w:r w:rsidR="00E41C34" w:rsidRPr="002237F0">
        <w:rPr>
          <w:lang w:val="nl-NL"/>
        </w:rPr>
        <w:t xml:space="preserve"> gevaarlijk</w:t>
      </w:r>
      <w:r w:rsidRPr="002237F0">
        <w:rPr>
          <w:lang w:val="nl-NL"/>
        </w:rPr>
        <w:t xml:space="preserve"> is</w:t>
      </w:r>
      <w:r w:rsidR="00E41C34" w:rsidRPr="002237F0">
        <w:rPr>
          <w:lang w:val="nl-NL"/>
        </w:rPr>
        <w:t xml:space="preserve"> alle landen ter wereld bloot te leggen aan dezelfde regulering voor banken. Een regel met minder goede uitwerking zal globaal zijn effect hebben, en res</w:t>
      </w:r>
      <w:r w:rsidRPr="002237F0">
        <w:rPr>
          <w:lang w:val="nl-NL"/>
        </w:rPr>
        <w:t>ulteren in een crisis die de wereld nu kent</w:t>
      </w:r>
      <w:r w:rsidR="00E41C34" w:rsidRPr="002237F0">
        <w:rPr>
          <w:lang w:val="nl-NL"/>
        </w:rPr>
        <w:t xml:space="preserve">. </w:t>
      </w:r>
      <w:r w:rsidR="006C5A71" w:rsidRPr="002237F0">
        <w:rPr>
          <w:lang w:val="nl-NL"/>
        </w:rPr>
        <w:t>Verschillende regels voor banken</w:t>
      </w:r>
      <w:r w:rsidRPr="002237F0">
        <w:rPr>
          <w:lang w:val="nl-NL"/>
        </w:rPr>
        <w:t xml:space="preserve"> op internationaal gebied zorgen ervoor</w:t>
      </w:r>
      <w:r w:rsidR="006C5A71" w:rsidRPr="002237F0">
        <w:rPr>
          <w:lang w:val="nl-NL"/>
        </w:rPr>
        <w:t xml:space="preserve"> dat foute regelgeving een</w:t>
      </w:r>
      <w:r w:rsidRPr="002237F0">
        <w:rPr>
          <w:lang w:val="nl-NL"/>
        </w:rPr>
        <w:t xml:space="preserve"> minder ingrijpend effect heeft</w:t>
      </w:r>
      <w:r w:rsidR="006C5A71" w:rsidRPr="002237F0">
        <w:rPr>
          <w:lang w:val="nl-NL"/>
        </w:rPr>
        <w:t xml:space="preserve"> en creëert concurrentie tussen verschillende accountingsystemen. Het is weliswaar niet onderwerp van deze scriptie, maar na het doen van dit onderzoek lijkt het voor de hand liggend dat te strenge regulering enkel averechts </w:t>
      </w:r>
      <w:proofErr w:type="gramStart"/>
      <w:r w:rsidR="006C5A71" w:rsidRPr="002237F0">
        <w:rPr>
          <w:lang w:val="nl-NL"/>
        </w:rPr>
        <w:t xml:space="preserve">werkt.  </w:t>
      </w:r>
      <w:proofErr w:type="gramEnd"/>
    </w:p>
    <w:p w:rsidR="006C5A71" w:rsidRPr="002237F0" w:rsidRDefault="006C5A71" w:rsidP="00A13C26">
      <w:pPr>
        <w:rPr>
          <w:lang w:val="nl-NL"/>
        </w:rPr>
      </w:pPr>
      <w:r w:rsidRPr="002237F0">
        <w:rPr>
          <w:lang w:val="nl-NL"/>
        </w:rPr>
        <w:t>Concluderend:</w:t>
      </w:r>
      <w:r w:rsidR="00E41C34" w:rsidRPr="002237F0">
        <w:rPr>
          <w:lang w:val="nl-NL"/>
        </w:rPr>
        <w:t xml:space="preserve"> i</w:t>
      </w:r>
      <w:r w:rsidR="007202E9" w:rsidRPr="002237F0">
        <w:rPr>
          <w:lang w:val="nl-NL"/>
        </w:rPr>
        <w:t>nternationale accountingstandaarden, die enk</w:t>
      </w:r>
      <w:r w:rsidRPr="002237F0">
        <w:rPr>
          <w:lang w:val="nl-NL"/>
        </w:rPr>
        <w:t>el de feiten weergeven, dienen</w:t>
      </w:r>
      <w:r w:rsidR="007202E9" w:rsidRPr="002237F0">
        <w:rPr>
          <w:lang w:val="nl-NL"/>
        </w:rPr>
        <w:t xml:space="preserve"> zoveel mogelijk gecongrueerd te worden</w:t>
      </w:r>
      <w:r w:rsidR="00D274CE" w:rsidRPr="002237F0">
        <w:rPr>
          <w:lang w:val="nl-NL"/>
        </w:rPr>
        <w:t xml:space="preserve"> en de fair </w:t>
      </w:r>
      <w:proofErr w:type="spellStart"/>
      <w:r w:rsidR="00D274CE" w:rsidRPr="002237F0">
        <w:rPr>
          <w:lang w:val="nl-NL"/>
        </w:rPr>
        <w:t>value</w:t>
      </w:r>
      <w:proofErr w:type="spellEnd"/>
      <w:r w:rsidR="00D274CE" w:rsidRPr="002237F0">
        <w:rPr>
          <w:lang w:val="nl-NL"/>
        </w:rPr>
        <w:t xml:space="preserve"> weer te geven</w:t>
      </w:r>
      <w:r w:rsidR="007202E9" w:rsidRPr="002237F0">
        <w:rPr>
          <w:lang w:val="nl-NL"/>
        </w:rPr>
        <w:t xml:space="preserve">. Bankregulering, die de daadwerkelijke resultaten van een </w:t>
      </w:r>
      <w:r w:rsidR="007202E9" w:rsidRPr="002237F0">
        <w:rPr>
          <w:rFonts w:cstheme="minorHAnsi"/>
          <w:lang w:val="nl-NL"/>
        </w:rPr>
        <w:t>bank beïnvloedt</w:t>
      </w:r>
      <w:r w:rsidR="007202E9" w:rsidRPr="002237F0">
        <w:rPr>
          <w:lang w:val="nl-NL"/>
        </w:rPr>
        <w:t xml:space="preserve">, zou </w:t>
      </w:r>
      <w:proofErr w:type="gramStart"/>
      <w:r w:rsidR="00E41C34" w:rsidRPr="002237F0">
        <w:rPr>
          <w:lang w:val="nl-NL"/>
        </w:rPr>
        <w:t>daarentegen</w:t>
      </w:r>
      <w:proofErr w:type="gramEnd"/>
      <w:r w:rsidR="00E41C34" w:rsidRPr="002237F0">
        <w:rPr>
          <w:lang w:val="nl-NL"/>
        </w:rPr>
        <w:t xml:space="preserve"> </w:t>
      </w:r>
      <w:r w:rsidR="007202E9" w:rsidRPr="002237F0">
        <w:rPr>
          <w:lang w:val="nl-NL"/>
        </w:rPr>
        <w:t xml:space="preserve">nationaal bepaald moeten kunnen worden. </w:t>
      </w:r>
    </w:p>
    <w:p w:rsidR="002950DB" w:rsidRPr="002237F0" w:rsidRDefault="002950DB" w:rsidP="00A13C26">
      <w:pPr>
        <w:rPr>
          <w:b/>
          <w:sz w:val="32"/>
          <w:lang w:val="nl-NL"/>
        </w:rPr>
      </w:pPr>
    </w:p>
    <w:p w:rsidR="002950DB" w:rsidRPr="002237F0" w:rsidRDefault="002950DB" w:rsidP="00A13C26">
      <w:pPr>
        <w:rPr>
          <w:b/>
          <w:sz w:val="32"/>
          <w:lang w:val="nl-NL"/>
        </w:rPr>
      </w:pPr>
    </w:p>
    <w:p w:rsidR="002950DB" w:rsidRPr="002237F0" w:rsidRDefault="002950DB" w:rsidP="00A13C26">
      <w:pPr>
        <w:rPr>
          <w:b/>
          <w:sz w:val="32"/>
          <w:lang w:val="nl-NL"/>
        </w:rPr>
      </w:pPr>
    </w:p>
    <w:p w:rsidR="002950DB" w:rsidRPr="002237F0" w:rsidRDefault="002950DB" w:rsidP="00A13C26">
      <w:pPr>
        <w:rPr>
          <w:b/>
          <w:sz w:val="32"/>
          <w:lang w:val="nl-NL"/>
        </w:rPr>
      </w:pPr>
    </w:p>
    <w:p w:rsidR="002950DB" w:rsidRPr="002237F0" w:rsidRDefault="002950DB" w:rsidP="00A13C26">
      <w:pPr>
        <w:rPr>
          <w:b/>
          <w:sz w:val="32"/>
          <w:lang w:val="nl-NL"/>
        </w:rPr>
      </w:pPr>
    </w:p>
    <w:p w:rsidR="002950DB" w:rsidRPr="002237F0" w:rsidRDefault="002950DB" w:rsidP="00A13C26">
      <w:pPr>
        <w:rPr>
          <w:b/>
          <w:sz w:val="32"/>
          <w:lang w:val="nl-NL"/>
        </w:rPr>
      </w:pPr>
    </w:p>
    <w:p w:rsidR="002950DB" w:rsidRPr="002237F0" w:rsidRDefault="002950DB" w:rsidP="00A13C26">
      <w:pPr>
        <w:rPr>
          <w:b/>
          <w:sz w:val="32"/>
          <w:lang w:val="nl-NL"/>
        </w:rPr>
      </w:pPr>
    </w:p>
    <w:p w:rsidR="002950DB" w:rsidRPr="002237F0" w:rsidRDefault="002950DB" w:rsidP="00A13C26">
      <w:pPr>
        <w:rPr>
          <w:b/>
          <w:sz w:val="32"/>
          <w:lang w:val="nl-NL"/>
        </w:rPr>
      </w:pPr>
    </w:p>
    <w:p w:rsidR="002950DB" w:rsidRPr="002237F0" w:rsidRDefault="002950DB" w:rsidP="00A13C26">
      <w:pPr>
        <w:rPr>
          <w:b/>
          <w:sz w:val="32"/>
          <w:lang w:val="nl-NL"/>
        </w:rPr>
      </w:pPr>
    </w:p>
    <w:p w:rsidR="002950DB" w:rsidRPr="002237F0" w:rsidRDefault="002950DB" w:rsidP="00A13C26">
      <w:pPr>
        <w:rPr>
          <w:b/>
          <w:sz w:val="32"/>
          <w:lang w:val="nl-NL"/>
        </w:rPr>
      </w:pPr>
    </w:p>
    <w:p w:rsidR="002950DB" w:rsidRPr="002237F0" w:rsidRDefault="002950DB" w:rsidP="00A13C26">
      <w:pPr>
        <w:rPr>
          <w:b/>
          <w:sz w:val="32"/>
          <w:lang w:val="nl-NL"/>
        </w:rPr>
      </w:pPr>
    </w:p>
    <w:p w:rsidR="002950DB" w:rsidRPr="002237F0" w:rsidRDefault="002950DB" w:rsidP="00A13C26">
      <w:pPr>
        <w:rPr>
          <w:b/>
          <w:sz w:val="32"/>
          <w:lang w:val="nl-NL"/>
        </w:rPr>
      </w:pPr>
    </w:p>
    <w:p w:rsidR="002950DB" w:rsidRPr="002237F0" w:rsidRDefault="002950DB" w:rsidP="00A13C26">
      <w:pPr>
        <w:rPr>
          <w:b/>
          <w:sz w:val="32"/>
          <w:lang w:val="nl-NL"/>
        </w:rPr>
      </w:pPr>
    </w:p>
    <w:p w:rsidR="002237F0" w:rsidRDefault="002237F0" w:rsidP="00A13C26">
      <w:pPr>
        <w:rPr>
          <w:b/>
          <w:sz w:val="32"/>
          <w:lang w:val="nl-NL"/>
        </w:rPr>
      </w:pPr>
    </w:p>
    <w:p w:rsidR="00C0665D" w:rsidRPr="002237F0" w:rsidRDefault="00DC13FE" w:rsidP="00A13C26">
      <w:pPr>
        <w:rPr>
          <w:b/>
          <w:sz w:val="32"/>
          <w:lang w:val="nl-NL"/>
        </w:rPr>
      </w:pPr>
      <w:r w:rsidRPr="002237F0">
        <w:rPr>
          <w:b/>
          <w:sz w:val="32"/>
          <w:lang w:val="nl-NL"/>
        </w:rPr>
        <w:t>6.</w:t>
      </w:r>
      <w:r w:rsidR="00C0665D" w:rsidRPr="002237F0">
        <w:rPr>
          <w:b/>
          <w:sz w:val="32"/>
          <w:lang w:val="nl-NL"/>
        </w:rPr>
        <w:t>Conclusie</w:t>
      </w:r>
      <w:r w:rsidR="007202E9" w:rsidRPr="002237F0">
        <w:rPr>
          <w:b/>
          <w:sz w:val="32"/>
          <w:lang w:val="nl-NL"/>
        </w:rPr>
        <w:t xml:space="preserve"> en aanbeveling</w:t>
      </w:r>
      <w:r w:rsidR="002950DB" w:rsidRPr="002237F0">
        <w:rPr>
          <w:b/>
          <w:sz w:val="32"/>
          <w:lang w:val="nl-NL"/>
        </w:rPr>
        <w:t>en</w:t>
      </w:r>
      <w:r w:rsidR="007202E9" w:rsidRPr="002237F0">
        <w:rPr>
          <w:b/>
          <w:sz w:val="32"/>
          <w:lang w:val="nl-NL"/>
        </w:rPr>
        <w:t xml:space="preserve"> voor verder onderzoek</w:t>
      </w:r>
    </w:p>
    <w:p w:rsidR="00DC13FE" w:rsidRPr="002237F0" w:rsidRDefault="00DC13FE" w:rsidP="00A13C26">
      <w:pPr>
        <w:rPr>
          <w:b/>
          <w:sz w:val="24"/>
          <w:lang w:val="nl-NL"/>
        </w:rPr>
      </w:pPr>
      <w:r w:rsidRPr="002237F0">
        <w:rPr>
          <w:b/>
          <w:sz w:val="24"/>
          <w:lang w:val="nl-NL"/>
        </w:rPr>
        <w:t>Conclusie</w:t>
      </w:r>
    </w:p>
    <w:p w:rsidR="00856CD9" w:rsidRPr="002237F0" w:rsidRDefault="006C5A71" w:rsidP="00A13C26">
      <w:pPr>
        <w:rPr>
          <w:lang w:val="nl-NL"/>
        </w:rPr>
      </w:pPr>
      <w:r w:rsidRPr="002237F0">
        <w:rPr>
          <w:lang w:val="nl-NL"/>
        </w:rPr>
        <w:t xml:space="preserve">De hoofdvraag die bij aanvang van dit onderzoek gesteld is luidde: Welke lering kan er getrokken worden uit de rol van fair </w:t>
      </w:r>
      <w:proofErr w:type="spellStart"/>
      <w:r w:rsidRPr="002237F0">
        <w:rPr>
          <w:lang w:val="nl-NL"/>
        </w:rPr>
        <w:t>value</w:t>
      </w:r>
      <w:proofErr w:type="spellEnd"/>
      <w:r w:rsidRPr="002237F0">
        <w:rPr>
          <w:lang w:val="nl-NL"/>
        </w:rPr>
        <w:t xml:space="preserve"> accounting </w:t>
      </w:r>
      <w:r w:rsidR="000F7EA9" w:rsidRPr="002237F0">
        <w:rPr>
          <w:lang w:val="nl-NL"/>
        </w:rPr>
        <w:t xml:space="preserve">in </w:t>
      </w:r>
      <w:r w:rsidRPr="002237F0">
        <w:rPr>
          <w:lang w:val="nl-NL"/>
        </w:rPr>
        <w:t>de crisis?</w:t>
      </w:r>
      <w:r w:rsidR="00DC13FE" w:rsidRPr="002237F0">
        <w:rPr>
          <w:lang w:val="nl-NL"/>
        </w:rPr>
        <w:t xml:space="preserve"> De verschillende problemen met betrekking tot fair </w:t>
      </w:r>
      <w:proofErr w:type="spellStart"/>
      <w:r w:rsidR="00DC13FE" w:rsidRPr="002237F0">
        <w:rPr>
          <w:lang w:val="nl-NL"/>
        </w:rPr>
        <w:t>value</w:t>
      </w:r>
      <w:proofErr w:type="spellEnd"/>
      <w:r w:rsidR="00DC13FE" w:rsidRPr="002237F0">
        <w:rPr>
          <w:lang w:val="nl-NL"/>
        </w:rPr>
        <w:t xml:space="preserve"> accounting in het verleden zijn naar voren gekomen, en ook zijn de ontwikkelingen binnen de bankwereld vaak ter sprake </w:t>
      </w:r>
      <w:r w:rsidR="000F7EA9" w:rsidRPr="002237F0">
        <w:rPr>
          <w:lang w:val="nl-NL"/>
        </w:rPr>
        <w:t xml:space="preserve">gekomen. </w:t>
      </w:r>
      <w:r w:rsidRPr="002237F0">
        <w:rPr>
          <w:lang w:val="nl-NL"/>
        </w:rPr>
        <w:t xml:space="preserve">Na het doen van het onderzoek kan gezegd worden dat de rol van fair </w:t>
      </w:r>
      <w:proofErr w:type="spellStart"/>
      <w:r w:rsidRPr="002237F0">
        <w:rPr>
          <w:lang w:val="nl-NL"/>
        </w:rPr>
        <w:t>value</w:t>
      </w:r>
      <w:proofErr w:type="spellEnd"/>
      <w:r w:rsidRPr="002237F0">
        <w:rPr>
          <w:lang w:val="nl-NL"/>
        </w:rPr>
        <w:t xml:space="preserve"> accounting </w:t>
      </w:r>
      <w:r w:rsidR="00856CD9" w:rsidRPr="002237F0">
        <w:rPr>
          <w:lang w:val="nl-NL"/>
        </w:rPr>
        <w:t xml:space="preserve">veel </w:t>
      </w:r>
      <w:r w:rsidRPr="002237F0">
        <w:rPr>
          <w:lang w:val="nl-NL"/>
        </w:rPr>
        <w:t xml:space="preserve">besproken en groot is geweest. Dit onderzoek gaat echter minder ver dan enkele andere onderzoeken, die beweerd hebben dat fair </w:t>
      </w:r>
      <w:proofErr w:type="spellStart"/>
      <w:r w:rsidRPr="002237F0">
        <w:rPr>
          <w:lang w:val="nl-NL"/>
        </w:rPr>
        <w:t>value</w:t>
      </w:r>
      <w:proofErr w:type="spellEnd"/>
      <w:r w:rsidRPr="002237F0">
        <w:rPr>
          <w:lang w:val="nl-NL"/>
        </w:rPr>
        <w:t xml:space="preserve"> accounting een van de aanjagers van de crisis is geweest. </w:t>
      </w:r>
      <w:r w:rsidR="00856CD9" w:rsidRPr="002237F0">
        <w:rPr>
          <w:lang w:val="nl-NL"/>
        </w:rPr>
        <w:t xml:space="preserve">Fair </w:t>
      </w:r>
      <w:proofErr w:type="spellStart"/>
      <w:r w:rsidR="00856CD9" w:rsidRPr="002237F0">
        <w:rPr>
          <w:lang w:val="nl-NL"/>
        </w:rPr>
        <w:t>value</w:t>
      </w:r>
      <w:proofErr w:type="spellEnd"/>
      <w:r w:rsidR="00856CD9" w:rsidRPr="002237F0">
        <w:rPr>
          <w:lang w:val="nl-NL"/>
        </w:rPr>
        <w:t xml:space="preserve"> accounting is volgens dit onderzoek enkel de boodschapper van de bankencrisis geweest. Het zijn de bankregels die de grootste invloed gehad hebben op de prestaties van een bank en op de bankencrisis.</w:t>
      </w:r>
    </w:p>
    <w:p w:rsidR="006C5A71" w:rsidRPr="002237F0" w:rsidRDefault="006C5A71" w:rsidP="00A13C26">
      <w:pPr>
        <w:rPr>
          <w:lang w:val="nl-NL"/>
        </w:rPr>
      </w:pPr>
      <w:r w:rsidRPr="002237F0">
        <w:rPr>
          <w:lang w:val="nl-NL"/>
        </w:rPr>
        <w:t xml:space="preserve">De belangrijkste les die geleerd </w:t>
      </w:r>
      <w:r w:rsidR="00856CD9" w:rsidRPr="002237F0">
        <w:rPr>
          <w:lang w:val="nl-NL"/>
        </w:rPr>
        <w:t xml:space="preserve">is, </w:t>
      </w:r>
      <w:r w:rsidRPr="002237F0">
        <w:rPr>
          <w:lang w:val="nl-NL"/>
        </w:rPr>
        <w:t xml:space="preserve">is dat fair </w:t>
      </w:r>
      <w:proofErr w:type="spellStart"/>
      <w:r w:rsidRPr="002237F0">
        <w:rPr>
          <w:lang w:val="nl-NL"/>
        </w:rPr>
        <w:t>value</w:t>
      </w:r>
      <w:proofErr w:type="spellEnd"/>
      <w:r w:rsidRPr="002237F0">
        <w:rPr>
          <w:lang w:val="nl-NL"/>
        </w:rPr>
        <w:t xml:space="preserve"> accounting op het gebied van financiële instrumenten de meest betrouwbare en meest relevante waarderingsmaatstaf is. Echter, omdat financiële instrumenten van marktfluctuaties afhankelijk zijn, is het bij het creëren van bankregels aangeraden om rekening te </w:t>
      </w:r>
      <w:r w:rsidR="00856CD9" w:rsidRPr="002237F0">
        <w:rPr>
          <w:lang w:val="nl-NL"/>
        </w:rPr>
        <w:t>houden met de aard van financiële instrumenten</w:t>
      </w:r>
      <w:r w:rsidRPr="002237F0">
        <w:rPr>
          <w:lang w:val="nl-NL"/>
        </w:rPr>
        <w:t>.</w:t>
      </w:r>
      <w:r w:rsidR="00856CD9" w:rsidRPr="002237F0">
        <w:rPr>
          <w:lang w:val="nl-NL"/>
        </w:rPr>
        <w:t xml:space="preserve"> Fair </w:t>
      </w:r>
      <w:proofErr w:type="spellStart"/>
      <w:r w:rsidR="00856CD9" w:rsidRPr="002237F0">
        <w:rPr>
          <w:lang w:val="nl-NL"/>
        </w:rPr>
        <w:t>value</w:t>
      </w:r>
      <w:proofErr w:type="spellEnd"/>
      <w:r w:rsidR="00856CD9" w:rsidRPr="002237F0">
        <w:rPr>
          <w:lang w:val="nl-NL"/>
        </w:rPr>
        <w:t xml:space="preserve"> accounting geeft de waardeverandering van deze financiële instrumenten namelijk zonder vertraging </w:t>
      </w:r>
      <w:proofErr w:type="gramStart"/>
      <w:r w:rsidR="00856CD9" w:rsidRPr="002237F0">
        <w:rPr>
          <w:lang w:val="nl-NL"/>
        </w:rPr>
        <w:t xml:space="preserve">weer. </w:t>
      </w:r>
      <w:r w:rsidRPr="002237F0">
        <w:rPr>
          <w:lang w:val="nl-NL"/>
        </w:rPr>
        <w:t xml:space="preserve"> </w:t>
      </w:r>
      <w:proofErr w:type="gramEnd"/>
    </w:p>
    <w:p w:rsidR="00DC13FE" w:rsidRPr="002237F0" w:rsidRDefault="00DC13FE" w:rsidP="00A13C26">
      <w:pPr>
        <w:rPr>
          <w:b/>
          <w:sz w:val="24"/>
          <w:lang w:val="nl-NL"/>
        </w:rPr>
      </w:pPr>
      <w:r w:rsidRPr="002237F0">
        <w:rPr>
          <w:b/>
          <w:sz w:val="24"/>
          <w:lang w:val="nl-NL"/>
        </w:rPr>
        <w:t>Aanbeveling</w:t>
      </w:r>
      <w:r w:rsidR="002950DB" w:rsidRPr="002237F0">
        <w:rPr>
          <w:b/>
          <w:sz w:val="24"/>
          <w:lang w:val="nl-NL"/>
        </w:rPr>
        <w:t>en</w:t>
      </w:r>
      <w:r w:rsidRPr="002237F0">
        <w:rPr>
          <w:b/>
          <w:sz w:val="24"/>
          <w:lang w:val="nl-NL"/>
        </w:rPr>
        <w:t xml:space="preserve"> voor verder onderzoek</w:t>
      </w:r>
    </w:p>
    <w:p w:rsidR="00DC13FE" w:rsidRPr="002237F0" w:rsidRDefault="00DC13FE" w:rsidP="00A13C26">
      <w:pPr>
        <w:rPr>
          <w:rFonts w:cstheme="minorHAnsi"/>
          <w:lang w:val="nl-NL"/>
        </w:rPr>
      </w:pPr>
      <w:r w:rsidRPr="002237F0">
        <w:rPr>
          <w:lang w:val="nl-NL"/>
        </w:rPr>
        <w:t xml:space="preserve">Dit onderzoek heeft enkel de problemen rond fair </w:t>
      </w:r>
      <w:proofErr w:type="spellStart"/>
      <w:r w:rsidRPr="002237F0">
        <w:rPr>
          <w:lang w:val="nl-NL"/>
        </w:rPr>
        <w:t>value</w:t>
      </w:r>
      <w:proofErr w:type="spellEnd"/>
      <w:r w:rsidRPr="002237F0">
        <w:rPr>
          <w:lang w:val="nl-NL"/>
        </w:rPr>
        <w:t xml:space="preserve"> waar</w:t>
      </w:r>
      <w:r w:rsidR="00856CD9" w:rsidRPr="002237F0">
        <w:rPr>
          <w:lang w:val="nl-NL"/>
        </w:rPr>
        <w:t>dering geschetst</w:t>
      </w:r>
      <w:r w:rsidRPr="002237F0">
        <w:rPr>
          <w:lang w:val="nl-NL"/>
        </w:rPr>
        <w:t xml:space="preserve"> en is uiteindelijk tot een oordeel gekomen wat precies haar rol is geweest. Geadviseerd is om bij het opstellen van bankregulering rekening te houden met welke effecten het heeft op de waardering van financiële instrumenten, en welke prikkels het veroorzaakt. Dit zou door empirisch onderzoek verder onderzocht kunnen worden. Gezien de aanbevelingen voor de toekomst, lijkt het de onderzoeker vooral interessant verder te gaan met de </w:t>
      </w:r>
      <w:r w:rsidRPr="002237F0">
        <w:rPr>
          <w:rFonts w:cstheme="minorHAnsi"/>
          <w:lang w:val="nl-NL"/>
        </w:rPr>
        <w:t>vraag hoe kleine banken beïnvloed zijn door het amendement</w:t>
      </w:r>
      <w:r w:rsidR="00856CD9" w:rsidRPr="002237F0">
        <w:rPr>
          <w:rFonts w:cstheme="minorHAnsi"/>
          <w:lang w:val="nl-NL"/>
        </w:rPr>
        <w:t xml:space="preserve"> van IAS 39</w:t>
      </w:r>
      <w:r w:rsidRPr="002237F0">
        <w:rPr>
          <w:rFonts w:cstheme="minorHAnsi"/>
          <w:lang w:val="nl-NL"/>
        </w:rPr>
        <w:t xml:space="preserve"> waar </w:t>
      </w:r>
      <w:proofErr w:type="spellStart"/>
      <w:r w:rsidRPr="002237F0">
        <w:rPr>
          <w:rFonts w:cstheme="minorHAnsi"/>
          <w:lang w:val="nl-NL"/>
        </w:rPr>
        <w:t>herclassificatie</w:t>
      </w:r>
      <w:proofErr w:type="spellEnd"/>
      <w:r w:rsidRPr="002237F0">
        <w:rPr>
          <w:rFonts w:cstheme="minorHAnsi"/>
          <w:lang w:val="nl-NL"/>
        </w:rPr>
        <w:t xml:space="preserve"> breder mogelijk werd gemaakt. In dit onderzoek is er namelijk geconcludeerd dat de bankenwereld te zeer is geïnternationaliseerd, en daarnaast is er bevonden dat het amendement </w:t>
      </w:r>
      <w:r w:rsidR="00817B81" w:rsidRPr="002237F0">
        <w:rPr>
          <w:rFonts w:cstheme="minorHAnsi"/>
          <w:lang w:val="nl-NL"/>
        </w:rPr>
        <w:t xml:space="preserve">een nadelige invloed heeft gehad op kleine banken. Mocht er een verband bestaan tussen het amendement en het verder internationaliseren(het negatief beïnvloeden van kleine banken) van de bankenwereld, </w:t>
      </w:r>
      <w:r w:rsidR="00856CD9" w:rsidRPr="002237F0">
        <w:rPr>
          <w:rFonts w:cstheme="minorHAnsi"/>
          <w:lang w:val="nl-NL"/>
        </w:rPr>
        <w:t xml:space="preserve">dan </w:t>
      </w:r>
      <w:r w:rsidR="00817B81" w:rsidRPr="002237F0">
        <w:rPr>
          <w:rFonts w:cstheme="minorHAnsi"/>
          <w:lang w:val="nl-NL"/>
        </w:rPr>
        <w:t xml:space="preserve">zou </w:t>
      </w:r>
      <w:r w:rsidR="00856CD9" w:rsidRPr="002237F0">
        <w:rPr>
          <w:rFonts w:cstheme="minorHAnsi"/>
          <w:lang w:val="nl-NL"/>
        </w:rPr>
        <w:t xml:space="preserve">dit een negatief gevolg zijn van het </w:t>
      </w:r>
      <w:r w:rsidR="000F7EA9" w:rsidRPr="002237F0">
        <w:rPr>
          <w:rFonts w:cstheme="minorHAnsi"/>
          <w:lang w:val="nl-NL"/>
        </w:rPr>
        <w:t xml:space="preserve">amendement. </w:t>
      </w:r>
      <w:r w:rsidR="00817B81" w:rsidRPr="002237F0">
        <w:rPr>
          <w:rFonts w:cstheme="minorHAnsi"/>
          <w:lang w:val="nl-NL"/>
        </w:rPr>
        <w:t xml:space="preserve">Daarnaast is er in het laatste hoofdstuk een lijst gepresenteerd met problemen die de bankwereld nu nog kent met betrekking tot de waardering van financiële instrumenten. Onderzoek dat zich richt </w:t>
      </w:r>
      <w:r w:rsidR="00A05D19" w:rsidRPr="002237F0">
        <w:rPr>
          <w:rFonts w:cstheme="minorHAnsi"/>
          <w:lang w:val="nl-NL"/>
        </w:rPr>
        <w:t>tot</w:t>
      </w:r>
      <w:r w:rsidR="00817B81" w:rsidRPr="002237F0">
        <w:rPr>
          <w:rFonts w:cstheme="minorHAnsi"/>
          <w:lang w:val="nl-NL"/>
        </w:rPr>
        <w:t xml:space="preserve"> verkleining van deze problemen is </w:t>
      </w:r>
      <w:r w:rsidR="000F7EA9" w:rsidRPr="002237F0">
        <w:rPr>
          <w:rFonts w:cstheme="minorHAnsi"/>
          <w:lang w:val="nl-NL"/>
        </w:rPr>
        <w:t xml:space="preserve">gewenst. </w:t>
      </w:r>
    </w:p>
    <w:p w:rsidR="00940388" w:rsidRPr="002237F0" w:rsidRDefault="00940388" w:rsidP="00817B81">
      <w:pPr>
        <w:rPr>
          <w:lang w:val="nl-NL"/>
        </w:rPr>
      </w:pPr>
    </w:p>
    <w:p w:rsidR="001D6BA8" w:rsidRPr="002237F0" w:rsidRDefault="001D6BA8" w:rsidP="001A6C33">
      <w:pPr>
        <w:ind w:left="720" w:hanging="720"/>
        <w:rPr>
          <w:lang w:val="nl-NL"/>
        </w:rPr>
      </w:pPr>
    </w:p>
    <w:p w:rsidR="00D274CE" w:rsidRPr="002237F0" w:rsidRDefault="00D274CE" w:rsidP="00817B81">
      <w:pPr>
        <w:rPr>
          <w:lang w:val="nl-NL"/>
        </w:rPr>
      </w:pPr>
    </w:p>
    <w:p w:rsidR="002950DB" w:rsidRPr="002237F0" w:rsidRDefault="002950DB" w:rsidP="00817B81">
      <w:pPr>
        <w:rPr>
          <w:lang w:val="nl-NL"/>
        </w:rPr>
      </w:pPr>
    </w:p>
    <w:sdt>
      <w:sdtPr>
        <w:rPr>
          <w:rFonts w:asciiTheme="minorHAnsi" w:eastAsiaTheme="minorEastAsia" w:hAnsiTheme="minorHAnsi" w:cstheme="minorBidi"/>
          <w:b w:val="0"/>
          <w:bCs w:val="0"/>
          <w:color w:val="auto"/>
          <w:sz w:val="22"/>
          <w:szCs w:val="22"/>
          <w:lang w:val="en-US"/>
        </w:rPr>
        <w:id w:val="2264793"/>
        <w:docPartObj>
          <w:docPartGallery w:val="Bibliographies"/>
          <w:docPartUnique/>
        </w:docPartObj>
      </w:sdtPr>
      <w:sdtContent>
        <w:p w:rsidR="00940388" w:rsidRPr="002237F0" w:rsidRDefault="00A324E1">
          <w:pPr>
            <w:pStyle w:val="Heading1"/>
            <w:rPr>
              <w:color w:val="auto"/>
              <w:lang w:val="en-US"/>
            </w:rPr>
          </w:pPr>
          <w:proofErr w:type="spellStart"/>
          <w:r w:rsidRPr="002237F0">
            <w:rPr>
              <w:color w:val="auto"/>
              <w:lang w:val="en-US"/>
            </w:rPr>
            <w:t>Literatuurlijst</w:t>
          </w:r>
          <w:proofErr w:type="spellEnd"/>
        </w:p>
        <w:p w:rsidR="00721EC3" w:rsidRPr="002237F0" w:rsidRDefault="003C13F3" w:rsidP="00721EC3">
          <w:pPr>
            <w:pStyle w:val="Bibliography"/>
            <w:rPr>
              <w:noProof/>
            </w:rPr>
          </w:pPr>
          <w:r w:rsidRPr="002237F0">
            <w:rPr>
              <w:lang w:val="nl-NL"/>
            </w:rPr>
            <w:fldChar w:fldCharType="begin"/>
          </w:r>
          <w:r w:rsidR="00940388" w:rsidRPr="002237F0">
            <w:instrText xml:space="preserve"> BIBLIOGRAPHY </w:instrText>
          </w:r>
          <w:r w:rsidRPr="002237F0">
            <w:rPr>
              <w:lang w:val="nl-NL"/>
            </w:rPr>
            <w:fldChar w:fldCharType="separate"/>
          </w:r>
          <w:r w:rsidR="00721EC3" w:rsidRPr="002237F0">
            <w:rPr>
              <w:noProof/>
            </w:rPr>
            <w:t xml:space="preserve">Admati, &amp; Helwig. (2011). </w:t>
          </w:r>
          <w:r w:rsidR="00721EC3" w:rsidRPr="002237F0">
            <w:rPr>
              <w:i/>
              <w:iCs/>
              <w:noProof/>
            </w:rPr>
            <w:t>Fallacies, irrelevant facts, and myths in the discussion of capital regulation.</w:t>
          </w:r>
          <w:r w:rsidR="00721EC3" w:rsidRPr="002237F0">
            <w:rPr>
              <w:noProof/>
            </w:rPr>
            <w:t xml:space="preserve"> Stanford: Stanford University Working papers.</w:t>
          </w:r>
        </w:p>
        <w:p w:rsidR="00721EC3" w:rsidRPr="002237F0" w:rsidRDefault="00721EC3" w:rsidP="00721EC3">
          <w:pPr>
            <w:pStyle w:val="Bibliography"/>
            <w:rPr>
              <w:noProof/>
            </w:rPr>
          </w:pPr>
          <w:r w:rsidRPr="002237F0">
            <w:rPr>
              <w:noProof/>
            </w:rPr>
            <w:t xml:space="preserve">André, Cazavan-Jeny, Dick, Richard, &amp; Walton. (2009). Fair value accounting and the banking crisis in 2008: shooting the messenger. </w:t>
          </w:r>
          <w:r w:rsidRPr="002237F0">
            <w:rPr>
              <w:i/>
              <w:iCs/>
              <w:noProof/>
            </w:rPr>
            <w:t>Accounting in Europe</w:t>
          </w:r>
          <w:r w:rsidRPr="002237F0">
            <w:rPr>
              <w:noProof/>
            </w:rPr>
            <w:t xml:space="preserve"> , 3-24.</w:t>
          </w:r>
        </w:p>
        <w:p w:rsidR="00721EC3" w:rsidRPr="002237F0" w:rsidRDefault="00721EC3" w:rsidP="00721EC3">
          <w:pPr>
            <w:pStyle w:val="Bibliography"/>
            <w:rPr>
              <w:noProof/>
            </w:rPr>
          </w:pPr>
          <w:r w:rsidRPr="002237F0">
            <w:rPr>
              <w:noProof/>
            </w:rPr>
            <w:t xml:space="preserve">Arnold, P. J. (2009). Global financial crisis: The challenge to accounting research. </w:t>
          </w:r>
          <w:r w:rsidRPr="002237F0">
            <w:rPr>
              <w:i/>
              <w:iCs/>
              <w:noProof/>
            </w:rPr>
            <w:t>Accounting, Organisations and Society</w:t>
          </w:r>
          <w:r w:rsidRPr="002237F0">
            <w:rPr>
              <w:noProof/>
            </w:rPr>
            <w:t xml:space="preserve"> , 803-809.</w:t>
          </w:r>
        </w:p>
        <w:p w:rsidR="00721EC3" w:rsidRPr="002237F0" w:rsidRDefault="00721EC3" w:rsidP="00721EC3">
          <w:pPr>
            <w:pStyle w:val="Bibliography"/>
            <w:rPr>
              <w:noProof/>
            </w:rPr>
          </w:pPr>
          <w:r w:rsidRPr="002237F0">
            <w:rPr>
              <w:noProof/>
            </w:rPr>
            <w:t xml:space="preserve">Atkinson, &amp; Blundell-Wignall. (2010). Thinking beyond Basel III: Necessary Solutions for Capital and Liquidity. </w:t>
          </w:r>
          <w:r w:rsidRPr="002237F0">
            <w:rPr>
              <w:i/>
              <w:iCs/>
              <w:noProof/>
            </w:rPr>
            <w:t>OECD Journal</w:t>
          </w:r>
          <w:r w:rsidRPr="002237F0">
            <w:rPr>
              <w:noProof/>
            </w:rPr>
            <w:t xml:space="preserve"> , 9-33.</w:t>
          </w:r>
        </w:p>
        <w:p w:rsidR="00721EC3" w:rsidRPr="002237F0" w:rsidRDefault="00721EC3" w:rsidP="00721EC3">
          <w:pPr>
            <w:pStyle w:val="Bibliography"/>
            <w:rPr>
              <w:noProof/>
            </w:rPr>
          </w:pPr>
          <w:r w:rsidRPr="002237F0">
            <w:rPr>
              <w:noProof/>
            </w:rPr>
            <w:t xml:space="preserve">Badertscher, Burks, &amp; Easton. (2012). A Convenient Scapegoat: Fair Value Accounting by Commercial Banks during the Financial Crisis. </w:t>
          </w:r>
          <w:r w:rsidRPr="002237F0">
            <w:rPr>
              <w:i/>
              <w:iCs/>
              <w:noProof/>
            </w:rPr>
            <w:t>The Accounting Review</w:t>
          </w:r>
          <w:r w:rsidRPr="002237F0">
            <w:rPr>
              <w:noProof/>
            </w:rPr>
            <w:t xml:space="preserve"> , 59-90.</w:t>
          </w:r>
        </w:p>
        <w:p w:rsidR="00721EC3" w:rsidRPr="002237F0" w:rsidRDefault="00721EC3" w:rsidP="00721EC3">
          <w:pPr>
            <w:pStyle w:val="Bibliography"/>
            <w:rPr>
              <w:noProof/>
            </w:rPr>
          </w:pPr>
          <w:r w:rsidRPr="002237F0">
            <w:rPr>
              <w:noProof/>
            </w:rPr>
            <w:t xml:space="preserve">Barth, &amp; Landsman. (2010). </w:t>
          </w:r>
          <w:r w:rsidRPr="002237F0">
            <w:rPr>
              <w:i/>
              <w:iCs/>
              <w:noProof/>
            </w:rPr>
            <w:t>How did Financial Reporting Contribute to the Financial Crisis?</w:t>
          </w:r>
          <w:r w:rsidRPr="002237F0">
            <w:rPr>
              <w:noProof/>
            </w:rPr>
            <w:t xml:space="preserve"> Stanford: Centre for Finance and Accounting Research.</w:t>
          </w:r>
        </w:p>
        <w:p w:rsidR="00721EC3" w:rsidRPr="002237F0" w:rsidRDefault="00721EC3" w:rsidP="00721EC3">
          <w:pPr>
            <w:pStyle w:val="Bibliography"/>
            <w:rPr>
              <w:noProof/>
            </w:rPr>
          </w:pPr>
          <w:r w:rsidRPr="002237F0">
            <w:rPr>
              <w:noProof/>
            </w:rPr>
            <w:t xml:space="preserve">Beltratti, &amp; Stulz. (2012). The creditcrisis around the globe: Why did some banks perform better? </w:t>
          </w:r>
          <w:r w:rsidRPr="002237F0">
            <w:rPr>
              <w:i/>
              <w:iCs/>
              <w:noProof/>
            </w:rPr>
            <w:t>Journal of Financial Economics</w:t>
          </w:r>
          <w:r w:rsidRPr="002237F0">
            <w:rPr>
              <w:noProof/>
            </w:rPr>
            <w:t xml:space="preserve"> , 1-17.</w:t>
          </w:r>
        </w:p>
        <w:p w:rsidR="00721EC3" w:rsidRPr="002237F0" w:rsidRDefault="00721EC3" w:rsidP="00721EC3">
          <w:pPr>
            <w:pStyle w:val="Bibliography"/>
            <w:rPr>
              <w:noProof/>
            </w:rPr>
          </w:pPr>
          <w:r w:rsidRPr="002237F0">
            <w:rPr>
              <w:noProof/>
            </w:rPr>
            <w:t xml:space="preserve">Bhat, Frankel, &amp; Martin. (2011). Panacea, Pandora’s box, or placebo: Feedback in bank mortgage-backed security holdings and fair value accounting. </w:t>
          </w:r>
          <w:r w:rsidRPr="002237F0">
            <w:rPr>
              <w:i/>
              <w:iCs/>
              <w:noProof/>
            </w:rPr>
            <w:t>JournalofAccountingandEconomics</w:t>
          </w:r>
          <w:r w:rsidRPr="002237F0">
            <w:rPr>
              <w:noProof/>
            </w:rPr>
            <w:t xml:space="preserve"> , 153-173.</w:t>
          </w:r>
        </w:p>
        <w:p w:rsidR="00721EC3" w:rsidRPr="002237F0" w:rsidRDefault="00721EC3" w:rsidP="00721EC3">
          <w:pPr>
            <w:pStyle w:val="Bibliography"/>
            <w:rPr>
              <w:noProof/>
            </w:rPr>
          </w:pPr>
          <w:r w:rsidRPr="002237F0">
            <w:rPr>
              <w:noProof/>
            </w:rPr>
            <w:t xml:space="preserve">Bischof, Brüggeman, &amp; Daske. (2012). </w:t>
          </w:r>
          <w:r w:rsidRPr="002237F0">
            <w:rPr>
              <w:i/>
              <w:iCs/>
              <w:noProof/>
            </w:rPr>
            <w:t>Fair value reclassifications of financial assets during the financial crisis.</w:t>
          </w:r>
          <w:r w:rsidRPr="002237F0">
            <w:rPr>
              <w:noProof/>
            </w:rPr>
            <w:t xml:space="preserve"> Berlijn: Leibniz-Informationszentrum Wirtschaft.</w:t>
          </w:r>
        </w:p>
        <w:p w:rsidR="00721EC3" w:rsidRPr="002237F0" w:rsidRDefault="00721EC3" w:rsidP="00721EC3">
          <w:pPr>
            <w:pStyle w:val="Bibliography"/>
            <w:rPr>
              <w:noProof/>
            </w:rPr>
          </w:pPr>
          <w:r w:rsidRPr="002237F0">
            <w:rPr>
              <w:noProof/>
            </w:rPr>
            <w:t xml:space="preserve">Bischof, Brüggeman, &amp; Daske. (2010). </w:t>
          </w:r>
          <w:r w:rsidRPr="002237F0">
            <w:rPr>
              <w:i/>
              <w:iCs/>
              <w:noProof/>
            </w:rPr>
            <w:t>Relaxation of Fair Value Rules in Times of Crisis: An Analysis of Economic Benefits and Costs of the Amendment to IAS 39.</w:t>
          </w:r>
          <w:r w:rsidRPr="002237F0">
            <w:rPr>
              <w:noProof/>
            </w:rPr>
            <w:t xml:space="preserve"> Mannheim.</w:t>
          </w:r>
        </w:p>
        <w:p w:rsidR="00721EC3" w:rsidRPr="002237F0" w:rsidRDefault="00721EC3" w:rsidP="00721EC3">
          <w:pPr>
            <w:pStyle w:val="Bibliography"/>
            <w:rPr>
              <w:noProof/>
            </w:rPr>
          </w:pPr>
          <w:r w:rsidRPr="002237F0">
            <w:rPr>
              <w:noProof/>
            </w:rPr>
            <w:t xml:space="preserve">Blanchette, &amp; Michel. (1997). </w:t>
          </w:r>
          <w:r w:rsidRPr="002237F0">
            <w:rPr>
              <w:i/>
              <w:iCs/>
              <w:noProof/>
            </w:rPr>
            <w:t>Accounting for Financial Instruments.</w:t>
          </w:r>
          <w:r w:rsidRPr="002237F0">
            <w:rPr>
              <w:noProof/>
            </w:rPr>
            <w:t xml:space="preserve"> Hull: Université de Québec.</w:t>
          </w:r>
        </w:p>
        <w:p w:rsidR="00721EC3" w:rsidRPr="002237F0" w:rsidRDefault="00721EC3" w:rsidP="00721EC3">
          <w:pPr>
            <w:pStyle w:val="Bibliography"/>
            <w:rPr>
              <w:noProof/>
              <w:lang w:val="nl-NL"/>
            </w:rPr>
          </w:pPr>
          <w:r w:rsidRPr="002237F0">
            <w:rPr>
              <w:noProof/>
            </w:rPr>
            <w:t xml:space="preserve">Blankespoor, Linsmeier, Petroni, &amp; Shakespeare. (2012). </w:t>
          </w:r>
          <w:r w:rsidRPr="002237F0">
            <w:rPr>
              <w:i/>
              <w:iCs/>
              <w:noProof/>
            </w:rPr>
            <w:t>Fair value accounting for financial instruments: Does it improve the association between bank leverage and credit risk?</w:t>
          </w:r>
          <w:r w:rsidRPr="002237F0">
            <w:rPr>
              <w:noProof/>
            </w:rPr>
            <w:t xml:space="preserve"> </w:t>
          </w:r>
          <w:r w:rsidRPr="002237F0">
            <w:rPr>
              <w:noProof/>
              <w:lang w:val="nl-NL"/>
            </w:rPr>
            <w:t>Stanford: Research Paper Series.</w:t>
          </w:r>
        </w:p>
        <w:p w:rsidR="00721EC3" w:rsidRPr="002237F0" w:rsidRDefault="00721EC3" w:rsidP="00721EC3">
          <w:pPr>
            <w:pStyle w:val="Bibliography"/>
            <w:rPr>
              <w:noProof/>
              <w:lang w:val="nl-NL"/>
            </w:rPr>
          </w:pPr>
          <w:r w:rsidRPr="002237F0">
            <w:rPr>
              <w:noProof/>
              <w:lang w:val="nl-NL"/>
            </w:rPr>
            <w:t xml:space="preserve">Böhmer, Hoogendoorn, &amp; Kruit. (2012). </w:t>
          </w:r>
          <w:r w:rsidRPr="002237F0">
            <w:rPr>
              <w:i/>
              <w:iCs/>
              <w:noProof/>
              <w:lang w:val="nl-NL"/>
            </w:rPr>
            <w:t>EY Handboek Jaarrekening.</w:t>
          </w:r>
          <w:r w:rsidRPr="002237F0">
            <w:rPr>
              <w:noProof/>
              <w:lang w:val="nl-NL"/>
            </w:rPr>
            <w:t xml:space="preserve"> Rotterdam: Kluwer.</w:t>
          </w:r>
        </w:p>
        <w:p w:rsidR="00721EC3" w:rsidRPr="002237F0" w:rsidRDefault="00721EC3" w:rsidP="00721EC3">
          <w:pPr>
            <w:pStyle w:val="Bibliography"/>
            <w:rPr>
              <w:noProof/>
            </w:rPr>
          </w:pPr>
          <w:r w:rsidRPr="002237F0">
            <w:rPr>
              <w:noProof/>
              <w:lang w:val="nl-NL"/>
            </w:rPr>
            <w:t xml:space="preserve">Bowen, Khan, &amp; Rajgopal. </w:t>
          </w:r>
          <w:r w:rsidRPr="002237F0">
            <w:rPr>
              <w:noProof/>
            </w:rPr>
            <w:t xml:space="preserve">(2010). </w:t>
          </w:r>
          <w:r w:rsidRPr="002237F0">
            <w:rPr>
              <w:i/>
              <w:iCs/>
              <w:noProof/>
            </w:rPr>
            <w:t>The Economic Consequences of Relaxing Fair Value Accounting and Impairment Rules on Banks during the Financial Crisis of 2008-2009.</w:t>
          </w:r>
          <w:r w:rsidRPr="002237F0">
            <w:rPr>
              <w:noProof/>
            </w:rPr>
            <w:t xml:space="preserve"> Washington.</w:t>
          </w:r>
        </w:p>
        <w:p w:rsidR="00721EC3" w:rsidRPr="002237F0" w:rsidRDefault="00721EC3" w:rsidP="00721EC3">
          <w:pPr>
            <w:pStyle w:val="Bibliography"/>
            <w:rPr>
              <w:noProof/>
            </w:rPr>
          </w:pPr>
          <w:r w:rsidRPr="002237F0">
            <w:rPr>
              <w:noProof/>
            </w:rPr>
            <w:t xml:space="preserve">Cannata, &amp; Quagliariello. (2009). The role of Basel II in the subprime financial crisis: guilty or not guilty? </w:t>
          </w:r>
          <w:r w:rsidRPr="002237F0">
            <w:rPr>
              <w:i/>
              <w:iCs/>
              <w:noProof/>
            </w:rPr>
            <w:t>Carefin Working Papers</w:t>
          </w:r>
          <w:r w:rsidRPr="002237F0">
            <w:rPr>
              <w:noProof/>
            </w:rPr>
            <w:t xml:space="preserve"> , 1-17.</w:t>
          </w:r>
        </w:p>
        <w:p w:rsidR="00721EC3" w:rsidRPr="002237F0" w:rsidRDefault="00721EC3" w:rsidP="00721EC3">
          <w:pPr>
            <w:pStyle w:val="Bibliography"/>
            <w:rPr>
              <w:noProof/>
            </w:rPr>
          </w:pPr>
          <w:r w:rsidRPr="002237F0">
            <w:rPr>
              <w:noProof/>
            </w:rPr>
            <w:t xml:space="preserve">Chan, S. (2010, juli 2). From IAS 39 to IFRS 9: More than just a name change. </w:t>
          </w:r>
          <w:r w:rsidRPr="002237F0">
            <w:rPr>
              <w:i/>
              <w:iCs/>
              <w:noProof/>
            </w:rPr>
            <w:t>By all accounts</w:t>
          </w:r>
          <w:r w:rsidRPr="002237F0">
            <w:rPr>
              <w:noProof/>
            </w:rPr>
            <w:t xml:space="preserve"> .</w:t>
          </w:r>
        </w:p>
        <w:p w:rsidR="00721EC3" w:rsidRPr="002237F0" w:rsidRDefault="00721EC3" w:rsidP="00721EC3">
          <w:pPr>
            <w:pStyle w:val="Bibliography"/>
            <w:rPr>
              <w:noProof/>
            </w:rPr>
          </w:pPr>
          <w:r w:rsidRPr="002237F0">
            <w:rPr>
              <w:noProof/>
            </w:rPr>
            <w:t xml:space="preserve">DeAngelo, &amp; Stulz. (2013). </w:t>
          </w:r>
          <w:r w:rsidRPr="002237F0">
            <w:rPr>
              <w:i/>
              <w:iCs/>
              <w:noProof/>
            </w:rPr>
            <w:t>Why High Leverage is Optimal for Banks.</w:t>
          </w:r>
          <w:r w:rsidRPr="002237F0">
            <w:rPr>
              <w:noProof/>
            </w:rPr>
            <w:t xml:space="preserve"> Wharton.</w:t>
          </w:r>
        </w:p>
        <w:p w:rsidR="00721EC3" w:rsidRPr="002237F0" w:rsidRDefault="00721EC3" w:rsidP="00721EC3">
          <w:pPr>
            <w:pStyle w:val="Bibliography"/>
            <w:rPr>
              <w:noProof/>
            </w:rPr>
          </w:pPr>
          <w:r w:rsidRPr="002237F0">
            <w:rPr>
              <w:noProof/>
            </w:rPr>
            <w:t xml:space="preserve">Drumond, I. (2009). Bank Capital Requirements, Business Cycle Fluctuations and the Basel Accords: A Synthesis. </w:t>
          </w:r>
          <w:r w:rsidRPr="002237F0">
            <w:rPr>
              <w:i/>
              <w:iCs/>
              <w:noProof/>
            </w:rPr>
            <w:t>Journal of Economic Surveys</w:t>
          </w:r>
          <w:r w:rsidRPr="002237F0">
            <w:rPr>
              <w:noProof/>
            </w:rPr>
            <w:t xml:space="preserve"> , 798-830.</w:t>
          </w:r>
        </w:p>
        <w:p w:rsidR="00721EC3" w:rsidRPr="002237F0" w:rsidRDefault="00721EC3" w:rsidP="00721EC3">
          <w:pPr>
            <w:pStyle w:val="Bibliography"/>
            <w:rPr>
              <w:noProof/>
            </w:rPr>
          </w:pPr>
          <w:r w:rsidRPr="002237F0">
            <w:rPr>
              <w:noProof/>
            </w:rPr>
            <w:t xml:space="preserve">Fiechter, P. (2011). Reclassification of Financial Assets under IAS 39: Impact on European Banks' Statements. </w:t>
          </w:r>
          <w:r w:rsidRPr="002237F0">
            <w:rPr>
              <w:i/>
              <w:iCs/>
              <w:noProof/>
            </w:rPr>
            <w:t>Accounting in Europe</w:t>
          </w:r>
          <w:r w:rsidRPr="002237F0">
            <w:rPr>
              <w:noProof/>
            </w:rPr>
            <w:t xml:space="preserve"> , 49-67.</w:t>
          </w:r>
        </w:p>
        <w:p w:rsidR="00721EC3" w:rsidRPr="002237F0" w:rsidRDefault="00721EC3" w:rsidP="00721EC3">
          <w:pPr>
            <w:pStyle w:val="Bibliography"/>
            <w:rPr>
              <w:noProof/>
            </w:rPr>
          </w:pPr>
          <w:r w:rsidRPr="002237F0">
            <w:rPr>
              <w:noProof/>
            </w:rPr>
            <w:t xml:space="preserve">Fiechter, P. (2010). The Effects of the Fair Value Option under IAS 39 on theVolatility of Bank Earnings. </w:t>
          </w:r>
          <w:r w:rsidRPr="002237F0">
            <w:rPr>
              <w:i/>
              <w:iCs/>
              <w:noProof/>
            </w:rPr>
            <w:t>Journal of International Accounting Research</w:t>
          </w:r>
          <w:r w:rsidRPr="002237F0">
            <w:rPr>
              <w:noProof/>
            </w:rPr>
            <w:t xml:space="preserve"> , 85-108.</w:t>
          </w:r>
        </w:p>
        <w:p w:rsidR="00721EC3" w:rsidRPr="002237F0" w:rsidRDefault="00721EC3" w:rsidP="00721EC3">
          <w:pPr>
            <w:pStyle w:val="Bibliography"/>
            <w:rPr>
              <w:noProof/>
            </w:rPr>
          </w:pPr>
          <w:r w:rsidRPr="002237F0">
            <w:rPr>
              <w:noProof/>
            </w:rPr>
            <w:t xml:space="preserve">Friedman, J. (2009). A Crisis of Politics, not Economics: Complexity, Ignorance and Policy Failure. </w:t>
          </w:r>
          <w:r w:rsidRPr="002237F0">
            <w:rPr>
              <w:i/>
              <w:iCs/>
              <w:noProof/>
            </w:rPr>
            <w:t>Critical Review</w:t>
          </w:r>
          <w:r w:rsidRPr="002237F0">
            <w:rPr>
              <w:noProof/>
            </w:rPr>
            <w:t xml:space="preserve"> , 127-183.</w:t>
          </w:r>
        </w:p>
        <w:p w:rsidR="00721EC3" w:rsidRPr="002237F0" w:rsidRDefault="00721EC3" w:rsidP="00721EC3">
          <w:pPr>
            <w:pStyle w:val="Bibliography"/>
            <w:rPr>
              <w:noProof/>
            </w:rPr>
          </w:pPr>
          <w:r w:rsidRPr="002237F0">
            <w:rPr>
              <w:noProof/>
            </w:rPr>
            <w:t xml:space="preserve">Gebhardt, &amp; Novotny-Farkas. (2011). Mandatory IFRS Adoption and Accounting Quality of European Banks. </w:t>
          </w:r>
          <w:r w:rsidRPr="002237F0">
            <w:rPr>
              <w:i/>
              <w:iCs/>
              <w:noProof/>
            </w:rPr>
            <w:t>Journal of Business Finance &amp; Accounting</w:t>
          </w:r>
          <w:r w:rsidRPr="002237F0">
            <w:rPr>
              <w:noProof/>
            </w:rPr>
            <w:t xml:space="preserve"> , 289-333.</w:t>
          </w:r>
        </w:p>
        <w:p w:rsidR="00721EC3" w:rsidRPr="002237F0" w:rsidRDefault="00721EC3" w:rsidP="00721EC3">
          <w:pPr>
            <w:pStyle w:val="Bibliography"/>
            <w:rPr>
              <w:noProof/>
            </w:rPr>
          </w:pPr>
          <w:r w:rsidRPr="002237F0">
            <w:rPr>
              <w:noProof/>
            </w:rPr>
            <w:t xml:space="preserve">Gebhardt, Reichardt, &amp; Wittenbrink. (2002). Accounting for Financial Instruments in the Banking Industry. </w:t>
          </w:r>
          <w:r w:rsidRPr="002237F0">
            <w:rPr>
              <w:i/>
              <w:iCs/>
              <w:noProof/>
            </w:rPr>
            <w:t>Working Paper Series: Finance &amp; Accounting</w:t>
          </w:r>
          <w:r w:rsidRPr="002237F0">
            <w:rPr>
              <w:noProof/>
            </w:rPr>
            <w:t xml:space="preserve"> , 1-86.</w:t>
          </w:r>
        </w:p>
        <w:p w:rsidR="00721EC3" w:rsidRPr="002237F0" w:rsidRDefault="00721EC3" w:rsidP="00721EC3">
          <w:pPr>
            <w:pStyle w:val="Bibliography"/>
            <w:rPr>
              <w:noProof/>
            </w:rPr>
          </w:pPr>
          <w:r w:rsidRPr="002237F0">
            <w:rPr>
              <w:noProof/>
            </w:rPr>
            <w:t xml:space="preserve">Glaser, Mohrmann, &amp; Riepe. (2013). </w:t>
          </w:r>
          <w:r w:rsidRPr="002237F0">
            <w:rPr>
              <w:i/>
              <w:iCs/>
              <w:noProof/>
            </w:rPr>
            <w:t>Blind Spot of Banking Regulation: Level 3 Valuation and Basel Risk Capital.</w:t>
          </w:r>
          <w:r w:rsidRPr="002237F0">
            <w:rPr>
              <w:noProof/>
            </w:rPr>
            <w:t xml:space="preserve"> München.</w:t>
          </w:r>
        </w:p>
        <w:p w:rsidR="00721EC3" w:rsidRPr="002237F0" w:rsidRDefault="00721EC3" w:rsidP="00721EC3">
          <w:pPr>
            <w:pStyle w:val="Bibliography"/>
            <w:rPr>
              <w:noProof/>
            </w:rPr>
          </w:pPr>
          <w:r w:rsidRPr="002237F0">
            <w:rPr>
              <w:noProof/>
            </w:rPr>
            <w:t xml:space="preserve">Huizinga, &amp; Laeven. (2009). </w:t>
          </w:r>
          <w:r w:rsidRPr="002237F0">
            <w:rPr>
              <w:i/>
              <w:iCs/>
              <w:noProof/>
            </w:rPr>
            <w:t>Accounting discretion of banks during a financial crisis.</w:t>
          </w:r>
          <w:r w:rsidRPr="002237F0">
            <w:rPr>
              <w:noProof/>
            </w:rPr>
            <w:t xml:space="preserve"> Tilburg.</w:t>
          </w:r>
        </w:p>
        <w:p w:rsidR="00721EC3" w:rsidRPr="002237F0" w:rsidRDefault="00721EC3" w:rsidP="00721EC3">
          <w:pPr>
            <w:pStyle w:val="Bibliography"/>
            <w:rPr>
              <w:noProof/>
            </w:rPr>
          </w:pPr>
          <w:r w:rsidRPr="002237F0">
            <w:rPr>
              <w:noProof/>
            </w:rPr>
            <w:t>Isaac, W. (2008). Fair value caused the crisis. (D. Katz, Interviewer)</w:t>
          </w:r>
        </w:p>
        <w:p w:rsidR="00721EC3" w:rsidRPr="002237F0" w:rsidRDefault="00721EC3" w:rsidP="00721EC3">
          <w:pPr>
            <w:pStyle w:val="Bibliography"/>
            <w:rPr>
              <w:noProof/>
            </w:rPr>
          </w:pPr>
          <w:r w:rsidRPr="002237F0">
            <w:rPr>
              <w:noProof/>
            </w:rPr>
            <w:t xml:space="preserve">Khoury, N. S. (April 2001). Accounting for Financial Instruments. </w:t>
          </w:r>
          <w:r w:rsidRPr="002237F0">
            <w:rPr>
              <w:i/>
              <w:iCs/>
              <w:noProof/>
            </w:rPr>
            <w:t>The Arab Bank Review</w:t>
          </w:r>
          <w:r w:rsidRPr="002237F0">
            <w:rPr>
              <w:noProof/>
            </w:rPr>
            <w:t xml:space="preserve"> , 41-44.</w:t>
          </w:r>
        </w:p>
        <w:p w:rsidR="00721EC3" w:rsidRPr="002237F0" w:rsidRDefault="00721EC3" w:rsidP="00721EC3">
          <w:pPr>
            <w:pStyle w:val="Bibliography"/>
            <w:rPr>
              <w:noProof/>
            </w:rPr>
          </w:pPr>
          <w:r w:rsidRPr="002237F0">
            <w:rPr>
              <w:noProof/>
            </w:rPr>
            <w:t xml:space="preserve">Koonce, Nelson, &amp; Shakespeare. (2011). Judging the Relevance of Fair Value for Financial Instruments. </w:t>
          </w:r>
          <w:r w:rsidRPr="002237F0">
            <w:rPr>
              <w:i/>
              <w:iCs/>
              <w:noProof/>
            </w:rPr>
            <w:t>The Accounting Review</w:t>
          </w:r>
          <w:r w:rsidRPr="002237F0">
            <w:rPr>
              <w:noProof/>
            </w:rPr>
            <w:t xml:space="preserve"> , 2075-2098.</w:t>
          </w:r>
        </w:p>
        <w:p w:rsidR="00721EC3" w:rsidRPr="002237F0" w:rsidRDefault="00721EC3" w:rsidP="00721EC3">
          <w:pPr>
            <w:pStyle w:val="Bibliography"/>
            <w:rPr>
              <w:noProof/>
            </w:rPr>
          </w:pPr>
          <w:r w:rsidRPr="002237F0">
            <w:rPr>
              <w:noProof/>
            </w:rPr>
            <w:t xml:space="preserve">Kothari, &amp; Lester. (2012). The Role of Accounting in the Financial Crisis: Lessons for the Future. </w:t>
          </w:r>
          <w:r w:rsidRPr="002237F0">
            <w:rPr>
              <w:i/>
              <w:iCs/>
              <w:noProof/>
            </w:rPr>
            <w:t>Accounting Horizons</w:t>
          </w:r>
          <w:r w:rsidRPr="002237F0">
            <w:rPr>
              <w:noProof/>
            </w:rPr>
            <w:t xml:space="preserve"> , 335-351.</w:t>
          </w:r>
        </w:p>
        <w:p w:rsidR="00721EC3" w:rsidRPr="002237F0" w:rsidRDefault="00721EC3" w:rsidP="00721EC3">
          <w:pPr>
            <w:pStyle w:val="Bibliography"/>
            <w:rPr>
              <w:noProof/>
            </w:rPr>
          </w:pPr>
          <w:r w:rsidRPr="002237F0">
            <w:rPr>
              <w:noProof/>
            </w:rPr>
            <w:t xml:space="preserve">Landsman, W. R. (2005). </w:t>
          </w:r>
          <w:r w:rsidRPr="002237F0">
            <w:rPr>
              <w:i/>
              <w:iCs/>
              <w:noProof/>
            </w:rPr>
            <w:t>Fair Value Accounting for Financial Instruments: Some Implications for Bank Regulations.</w:t>
          </w:r>
          <w:r w:rsidRPr="002237F0">
            <w:rPr>
              <w:noProof/>
            </w:rPr>
            <w:t xml:space="preserve"> Basel: Bank of International Settlement.</w:t>
          </w:r>
        </w:p>
        <w:p w:rsidR="00721EC3" w:rsidRPr="002237F0" w:rsidRDefault="00721EC3" w:rsidP="00721EC3">
          <w:pPr>
            <w:pStyle w:val="Bibliography"/>
            <w:rPr>
              <w:noProof/>
            </w:rPr>
          </w:pPr>
          <w:r w:rsidRPr="002237F0">
            <w:rPr>
              <w:noProof/>
            </w:rPr>
            <w:t xml:space="preserve">Lannoo, K. (2011). The Forest of Basel III has too many Trees. </w:t>
          </w:r>
          <w:r w:rsidRPr="002237F0">
            <w:rPr>
              <w:i/>
              <w:iCs/>
              <w:noProof/>
            </w:rPr>
            <w:t>Centre for European Policy Studies</w:t>
          </w:r>
          <w:r w:rsidRPr="002237F0">
            <w:rPr>
              <w:noProof/>
            </w:rPr>
            <w:t xml:space="preserve"> , 1-3.</w:t>
          </w:r>
        </w:p>
        <w:p w:rsidR="00721EC3" w:rsidRPr="002237F0" w:rsidRDefault="00721EC3" w:rsidP="00721EC3">
          <w:pPr>
            <w:pStyle w:val="Bibliography"/>
            <w:rPr>
              <w:noProof/>
            </w:rPr>
          </w:pPr>
          <w:r w:rsidRPr="002237F0">
            <w:rPr>
              <w:noProof/>
            </w:rPr>
            <w:t xml:space="preserve">Leuz, &amp; Laux. (2009). </w:t>
          </w:r>
          <w:r w:rsidRPr="002237F0">
            <w:rPr>
              <w:i/>
              <w:iCs/>
              <w:noProof/>
            </w:rPr>
            <w:t>Did Fair-value Accounting Contribute to the Financial Crisis?</w:t>
          </w:r>
          <w:r w:rsidRPr="002237F0">
            <w:rPr>
              <w:noProof/>
            </w:rPr>
            <w:t xml:space="preserve"> Frankfurt: Center For Financial Studies.</w:t>
          </w:r>
        </w:p>
        <w:p w:rsidR="00721EC3" w:rsidRPr="002237F0" w:rsidRDefault="00721EC3" w:rsidP="00721EC3">
          <w:pPr>
            <w:pStyle w:val="Bibliography"/>
            <w:rPr>
              <w:noProof/>
            </w:rPr>
          </w:pPr>
          <w:r w:rsidRPr="002237F0">
            <w:rPr>
              <w:noProof/>
            </w:rPr>
            <w:t xml:space="preserve">Leuz, &amp; Laux. (2009). </w:t>
          </w:r>
          <w:r w:rsidRPr="002237F0">
            <w:rPr>
              <w:i/>
              <w:iCs/>
              <w:noProof/>
            </w:rPr>
            <w:t>The crisis of fair value accounting: Making sense of the recent debate.</w:t>
          </w:r>
          <w:r w:rsidRPr="002237F0">
            <w:rPr>
              <w:noProof/>
            </w:rPr>
            <w:t xml:space="preserve"> Frankfurt: Center for Financial Studies.</w:t>
          </w:r>
        </w:p>
        <w:p w:rsidR="00721EC3" w:rsidRPr="002237F0" w:rsidRDefault="00721EC3" w:rsidP="00721EC3">
          <w:pPr>
            <w:pStyle w:val="Bibliography"/>
            <w:rPr>
              <w:noProof/>
            </w:rPr>
          </w:pPr>
          <w:r w:rsidRPr="002237F0">
            <w:rPr>
              <w:noProof/>
            </w:rPr>
            <w:t xml:space="preserve">Leventis, Dimitripoulos, &amp; Anandarajan. (2011). Loan Loss Provisions, Earnings Management and Capital Management under IFRS: The Case of EU Commercial Banks. </w:t>
          </w:r>
          <w:r w:rsidRPr="002237F0">
            <w:rPr>
              <w:i/>
              <w:iCs/>
              <w:noProof/>
            </w:rPr>
            <w:t>J Financ Serv Res</w:t>
          </w:r>
          <w:r w:rsidRPr="002237F0">
            <w:rPr>
              <w:noProof/>
            </w:rPr>
            <w:t xml:space="preserve"> , 103-122.</w:t>
          </w:r>
        </w:p>
        <w:p w:rsidR="00721EC3" w:rsidRPr="002237F0" w:rsidRDefault="00721EC3" w:rsidP="00721EC3">
          <w:pPr>
            <w:pStyle w:val="Bibliography"/>
            <w:rPr>
              <w:noProof/>
            </w:rPr>
          </w:pPr>
          <w:r w:rsidRPr="002237F0">
            <w:rPr>
              <w:noProof/>
            </w:rPr>
            <w:t xml:space="preserve">Levinson, M. (2010). Faulty Basel. </w:t>
          </w:r>
          <w:r w:rsidRPr="002237F0">
            <w:rPr>
              <w:i/>
              <w:iCs/>
              <w:noProof/>
            </w:rPr>
            <w:t>Foreign Affairs</w:t>
          </w:r>
          <w:r w:rsidRPr="002237F0">
            <w:rPr>
              <w:noProof/>
            </w:rPr>
            <w:t xml:space="preserve"> , 1-8.</w:t>
          </w:r>
        </w:p>
        <w:p w:rsidR="00721EC3" w:rsidRPr="002237F0" w:rsidRDefault="00721EC3" w:rsidP="00721EC3">
          <w:pPr>
            <w:pStyle w:val="Bibliography"/>
            <w:rPr>
              <w:noProof/>
            </w:rPr>
          </w:pPr>
          <w:r w:rsidRPr="002237F0">
            <w:rPr>
              <w:noProof/>
            </w:rPr>
            <w:t>Liang, J. M. (2013). The impact of the Basel III capital &amp; liquidity requirements: Balance Sheet Optimization.</w:t>
          </w:r>
        </w:p>
        <w:p w:rsidR="00721EC3" w:rsidRPr="002237F0" w:rsidRDefault="00721EC3" w:rsidP="00721EC3">
          <w:pPr>
            <w:pStyle w:val="Bibliography"/>
            <w:rPr>
              <w:noProof/>
            </w:rPr>
          </w:pPr>
          <w:r w:rsidRPr="002237F0">
            <w:rPr>
              <w:noProof/>
            </w:rPr>
            <w:t xml:space="preserve">Linsmeier, T. J. (2011). Financial Reporting and Financial Crises: The Case for measuring Financial Instruments at Fair Value in the Financial Statements. </w:t>
          </w:r>
          <w:r w:rsidRPr="002237F0">
            <w:rPr>
              <w:i/>
              <w:iCs/>
              <w:noProof/>
            </w:rPr>
            <w:t>Accounting Horizons</w:t>
          </w:r>
          <w:r w:rsidRPr="002237F0">
            <w:rPr>
              <w:noProof/>
            </w:rPr>
            <w:t xml:space="preserve"> , 409-417.</w:t>
          </w:r>
        </w:p>
        <w:p w:rsidR="00721EC3" w:rsidRPr="002237F0" w:rsidRDefault="00721EC3" w:rsidP="00721EC3">
          <w:pPr>
            <w:pStyle w:val="Bibliography"/>
            <w:rPr>
              <w:noProof/>
              <w:lang w:val="nl-NL"/>
            </w:rPr>
          </w:pPr>
          <w:r w:rsidRPr="002237F0">
            <w:rPr>
              <w:noProof/>
            </w:rPr>
            <w:t xml:space="preserve">Merrill, Nadauld, Stulz, &amp; Sherlund. (2012). </w:t>
          </w:r>
          <w:r w:rsidRPr="002237F0">
            <w:rPr>
              <w:i/>
              <w:iCs/>
              <w:noProof/>
            </w:rPr>
            <w:t>Did Capital Requirements and Fair Value Accounting Spark Fire Sales in Distressed Mortgage-backed securities?</w:t>
          </w:r>
          <w:r w:rsidRPr="002237F0">
            <w:rPr>
              <w:noProof/>
            </w:rPr>
            <w:t xml:space="preserve"> </w:t>
          </w:r>
          <w:r w:rsidRPr="002237F0">
            <w:rPr>
              <w:noProof/>
              <w:lang w:val="nl-NL"/>
            </w:rPr>
            <w:t>Cambridge(MA): National Bureau of Economic Research.</w:t>
          </w:r>
        </w:p>
        <w:p w:rsidR="00721EC3" w:rsidRPr="002237F0" w:rsidRDefault="00721EC3" w:rsidP="00721EC3">
          <w:pPr>
            <w:pStyle w:val="Bibliography"/>
            <w:rPr>
              <w:noProof/>
            </w:rPr>
          </w:pPr>
          <w:r w:rsidRPr="002237F0">
            <w:rPr>
              <w:noProof/>
              <w:lang w:val="nl-NL"/>
            </w:rPr>
            <w:t xml:space="preserve">Norendaal, T. (2013). </w:t>
          </w:r>
          <w:r w:rsidRPr="002237F0">
            <w:rPr>
              <w:i/>
              <w:iCs/>
              <w:noProof/>
              <w:lang w:val="nl-NL"/>
            </w:rPr>
            <w:t>Theorie en wetgeving van contingent capital bij banken in Nederland.</w:t>
          </w:r>
          <w:r w:rsidRPr="002237F0">
            <w:rPr>
              <w:noProof/>
              <w:lang w:val="nl-NL"/>
            </w:rPr>
            <w:t xml:space="preserve"> </w:t>
          </w:r>
          <w:r w:rsidRPr="002237F0">
            <w:rPr>
              <w:noProof/>
            </w:rPr>
            <w:t>Zwijndrectht.</w:t>
          </w:r>
        </w:p>
        <w:p w:rsidR="00721EC3" w:rsidRPr="002237F0" w:rsidRDefault="00721EC3" w:rsidP="00721EC3">
          <w:pPr>
            <w:pStyle w:val="Bibliography"/>
            <w:rPr>
              <w:noProof/>
            </w:rPr>
          </w:pPr>
          <w:r w:rsidRPr="002237F0">
            <w:rPr>
              <w:noProof/>
            </w:rPr>
            <w:t xml:space="preserve">Richardson, &amp; Acharya. (2009). Causes of the Financial Crisis. </w:t>
          </w:r>
          <w:r w:rsidRPr="002237F0">
            <w:rPr>
              <w:i/>
              <w:iCs/>
              <w:noProof/>
            </w:rPr>
            <w:t>Critical Review: A Journal of Politics and Society</w:t>
          </w:r>
          <w:r w:rsidRPr="002237F0">
            <w:rPr>
              <w:noProof/>
            </w:rPr>
            <w:t xml:space="preserve"> , 195-210.</w:t>
          </w:r>
        </w:p>
        <w:p w:rsidR="00721EC3" w:rsidRPr="002237F0" w:rsidRDefault="00721EC3" w:rsidP="00721EC3">
          <w:pPr>
            <w:pStyle w:val="Bibliography"/>
            <w:rPr>
              <w:noProof/>
              <w:lang w:val="nl-NL"/>
            </w:rPr>
          </w:pPr>
          <w:r w:rsidRPr="002237F0">
            <w:rPr>
              <w:noProof/>
            </w:rPr>
            <w:t xml:space="preserve">Supervision, B. C. (2006). </w:t>
          </w:r>
          <w:r w:rsidRPr="002237F0">
            <w:rPr>
              <w:i/>
              <w:iCs/>
              <w:noProof/>
            </w:rPr>
            <w:t>International Convergence of Capital Measurement and Capital Standards.</w:t>
          </w:r>
          <w:r w:rsidRPr="002237F0">
            <w:rPr>
              <w:noProof/>
            </w:rPr>
            <w:t xml:space="preserve"> </w:t>
          </w:r>
          <w:r w:rsidRPr="002237F0">
            <w:rPr>
              <w:noProof/>
              <w:lang w:val="nl-NL"/>
            </w:rPr>
            <w:t>Basel: Bank for International Settlements.</w:t>
          </w:r>
        </w:p>
        <w:p w:rsidR="00721EC3" w:rsidRPr="002237F0" w:rsidRDefault="00721EC3" w:rsidP="00721EC3">
          <w:pPr>
            <w:pStyle w:val="Bibliography"/>
            <w:rPr>
              <w:noProof/>
            </w:rPr>
          </w:pPr>
          <w:r w:rsidRPr="002237F0">
            <w:rPr>
              <w:noProof/>
              <w:lang w:val="nl-NL"/>
            </w:rPr>
            <w:t xml:space="preserve">Tilburg, R. v. (2013). Het overgewichtsprobleem van de Nederlandse bankensector en aanvullende afslanktips. </w:t>
          </w:r>
          <w:r w:rsidRPr="002237F0">
            <w:rPr>
              <w:i/>
              <w:iCs/>
              <w:noProof/>
            </w:rPr>
            <w:t>TPEdigitaal</w:t>
          </w:r>
          <w:r w:rsidRPr="002237F0">
            <w:rPr>
              <w:noProof/>
            </w:rPr>
            <w:t xml:space="preserve"> , 49-65.</w:t>
          </w:r>
        </w:p>
        <w:p w:rsidR="00721EC3" w:rsidRPr="002237F0" w:rsidRDefault="00721EC3" w:rsidP="00721EC3">
          <w:pPr>
            <w:pStyle w:val="Bibliography"/>
            <w:rPr>
              <w:noProof/>
            </w:rPr>
          </w:pPr>
          <w:r w:rsidRPr="002237F0">
            <w:rPr>
              <w:noProof/>
            </w:rPr>
            <w:t xml:space="preserve">Véron, N. (2012). </w:t>
          </w:r>
          <w:r w:rsidRPr="002237F0">
            <w:rPr>
              <w:i/>
              <w:iCs/>
              <w:noProof/>
            </w:rPr>
            <w:t>Financial Reform after the Crisis: An Early Assessment.</w:t>
          </w:r>
          <w:r w:rsidRPr="002237F0">
            <w:rPr>
              <w:noProof/>
            </w:rPr>
            <w:t xml:space="preserve"> Washington: Peterson Institute for International Economics.</w:t>
          </w:r>
        </w:p>
        <w:p w:rsidR="00721EC3" w:rsidRPr="002237F0" w:rsidRDefault="00721EC3" w:rsidP="00721EC3">
          <w:pPr>
            <w:pStyle w:val="Bibliography"/>
            <w:rPr>
              <w:noProof/>
            </w:rPr>
          </w:pPr>
          <w:r w:rsidRPr="002237F0">
            <w:rPr>
              <w:noProof/>
            </w:rPr>
            <w:t xml:space="preserve">Whittington. (2008). The conceptual Framework project: an alternative view. </w:t>
          </w:r>
          <w:r w:rsidRPr="002237F0">
            <w:rPr>
              <w:i/>
              <w:iCs/>
              <w:noProof/>
            </w:rPr>
            <w:t>Abacus</w:t>
          </w:r>
          <w:r w:rsidRPr="002237F0">
            <w:rPr>
              <w:noProof/>
            </w:rPr>
            <w:t xml:space="preserve"> , 139-168.</w:t>
          </w:r>
        </w:p>
        <w:p w:rsidR="00940388" w:rsidRPr="002237F0" w:rsidRDefault="003C13F3" w:rsidP="00721EC3">
          <w:r w:rsidRPr="002237F0">
            <w:rPr>
              <w:lang w:val="nl-NL"/>
            </w:rPr>
            <w:fldChar w:fldCharType="end"/>
          </w:r>
        </w:p>
      </w:sdtContent>
    </w:sdt>
    <w:p w:rsidR="0061373C" w:rsidRPr="002237F0" w:rsidRDefault="0061373C" w:rsidP="00721EC3"/>
    <w:p w:rsidR="0061373C" w:rsidRPr="002237F0" w:rsidRDefault="0061373C" w:rsidP="00721EC3"/>
    <w:p w:rsidR="0061373C" w:rsidRPr="002237F0" w:rsidRDefault="0061373C" w:rsidP="00721EC3"/>
    <w:p w:rsidR="0061373C" w:rsidRPr="002237F0" w:rsidRDefault="0061373C" w:rsidP="00721EC3"/>
    <w:p w:rsidR="0061373C" w:rsidRPr="002237F0" w:rsidRDefault="0061373C" w:rsidP="00721EC3"/>
    <w:p w:rsidR="0061373C" w:rsidRPr="002237F0" w:rsidRDefault="0061373C" w:rsidP="00721EC3"/>
    <w:p w:rsidR="0061373C" w:rsidRPr="002237F0" w:rsidRDefault="0061373C" w:rsidP="00721EC3"/>
    <w:p w:rsidR="0061373C" w:rsidRPr="002237F0" w:rsidRDefault="0061373C" w:rsidP="00721EC3"/>
    <w:p w:rsidR="0061373C" w:rsidRPr="002237F0" w:rsidRDefault="0061373C" w:rsidP="00721EC3"/>
    <w:p w:rsidR="0061373C" w:rsidRPr="002237F0" w:rsidRDefault="0061373C" w:rsidP="00721EC3"/>
    <w:p w:rsidR="0061373C" w:rsidRPr="002237F0" w:rsidRDefault="0061373C" w:rsidP="00721EC3">
      <w:pPr>
        <w:rPr>
          <w:lang w:val="nl-NL"/>
        </w:rPr>
      </w:pPr>
    </w:p>
    <w:sectPr w:rsidR="0061373C" w:rsidRPr="002237F0" w:rsidSect="009C0F20">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242" w:rsidRDefault="00F73242" w:rsidP="00A0309E">
      <w:pPr>
        <w:spacing w:after="0" w:line="240" w:lineRule="auto"/>
      </w:pPr>
      <w:r>
        <w:separator/>
      </w:r>
    </w:p>
  </w:endnote>
  <w:endnote w:type="continuationSeparator" w:id="0">
    <w:p w:rsidR="00F73242" w:rsidRDefault="00F73242" w:rsidP="00A030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040137"/>
      <w:docPartObj>
        <w:docPartGallery w:val="Page Numbers (Bottom of Page)"/>
        <w:docPartUnique/>
      </w:docPartObj>
    </w:sdtPr>
    <w:sdtEndPr>
      <w:rPr>
        <w:noProof/>
      </w:rPr>
    </w:sdtEndPr>
    <w:sdtContent>
      <w:p w:rsidR="003334D4" w:rsidRDefault="003334D4">
        <w:pPr>
          <w:pStyle w:val="Footer"/>
          <w:jc w:val="right"/>
        </w:pPr>
      </w:p>
      <w:p w:rsidR="003334D4" w:rsidRDefault="003C13F3">
        <w:pPr>
          <w:pStyle w:val="Footer"/>
          <w:jc w:val="right"/>
        </w:pPr>
        <w:r>
          <w:fldChar w:fldCharType="begin"/>
        </w:r>
        <w:r w:rsidR="003334D4">
          <w:instrText xml:space="preserve"> PAGE   \* MERGEFORMAT </w:instrText>
        </w:r>
        <w:r>
          <w:fldChar w:fldCharType="separate"/>
        </w:r>
        <w:r w:rsidR="004A1FC7">
          <w:rPr>
            <w:noProof/>
          </w:rPr>
          <w:t>1</w:t>
        </w:r>
        <w:r>
          <w:rPr>
            <w:noProof/>
          </w:rPr>
          <w:fldChar w:fldCharType="end"/>
        </w:r>
      </w:p>
    </w:sdtContent>
  </w:sdt>
  <w:p w:rsidR="003334D4" w:rsidRDefault="003334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242" w:rsidRDefault="00F73242" w:rsidP="00A0309E">
      <w:pPr>
        <w:spacing w:after="0" w:line="240" w:lineRule="auto"/>
      </w:pPr>
      <w:r>
        <w:separator/>
      </w:r>
    </w:p>
  </w:footnote>
  <w:footnote w:type="continuationSeparator" w:id="0">
    <w:p w:rsidR="00F73242" w:rsidRDefault="00F73242" w:rsidP="00A0309E">
      <w:pPr>
        <w:spacing w:after="0" w:line="240" w:lineRule="auto"/>
      </w:pPr>
      <w:r>
        <w:continuationSeparator/>
      </w:r>
    </w:p>
  </w:footnote>
  <w:footnote w:id="1">
    <w:p w:rsidR="003334D4" w:rsidRPr="006D3A03" w:rsidRDefault="003334D4">
      <w:pPr>
        <w:pStyle w:val="FootnoteText"/>
        <w:rPr>
          <w:lang w:val="nl-NL"/>
        </w:rPr>
      </w:pPr>
      <w:r>
        <w:rPr>
          <w:rStyle w:val="FootnoteReference"/>
        </w:rPr>
        <w:footnoteRef/>
      </w:r>
      <w:r w:rsidRPr="006D3A03">
        <w:rPr>
          <w:lang w:val="nl-NL"/>
        </w:rPr>
        <w:t xml:space="preserve"> </w:t>
      </w:r>
      <w:r w:rsidRPr="00D5769B">
        <w:rPr>
          <w:lang w:val="nl-NL"/>
        </w:rPr>
        <w:t>Fortis en ABN gered door nationalisatie</w:t>
      </w:r>
      <w:r>
        <w:rPr>
          <w:lang w:val="nl-NL"/>
        </w:rPr>
        <w:t>.</w:t>
      </w:r>
      <w:r w:rsidRPr="00D5769B">
        <w:rPr>
          <w:lang w:val="nl-NL"/>
        </w:rPr>
        <w:t xml:space="preserve"> </w:t>
      </w:r>
      <w:r w:rsidRPr="00D5769B">
        <w:rPr>
          <w:i/>
          <w:lang w:val="nl-NL"/>
        </w:rPr>
        <w:t>NRC Handelsblad</w:t>
      </w:r>
      <w:r w:rsidRPr="00D5769B">
        <w:rPr>
          <w:lang w:val="nl-NL"/>
        </w:rPr>
        <w:t xml:space="preserve">, </w:t>
      </w:r>
      <w:r>
        <w:rPr>
          <w:lang w:val="nl-NL"/>
        </w:rPr>
        <w:t>4 augustus 2008</w:t>
      </w:r>
    </w:p>
  </w:footnote>
  <w:footnote w:id="2">
    <w:p w:rsidR="003334D4" w:rsidRPr="00A05D19" w:rsidRDefault="003334D4">
      <w:pPr>
        <w:pStyle w:val="FootnoteText"/>
        <w:rPr>
          <w:lang w:val="en-GB"/>
        </w:rPr>
      </w:pPr>
      <w:r>
        <w:rPr>
          <w:rStyle w:val="FootnoteReference"/>
        </w:rPr>
        <w:footnoteRef/>
      </w:r>
      <w:r w:rsidRPr="006D3A03">
        <w:rPr>
          <w:lang w:val="nl-NL"/>
        </w:rPr>
        <w:t xml:space="preserve"> </w:t>
      </w:r>
      <w:r>
        <w:rPr>
          <w:lang w:val="nl-NL"/>
        </w:rPr>
        <w:t xml:space="preserve">Staat nationaliseert SNS Reaal. </w:t>
      </w:r>
      <w:r w:rsidRPr="00A05D19">
        <w:rPr>
          <w:i/>
          <w:lang w:val="en-GB"/>
        </w:rPr>
        <w:t xml:space="preserve">NRC </w:t>
      </w:r>
      <w:proofErr w:type="spellStart"/>
      <w:r w:rsidRPr="00A05D19">
        <w:rPr>
          <w:i/>
          <w:lang w:val="en-GB"/>
        </w:rPr>
        <w:t>Handelsblad</w:t>
      </w:r>
      <w:proofErr w:type="spellEnd"/>
      <w:r w:rsidRPr="00A05D19">
        <w:rPr>
          <w:lang w:val="en-GB"/>
        </w:rPr>
        <w:t xml:space="preserve">, 1 </w:t>
      </w:r>
      <w:proofErr w:type="spellStart"/>
      <w:r w:rsidRPr="00A05D19">
        <w:rPr>
          <w:lang w:val="en-GB"/>
        </w:rPr>
        <w:t>februari</w:t>
      </w:r>
      <w:proofErr w:type="spellEnd"/>
      <w:r w:rsidRPr="00A05D19">
        <w:rPr>
          <w:lang w:val="en-GB"/>
        </w:rPr>
        <w:t xml:space="preserve"> 2013 </w:t>
      </w:r>
    </w:p>
  </w:footnote>
  <w:footnote w:id="3">
    <w:p w:rsidR="003334D4" w:rsidRPr="00A05D19" w:rsidRDefault="003334D4">
      <w:pPr>
        <w:pStyle w:val="FootnoteText"/>
        <w:rPr>
          <w:lang w:val="en-GB"/>
        </w:rPr>
      </w:pPr>
      <w:r>
        <w:rPr>
          <w:rStyle w:val="FootnoteReference"/>
        </w:rPr>
        <w:footnoteRef/>
      </w:r>
      <w:r>
        <w:t xml:space="preserve"> </w:t>
      </w:r>
      <w:r w:rsidRPr="008C2E58">
        <w:rPr>
          <w:lang w:val="en-GB"/>
        </w:rPr>
        <w:t>Financial Crisis: B</w:t>
      </w:r>
      <w:r>
        <w:rPr>
          <w:lang w:val="en-GB"/>
        </w:rPr>
        <w:t xml:space="preserve">anks nationalised by government. </w:t>
      </w:r>
      <w:r w:rsidRPr="00A05D19">
        <w:rPr>
          <w:i/>
          <w:lang w:val="en-GB"/>
        </w:rPr>
        <w:t xml:space="preserve">The Telegraph, </w:t>
      </w:r>
      <w:r w:rsidRPr="00A05D19">
        <w:rPr>
          <w:lang w:val="en-GB"/>
        </w:rPr>
        <w:t xml:space="preserve">13 </w:t>
      </w:r>
      <w:proofErr w:type="spellStart"/>
      <w:r w:rsidRPr="00A05D19">
        <w:rPr>
          <w:lang w:val="en-GB"/>
        </w:rPr>
        <w:t>oktober</w:t>
      </w:r>
      <w:proofErr w:type="spellEnd"/>
      <w:r w:rsidRPr="00A05D19">
        <w:rPr>
          <w:lang w:val="en-GB"/>
        </w:rPr>
        <w:t xml:space="preserve"> 2008</w:t>
      </w:r>
    </w:p>
  </w:footnote>
  <w:footnote w:id="4">
    <w:p w:rsidR="003334D4" w:rsidRPr="00DB5865" w:rsidRDefault="003334D4">
      <w:pPr>
        <w:pStyle w:val="FootnoteText"/>
        <w:rPr>
          <w:lang w:val="en-GB"/>
        </w:rPr>
      </w:pPr>
      <w:r>
        <w:rPr>
          <w:rStyle w:val="FootnoteReference"/>
        </w:rPr>
        <w:footnoteRef/>
      </w:r>
      <w:r w:rsidRPr="00AA76B9">
        <w:rPr>
          <w:lang w:val="en-GB"/>
        </w:rPr>
        <w:t xml:space="preserve"> </w:t>
      </w:r>
      <w:r w:rsidRPr="008B1B9A">
        <w:rPr>
          <w:noProof/>
          <w:sz w:val="18"/>
          <w:szCs w:val="18"/>
        </w:rPr>
        <w:t xml:space="preserve">Leuz, &amp; Laux. (2009). </w:t>
      </w:r>
      <w:r w:rsidRPr="008B1B9A">
        <w:rPr>
          <w:i/>
          <w:iCs/>
          <w:noProof/>
          <w:sz w:val="18"/>
          <w:szCs w:val="18"/>
        </w:rPr>
        <w:t>Did Fair-value Accounting Contribute to the Financial Crisis?</w:t>
      </w:r>
      <w:r w:rsidRPr="008B1B9A">
        <w:rPr>
          <w:noProof/>
          <w:sz w:val="18"/>
          <w:szCs w:val="18"/>
        </w:rPr>
        <w:t xml:space="preserve"> Frankfurt: Center For Financial Studies.</w:t>
      </w:r>
    </w:p>
  </w:footnote>
  <w:footnote w:id="5">
    <w:p w:rsidR="003334D4" w:rsidRPr="00DB5865" w:rsidRDefault="003334D4">
      <w:pPr>
        <w:pStyle w:val="FootnoteText"/>
        <w:rPr>
          <w:lang w:val="en-GB"/>
        </w:rPr>
      </w:pPr>
      <w:r>
        <w:rPr>
          <w:rStyle w:val="FootnoteReference"/>
        </w:rPr>
        <w:footnoteRef/>
      </w:r>
      <w:r>
        <w:t xml:space="preserve"> </w:t>
      </w:r>
      <w:r w:rsidRPr="00DB5865">
        <w:rPr>
          <w:lang w:val="en-GB"/>
        </w:rPr>
        <w:t>The long, d</w:t>
      </w:r>
      <w:r>
        <w:rPr>
          <w:lang w:val="en-GB"/>
        </w:rPr>
        <w:t xml:space="preserve">ark shadow of </w:t>
      </w:r>
      <w:proofErr w:type="spellStart"/>
      <w:r>
        <w:rPr>
          <w:lang w:val="en-GB"/>
        </w:rPr>
        <w:t>Herstatt</w:t>
      </w:r>
      <w:proofErr w:type="spellEnd"/>
      <w:r>
        <w:rPr>
          <w:lang w:val="en-GB"/>
        </w:rPr>
        <w:t xml:space="preserve">, </w:t>
      </w:r>
      <w:r>
        <w:rPr>
          <w:i/>
          <w:lang w:val="en-GB"/>
        </w:rPr>
        <w:t xml:space="preserve">The Economist, </w:t>
      </w:r>
      <w:r>
        <w:rPr>
          <w:lang w:val="en-GB"/>
        </w:rPr>
        <w:t xml:space="preserve">12 </w:t>
      </w:r>
      <w:proofErr w:type="spellStart"/>
      <w:r>
        <w:rPr>
          <w:lang w:val="en-GB"/>
        </w:rPr>
        <w:t>april</w:t>
      </w:r>
      <w:proofErr w:type="spellEnd"/>
      <w:r>
        <w:rPr>
          <w:lang w:val="en-GB"/>
        </w:rPr>
        <w:t xml:space="preserve"> 2001</w:t>
      </w:r>
    </w:p>
  </w:footnote>
  <w:footnote w:id="6">
    <w:p w:rsidR="003334D4" w:rsidRPr="003373CA" w:rsidRDefault="003334D4">
      <w:pPr>
        <w:pStyle w:val="FootnoteText"/>
        <w:rPr>
          <w:lang w:val="nl-NL"/>
        </w:rPr>
      </w:pPr>
      <w:r>
        <w:rPr>
          <w:rStyle w:val="FootnoteReference"/>
        </w:rPr>
        <w:footnoteRef/>
      </w:r>
      <w:r w:rsidRPr="009C1F8B">
        <w:rPr>
          <w:lang w:val="nl-NL"/>
        </w:rPr>
        <w:t xml:space="preserve"> </w:t>
      </w:r>
      <w:r>
        <w:rPr>
          <w:lang w:val="nl-NL"/>
        </w:rPr>
        <w:t xml:space="preserve">IJsland neemt controle over bankensector, </w:t>
      </w:r>
      <w:r>
        <w:rPr>
          <w:i/>
          <w:lang w:val="nl-NL"/>
        </w:rPr>
        <w:t xml:space="preserve">NRC Handelsblad, </w:t>
      </w:r>
      <w:r>
        <w:rPr>
          <w:lang w:val="nl-NL"/>
        </w:rPr>
        <w:t>7 oktober 2008</w:t>
      </w:r>
    </w:p>
  </w:footnote>
  <w:footnote w:id="7">
    <w:p w:rsidR="003334D4" w:rsidRDefault="003334D4">
      <w:pPr>
        <w:pStyle w:val="FootnoteText"/>
      </w:pPr>
      <w:r>
        <w:rPr>
          <w:rStyle w:val="FootnoteReference"/>
        </w:rPr>
        <w:footnoteRef/>
      </w:r>
      <w:r w:rsidRPr="00A05D19">
        <w:rPr>
          <w:lang w:val="en-GB"/>
        </w:rPr>
        <w:t xml:space="preserve"> </w:t>
      </w:r>
      <w:proofErr w:type="spellStart"/>
      <w:r w:rsidRPr="00A05D19">
        <w:rPr>
          <w:lang w:val="en-GB"/>
        </w:rPr>
        <w:t>Fiechter</w:t>
      </w:r>
      <w:proofErr w:type="spellEnd"/>
      <w:r w:rsidRPr="00A05D19">
        <w:rPr>
          <w:lang w:val="en-GB"/>
        </w:rPr>
        <w:t xml:space="preserve">, P. (2011). </w:t>
      </w:r>
      <w:r w:rsidRPr="00C47299">
        <w:t>Reclassification of Financial Assets under IAS 39: Impact on European Banks' Statements. Accounting in Europe , 49-67</w:t>
      </w:r>
    </w:p>
  </w:footnote>
  <w:footnote w:id="8">
    <w:p w:rsidR="003334D4" w:rsidRDefault="003334D4">
      <w:pPr>
        <w:pStyle w:val="FootnoteText"/>
      </w:pPr>
      <w:r>
        <w:rPr>
          <w:rStyle w:val="FootnoteReference"/>
        </w:rPr>
        <w:footnoteRef/>
      </w:r>
      <w:r>
        <w:t xml:space="preserve"> </w:t>
      </w:r>
      <w:proofErr w:type="gramStart"/>
      <w:r w:rsidRPr="00E41C34">
        <w:t>Levinson, M. (2010).</w:t>
      </w:r>
      <w:proofErr w:type="gramEnd"/>
      <w:r w:rsidRPr="00E41C34">
        <w:t xml:space="preserve"> </w:t>
      </w:r>
      <w:proofErr w:type="gramStart"/>
      <w:r w:rsidRPr="00E41C34">
        <w:t>Faulty Basel.</w:t>
      </w:r>
      <w:proofErr w:type="gramEnd"/>
      <w:r w:rsidRPr="00E41C34">
        <w:t xml:space="preserve"> Foreign </w:t>
      </w:r>
      <w:proofErr w:type="gramStart"/>
      <w:r w:rsidRPr="00E41C34">
        <w:t>Affairs ,</w:t>
      </w:r>
      <w:proofErr w:type="gramEnd"/>
      <w:r w:rsidRPr="00E41C34">
        <w:t xml:space="preserve"> 1-8.</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02DA"/>
    <w:multiLevelType w:val="multilevel"/>
    <w:tmpl w:val="3F24B3E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BC4205"/>
    <w:multiLevelType w:val="hybridMultilevel"/>
    <w:tmpl w:val="B3EA8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D4B4F"/>
    <w:multiLevelType w:val="hybridMultilevel"/>
    <w:tmpl w:val="E56E3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C227B"/>
    <w:multiLevelType w:val="multilevel"/>
    <w:tmpl w:val="2EC4609C"/>
    <w:lvl w:ilvl="0">
      <w:start w:val="1"/>
      <w:numFmt w:val="decimal"/>
      <w:lvlText w:val="%1."/>
      <w:lvlJc w:val="left"/>
      <w:pPr>
        <w:ind w:left="720" w:hanging="360"/>
      </w:pPr>
      <w:rPr>
        <w:rFonts w:hint="default"/>
      </w:rPr>
    </w:lvl>
    <w:lvl w:ilvl="1">
      <w:start w:val="2"/>
      <w:numFmt w:val="decimal"/>
      <w:isLgl/>
      <w:lvlText w:val="%1.%2."/>
      <w:lvlJc w:val="left"/>
      <w:pPr>
        <w:ind w:left="1035" w:hanging="675"/>
      </w:pPr>
      <w:rPr>
        <w:rFonts w:hint="default"/>
        <w:b/>
        <w:sz w:val="28"/>
      </w:rPr>
    </w:lvl>
    <w:lvl w:ilvl="2">
      <w:start w:val="2"/>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4">
    <w:nsid w:val="0ACB3A89"/>
    <w:multiLevelType w:val="hybridMultilevel"/>
    <w:tmpl w:val="437C7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4767A3"/>
    <w:multiLevelType w:val="hybridMultilevel"/>
    <w:tmpl w:val="AACCD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E22144"/>
    <w:multiLevelType w:val="hybridMultilevel"/>
    <w:tmpl w:val="E8E2A914"/>
    <w:lvl w:ilvl="0" w:tplc="243A3496">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1069D"/>
    <w:multiLevelType w:val="hybridMultilevel"/>
    <w:tmpl w:val="FF4ED946"/>
    <w:lvl w:ilvl="0" w:tplc="04B883F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F3733"/>
    <w:multiLevelType w:val="hybridMultilevel"/>
    <w:tmpl w:val="135E6A7C"/>
    <w:lvl w:ilvl="0" w:tplc="2884D4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41280"/>
    <w:multiLevelType w:val="multilevel"/>
    <w:tmpl w:val="2EC4609C"/>
    <w:lvl w:ilvl="0">
      <w:start w:val="1"/>
      <w:numFmt w:val="decimal"/>
      <w:lvlText w:val="%1."/>
      <w:lvlJc w:val="left"/>
      <w:pPr>
        <w:ind w:left="720" w:hanging="360"/>
      </w:pPr>
      <w:rPr>
        <w:rFonts w:hint="default"/>
      </w:rPr>
    </w:lvl>
    <w:lvl w:ilvl="1">
      <w:start w:val="2"/>
      <w:numFmt w:val="decimal"/>
      <w:isLgl/>
      <w:lvlText w:val="%1.%2."/>
      <w:lvlJc w:val="left"/>
      <w:pPr>
        <w:ind w:left="1035" w:hanging="675"/>
      </w:pPr>
      <w:rPr>
        <w:rFonts w:hint="default"/>
        <w:b/>
        <w:sz w:val="28"/>
      </w:rPr>
    </w:lvl>
    <w:lvl w:ilvl="2">
      <w:start w:val="2"/>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10">
    <w:nsid w:val="21C779D2"/>
    <w:multiLevelType w:val="hybridMultilevel"/>
    <w:tmpl w:val="F078C2D2"/>
    <w:lvl w:ilvl="0" w:tplc="B5A2B22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34F4A"/>
    <w:multiLevelType w:val="hybridMultilevel"/>
    <w:tmpl w:val="643003F0"/>
    <w:lvl w:ilvl="0" w:tplc="0A4C51B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C81E20"/>
    <w:multiLevelType w:val="hybridMultilevel"/>
    <w:tmpl w:val="E008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DA2357"/>
    <w:multiLevelType w:val="hybridMultilevel"/>
    <w:tmpl w:val="9F76134C"/>
    <w:lvl w:ilvl="0" w:tplc="0CF20C5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9A0F66"/>
    <w:multiLevelType w:val="hybridMultilevel"/>
    <w:tmpl w:val="EDA0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6D0248"/>
    <w:multiLevelType w:val="multilevel"/>
    <w:tmpl w:val="2EC4609C"/>
    <w:lvl w:ilvl="0">
      <w:start w:val="1"/>
      <w:numFmt w:val="decimal"/>
      <w:lvlText w:val="%1."/>
      <w:lvlJc w:val="left"/>
      <w:pPr>
        <w:ind w:left="720" w:hanging="360"/>
      </w:pPr>
      <w:rPr>
        <w:rFonts w:hint="default"/>
      </w:rPr>
    </w:lvl>
    <w:lvl w:ilvl="1">
      <w:start w:val="2"/>
      <w:numFmt w:val="decimal"/>
      <w:isLgl/>
      <w:lvlText w:val="%1.%2."/>
      <w:lvlJc w:val="left"/>
      <w:pPr>
        <w:ind w:left="1035" w:hanging="675"/>
      </w:pPr>
      <w:rPr>
        <w:rFonts w:hint="default"/>
        <w:b/>
        <w:sz w:val="28"/>
      </w:rPr>
    </w:lvl>
    <w:lvl w:ilvl="2">
      <w:start w:val="2"/>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16">
    <w:nsid w:val="401B1493"/>
    <w:multiLevelType w:val="hybridMultilevel"/>
    <w:tmpl w:val="E19260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nsid w:val="415A68B9"/>
    <w:multiLevelType w:val="hybridMultilevel"/>
    <w:tmpl w:val="26307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1118C0"/>
    <w:multiLevelType w:val="hybridMultilevel"/>
    <w:tmpl w:val="25DE0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AB271D"/>
    <w:multiLevelType w:val="hybridMultilevel"/>
    <w:tmpl w:val="AFD89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C9703B"/>
    <w:multiLevelType w:val="hybridMultilevel"/>
    <w:tmpl w:val="F99C6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E25D5C"/>
    <w:multiLevelType w:val="hybridMultilevel"/>
    <w:tmpl w:val="52B67512"/>
    <w:lvl w:ilvl="0" w:tplc="ADF8A21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756A8E"/>
    <w:multiLevelType w:val="hybridMultilevel"/>
    <w:tmpl w:val="30CA2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685E3F"/>
    <w:multiLevelType w:val="hybridMultilevel"/>
    <w:tmpl w:val="B934B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EC1373"/>
    <w:multiLevelType w:val="hybridMultilevel"/>
    <w:tmpl w:val="C50E4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F257E1A"/>
    <w:multiLevelType w:val="hybridMultilevel"/>
    <w:tmpl w:val="20A0F7A0"/>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26">
    <w:nsid w:val="516B2BC1"/>
    <w:multiLevelType w:val="hybridMultilevel"/>
    <w:tmpl w:val="7CA06F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nsid w:val="65263ABA"/>
    <w:multiLevelType w:val="multilevel"/>
    <w:tmpl w:val="7BAC08B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6CA24AC"/>
    <w:multiLevelType w:val="hybridMultilevel"/>
    <w:tmpl w:val="B3DC8FFC"/>
    <w:lvl w:ilvl="0" w:tplc="67F82F8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BF1B40"/>
    <w:multiLevelType w:val="hybridMultilevel"/>
    <w:tmpl w:val="7250FA8E"/>
    <w:lvl w:ilvl="0" w:tplc="FF24C7B8">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5A3E0A"/>
    <w:multiLevelType w:val="hybridMultilevel"/>
    <w:tmpl w:val="7B1684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7"/>
  </w:num>
  <w:num w:numId="3">
    <w:abstractNumId w:val="0"/>
  </w:num>
  <w:num w:numId="4">
    <w:abstractNumId w:val="22"/>
  </w:num>
  <w:num w:numId="5">
    <w:abstractNumId w:val="29"/>
  </w:num>
  <w:num w:numId="6">
    <w:abstractNumId w:val="28"/>
  </w:num>
  <w:num w:numId="7">
    <w:abstractNumId w:val="16"/>
  </w:num>
  <w:num w:numId="8">
    <w:abstractNumId w:val="11"/>
  </w:num>
  <w:num w:numId="9">
    <w:abstractNumId w:val="21"/>
  </w:num>
  <w:num w:numId="10">
    <w:abstractNumId w:val="13"/>
  </w:num>
  <w:num w:numId="11">
    <w:abstractNumId w:val="10"/>
  </w:num>
  <w:num w:numId="12">
    <w:abstractNumId w:val="7"/>
  </w:num>
  <w:num w:numId="13">
    <w:abstractNumId w:val="26"/>
  </w:num>
  <w:num w:numId="14">
    <w:abstractNumId w:val="12"/>
  </w:num>
  <w:num w:numId="15">
    <w:abstractNumId w:val="1"/>
  </w:num>
  <w:num w:numId="16">
    <w:abstractNumId w:val="25"/>
  </w:num>
  <w:num w:numId="17">
    <w:abstractNumId w:val="20"/>
  </w:num>
  <w:num w:numId="18">
    <w:abstractNumId w:val="8"/>
  </w:num>
  <w:num w:numId="19">
    <w:abstractNumId w:val="6"/>
  </w:num>
  <w:num w:numId="20">
    <w:abstractNumId w:val="3"/>
  </w:num>
  <w:num w:numId="21">
    <w:abstractNumId w:val="14"/>
  </w:num>
  <w:num w:numId="22">
    <w:abstractNumId w:val="9"/>
  </w:num>
  <w:num w:numId="23">
    <w:abstractNumId w:val="15"/>
  </w:num>
  <w:num w:numId="24">
    <w:abstractNumId w:val="23"/>
  </w:num>
  <w:num w:numId="25">
    <w:abstractNumId w:val="5"/>
  </w:num>
  <w:num w:numId="26">
    <w:abstractNumId w:val="24"/>
  </w:num>
  <w:num w:numId="27">
    <w:abstractNumId w:val="4"/>
  </w:num>
  <w:num w:numId="28">
    <w:abstractNumId w:val="30"/>
  </w:num>
  <w:num w:numId="29">
    <w:abstractNumId w:val="18"/>
  </w:num>
  <w:num w:numId="30">
    <w:abstractNumId w:val="17"/>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A849EF"/>
    <w:rsid w:val="00001E11"/>
    <w:rsid w:val="00005448"/>
    <w:rsid w:val="00011C26"/>
    <w:rsid w:val="0001448B"/>
    <w:rsid w:val="0002481A"/>
    <w:rsid w:val="000334B5"/>
    <w:rsid w:val="00044CB9"/>
    <w:rsid w:val="000521CF"/>
    <w:rsid w:val="000565FC"/>
    <w:rsid w:val="00057E42"/>
    <w:rsid w:val="00060413"/>
    <w:rsid w:val="00070FD9"/>
    <w:rsid w:val="000720BB"/>
    <w:rsid w:val="0007614C"/>
    <w:rsid w:val="00084BDE"/>
    <w:rsid w:val="00087218"/>
    <w:rsid w:val="00090020"/>
    <w:rsid w:val="00092B20"/>
    <w:rsid w:val="000A0991"/>
    <w:rsid w:val="000A1760"/>
    <w:rsid w:val="000B12F6"/>
    <w:rsid w:val="000C6DE8"/>
    <w:rsid w:val="000D1E6D"/>
    <w:rsid w:val="000D2BDE"/>
    <w:rsid w:val="000D63EF"/>
    <w:rsid w:val="000D76AB"/>
    <w:rsid w:val="000E3056"/>
    <w:rsid w:val="000E4912"/>
    <w:rsid w:val="000F7EA9"/>
    <w:rsid w:val="001058CB"/>
    <w:rsid w:val="0010770D"/>
    <w:rsid w:val="001210BB"/>
    <w:rsid w:val="00126A8B"/>
    <w:rsid w:val="00131D01"/>
    <w:rsid w:val="00135802"/>
    <w:rsid w:val="00162104"/>
    <w:rsid w:val="00167622"/>
    <w:rsid w:val="00172B08"/>
    <w:rsid w:val="00184A5B"/>
    <w:rsid w:val="00191C5D"/>
    <w:rsid w:val="00191D73"/>
    <w:rsid w:val="001971F4"/>
    <w:rsid w:val="001A5B0B"/>
    <w:rsid w:val="001A6271"/>
    <w:rsid w:val="001A6C33"/>
    <w:rsid w:val="001B2DB8"/>
    <w:rsid w:val="001C5D90"/>
    <w:rsid w:val="001C6D45"/>
    <w:rsid w:val="001D1DC2"/>
    <w:rsid w:val="001D1DD2"/>
    <w:rsid w:val="001D627E"/>
    <w:rsid w:val="001D6BA8"/>
    <w:rsid w:val="001E3EE7"/>
    <w:rsid w:val="001F63C1"/>
    <w:rsid w:val="00205E35"/>
    <w:rsid w:val="00212893"/>
    <w:rsid w:val="00216625"/>
    <w:rsid w:val="002237F0"/>
    <w:rsid w:val="0022699B"/>
    <w:rsid w:val="00230D4B"/>
    <w:rsid w:val="00231871"/>
    <w:rsid w:val="00244AB7"/>
    <w:rsid w:val="002546BA"/>
    <w:rsid w:val="00283057"/>
    <w:rsid w:val="002950DB"/>
    <w:rsid w:val="002B10C1"/>
    <w:rsid w:val="002B4C1B"/>
    <w:rsid w:val="002B730E"/>
    <w:rsid w:val="002C3A7B"/>
    <w:rsid w:val="002E2F7A"/>
    <w:rsid w:val="002E7830"/>
    <w:rsid w:val="002F0C7C"/>
    <w:rsid w:val="002F1290"/>
    <w:rsid w:val="00303264"/>
    <w:rsid w:val="0030608E"/>
    <w:rsid w:val="00313417"/>
    <w:rsid w:val="00313728"/>
    <w:rsid w:val="00315F6D"/>
    <w:rsid w:val="003173E3"/>
    <w:rsid w:val="00321037"/>
    <w:rsid w:val="00332104"/>
    <w:rsid w:val="003334D4"/>
    <w:rsid w:val="00333A6E"/>
    <w:rsid w:val="003373CA"/>
    <w:rsid w:val="00340229"/>
    <w:rsid w:val="003407AB"/>
    <w:rsid w:val="003416E0"/>
    <w:rsid w:val="00345B2F"/>
    <w:rsid w:val="00355721"/>
    <w:rsid w:val="0037049F"/>
    <w:rsid w:val="00370A32"/>
    <w:rsid w:val="00373D41"/>
    <w:rsid w:val="00376AE6"/>
    <w:rsid w:val="00383F68"/>
    <w:rsid w:val="003874DE"/>
    <w:rsid w:val="00394748"/>
    <w:rsid w:val="00394C6F"/>
    <w:rsid w:val="003A7C20"/>
    <w:rsid w:val="003B0F7F"/>
    <w:rsid w:val="003B209B"/>
    <w:rsid w:val="003C13F3"/>
    <w:rsid w:val="003C17ED"/>
    <w:rsid w:val="003C31CE"/>
    <w:rsid w:val="003C764F"/>
    <w:rsid w:val="003F2FA4"/>
    <w:rsid w:val="003F3C4E"/>
    <w:rsid w:val="003F497A"/>
    <w:rsid w:val="00420C2A"/>
    <w:rsid w:val="00424093"/>
    <w:rsid w:val="00426FD0"/>
    <w:rsid w:val="00431C1C"/>
    <w:rsid w:val="00433343"/>
    <w:rsid w:val="00435082"/>
    <w:rsid w:val="004373BB"/>
    <w:rsid w:val="004476E2"/>
    <w:rsid w:val="0045129E"/>
    <w:rsid w:val="004531F7"/>
    <w:rsid w:val="0045552F"/>
    <w:rsid w:val="00461A64"/>
    <w:rsid w:val="004667FB"/>
    <w:rsid w:val="00466DA2"/>
    <w:rsid w:val="004742BB"/>
    <w:rsid w:val="0048017C"/>
    <w:rsid w:val="004812D6"/>
    <w:rsid w:val="00485F87"/>
    <w:rsid w:val="00494B40"/>
    <w:rsid w:val="004A064F"/>
    <w:rsid w:val="004A1FC7"/>
    <w:rsid w:val="004A54AA"/>
    <w:rsid w:val="004A5923"/>
    <w:rsid w:val="004B7934"/>
    <w:rsid w:val="004D13E7"/>
    <w:rsid w:val="004D4E8E"/>
    <w:rsid w:val="004D6322"/>
    <w:rsid w:val="004D66B2"/>
    <w:rsid w:val="00501607"/>
    <w:rsid w:val="0053076B"/>
    <w:rsid w:val="00533A53"/>
    <w:rsid w:val="00534A59"/>
    <w:rsid w:val="0054458E"/>
    <w:rsid w:val="00544D9D"/>
    <w:rsid w:val="00556222"/>
    <w:rsid w:val="00561058"/>
    <w:rsid w:val="005620AD"/>
    <w:rsid w:val="00565FD4"/>
    <w:rsid w:val="005671D0"/>
    <w:rsid w:val="00567AAF"/>
    <w:rsid w:val="00573A4B"/>
    <w:rsid w:val="00573C0E"/>
    <w:rsid w:val="00574D49"/>
    <w:rsid w:val="005846A3"/>
    <w:rsid w:val="0058782B"/>
    <w:rsid w:val="00595DEA"/>
    <w:rsid w:val="00595F0B"/>
    <w:rsid w:val="005A0602"/>
    <w:rsid w:val="005A1ABF"/>
    <w:rsid w:val="005A1AD1"/>
    <w:rsid w:val="005B164D"/>
    <w:rsid w:val="005B4FBB"/>
    <w:rsid w:val="005D1307"/>
    <w:rsid w:val="005D5EEC"/>
    <w:rsid w:val="005D7109"/>
    <w:rsid w:val="005E1EEA"/>
    <w:rsid w:val="005E49D4"/>
    <w:rsid w:val="005F4FB1"/>
    <w:rsid w:val="005F6D80"/>
    <w:rsid w:val="0061373C"/>
    <w:rsid w:val="006261EF"/>
    <w:rsid w:val="006332CD"/>
    <w:rsid w:val="00642A4A"/>
    <w:rsid w:val="00662ABB"/>
    <w:rsid w:val="00671C04"/>
    <w:rsid w:val="00673A31"/>
    <w:rsid w:val="0067557B"/>
    <w:rsid w:val="006830A0"/>
    <w:rsid w:val="006901B8"/>
    <w:rsid w:val="0069051A"/>
    <w:rsid w:val="0069134C"/>
    <w:rsid w:val="00693135"/>
    <w:rsid w:val="006A1FBC"/>
    <w:rsid w:val="006A60C5"/>
    <w:rsid w:val="006C1238"/>
    <w:rsid w:val="006C34A0"/>
    <w:rsid w:val="006C5A71"/>
    <w:rsid w:val="006C5C97"/>
    <w:rsid w:val="006D1783"/>
    <w:rsid w:val="006D3A03"/>
    <w:rsid w:val="006D75E0"/>
    <w:rsid w:val="006E0DF6"/>
    <w:rsid w:val="006E7C85"/>
    <w:rsid w:val="006F3D9D"/>
    <w:rsid w:val="006F654A"/>
    <w:rsid w:val="00712BC6"/>
    <w:rsid w:val="007148C0"/>
    <w:rsid w:val="007202E9"/>
    <w:rsid w:val="00721035"/>
    <w:rsid w:val="00721EC3"/>
    <w:rsid w:val="007231BC"/>
    <w:rsid w:val="007350A7"/>
    <w:rsid w:val="007368C9"/>
    <w:rsid w:val="007415B1"/>
    <w:rsid w:val="00755BB5"/>
    <w:rsid w:val="007618F5"/>
    <w:rsid w:val="00767CED"/>
    <w:rsid w:val="0077307C"/>
    <w:rsid w:val="00780E23"/>
    <w:rsid w:val="00783A9D"/>
    <w:rsid w:val="00793EDC"/>
    <w:rsid w:val="007A6F99"/>
    <w:rsid w:val="007B1627"/>
    <w:rsid w:val="007B3412"/>
    <w:rsid w:val="007C37E4"/>
    <w:rsid w:val="007D753C"/>
    <w:rsid w:val="007E2C3F"/>
    <w:rsid w:val="007E2C87"/>
    <w:rsid w:val="007E3D0C"/>
    <w:rsid w:val="007F4038"/>
    <w:rsid w:val="00816ACF"/>
    <w:rsid w:val="00817B81"/>
    <w:rsid w:val="0082165B"/>
    <w:rsid w:val="008247BD"/>
    <w:rsid w:val="00826E7F"/>
    <w:rsid w:val="008305B3"/>
    <w:rsid w:val="00856CD9"/>
    <w:rsid w:val="008621FD"/>
    <w:rsid w:val="008757EC"/>
    <w:rsid w:val="0088195E"/>
    <w:rsid w:val="00892F65"/>
    <w:rsid w:val="00893A95"/>
    <w:rsid w:val="008942D4"/>
    <w:rsid w:val="008A0102"/>
    <w:rsid w:val="008B1B9A"/>
    <w:rsid w:val="008B4300"/>
    <w:rsid w:val="008C2D4F"/>
    <w:rsid w:val="008C2E58"/>
    <w:rsid w:val="008C7ADB"/>
    <w:rsid w:val="008F011A"/>
    <w:rsid w:val="008F4A8D"/>
    <w:rsid w:val="008F4AF9"/>
    <w:rsid w:val="009021C0"/>
    <w:rsid w:val="00903BAB"/>
    <w:rsid w:val="00922C23"/>
    <w:rsid w:val="00940388"/>
    <w:rsid w:val="00943DD3"/>
    <w:rsid w:val="00945927"/>
    <w:rsid w:val="0095768C"/>
    <w:rsid w:val="0097299A"/>
    <w:rsid w:val="009907BF"/>
    <w:rsid w:val="009A05D3"/>
    <w:rsid w:val="009A6FDA"/>
    <w:rsid w:val="009B2F1C"/>
    <w:rsid w:val="009B3003"/>
    <w:rsid w:val="009C0F20"/>
    <w:rsid w:val="009C1F8B"/>
    <w:rsid w:val="009C29BF"/>
    <w:rsid w:val="009C3D5C"/>
    <w:rsid w:val="009C7317"/>
    <w:rsid w:val="009D72B7"/>
    <w:rsid w:val="009E2E07"/>
    <w:rsid w:val="009E527B"/>
    <w:rsid w:val="00A02635"/>
    <w:rsid w:val="00A0309E"/>
    <w:rsid w:val="00A05D19"/>
    <w:rsid w:val="00A13C26"/>
    <w:rsid w:val="00A15ABA"/>
    <w:rsid w:val="00A23963"/>
    <w:rsid w:val="00A26D12"/>
    <w:rsid w:val="00A322CB"/>
    <w:rsid w:val="00A324E1"/>
    <w:rsid w:val="00A33CA4"/>
    <w:rsid w:val="00A36BFB"/>
    <w:rsid w:val="00A41732"/>
    <w:rsid w:val="00A46B73"/>
    <w:rsid w:val="00A537D1"/>
    <w:rsid w:val="00A57DEA"/>
    <w:rsid w:val="00A600DB"/>
    <w:rsid w:val="00A624F5"/>
    <w:rsid w:val="00A65337"/>
    <w:rsid w:val="00A66BA9"/>
    <w:rsid w:val="00A83D58"/>
    <w:rsid w:val="00A849EF"/>
    <w:rsid w:val="00A875A6"/>
    <w:rsid w:val="00A96DED"/>
    <w:rsid w:val="00AA76B9"/>
    <w:rsid w:val="00AB27A8"/>
    <w:rsid w:val="00AD2532"/>
    <w:rsid w:val="00AD56A6"/>
    <w:rsid w:val="00AE38CA"/>
    <w:rsid w:val="00AF12EE"/>
    <w:rsid w:val="00AF1F4D"/>
    <w:rsid w:val="00B00ABA"/>
    <w:rsid w:val="00B02B39"/>
    <w:rsid w:val="00B07068"/>
    <w:rsid w:val="00B1221D"/>
    <w:rsid w:val="00B14ACB"/>
    <w:rsid w:val="00B168C8"/>
    <w:rsid w:val="00B2389A"/>
    <w:rsid w:val="00B34BFE"/>
    <w:rsid w:val="00B41465"/>
    <w:rsid w:val="00B453C3"/>
    <w:rsid w:val="00B52365"/>
    <w:rsid w:val="00B54FA4"/>
    <w:rsid w:val="00B60923"/>
    <w:rsid w:val="00B61D86"/>
    <w:rsid w:val="00B640D6"/>
    <w:rsid w:val="00B72CCD"/>
    <w:rsid w:val="00B803F4"/>
    <w:rsid w:val="00B8170B"/>
    <w:rsid w:val="00B81A25"/>
    <w:rsid w:val="00B85C46"/>
    <w:rsid w:val="00B93337"/>
    <w:rsid w:val="00B97311"/>
    <w:rsid w:val="00B97D87"/>
    <w:rsid w:val="00BA06E9"/>
    <w:rsid w:val="00BA0B93"/>
    <w:rsid w:val="00BA2CEF"/>
    <w:rsid w:val="00BB06F2"/>
    <w:rsid w:val="00BB2B79"/>
    <w:rsid w:val="00BB6634"/>
    <w:rsid w:val="00BC39AF"/>
    <w:rsid w:val="00BE6417"/>
    <w:rsid w:val="00BF74DB"/>
    <w:rsid w:val="00C0665D"/>
    <w:rsid w:val="00C07FFC"/>
    <w:rsid w:val="00C12177"/>
    <w:rsid w:val="00C12848"/>
    <w:rsid w:val="00C205EB"/>
    <w:rsid w:val="00C35C4C"/>
    <w:rsid w:val="00C36CCE"/>
    <w:rsid w:val="00C42637"/>
    <w:rsid w:val="00C4625F"/>
    <w:rsid w:val="00C46C53"/>
    <w:rsid w:val="00C47299"/>
    <w:rsid w:val="00C51475"/>
    <w:rsid w:val="00C63935"/>
    <w:rsid w:val="00C74E96"/>
    <w:rsid w:val="00C80128"/>
    <w:rsid w:val="00C82C17"/>
    <w:rsid w:val="00C83A31"/>
    <w:rsid w:val="00CA5CD2"/>
    <w:rsid w:val="00CA7F8E"/>
    <w:rsid w:val="00CB0631"/>
    <w:rsid w:val="00CB1EFA"/>
    <w:rsid w:val="00CB6C4E"/>
    <w:rsid w:val="00CC219C"/>
    <w:rsid w:val="00CC2991"/>
    <w:rsid w:val="00CC48C5"/>
    <w:rsid w:val="00CC66DD"/>
    <w:rsid w:val="00CD048D"/>
    <w:rsid w:val="00CD0E92"/>
    <w:rsid w:val="00CD30EA"/>
    <w:rsid w:val="00CF3007"/>
    <w:rsid w:val="00CF41DF"/>
    <w:rsid w:val="00CF5DE6"/>
    <w:rsid w:val="00CF616D"/>
    <w:rsid w:val="00CF62C3"/>
    <w:rsid w:val="00CF7BD7"/>
    <w:rsid w:val="00D2662D"/>
    <w:rsid w:val="00D274CE"/>
    <w:rsid w:val="00D34373"/>
    <w:rsid w:val="00D34422"/>
    <w:rsid w:val="00D35170"/>
    <w:rsid w:val="00D45237"/>
    <w:rsid w:val="00D54DE3"/>
    <w:rsid w:val="00D5769B"/>
    <w:rsid w:val="00D61D65"/>
    <w:rsid w:val="00D67173"/>
    <w:rsid w:val="00D700E6"/>
    <w:rsid w:val="00D71447"/>
    <w:rsid w:val="00D7641D"/>
    <w:rsid w:val="00D8757C"/>
    <w:rsid w:val="00D87D33"/>
    <w:rsid w:val="00D90381"/>
    <w:rsid w:val="00D96FEA"/>
    <w:rsid w:val="00DA2934"/>
    <w:rsid w:val="00DA7821"/>
    <w:rsid w:val="00DB5865"/>
    <w:rsid w:val="00DB76B6"/>
    <w:rsid w:val="00DC13FE"/>
    <w:rsid w:val="00DC1634"/>
    <w:rsid w:val="00DC73D2"/>
    <w:rsid w:val="00DD28F6"/>
    <w:rsid w:val="00DD33A6"/>
    <w:rsid w:val="00DE1C16"/>
    <w:rsid w:val="00DF3850"/>
    <w:rsid w:val="00DF574F"/>
    <w:rsid w:val="00E07836"/>
    <w:rsid w:val="00E1116F"/>
    <w:rsid w:val="00E1355B"/>
    <w:rsid w:val="00E216BE"/>
    <w:rsid w:val="00E23B1D"/>
    <w:rsid w:val="00E276A9"/>
    <w:rsid w:val="00E30009"/>
    <w:rsid w:val="00E36835"/>
    <w:rsid w:val="00E41C34"/>
    <w:rsid w:val="00E439ED"/>
    <w:rsid w:val="00E46865"/>
    <w:rsid w:val="00E6176E"/>
    <w:rsid w:val="00E64406"/>
    <w:rsid w:val="00E80DF9"/>
    <w:rsid w:val="00E8696B"/>
    <w:rsid w:val="00E902A6"/>
    <w:rsid w:val="00E90CCE"/>
    <w:rsid w:val="00E9266D"/>
    <w:rsid w:val="00E9485C"/>
    <w:rsid w:val="00E95DC5"/>
    <w:rsid w:val="00EA368F"/>
    <w:rsid w:val="00EA5675"/>
    <w:rsid w:val="00EA5A72"/>
    <w:rsid w:val="00EA5DA6"/>
    <w:rsid w:val="00EA76DD"/>
    <w:rsid w:val="00EB50FF"/>
    <w:rsid w:val="00ED6910"/>
    <w:rsid w:val="00EE2C59"/>
    <w:rsid w:val="00EE2D65"/>
    <w:rsid w:val="00EE449F"/>
    <w:rsid w:val="00EE468D"/>
    <w:rsid w:val="00EF0AD8"/>
    <w:rsid w:val="00F11AFE"/>
    <w:rsid w:val="00F142DC"/>
    <w:rsid w:val="00F15736"/>
    <w:rsid w:val="00F37899"/>
    <w:rsid w:val="00F46679"/>
    <w:rsid w:val="00F5274E"/>
    <w:rsid w:val="00F65A33"/>
    <w:rsid w:val="00F73242"/>
    <w:rsid w:val="00F74B0F"/>
    <w:rsid w:val="00F82D1F"/>
    <w:rsid w:val="00F9571C"/>
    <w:rsid w:val="00F95EBC"/>
    <w:rsid w:val="00F97566"/>
    <w:rsid w:val="00FB61AB"/>
    <w:rsid w:val="00FC0541"/>
    <w:rsid w:val="00FC77F3"/>
    <w:rsid w:val="00FD497E"/>
    <w:rsid w:val="00FE21C5"/>
    <w:rsid w:val="00FE52C1"/>
    <w:rsid w:val="00FF38F6"/>
    <w:rsid w:val="00FF5226"/>
    <w:rsid w:val="00FF55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9EF"/>
    <w:rPr>
      <w:rFonts w:eastAsiaTheme="minorEastAsia"/>
    </w:rPr>
  </w:style>
  <w:style w:type="paragraph" w:styleId="Heading1">
    <w:name w:val="heading 1"/>
    <w:basedOn w:val="Normal"/>
    <w:next w:val="Normal"/>
    <w:link w:val="Heading1Char"/>
    <w:uiPriority w:val="9"/>
    <w:qFormat/>
    <w:rsid w:val="00E36835"/>
    <w:pPr>
      <w:keepNext/>
      <w:keepLines/>
      <w:spacing w:before="480" w:after="0"/>
      <w:outlineLvl w:val="0"/>
    </w:pPr>
    <w:rPr>
      <w:rFonts w:asciiTheme="majorHAnsi" w:eastAsiaTheme="majorEastAsia" w:hAnsiTheme="majorHAnsi" w:cstheme="majorBidi"/>
      <w:b/>
      <w:bCs/>
      <w:color w:val="365F91" w:themeColor="accent1" w:themeShade="BF"/>
      <w:sz w:val="28"/>
      <w:szCs w:val="28"/>
      <w:lang w:val="nl-NL"/>
    </w:rPr>
  </w:style>
  <w:style w:type="paragraph" w:styleId="Heading3">
    <w:name w:val="heading 3"/>
    <w:basedOn w:val="Normal"/>
    <w:link w:val="Heading3Char"/>
    <w:uiPriority w:val="9"/>
    <w:qFormat/>
    <w:rsid w:val="00EE449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6F2"/>
    <w:pPr>
      <w:ind w:left="720"/>
      <w:contextualSpacing/>
    </w:pPr>
  </w:style>
  <w:style w:type="paragraph" w:styleId="FootnoteText">
    <w:name w:val="footnote text"/>
    <w:basedOn w:val="Normal"/>
    <w:link w:val="FootnoteTextChar"/>
    <w:uiPriority w:val="99"/>
    <w:semiHidden/>
    <w:unhideWhenUsed/>
    <w:rsid w:val="00A03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09E"/>
    <w:rPr>
      <w:rFonts w:eastAsiaTheme="minorEastAsia"/>
      <w:sz w:val="20"/>
      <w:szCs w:val="20"/>
    </w:rPr>
  </w:style>
  <w:style w:type="character" w:styleId="FootnoteReference">
    <w:name w:val="footnote reference"/>
    <w:basedOn w:val="DefaultParagraphFont"/>
    <w:uiPriority w:val="99"/>
    <w:semiHidden/>
    <w:unhideWhenUsed/>
    <w:rsid w:val="00A0309E"/>
    <w:rPr>
      <w:vertAlign w:val="superscript"/>
    </w:rPr>
  </w:style>
  <w:style w:type="paragraph" w:styleId="BalloonText">
    <w:name w:val="Balloon Text"/>
    <w:basedOn w:val="Normal"/>
    <w:link w:val="BalloonTextChar"/>
    <w:uiPriority w:val="99"/>
    <w:semiHidden/>
    <w:unhideWhenUsed/>
    <w:rsid w:val="00DE1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C16"/>
    <w:rPr>
      <w:rFonts w:ascii="Tahoma" w:eastAsiaTheme="minorEastAsia" w:hAnsi="Tahoma" w:cs="Tahoma"/>
      <w:sz w:val="16"/>
      <w:szCs w:val="16"/>
    </w:rPr>
  </w:style>
  <w:style w:type="character" w:customStyle="1" w:styleId="Heading3Char">
    <w:name w:val="Heading 3 Char"/>
    <w:basedOn w:val="DefaultParagraphFont"/>
    <w:link w:val="Heading3"/>
    <w:uiPriority w:val="9"/>
    <w:rsid w:val="00EE449F"/>
    <w:rPr>
      <w:rFonts w:ascii="Times New Roman" w:eastAsia="Times New Roman" w:hAnsi="Times New Roman" w:cs="Times New Roman"/>
      <w:b/>
      <w:bCs/>
      <w:sz w:val="27"/>
      <w:szCs w:val="27"/>
      <w:lang w:val="en-GB" w:eastAsia="en-GB"/>
    </w:rPr>
  </w:style>
  <w:style w:type="character" w:customStyle="1" w:styleId="mw-headline">
    <w:name w:val="mw-headline"/>
    <w:basedOn w:val="DefaultParagraphFont"/>
    <w:rsid w:val="00EE449F"/>
  </w:style>
  <w:style w:type="character" w:customStyle="1" w:styleId="apple-converted-space">
    <w:name w:val="apple-converted-space"/>
    <w:basedOn w:val="DefaultParagraphFont"/>
    <w:rsid w:val="00EE449F"/>
  </w:style>
  <w:style w:type="character" w:customStyle="1" w:styleId="mw-editsection">
    <w:name w:val="mw-editsection"/>
    <w:basedOn w:val="DefaultParagraphFont"/>
    <w:rsid w:val="00EE449F"/>
  </w:style>
  <w:style w:type="character" w:styleId="Hyperlink">
    <w:name w:val="Hyperlink"/>
    <w:basedOn w:val="DefaultParagraphFont"/>
    <w:uiPriority w:val="99"/>
    <w:unhideWhenUsed/>
    <w:rsid w:val="00EE449F"/>
    <w:rPr>
      <w:color w:val="0000FF"/>
      <w:u w:val="single"/>
    </w:rPr>
  </w:style>
  <w:style w:type="paragraph" w:styleId="NormalWeb">
    <w:name w:val="Normal (Web)"/>
    <w:basedOn w:val="Normal"/>
    <w:uiPriority w:val="99"/>
    <w:semiHidden/>
    <w:unhideWhenUsed/>
    <w:rsid w:val="00EE449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E36835"/>
    <w:rPr>
      <w:rFonts w:asciiTheme="majorHAnsi" w:eastAsiaTheme="majorEastAsia" w:hAnsiTheme="majorHAnsi" w:cstheme="majorBidi"/>
      <w:b/>
      <w:bCs/>
      <w:color w:val="365F91" w:themeColor="accent1" w:themeShade="BF"/>
      <w:sz w:val="28"/>
      <w:szCs w:val="28"/>
      <w:lang w:val="nl-NL"/>
    </w:rPr>
  </w:style>
  <w:style w:type="paragraph" w:styleId="Bibliography">
    <w:name w:val="Bibliography"/>
    <w:basedOn w:val="Normal"/>
    <w:next w:val="Normal"/>
    <w:uiPriority w:val="37"/>
    <w:unhideWhenUsed/>
    <w:rsid w:val="00E36835"/>
  </w:style>
  <w:style w:type="paragraph" w:styleId="TOCHeading">
    <w:name w:val="TOC Heading"/>
    <w:basedOn w:val="Heading1"/>
    <w:next w:val="Normal"/>
    <w:uiPriority w:val="39"/>
    <w:unhideWhenUsed/>
    <w:qFormat/>
    <w:rsid w:val="00567AAF"/>
    <w:pPr>
      <w:outlineLvl w:val="9"/>
    </w:pPr>
    <w:rPr>
      <w:lang w:val="en-US" w:eastAsia="ja-JP"/>
    </w:rPr>
  </w:style>
  <w:style w:type="paragraph" w:styleId="TOC1">
    <w:name w:val="toc 1"/>
    <w:basedOn w:val="Normal"/>
    <w:next w:val="Normal"/>
    <w:autoRedefine/>
    <w:uiPriority w:val="39"/>
    <w:unhideWhenUsed/>
    <w:qFormat/>
    <w:rsid w:val="00567AAF"/>
    <w:pPr>
      <w:spacing w:after="100"/>
    </w:pPr>
  </w:style>
  <w:style w:type="paragraph" w:styleId="TOC2">
    <w:name w:val="toc 2"/>
    <w:basedOn w:val="Normal"/>
    <w:next w:val="Normal"/>
    <w:autoRedefine/>
    <w:uiPriority w:val="39"/>
    <w:unhideWhenUsed/>
    <w:qFormat/>
    <w:rsid w:val="005B164D"/>
    <w:pPr>
      <w:spacing w:after="100"/>
    </w:pPr>
    <w:rPr>
      <w:lang w:eastAsia="ja-JP"/>
    </w:rPr>
  </w:style>
  <w:style w:type="paragraph" w:styleId="TOC3">
    <w:name w:val="toc 3"/>
    <w:basedOn w:val="Normal"/>
    <w:next w:val="Normal"/>
    <w:autoRedefine/>
    <w:uiPriority w:val="39"/>
    <w:unhideWhenUsed/>
    <w:qFormat/>
    <w:rsid w:val="00567AAF"/>
    <w:pPr>
      <w:spacing w:after="100"/>
      <w:ind w:left="440"/>
    </w:pPr>
    <w:rPr>
      <w:lang w:eastAsia="ja-JP"/>
    </w:rPr>
  </w:style>
  <w:style w:type="paragraph" w:styleId="Header">
    <w:name w:val="header"/>
    <w:basedOn w:val="Normal"/>
    <w:link w:val="HeaderChar"/>
    <w:uiPriority w:val="99"/>
    <w:unhideWhenUsed/>
    <w:rsid w:val="004A5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4AA"/>
    <w:rPr>
      <w:rFonts w:eastAsiaTheme="minorEastAsia"/>
    </w:rPr>
  </w:style>
  <w:style w:type="paragraph" w:styleId="Footer">
    <w:name w:val="footer"/>
    <w:basedOn w:val="Normal"/>
    <w:link w:val="FooterChar"/>
    <w:uiPriority w:val="99"/>
    <w:unhideWhenUsed/>
    <w:rsid w:val="004A5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4AA"/>
    <w:rPr>
      <w:rFonts w:eastAsiaTheme="minorEastAsia"/>
    </w:rPr>
  </w:style>
  <w:style w:type="table" w:customStyle="1" w:styleId="Calendar1">
    <w:name w:val="Calendar 1"/>
    <w:basedOn w:val="TableNormal"/>
    <w:uiPriority w:val="99"/>
    <w:qFormat/>
    <w:rsid w:val="002E2F7A"/>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59"/>
    <w:rsid w:val="002E2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34A59"/>
    <w:rPr>
      <w:sz w:val="16"/>
      <w:szCs w:val="16"/>
    </w:rPr>
  </w:style>
  <w:style w:type="paragraph" w:styleId="CommentText">
    <w:name w:val="annotation text"/>
    <w:basedOn w:val="Normal"/>
    <w:link w:val="CommentTextChar"/>
    <w:uiPriority w:val="99"/>
    <w:semiHidden/>
    <w:unhideWhenUsed/>
    <w:rsid w:val="00534A59"/>
    <w:pPr>
      <w:spacing w:line="240" w:lineRule="auto"/>
    </w:pPr>
    <w:rPr>
      <w:sz w:val="20"/>
      <w:szCs w:val="20"/>
    </w:rPr>
  </w:style>
  <w:style w:type="character" w:customStyle="1" w:styleId="CommentTextChar">
    <w:name w:val="Comment Text Char"/>
    <w:basedOn w:val="DefaultParagraphFont"/>
    <w:link w:val="CommentText"/>
    <w:uiPriority w:val="99"/>
    <w:semiHidden/>
    <w:rsid w:val="00534A5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34A59"/>
    <w:rPr>
      <w:b/>
      <w:bCs/>
    </w:rPr>
  </w:style>
  <w:style w:type="character" w:customStyle="1" w:styleId="CommentSubjectChar">
    <w:name w:val="Comment Subject Char"/>
    <w:basedOn w:val="CommentTextChar"/>
    <w:link w:val="CommentSubject"/>
    <w:uiPriority w:val="99"/>
    <w:semiHidden/>
    <w:rsid w:val="00534A59"/>
    <w:rPr>
      <w:rFonts w:eastAsiaTheme="minorEastAsia"/>
      <w:b/>
      <w:bCs/>
      <w:sz w:val="20"/>
      <w:szCs w:val="20"/>
    </w:rPr>
  </w:style>
  <w:style w:type="paragraph" w:styleId="EndnoteText">
    <w:name w:val="endnote text"/>
    <w:basedOn w:val="Normal"/>
    <w:link w:val="EndnoteTextChar"/>
    <w:uiPriority w:val="99"/>
    <w:semiHidden/>
    <w:unhideWhenUsed/>
    <w:rsid w:val="00D576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769B"/>
    <w:rPr>
      <w:rFonts w:eastAsiaTheme="minorEastAsia"/>
      <w:sz w:val="20"/>
      <w:szCs w:val="20"/>
    </w:rPr>
  </w:style>
  <w:style w:type="character" w:styleId="EndnoteReference">
    <w:name w:val="endnote reference"/>
    <w:basedOn w:val="DefaultParagraphFont"/>
    <w:uiPriority w:val="99"/>
    <w:semiHidden/>
    <w:unhideWhenUsed/>
    <w:rsid w:val="00D576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9EF"/>
    <w:rPr>
      <w:rFonts w:eastAsiaTheme="minorEastAsia"/>
    </w:rPr>
  </w:style>
  <w:style w:type="paragraph" w:styleId="Heading1">
    <w:name w:val="heading 1"/>
    <w:basedOn w:val="Normal"/>
    <w:next w:val="Normal"/>
    <w:link w:val="Heading1Char"/>
    <w:uiPriority w:val="9"/>
    <w:qFormat/>
    <w:rsid w:val="00E36835"/>
    <w:pPr>
      <w:keepNext/>
      <w:keepLines/>
      <w:spacing w:before="480" w:after="0"/>
      <w:outlineLvl w:val="0"/>
    </w:pPr>
    <w:rPr>
      <w:rFonts w:asciiTheme="majorHAnsi" w:eastAsiaTheme="majorEastAsia" w:hAnsiTheme="majorHAnsi" w:cstheme="majorBidi"/>
      <w:b/>
      <w:bCs/>
      <w:color w:val="365F91" w:themeColor="accent1" w:themeShade="BF"/>
      <w:sz w:val="28"/>
      <w:szCs w:val="28"/>
      <w:lang w:val="nl-NL"/>
    </w:rPr>
  </w:style>
  <w:style w:type="paragraph" w:styleId="Heading3">
    <w:name w:val="heading 3"/>
    <w:basedOn w:val="Normal"/>
    <w:link w:val="Heading3Char"/>
    <w:uiPriority w:val="9"/>
    <w:qFormat/>
    <w:rsid w:val="00EE449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6F2"/>
    <w:pPr>
      <w:ind w:left="720"/>
      <w:contextualSpacing/>
    </w:pPr>
  </w:style>
  <w:style w:type="paragraph" w:styleId="FootnoteText">
    <w:name w:val="footnote text"/>
    <w:basedOn w:val="Normal"/>
    <w:link w:val="FootnoteTextChar"/>
    <w:uiPriority w:val="99"/>
    <w:semiHidden/>
    <w:unhideWhenUsed/>
    <w:rsid w:val="00A03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09E"/>
    <w:rPr>
      <w:rFonts w:eastAsiaTheme="minorEastAsia"/>
      <w:sz w:val="20"/>
      <w:szCs w:val="20"/>
    </w:rPr>
  </w:style>
  <w:style w:type="character" w:styleId="FootnoteReference">
    <w:name w:val="footnote reference"/>
    <w:basedOn w:val="DefaultParagraphFont"/>
    <w:uiPriority w:val="99"/>
    <w:semiHidden/>
    <w:unhideWhenUsed/>
    <w:rsid w:val="00A0309E"/>
    <w:rPr>
      <w:vertAlign w:val="superscript"/>
    </w:rPr>
  </w:style>
  <w:style w:type="paragraph" w:styleId="BalloonText">
    <w:name w:val="Balloon Text"/>
    <w:basedOn w:val="Normal"/>
    <w:link w:val="BalloonTextChar"/>
    <w:uiPriority w:val="99"/>
    <w:semiHidden/>
    <w:unhideWhenUsed/>
    <w:rsid w:val="00DE1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C16"/>
    <w:rPr>
      <w:rFonts w:ascii="Tahoma" w:eastAsiaTheme="minorEastAsia" w:hAnsi="Tahoma" w:cs="Tahoma"/>
      <w:sz w:val="16"/>
      <w:szCs w:val="16"/>
    </w:rPr>
  </w:style>
  <w:style w:type="character" w:customStyle="1" w:styleId="Heading3Char">
    <w:name w:val="Heading 3 Char"/>
    <w:basedOn w:val="DefaultParagraphFont"/>
    <w:link w:val="Heading3"/>
    <w:uiPriority w:val="9"/>
    <w:rsid w:val="00EE449F"/>
    <w:rPr>
      <w:rFonts w:ascii="Times New Roman" w:eastAsia="Times New Roman" w:hAnsi="Times New Roman" w:cs="Times New Roman"/>
      <w:b/>
      <w:bCs/>
      <w:sz w:val="27"/>
      <w:szCs w:val="27"/>
      <w:lang w:val="en-GB" w:eastAsia="en-GB"/>
    </w:rPr>
  </w:style>
  <w:style w:type="character" w:customStyle="1" w:styleId="mw-headline">
    <w:name w:val="mw-headline"/>
    <w:basedOn w:val="DefaultParagraphFont"/>
    <w:rsid w:val="00EE449F"/>
  </w:style>
  <w:style w:type="character" w:customStyle="1" w:styleId="apple-converted-space">
    <w:name w:val="apple-converted-space"/>
    <w:basedOn w:val="DefaultParagraphFont"/>
    <w:rsid w:val="00EE449F"/>
  </w:style>
  <w:style w:type="character" w:customStyle="1" w:styleId="mw-editsection">
    <w:name w:val="mw-editsection"/>
    <w:basedOn w:val="DefaultParagraphFont"/>
    <w:rsid w:val="00EE449F"/>
  </w:style>
  <w:style w:type="character" w:styleId="Hyperlink">
    <w:name w:val="Hyperlink"/>
    <w:basedOn w:val="DefaultParagraphFont"/>
    <w:uiPriority w:val="99"/>
    <w:unhideWhenUsed/>
    <w:rsid w:val="00EE449F"/>
    <w:rPr>
      <w:color w:val="0000FF"/>
      <w:u w:val="single"/>
    </w:rPr>
  </w:style>
  <w:style w:type="paragraph" w:styleId="NormalWeb">
    <w:name w:val="Normal (Web)"/>
    <w:basedOn w:val="Normal"/>
    <w:uiPriority w:val="99"/>
    <w:semiHidden/>
    <w:unhideWhenUsed/>
    <w:rsid w:val="00EE449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E36835"/>
    <w:rPr>
      <w:rFonts w:asciiTheme="majorHAnsi" w:eastAsiaTheme="majorEastAsia" w:hAnsiTheme="majorHAnsi" w:cstheme="majorBidi"/>
      <w:b/>
      <w:bCs/>
      <w:color w:val="365F91" w:themeColor="accent1" w:themeShade="BF"/>
      <w:sz w:val="28"/>
      <w:szCs w:val="28"/>
      <w:lang w:val="nl-NL"/>
    </w:rPr>
  </w:style>
  <w:style w:type="paragraph" w:styleId="Bibliography">
    <w:name w:val="Bibliography"/>
    <w:basedOn w:val="Normal"/>
    <w:next w:val="Normal"/>
    <w:uiPriority w:val="37"/>
    <w:unhideWhenUsed/>
    <w:rsid w:val="00E36835"/>
  </w:style>
  <w:style w:type="paragraph" w:styleId="TOCHeading">
    <w:name w:val="TOC Heading"/>
    <w:basedOn w:val="Heading1"/>
    <w:next w:val="Normal"/>
    <w:uiPriority w:val="39"/>
    <w:unhideWhenUsed/>
    <w:qFormat/>
    <w:rsid w:val="00567AAF"/>
    <w:pPr>
      <w:outlineLvl w:val="9"/>
    </w:pPr>
    <w:rPr>
      <w:lang w:val="en-US" w:eastAsia="ja-JP"/>
    </w:rPr>
  </w:style>
  <w:style w:type="paragraph" w:styleId="TOC1">
    <w:name w:val="toc 1"/>
    <w:basedOn w:val="Normal"/>
    <w:next w:val="Normal"/>
    <w:autoRedefine/>
    <w:uiPriority w:val="39"/>
    <w:unhideWhenUsed/>
    <w:qFormat/>
    <w:rsid w:val="00567AAF"/>
    <w:pPr>
      <w:spacing w:after="100"/>
    </w:pPr>
  </w:style>
  <w:style w:type="paragraph" w:styleId="TOC2">
    <w:name w:val="toc 2"/>
    <w:basedOn w:val="Normal"/>
    <w:next w:val="Normal"/>
    <w:autoRedefine/>
    <w:uiPriority w:val="39"/>
    <w:unhideWhenUsed/>
    <w:qFormat/>
    <w:rsid w:val="005B164D"/>
    <w:pPr>
      <w:spacing w:after="100"/>
    </w:pPr>
    <w:rPr>
      <w:lang w:eastAsia="ja-JP"/>
    </w:rPr>
  </w:style>
  <w:style w:type="paragraph" w:styleId="TOC3">
    <w:name w:val="toc 3"/>
    <w:basedOn w:val="Normal"/>
    <w:next w:val="Normal"/>
    <w:autoRedefine/>
    <w:uiPriority w:val="39"/>
    <w:unhideWhenUsed/>
    <w:qFormat/>
    <w:rsid w:val="00567AAF"/>
    <w:pPr>
      <w:spacing w:after="100"/>
      <w:ind w:left="440"/>
    </w:pPr>
    <w:rPr>
      <w:lang w:eastAsia="ja-JP"/>
    </w:rPr>
  </w:style>
  <w:style w:type="paragraph" w:styleId="Header">
    <w:name w:val="header"/>
    <w:basedOn w:val="Normal"/>
    <w:link w:val="HeaderChar"/>
    <w:uiPriority w:val="99"/>
    <w:unhideWhenUsed/>
    <w:rsid w:val="004A5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4AA"/>
    <w:rPr>
      <w:rFonts w:eastAsiaTheme="minorEastAsia"/>
    </w:rPr>
  </w:style>
  <w:style w:type="paragraph" w:styleId="Footer">
    <w:name w:val="footer"/>
    <w:basedOn w:val="Normal"/>
    <w:link w:val="FooterChar"/>
    <w:uiPriority w:val="99"/>
    <w:unhideWhenUsed/>
    <w:rsid w:val="004A5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4AA"/>
    <w:rPr>
      <w:rFonts w:eastAsiaTheme="minorEastAsia"/>
    </w:rPr>
  </w:style>
  <w:style w:type="table" w:customStyle="1" w:styleId="Calendar1">
    <w:name w:val="Calendar 1"/>
    <w:basedOn w:val="TableNormal"/>
    <w:uiPriority w:val="99"/>
    <w:qFormat/>
    <w:rsid w:val="002E2F7A"/>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59"/>
    <w:rsid w:val="002E2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34A59"/>
    <w:rPr>
      <w:sz w:val="16"/>
      <w:szCs w:val="16"/>
    </w:rPr>
  </w:style>
  <w:style w:type="paragraph" w:styleId="CommentText">
    <w:name w:val="annotation text"/>
    <w:basedOn w:val="Normal"/>
    <w:link w:val="CommentTextChar"/>
    <w:uiPriority w:val="99"/>
    <w:semiHidden/>
    <w:unhideWhenUsed/>
    <w:rsid w:val="00534A59"/>
    <w:pPr>
      <w:spacing w:line="240" w:lineRule="auto"/>
    </w:pPr>
    <w:rPr>
      <w:sz w:val="20"/>
      <w:szCs w:val="20"/>
    </w:rPr>
  </w:style>
  <w:style w:type="character" w:customStyle="1" w:styleId="CommentTextChar">
    <w:name w:val="Comment Text Char"/>
    <w:basedOn w:val="DefaultParagraphFont"/>
    <w:link w:val="CommentText"/>
    <w:uiPriority w:val="99"/>
    <w:semiHidden/>
    <w:rsid w:val="00534A5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34A59"/>
    <w:rPr>
      <w:b/>
      <w:bCs/>
    </w:rPr>
  </w:style>
  <w:style w:type="character" w:customStyle="1" w:styleId="CommentSubjectChar">
    <w:name w:val="Comment Subject Char"/>
    <w:basedOn w:val="CommentTextChar"/>
    <w:link w:val="CommentSubject"/>
    <w:uiPriority w:val="99"/>
    <w:semiHidden/>
    <w:rsid w:val="00534A59"/>
    <w:rPr>
      <w:rFonts w:eastAsiaTheme="minorEastAsia"/>
      <w:b/>
      <w:bCs/>
      <w:sz w:val="20"/>
      <w:szCs w:val="20"/>
    </w:rPr>
  </w:style>
  <w:style w:type="paragraph" w:styleId="EndnoteText">
    <w:name w:val="endnote text"/>
    <w:basedOn w:val="Normal"/>
    <w:link w:val="EndnoteTextChar"/>
    <w:uiPriority w:val="99"/>
    <w:semiHidden/>
    <w:unhideWhenUsed/>
    <w:rsid w:val="00D576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769B"/>
    <w:rPr>
      <w:rFonts w:eastAsiaTheme="minorEastAsia"/>
      <w:sz w:val="20"/>
      <w:szCs w:val="20"/>
    </w:rPr>
  </w:style>
  <w:style w:type="character" w:styleId="EndnoteReference">
    <w:name w:val="endnote reference"/>
    <w:basedOn w:val="DefaultParagraphFont"/>
    <w:uiPriority w:val="99"/>
    <w:semiHidden/>
    <w:unhideWhenUsed/>
    <w:rsid w:val="00D5769B"/>
    <w:rPr>
      <w:vertAlign w:val="superscript"/>
    </w:rPr>
  </w:style>
</w:styles>
</file>

<file path=word/webSettings.xml><?xml version="1.0" encoding="utf-8"?>
<w:webSettings xmlns:r="http://schemas.openxmlformats.org/officeDocument/2006/relationships" xmlns:w="http://schemas.openxmlformats.org/wordprocessingml/2006/main">
  <w:divs>
    <w:div w:id="213170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Nai01</b:Tag>
    <b:SourceType>JournalArticle</b:SourceType>
    <b:Guid>{314157B0-58B7-4BAC-B4AD-59273E990F4A}</b:Guid>
    <b:Author>
      <b:Author>
        <b:NameList>
          <b:Person>
            <b:Last>Khoury</b:Last>
            <b:First>Naim</b:First>
            <b:Middle>S.</b:Middle>
          </b:Person>
        </b:NameList>
      </b:Author>
    </b:Author>
    <b:Title>Accounting for Financial Instruments</b:Title>
    <b:JournalName>The Arab Bank Review</b:JournalName>
    <b:Year>April 2001</b:Year>
    <b:Pages>41-44</b:Pages>
    <b:RefOrder>43</b:RefOrder>
  </b:Source>
  <b:Source>
    <b:Tag>Dru09</b:Tag>
    <b:SourceType>JournalArticle</b:SourceType>
    <b:Guid>{13C206E0-3885-4EA8-B995-226026CF5717}</b:Guid>
    <b:Author>
      <b:Author>
        <b:NameList>
          <b:Person>
            <b:Last>Drumond</b:Last>
            <b:First>Ines</b:First>
          </b:Person>
        </b:NameList>
      </b:Author>
    </b:Author>
    <b:Title>Bank Capital Requirements, Business Cycle Fluctuations and the Basel Accords: A Synthesis</b:Title>
    <b:JournalName>Journal of Economic Surveys</b:JournalName>
    <b:Year>2009</b:Year>
    <b:Pages>798-830</b:Pages>
    <b:RefOrder>13</b:RefOrder>
  </b:Source>
  <b:Source>
    <b:Tag>Tho11</b:Tag>
    <b:SourceType>JournalArticle</b:SourceType>
    <b:Guid>{953DDEE7-C978-473F-B1B6-46B29FB0CB59}</b:Guid>
    <b:Author>
      <b:Author>
        <b:NameList>
          <b:Person>
            <b:Last>Linsmeier</b:Last>
            <b:First>Thomas</b:First>
            <b:Middle>J.</b:Middle>
          </b:Person>
        </b:NameList>
      </b:Author>
    </b:Author>
    <b:Title>Financial Reporting and Financial Crises: The Case for measuring Financial Instruments at Fair Value in the Financial Statements</b:Title>
    <b:Year>2011</b:Year>
    <b:JournalName>Accounting Horizons</b:JournalName>
    <b:Pages>409-417</b:Pages>
    <b:RefOrder>12</b:RefOrder>
  </b:Source>
  <b:Source>
    <b:Tag>Jef09</b:Tag>
    <b:SourceType>JournalArticle</b:SourceType>
    <b:Guid>{3BC9EA8E-6B45-4F19-B9B4-CE413B740733}</b:Guid>
    <b:Author>
      <b:Author>
        <b:NameList>
          <b:Person>
            <b:Last>Friedman</b:Last>
            <b:First>Jeffrey</b:First>
          </b:Person>
        </b:NameList>
      </b:Author>
    </b:Author>
    <b:Title>A Crisis of Politics, not Economics: Complexity, Ignorance and Policy Failure</b:Title>
    <b:JournalName>Critical Review</b:JournalName>
    <b:Year>2009</b:Year>
    <b:Pages>127-183</b:Pages>
    <b:RefOrder>44</b:RefOrder>
  </b:Source>
  <b:Source>
    <b:Tag>Lev10</b:Tag>
    <b:SourceType>JournalArticle</b:SourceType>
    <b:Guid>{53C673DD-8AA9-46DD-9CD5-26F6702DB9C9}</b:Guid>
    <b:Author>
      <b:Author>
        <b:NameList>
          <b:Person>
            <b:Last>Levinson</b:Last>
            <b:First>Marc</b:First>
          </b:Person>
        </b:NameList>
      </b:Author>
    </b:Author>
    <b:Title>Faulty Basel</b:Title>
    <b:Year>2010</b:Year>
    <b:JournalName>Foreign Affairs</b:JournalName>
    <b:Pages>1-8</b:Pages>
    <b:RefOrder>35</b:RefOrder>
  </b:Source>
  <b:Source>
    <b:Tag>Lan05</b:Tag>
    <b:SourceType>Report</b:SourceType>
    <b:Guid>{051D5D67-4C29-477B-BD83-0BEAA5930F2E}</b:Guid>
    <b:Author>
      <b:Author>
        <b:NameList>
          <b:Person>
            <b:Last>Landsman</b:Last>
            <b:First>Wayne</b:First>
            <b:Middle>R.</b:Middle>
          </b:Person>
        </b:NameList>
      </b:Author>
    </b:Author>
    <b:Title>Fair Value Accounting for Financial Instruments: Some Implications for Bank Regulations</b:Title>
    <b:Year>2005</b:Year>
    <b:Publisher>Bank of International Settlement</b:Publisher>
    <b:City>Basel</b:City>
    <b:RefOrder>33</b:RefOrder>
  </b:Source>
  <b:Source>
    <b:Tag>Kar11</b:Tag>
    <b:SourceType>JournalArticle</b:SourceType>
    <b:Guid>{F648B722-300A-4798-B692-B8B1191D835D}</b:Guid>
    <b:Author>
      <b:Author>
        <b:NameList>
          <b:Person>
            <b:Last>Lannoo</b:Last>
            <b:First>Karel</b:First>
          </b:Person>
        </b:NameList>
      </b:Author>
    </b:Author>
    <b:Title>The Forest of Basel III has too many Trees</b:Title>
    <b:Year>2011</b:Year>
    <b:Pages>1-3</b:Pages>
    <b:JournalName>Centre for European Policy Studies</b:JournalName>
    <b:RefOrder>41</b:RefOrder>
  </b:Source>
  <b:Source>
    <b:Tag>Pat09</b:Tag>
    <b:SourceType>JournalArticle</b:SourceType>
    <b:Guid>{2021B657-E084-4757-9922-D27F91A4B089}</b:Guid>
    <b:Author>
      <b:Author>
        <b:NameList>
          <b:Person>
            <b:Last>Arnold</b:Last>
            <b:First>Patricia</b:First>
            <b:Middle>J.</b:Middle>
          </b:Person>
        </b:NameList>
      </b:Author>
    </b:Author>
    <b:Title>Global financial crisis: The challenge to accounting research</b:Title>
    <b:JournalName>Accounting, Organisations and Society</b:JournalName>
    <b:Year>2009</b:Year>
    <b:Pages>803-809</b:Pages>
    <b:RefOrder>45</b:RefOrder>
  </b:Source>
  <b:Source>
    <b:Tag>Jau13</b:Tag>
    <b:SourceType>Misc</b:SourceType>
    <b:Guid>{0EAB3182-C0E0-4390-90A5-AE3BE7B4ABAE}</b:Guid>
    <b:Author>
      <b:Author>
        <b:NameList>
          <b:Person>
            <b:Last>Liang</b:Last>
            <b:First>Jau</b:First>
            <b:Middle>Men</b:Middle>
          </b:Person>
        </b:NameList>
      </b:Author>
    </b:Author>
    <b:Title>The impact of the Basel III capital &amp; liquidity requirements: Balance Sheet Optimization</b:Title>
    <b:Year>2013</b:Year>
    <b:RefOrder>46</b:RefOrder>
  </b:Source>
  <b:Source>
    <b:Tag>Vér12</b:Tag>
    <b:SourceType>Report</b:SourceType>
    <b:Guid>{F8BFB0E1-CE80-434B-9398-8CE7F6DB1B6C}</b:Guid>
    <b:Author>
      <b:Author>
        <b:NameList>
          <b:Person>
            <b:Last>Véron</b:Last>
            <b:First>Nicholas</b:First>
          </b:Person>
        </b:NameList>
      </b:Author>
    </b:Author>
    <b:Title>Financial Reform after the Crisis: An Early Assessment</b:Title>
    <b:Year>2012</b:Year>
    <b:Publisher>Peterson Institute for International Economics</b:Publisher>
    <b:City>Washington</b:City>
    <b:RefOrder>40</b:RefOrder>
  </b:Source>
  <b:Source>
    <b:Tag>Bar10</b:Tag>
    <b:SourceType>Report</b:SourceType>
    <b:Guid>{5B4CF8F8-0D02-414A-B04A-C1CE1C1BCDAD}</b:Guid>
    <b:Author>
      <b:Author>
        <b:NameList>
          <b:Person>
            <b:Last>Barth</b:Last>
          </b:Person>
          <b:Person>
            <b:Last>Landsman</b:Last>
          </b:Person>
        </b:NameList>
      </b:Author>
    </b:Author>
    <b:Title>How did Financial Reporting Contribute to the Financial Crisis?</b:Title>
    <b:Year>2010</b:Year>
    <b:Publisher>Centre for Finance and Accounting Research</b:Publisher>
    <b:City>Stanford</b:City>
    <b:RefOrder>27</b:RefOrder>
  </b:Source>
  <b:Source>
    <b:Tag>Can09</b:Tag>
    <b:SourceType>JournalArticle</b:SourceType>
    <b:Guid>{87EFBF8E-C153-4456-BD65-52D45B06C2AB}</b:Guid>
    <b:Author>
      <b:Author>
        <b:NameList>
          <b:Person>
            <b:Last>Cannata</b:Last>
          </b:Person>
          <b:Person>
            <b:Last>Quagliariello</b:Last>
          </b:Person>
        </b:NameList>
      </b:Author>
    </b:Author>
    <b:Title>The role of Basel II in the subprime financial crisis: guilty or not guilty?</b:Title>
    <b:Year>2009</b:Year>
    <b:JournalName>Carefin Working Papers</b:JournalName>
    <b:Pages>1-17</b:Pages>
    <b:RefOrder>39</b:RefOrder>
  </b:Source>
  <b:Source>
    <b:Tag>Bel12</b:Tag>
    <b:SourceType>JournalArticle</b:SourceType>
    <b:Guid>{5BCB468C-669F-43E5-A397-EEDBC39FFB3E}</b:Guid>
    <b:Author>
      <b:Author>
        <b:NameList>
          <b:Person>
            <b:Last>Beltratti</b:Last>
          </b:Person>
          <b:Person>
            <b:Last>Stulz</b:Last>
          </b:Person>
        </b:NameList>
      </b:Author>
    </b:Author>
    <b:Title>The creditcrisis around the globe: Why did some banks perform better?</b:Title>
    <b:JournalName>Journal of Financial Economics</b:JournalName>
    <b:Year>2012</b:Year>
    <b:Pages>1-17</b:Pages>
    <b:RefOrder>19</b:RefOrder>
  </b:Source>
  <b:Source>
    <b:Tag>Man11</b:Tag>
    <b:SourceType>JournalArticle</b:SourceType>
    <b:Guid>{A9B97F2C-8235-4CCC-9D9B-7671866095F7}</b:Guid>
    <b:Title>Mandatory IFRS Adoption and Accounting Quality of European Banks</b:Title>
    <b:JournalName>Journal of Business Finance &amp; Accounting</b:JournalName>
    <b:Year>2011</b:Year>
    <b:Pages>289-333</b:Pages>
    <b:Author>
      <b:Author>
        <b:NameList>
          <b:Person>
            <b:Last>Gebhardt</b:Last>
          </b:Person>
          <b:Person>
            <b:Last>Novotny-Farkas</b:Last>
          </b:Person>
        </b:NameList>
      </b:Author>
    </b:Author>
    <b:RefOrder>7</b:RefOrder>
  </b:Source>
  <b:Source>
    <b:Tag>Blu10</b:Tag>
    <b:SourceType>JournalArticle</b:SourceType>
    <b:Guid>{C79839A7-1BF4-404C-AA7A-E26F7CBF96F5}</b:Guid>
    <b:Author>
      <b:Author>
        <b:NameList>
          <b:Person>
            <b:Last>Atkinson</b:Last>
          </b:Person>
          <b:Person>
            <b:Last>Blundell-Wignall</b:Last>
          </b:Person>
        </b:NameList>
      </b:Author>
    </b:Author>
    <b:Title>Thinking beyond Basel III: Necessary Solutions for Capital and Liquidity</b:Title>
    <b:Year>2010</b:Year>
    <b:JournalName>OECD Journal</b:JournalName>
    <b:Pages>9-33</b:Pages>
    <b:RefOrder>37</b:RefOrder>
  </b:Source>
  <b:Source>
    <b:Tag>Bad12</b:Tag>
    <b:SourceType>JournalArticle</b:SourceType>
    <b:Guid>{D07CE93D-23CC-4919-BB14-416B7804A5C7}</b:Guid>
    <b:Author>
      <b:Author>
        <b:NameList>
          <b:Person>
            <b:Last>Badertscher</b:Last>
          </b:Person>
          <b:Person>
            <b:Last>Burks</b:Last>
          </b:Person>
          <b:Person>
            <b:Last>Easton</b:Last>
          </b:Person>
        </b:NameList>
      </b:Author>
    </b:Author>
    <b:Title>A Convenient Scapegoat: Fair Value Accounting by Commercial Banks during the Financial Crisis</b:Title>
    <b:Year>2012</b:Year>
    <b:JournalName>The Accounting Review</b:JournalName>
    <b:Pages>59-90</b:Pages>
    <b:RefOrder>25</b:RefOrder>
  </b:Source>
  <b:Source>
    <b:Tag>Bha11</b:Tag>
    <b:SourceType>JournalArticle</b:SourceType>
    <b:Guid>{FCAAD0FF-BA5D-459D-AB35-9E137D9E6984}</b:Guid>
    <b:Author>
      <b:Author>
        <b:NameList>
          <b:Person>
            <b:Last>Bhat</b:Last>
          </b:Person>
          <b:Person>
            <b:Last>Frankel</b:Last>
          </b:Person>
          <b:Person>
            <b:Last>Martin</b:Last>
          </b:Person>
        </b:NameList>
      </b:Author>
    </b:Author>
    <b:Title>Panacea, Pandora’s box, or placebo: Feedback in bank mortgage-backed security holdings and fair value accounting</b:Title>
    <b:JournalName>JournalofAccountingandEconomics</b:JournalName>
    <b:Year>2011</b:Year>
    <b:Pages>153-173</b:Pages>
    <b:RefOrder>31</b:RefOrder>
  </b:Source>
  <b:Source>
    <b:Tag>Bis10</b:Tag>
    <b:SourceType>Report</b:SourceType>
    <b:Guid>{B20E5EF8-C60C-41F0-A2EC-405D70497507}</b:Guid>
    <b:Author>
      <b:Author>
        <b:NameList>
          <b:Person>
            <b:Last>Bischof</b:Last>
          </b:Person>
          <b:Person>
            <b:Last>Brüggeman</b:Last>
          </b:Person>
          <b:Person>
            <b:Last>Daske</b:Last>
          </b:Person>
        </b:NameList>
      </b:Author>
    </b:Author>
    <b:Title>Relaxation of Fair Value Rules in Times of Crisis: An Analysis of Economic Benefits and Costs of the Amendment to IAS 39</b:Title>
    <b:Year>2010</b:Year>
    <b:City>Mannheim</b:City>
    <b:RefOrder>15</b:RefOrder>
  </b:Source>
  <b:Source>
    <b:Tag>Bis12</b:Tag>
    <b:SourceType>Report</b:SourceType>
    <b:Guid>{DF08EAFC-AE54-476D-8C4F-DE91EC4F616A}</b:Guid>
    <b:Author>
      <b:Author>
        <b:NameList>
          <b:Person>
            <b:Last>Bischof</b:Last>
          </b:Person>
          <b:Person>
            <b:Last>Brüggeman</b:Last>
          </b:Person>
          <b:Person>
            <b:Last>Daske</b:Last>
          </b:Person>
        </b:NameList>
      </b:Author>
    </b:Author>
    <b:Title>Fair value reclassifications of financial assets during the financial crisis</b:Title>
    <b:Year>2012</b:Year>
    <b:Publisher>Leibniz-Informationszentrum Wirtschaft</b:Publisher>
    <b:City>Berlijn</b:City>
    <b:RefOrder>17</b:RefOrder>
  </b:Source>
  <b:Source>
    <b:Tag>Mic97</b:Tag>
    <b:SourceType>Report</b:SourceType>
    <b:Guid>{07E2F334-0AB5-42C2-A13D-CD19A66C4000}</b:Guid>
    <b:Author>
      <b:Author>
        <b:NameList>
          <b:Person>
            <b:Last>Blanchette</b:Last>
          </b:Person>
          <b:Person>
            <b:Last>Michel</b:Last>
          </b:Person>
        </b:NameList>
      </b:Author>
    </b:Author>
    <b:Title>Accounting for Financial Instruments</b:Title>
    <b:Year>1997</b:Year>
    <b:Publisher>Université de Québec</b:Publisher>
    <b:City>Hull</b:City>
    <b:RefOrder>47</b:RefOrder>
  </b:Source>
  <b:Source>
    <b:Tag>GGe02</b:Tag>
    <b:SourceType>JournalArticle</b:SourceType>
    <b:Guid>{AF5D6B96-70B9-46A4-A27A-37CC01B48DD7}</b:Guid>
    <b:Author>
      <b:Author>
        <b:NameList>
          <b:Person>
            <b:Last>Gebhardt</b:Last>
          </b:Person>
          <b:Person>
            <b:Last>Reichardt</b:Last>
          </b:Person>
          <b:Person>
            <b:Last>Wittenbrink</b:Last>
          </b:Person>
        </b:NameList>
      </b:Author>
    </b:Author>
    <b:Title>Accounting for Financial Instruments in the Banking Industry</b:Title>
    <b:Year>2002</b:Year>
    <b:JournalName>Working Paper Series: Finance &amp; Accounting</b:JournalName>
    <b:Pages>1-86</b:Pages>
    <b:RefOrder>5</b:RefOrder>
  </b:Source>
  <b:Source>
    <b:Tag>Gla13</b:Tag>
    <b:SourceType>Report</b:SourceType>
    <b:Guid>{731A82B1-621D-45FD-BAC3-5F70EB4CB995}</b:Guid>
    <b:Author>
      <b:Author>
        <b:NameList>
          <b:Person>
            <b:Last>Glaser</b:Last>
          </b:Person>
          <b:Person>
            <b:Last>Mohrmann</b:Last>
          </b:Person>
          <b:Person>
            <b:Last>Riepe</b:Last>
          </b:Person>
        </b:NameList>
      </b:Author>
    </b:Author>
    <b:Title>Blind Spot of Banking Regulation: Level 3 Valuation and Basel Risk Capital</b:Title>
    <b:Year>2013</b:Year>
    <b:City>München</b:City>
    <b:RefOrder>23</b:RefOrder>
  </b:Source>
  <b:Source>
    <b:Tag>Ach09</b:Tag>
    <b:SourceType>JournalArticle</b:SourceType>
    <b:Guid>{ACA6B490-329F-47BE-89AD-16D8A53487D4}</b:Guid>
    <b:Author>
      <b:Author>
        <b:NameList>
          <b:Person>
            <b:Last>Richardson</b:Last>
          </b:Person>
          <b:Person>
            <b:Last>Acharya</b:Last>
          </b:Person>
        </b:NameList>
      </b:Author>
    </b:Author>
    <b:Title>Causes of the Financial Crisis</b:Title>
    <b:JournalName>Critical Review: A Journal of Politics and Society</b:JournalName>
    <b:Year>2009</b:Year>
    <b:Pages>195-210</b:Pages>
    <b:RefOrder>9</b:RefOrder>
  </b:Source>
  <b:Source>
    <b:Tag>Mer12</b:Tag>
    <b:SourceType>Report</b:SourceType>
    <b:Guid>{BC03DFA9-065B-40BA-9934-4597A17663BE}</b:Guid>
    <b:Author>
      <b:Author>
        <b:NameList>
          <b:Person>
            <b:Last>Merrill</b:Last>
          </b:Person>
          <b:Person>
            <b:Last>Nadauld</b:Last>
          </b:Person>
          <b:Person>
            <b:Last>Stulz</b:Last>
          </b:Person>
          <b:Person>
            <b:Last>Sherlund</b:Last>
          </b:Person>
        </b:NameList>
      </b:Author>
    </b:Author>
    <b:Title>Did Capital Requirements and Fair Value Accounting Spark Fire Sales in Distressed Mortgage-backed securities?</b:Title>
    <b:Year>2012</b:Year>
    <b:Publisher>National Bureau of Economic Research</b:Publisher>
    <b:City>Cambridge(MA)</b:City>
    <b:RefOrder>14</b:RefOrder>
  </b:Source>
  <b:Source>
    <b:Tag>Lev</b:Tag>
    <b:SourceType>JournalArticle</b:SourceType>
    <b:Guid>{98375DFE-2361-4C70-B6F7-F5408DEED159}</b:Guid>
    <b:Author>
      <b:Author>
        <b:NameList>
          <b:Person>
            <b:Last>Leventis</b:Last>
          </b:Person>
          <b:Person>
            <b:Last>Dimitripoulos</b:Last>
          </b:Person>
          <b:Person>
            <b:Last>Anandarajan</b:Last>
          </b:Person>
        </b:NameList>
      </b:Author>
    </b:Author>
    <b:Title>Loan Loss Provisions, Earnings Management and Capital Management under IFRS: The Case of EU Commercial Banks</b:Title>
    <b:JournalName>J Financ Serv Res</b:JournalName>
    <b:Year>2011</b:Year>
    <b:Pages>103-122</b:Pages>
    <b:Publisher>Springer</b:Publisher>
    <b:RefOrder>48</b:RefOrder>
  </b:Source>
  <b:Source>
    <b:Tag>Lau09</b:Tag>
    <b:SourceType>Report</b:SourceType>
    <b:Guid>{FD80A063-30DC-4373-BB9A-2662F7CE178D}</b:Guid>
    <b:Author>
      <b:Author>
        <b:NameList>
          <b:Person>
            <b:Last>Leuz</b:Last>
          </b:Person>
          <b:Person>
            <b:Last>Laux</b:Last>
          </b:Person>
        </b:NameList>
      </b:Author>
    </b:Author>
    <b:Title>The crisis of fair value accounting: Making sense of the recent debate</b:Title>
    <b:Year>2009</b:Year>
    <b:Publisher>Center for Financial Studies</b:Publisher>
    <b:City>Frankfurt</b:City>
    <b:RefOrder>28</b:RefOrder>
  </b:Source>
  <b:Source>
    <b:Tag>Lau091</b:Tag>
    <b:SourceType>Report</b:SourceType>
    <b:Guid>{4ED3C2F0-9CEC-4286-B3A1-58B50CBEF0E1}</b:Guid>
    <b:Author>
      <b:Author>
        <b:NameList>
          <b:Person>
            <b:Last>Leuz</b:Last>
          </b:Person>
          <b:Person>
            <b:Last>Laux</b:Last>
          </b:Person>
        </b:NameList>
      </b:Author>
    </b:Author>
    <b:Title>Did Fair-value Accounting Contribute to the Financial Crisis?</b:Title>
    <b:Year>2009</b:Year>
    <b:Publisher>Center For Financial Studies</b:Publisher>
    <b:City>Frankfurt</b:City>
    <b:RefOrder>24</b:RefOrder>
  </b:Source>
  <b:Source>
    <b:Tag>Kot12</b:Tag>
    <b:SourceType>JournalArticle</b:SourceType>
    <b:Guid>{FBA9F7CF-C9D4-43BA-9454-B58E05DBA4EA}</b:Guid>
    <b:Author>
      <b:Author>
        <b:NameList>
          <b:Person>
            <b:Last>Kothari</b:Last>
          </b:Person>
          <b:Person>
            <b:Last>Lester</b:Last>
          </b:Person>
        </b:NameList>
      </b:Author>
    </b:Author>
    <b:Title>The Role of Accounting in the Financial Crisis: Lessons for the Future</b:Title>
    <b:Year>2012</b:Year>
    <b:JournalName>Accounting Horizons</b:JournalName>
    <b:Pages>335-351</b:Pages>
    <b:RefOrder>10</b:RefOrder>
  </b:Source>
  <b:Source>
    <b:Tag>Koo11</b:Tag>
    <b:SourceType>JournalArticle</b:SourceType>
    <b:Guid>{2C136092-DFD5-4BB6-9A54-6A9BE7EEAA97}</b:Guid>
    <b:Author>
      <b:Author>
        <b:NameList>
          <b:Person>
            <b:Last>Koonce</b:Last>
          </b:Person>
          <b:Person>
            <b:Last>Nelson</b:Last>
          </b:Person>
          <b:Person>
            <b:Last>Shakespeare</b:Last>
          </b:Person>
        </b:NameList>
      </b:Author>
    </b:Author>
    <b:Title>Judging the Relevance of Fair Value for Financial Instruments</b:Title>
    <b:Year>2011</b:Year>
    <b:JournalName>The Accounting Review</b:JournalName>
    <b:Pages>2075-2098</b:Pages>
    <b:RefOrder>49</b:RefOrder>
  </b:Source>
  <b:Source>
    <b:Tag>Hui09</b:Tag>
    <b:SourceType>Report</b:SourceType>
    <b:Guid>{47A8CC2D-954E-4DB7-A572-C3214D6A4556}</b:Guid>
    <b:Author>
      <b:Author>
        <b:NameList>
          <b:Person>
            <b:Last>Huizinga</b:Last>
          </b:Person>
          <b:Person>
            <b:Last>Laeven</b:Last>
          </b:Person>
        </b:NameList>
      </b:Author>
    </b:Author>
    <b:Title>Accounting discretion of banks during a financial crisis</b:Title>
    <b:Year>2009</b:Year>
    <b:City>Tilburg</b:City>
    <b:RefOrder>30</b:RefOrder>
  </b:Source>
  <b:Source>
    <b:Tag>Bow10</b:Tag>
    <b:SourceType>Report</b:SourceType>
    <b:Guid>{E9852416-CAEA-4AAC-B8E4-5DCCA0A8D356}</b:Guid>
    <b:Author>
      <b:Author>
        <b:NameList>
          <b:Person>
            <b:Last>Bowen</b:Last>
          </b:Person>
          <b:Person>
            <b:Last>Khan</b:Last>
          </b:Person>
          <b:Person>
            <b:Last>Rajgopal</b:Last>
          </b:Person>
        </b:NameList>
      </b:Author>
    </b:Author>
    <b:Title>The Economic Consequences of Relaxing Fair Value Accounting and Impairment Rules on Banks during the Financial Crisis of 2008-2009</b:Title>
    <b:Year>2010</b:Year>
    <b:City>Washington</b:City>
    <b:RefOrder>11</b:RefOrder>
  </b:Source>
  <b:Source>
    <b:Tag>Bla12</b:Tag>
    <b:SourceType>Report</b:SourceType>
    <b:Guid>{61DF0A8F-8F9B-435B-A304-642828487770}</b:Guid>
    <b:Author>
      <b:Author>
        <b:NameList>
          <b:Person>
            <b:Last>Blankespoor</b:Last>
          </b:Person>
          <b:Person>
            <b:Last>Linsmeier</b:Last>
          </b:Person>
          <b:Person>
            <b:Last>Petroni</b:Last>
          </b:Person>
          <b:Person>
            <b:Last>Shakespeare</b:Last>
          </b:Person>
        </b:NameList>
      </b:Author>
    </b:Author>
    <b:Title>Fair value accounting for financial instruments: Does it improve the association between bank leverage and credit risk?</b:Title>
    <b:Year>2012</b:Year>
    <b:Publisher>Research Paper Series</b:Publisher>
    <b:City>Stanford</b:City>
    <b:RefOrder>32</b:RefOrder>
  </b:Source>
  <b:Source>
    <b:Tag>Pet00</b:Tag>
    <b:SourceType>JournalArticle</b:SourceType>
    <b:Guid>{00DFA066-58A6-4C6F-936D-14B946230E67}</b:Guid>
    <b:Author>
      <b:Author>
        <b:NameList>
          <b:Person>
            <b:Last>Fiechter</b:Last>
            <b:First>Peter</b:First>
          </b:Person>
        </b:NameList>
      </b:Author>
    </b:Author>
    <b:Title>The Effects of the Fair Value Option under IAS 39 on theVolatility of Bank Earnings</b:Title>
    <b:Year>2010</b:Year>
    <b:JournalName>Journal of International Accounting Research</b:JournalName>
    <b:Pages>85-108</b:Pages>
    <b:RefOrder>34</b:RefOrder>
  </b:Source>
  <b:Source>
    <b:Tag>And09</b:Tag>
    <b:SourceType>JournalArticle</b:SourceType>
    <b:Guid>{3A35DB16-90B0-4BD4-960E-FE2307B9E9A5}</b:Guid>
    <b:Author>
      <b:Author>
        <b:NameList>
          <b:Person>
            <b:Last>André</b:Last>
          </b:Person>
          <b:Person>
            <b:Last>Cazavan-Jeny</b:Last>
          </b:Person>
          <b:Person>
            <b:Last>Dick</b:Last>
          </b:Person>
          <b:Person>
            <b:Last>Richard</b:Last>
          </b:Person>
          <b:Person>
            <b:Last>Walton</b:Last>
          </b:Person>
        </b:NameList>
      </b:Author>
    </b:Author>
    <b:Title>Fair value accounting and the banking crisis in 2008: shooting the messenger</b:Title>
    <b:Year>2009</b:Year>
    <b:JournalName>Accounting in Europe</b:JournalName>
    <b:Pages>3-24</b:Pages>
    <b:RefOrder>16</b:RefOrder>
  </b:Source>
  <b:Source>
    <b:Tag>Fie11</b:Tag>
    <b:SourceType>JournalArticle</b:SourceType>
    <b:Guid>{08461A64-AF54-4809-994F-A2C44F402650}</b:Guid>
    <b:Author>
      <b:Author>
        <b:NameList>
          <b:Person>
            <b:Last>Fiechter</b:Last>
            <b:First>Peter</b:First>
          </b:Person>
        </b:NameList>
      </b:Author>
    </b:Author>
    <b:Title>Reclassification of Financial Assets under IAS 39: Impact on European Banks' Statements</b:Title>
    <b:Year>2011</b:Year>
    <b:JournalName>Accounting in Europe</b:JournalName>
    <b:Pages>49-67</b:Pages>
    <b:RefOrder>18</b:RefOrder>
  </b:Source>
  <b:Source>
    <b:Tag>Ren13</b:Tag>
    <b:SourceType>JournalArticle</b:SourceType>
    <b:Guid>{018BD924-4F81-4401-BA7D-C6C43756DBAB}</b:Guid>
    <b:Author>
      <b:Author>
        <b:NameList>
          <b:Person>
            <b:Last>Tilburg</b:Last>
            <b:First>Rens</b:First>
            <b:Middle>van</b:Middle>
          </b:Person>
        </b:NameList>
      </b:Author>
    </b:Author>
    <b:Title>Het overgewichtsprobleem van de Nederlandse bankensector en aanvullende afslanktips</b:Title>
    <b:JournalName>TPEdigitaal</b:JournalName>
    <b:Year>2013</b:Year>
    <b:Pages>49-65</b:Pages>
    <b:RefOrder>20</b:RefOrder>
  </b:Source>
  <b:Source>
    <b:Tag>DeA13</b:Tag>
    <b:SourceType>Report</b:SourceType>
    <b:Guid>{C5F096CE-9CE0-44A8-BCBF-DB79F7AB1838}</b:Guid>
    <b:Author>
      <b:Author>
        <b:NameList>
          <b:Person>
            <b:Last>DeAngelo</b:Last>
          </b:Person>
          <b:Person>
            <b:Last>Stulz</b:Last>
          </b:Person>
        </b:NameList>
      </b:Author>
    </b:Author>
    <b:Title>Why High Leverage is Optimal for Banks</b:Title>
    <b:Year>2013</b:Year>
    <b:City>Wharton</b:City>
    <b:RefOrder>21</b:RefOrder>
  </b:Source>
  <b:Source>
    <b:Tag>Adm11</b:Tag>
    <b:SourceType>Report</b:SourceType>
    <b:Guid>{4040B4C3-0AFC-48E0-867F-7AF3A57C4B81}</b:Guid>
    <b:Author>
      <b:Author>
        <b:NameList>
          <b:Person>
            <b:Last>Admati</b:Last>
          </b:Person>
          <b:Person>
            <b:Last>Helwig</b:Last>
          </b:Person>
        </b:NameList>
      </b:Author>
    </b:Author>
    <b:Title>Fallacies, irrelevant facts, and myths in the discussion of capital regulation</b:Title>
    <b:Year>2011</b:Year>
    <b:Publisher>Stanford University Working papers</b:Publisher>
    <b:City>Stanford</b:City>
    <b:RefOrder>22</b:RefOrder>
  </b:Source>
  <b:Source>
    <b:Tag>Böh12</b:Tag>
    <b:SourceType>Book</b:SourceType>
    <b:Guid>{196C7328-392B-4125-A6A0-0BB0BA9365F5}</b:Guid>
    <b:Author>
      <b:Author>
        <b:NameList>
          <b:Person>
            <b:Last>Böhmer</b:Last>
          </b:Person>
          <b:Person>
            <b:Last>Hoogendoorn</b:Last>
          </b:Person>
          <b:Person>
            <b:Last>Kruit</b:Last>
          </b:Person>
        </b:NameList>
      </b:Author>
    </b:Author>
    <b:Title>EY Handboek Jaarrekening</b:Title>
    <b:Year>2012</b:Year>
    <b:City>Rotterdam</b:City>
    <b:Publisher>Kluwer</b:Publisher>
    <b:RefOrder>6</b:RefOrder>
  </b:Source>
  <b:Source>
    <b:Tag>Wil08</b:Tag>
    <b:SourceType>Interview</b:SourceType>
    <b:Guid>{4F8DA8A5-2157-4A0C-8515-DB0DB9803637}</b:Guid>
    <b:Title>Fair value caused the crisis</b:Title>
    <b:Year>2008</b:Year>
    <b:Author>
      <b:Interviewee>
        <b:NameList>
          <b:Person>
            <b:Last>Isaac</b:Last>
            <b:First>William</b:First>
          </b:Person>
        </b:NameList>
      </b:Interviewee>
      <b:Interviewer>
        <b:NameList>
          <b:Person>
            <b:Last>Katz</b:Last>
            <b:First>D.</b:First>
          </b:Person>
        </b:NameList>
      </b:Interviewer>
    </b:Author>
    <b:RefOrder>29</b:RefOrder>
  </b:Source>
  <b:Source>
    <b:Tag>Tom13</b:Tag>
    <b:SourceType>Report</b:SourceType>
    <b:Guid>{AE272D4A-1FC4-4940-B5B8-8E288AA7CFCF}</b:Guid>
    <b:Title>Theorie en wetgeving  van contingent capital bij banken in Nederland</b:Title>
    <b:Year>2013</b:Year>
    <b:City>Zwijndrectht</b:City>
    <b:Author>
      <b:Author>
        <b:NameList>
          <b:Person>
            <b:Last>Norendaal</b:Last>
            <b:First>Tom</b:First>
          </b:Person>
        </b:NameList>
      </b:Author>
    </b:Author>
    <b:RefOrder>36</b:RefOrder>
  </b:Source>
  <b:Source>
    <b:Tag>Ste10</b:Tag>
    <b:SourceType>ArticleInAPeriodical</b:SourceType>
    <b:Guid>{B7870044-9A04-43F9-9B8A-62D6DA35BB92}</b:Guid>
    <b:Author>
      <b:Author>
        <b:NameList>
          <b:Person>
            <b:Last>Chan</b:Last>
            <b:First>Stephen</b:First>
          </b:Person>
        </b:NameList>
      </b:Author>
    </b:Author>
    <b:Title>From IAS 39 to IFRS 9: More than just a name change</b:Title>
    <b:Year>2010</b:Year>
    <b:PeriodicalTitle>By all accounts</b:PeriodicalTitle>
    <b:Month>juli</b:Month>
    <b:Day>2</b:Day>
    <b:RefOrder>1</b:RefOrder>
  </b:Source>
  <b:Source>
    <b:Tag>Whi08</b:Tag>
    <b:SourceType>JournalArticle</b:SourceType>
    <b:Guid>{02EF94F6-DCBB-4A4A-8931-AB1FF5C48D97}</b:Guid>
    <b:Author>
      <b:Author>
        <b:NameList>
          <b:Person>
            <b:Last>Whittington</b:Last>
          </b:Person>
        </b:NameList>
      </b:Author>
    </b:Author>
    <b:Title>The conceptual Framework project: an alternative view</b:Title>
    <b:Year>2008</b:Year>
    <b:Pages>139-168</b:Pages>
    <b:JournalName>Abacus</b:JournalName>
    <b:RefOrder>42</b:RefOrder>
  </b:Source>
  <b:Source>
    <b:Tag>Bas06</b:Tag>
    <b:SourceType>Report</b:SourceType>
    <b:Guid>{07504120-AB78-431A-9DDB-CB8CF847D819}</b:Guid>
    <b:Title>International Convergence of Capital Measurement and Capital Standards</b:Title>
    <b:Year>2006</b:Year>
    <b:Publisher>Bank for International Settlements</b:Publisher>
    <b:City>Basel</b:City>
    <b:RefOrder>38</b:RefOrder>
  </b:Source>
  <b:Source>
    <b:Tag>IFR10</b:Tag>
    <b:SourceType>Report</b:SourceType>
    <b:Guid>{37C3DAF6-A497-4380-97CA-5ADE2A58933A}</b:Guid>
    <b:Title>IFRS 9: Financial Instruments</b:Title>
    <b:Year>2010</b:Year>
    <b:Publisher>IASB</b:Publisher>
    <b:City>Londen</b:City>
    <b:RefOrder>2</b:RefOrder>
  </b:Source>
  <b:Source>
    <b:Tag>Fin09</b:Tag>
    <b:SourceType>Report</b:SourceType>
    <b:Guid>{EB0105F5-5621-4AA4-9611-CEA760FE5047}</b:Guid>
    <b:Title>Financial Instruments: A guide through the official text of IAS 32, IAS 39 &amp; IFRS 7</b:Title>
    <b:Year>2009</b:Year>
    <b:Publisher>International Accounting Standards Board</b:Publisher>
    <b:City>London</b:City>
    <b:RefOrder>4</b:RefOrder>
  </b:Source>
  <b:Source>
    <b:Tag>Veu02</b:Tag>
    <b:SourceType>JournalArticle</b:SourceType>
    <b:Guid>{EB7AD176-C1AC-49F5-A98E-42F2881D24BC}</b:Guid>
    <b:Author>
      <b:Author>
        <b:NameList>
          <b:Person>
            <b:Last>Veuger</b:Last>
            <b:First>Pieter</b:First>
          </b:Person>
        </b:NameList>
      </b:Author>
    </b:Author>
    <b:Title>Waardering en resultaatbepaling van financiële instrumenten</b:Title>
    <b:Year>2002</b:Year>
    <b:JournalName>Maandblad voor Accountancy en Bedrijfseconomie</b:JournalName>
    <b:Pages>151-157</b:Pages>
    <b:RefOrder>3</b:RefOrder>
  </b:Source>
  <b:Source>
    <b:Tag>Woo04</b:Tag>
    <b:SourceType>JournalArticle</b:SourceType>
    <b:Guid>{DE7B6E17-D7FB-4BDE-B707-31A5A7D793FE}</b:Guid>
    <b:Author>
      <b:Author>
        <b:NameList>
          <b:Person>
            <b:Last>Woods</b:Last>
          </b:Person>
          <b:Person>
            <b:Last>Marginson</b:Last>
          </b:Person>
        </b:NameList>
      </b:Author>
    </b:Author>
    <b:Title>Accounting for derivatives: An evaluation of reporting practice by UK banks</b:Title>
    <b:JournalName>European Accounting Review</b:JournalName>
    <b:Year>2004</b:Year>
    <b:Pages>373-390</b:Pages>
    <b:RefOrder>8</b:RefOrder>
  </b:Source>
  <b:Source>
    <b:Tag>ABA08</b:Tag>
    <b:SourceType>Report</b:SourceType>
    <b:Guid>{6AD41407-46CF-4FAB-81B4-6A943B0AEE4B}</b:Guid>
    <b:Author>
      <b:Author>
        <b:NameList>
          <b:Person>
            <b:Last>ABA</b:Last>
          </b:Person>
        </b:NameList>
      </b:Author>
    </b:Author>
    <b:Title>Letter to the FASB</b:Title>
    <b:Year>2008</b:Year>
    <b:Publisher>American Bankers Association</b:Publisher>
    <b:RefOrder>26</b:RefOrder>
  </b:Source>
</b:Sources>
</file>

<file path=customXml/itemProps1.xml><?xml version="1.0" encoding="utf-8"?>
<ds:datastoreItem xmlns:ds="http://schemas.openxmlformats.org/officeDocument/2006/customXml" ds:itemID="{A051017B-0E3F-4BE0-B0B5-720CB8E1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21457</Words>
  <Characters>122310</Characters>
  <Application>Microsoft Office Word</Application>
  <DocSecurity>0</DocSecurity>
  <Lines>1019</Lines>
  <Paragraphs>286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 Rotterdam</Company>
  <LinksUpToDate>false</LinksUpToDate>
  <CharactersWithSpaces>143481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 Student</dc:creator>
  <cp:lastModifiedBy>Roy Achaibersing</cp:lastModifiedBy>
  <cp:revision>2</cp:revision>
  <cp:lastPrinted>2013-07-21T21:54:00Z</cp:lastPrinted>
  <dcterms:created xsi:type="dcterms:W3CDTF">2013-07-25T12:31:00Z</dcterms:created>
  <dcterms:modified xsi:type="dcterms:W3CDTF">2013-07-25T12:31:00Z</dcterms:modified>
</cp:coreProperties>
</file>