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475" w:rsidRPr="002024B1" w:rsidRDefault="00754475" w:rsidP="00754475">
      <w:pPr>
        <w:rPr>
          <w:sz w:val="32"/>
          <w:szCs w:val="32"/>
          <w:lang w:val="en-US"/>
        </w:rPr>
      </w:pPr>
      <w:r w:rsidRPr="002024B1">
        <w:rPr>
          <w:sz w:val="32"/>
          <w:szCs w:val="32"/>
          <w:lang w:val="en-US"/>
        </w:rPr>
        <w:t>Erasmus University Rotterdam</w:t>
      </w:r>
    </w:p>
    <w:p w:rsidR="00754475" w:rsidRPr="002024B1" w:rsidRDefault="00754475" w:rsidP="00754475">
      <w:pPr>
        <w:rPr>
          <w:sz w:val="32"/>
          <w:szCs w:val="32"/>
          <w:lang w:val="en-US"/>
        </w:rPr>
      </w:pPr>
      <w:r w:rsidRPr="002024B1">
        <w:rPr>
          <w:sz w:val="32"/>
          <w:szCs w:val="32"/>
          <w:lang w:val="en-US"/>
        </w:rPr>
        <w:t>Erasmus School of Economics</w:t>
      </w:r>
    </w:p>
    <w:p w:rsidR="00754475" w:rsidRPr="002024B1" w:rsidRDefault="00754475">
      <w:pPr>
        <w:rPr>
          <w:sz w:val="32"/>
          <w:szCs w:val="32"/>
          <w:lang w:val="en-US"/>
        </w:rPr>
      </w:pPr>
      <w:proofErr w:type="spellStart"/>
      <w:r w:rsidRPr="002024B1">
        <w:rPr>
          <w:sz w:val="32"/>
          <w:szCs w:val="32"/>
          <w:lang w:val="en-US"/>
        </w:rPr>
        <w:t>Sectie</w:t>
      </w:r>
      <w:proofErr w:type="spellEnd"/>
      <w:r w:rsidRPr="002024B1">
        <w:rPr>
          <w:sz w:val="32"/>
          <w:szCs w:val="32"/>
          <w:lang w:val="en-US"/>
        </w:rPr>
        <w:t xml:space="preserve"> Accounting, Auditing &amp; Control</w:t>
      </w:r>
    </w:p>
    <w:p w:rsidR="00533CD7" w:rsidRPr="00533CD7" w:rsidRDefault="00533CD7">
      <w:pPr>
        <w:rPr>
          <w:sz w:val="32"/>
          <w:szCs w:val="32"/>
          <w:lang w:val="en-US"/>
        </w:rPr>
      </w:pPr>
    </w:p>
    <w:p w:rsidR="00754475" w:rsidRDefault="00754475" w:rsidP="00754475">
      <w:pPr>
        <w:pStyle w:val="Heading2"/>
        <w:jc w:val="center"/>
        <w:rPr>
          <w:color w:val="auto"/>
          <w:sz w:val="28"/>
          <w:szCs w:val="28"/>
        </w:rPr>
      </w:pPr>
      <w:r w:rsidRPr="002024B1">
        <w:rPr>
          <w:color w:val="auto"/>
          <w:sz w:val="28"/>
          <w:szCs w:val="28"/>
        </w:rPr>
        <w:t>Bachelorthesis</w:t>
      </w:r>
    </w:p>
    <w:p w:rsidR="002024B1" w:rsidRDefault="002024B1" w:rsidP="002024B1"/>
    <w:p w:rsidR="002024B1" w:rsidRPr="002024B1" w:rsidRDefault="002024B1" w:rsidP="002024B1"/>
    <w:p w:rsidR="00754475" w:rsidRPr="002024B1" w:rsidRDefault="00754475" w:rsidP="00533CD7">
      <w:pPr>
        <w:pStyle w:val="Heading1"/>
        <w:jc w:val="center"/>
        <w:rPr>
          <w:color w:val="auto"/>
          <w:sz w:val="48"/>
          <w:szCs w:val="48"/>
        </w:rPr>
      </w:pPr>
      <w:r w:rsidRPr="002024B1">
        <w:rPr>
          <w:color w:val="auto"/>
          <w:sz w:val="48"/>
          <w:szCs w:val="48"/>
        </w:rPr>
        <w:t>Inzicht in de financiële positie van woningcorporaties met verschillende vastgoedwaarderingsgrondslagen</w:t>
      </w:r>
    </w:p>
    <w:p w:rsidR="00533CD7" w:rsidRDefault="00533CD7" w:rsidP="00533CD7"/>
    <w:p w:rsidR="00533CD7" w:rsidRDefault="00533CD7" w:rsidP="00533CD7"/>
    <w:p w:rsidR="002024B1" w:rsidRDefault="002024B1" w:rsidP="00533CD7"/>
    <w:p w:rsidR="002024B1" w:rsidRDefault="002024B1" w:rsidP="00533CD7"/>
    <w:p w:rsidR="002024B1" w:rsidRDefault="002024B1" w:rsidP="00533CD7"/>
    <w:p w:rsidR="002024B1" w:rsidRPr="00533CD7" w:rsidRDefault="002024B1" w:rsidP="00533CD7"/>
    <w:p w:rsidR="00754475" w:rsidRDefault="00754475" w:rsidP="00754475"/>
    <w:p w:rsidR="00754475" w:rsidRDefault="00754475" w:rsidP="00754475"/>
    <w:p w:rsidR="00754475" w:rsidRPr="002024B1" w:rsidRDefault="00754475" w:rsidP="00754475">
      <w:pPr>
        <w:rPr>
          <w:sz w:val="32"/>
          <w:szCs w:val="32"/>
        </w:rPr>
      </w:pPr>
      <w:r w:rsidRPr="002024B1">
        <w:rPr>
          <w:sz w:val="32"/>
          <w:szCs w:val="32"/>
        </w:rPr>
        <w:t xml:space="preserve">Naam: </w:t>
      </w:r>
      <w:r w:rsidRPr="002024B1">
        <w:rPr>
          <w:sz w:val="32"/>
          <w:szCs w:val="32"/>
        </w:rPr>
        <w:tab/>
      </w:r>
      <w:r w:rsidRPr="002024B1">
        <w:rPr>
          <w:sz w:val="32"/>
          <w:szCs w:val="32"/>
        </w:rPr>
        <w:tab/>
      </w:r>
      <w:r w:rsidRPr="002024B1">
        <w:rPr>
          <w:sz w:val="32"/>
          <w:szCs w:val="32"/>
        </w:rPr>
        <w:tab/>
        <w:t>Maarten Verweij</w:t>
      </w:r>
    </w:p>
    <w:p w:rsidR="00754475" w:rsidRPr="002024B1" w:rsidRDefault="00754475" w:rsidP="00754475">
      <w:pPr>
        <w:rPr>
          <w:sz w:val="32"/>
          <w:szCs w:val="32"/>
        </w:rPr>
      </w:pPr>
      <w:proofErr w:type="spellStart"/>
      <w:r w:rsidRPr="002024B1">
        <w:rPr>
          <w:sz w:val="32"/>
          <w:szCs w:val="32"/>
        </w:rPr>
        <w:t>Studentnr</w:t>
      </w:r>
      <w:proofErr w:type="spellEnd"/>
      <w:proofErr w:type="gramStart"/>
      <w:r w:rsidRPr="002024B1">
        <w:rPr>
          <w:sz w:val="32"/>
          <w:szCs w:val="32"/>
        </w:rPr>
        <w:t>:</w:t>
      </w:r>
      <w:r w:rsidRPr="002024B1">
        <w:rPr>
          <w:sz w:val="32"/>
          <w:szCs w:val="32"/>
        </w:rPr>
        <w:tab/>
      </w:r>
      <w:r w:rsidRPr="002024B1">
        <w:rPr>
          <w:sz w:val="32"/>
          <w:szCs w:val="32"/>
        </w:rPr>
        <w:tab/>
      </w:r>
      <w:r w:rsidRPr="002024B1">
        <w:rPr>
          <w:sz w:val="32"/>
          <w:szCs w:val="32"/>
        </w:rPr>
        <w:tab/>
      </w:r>
      <w:proofErr w:type="gramEnd"/>
      <w:r w:rsidRPr="002024B1">
        <w:rPr>
          <w:sz w:val="32"/>
          <w:szCs w:val="32"/>
        </w:rPr>
        <w:t>331881</w:t>
      </w:r>
    </w:p>
    <w:p w:rsidR="00754475" w:rsidRPr="002024B1" w:rsidRDefault="00754475" w:rsidP="00754475">
      <w:pPr>
        <w:rPr>
          <w:sz w:val="32"/>
          <w:szCs w:val="32"/>
        </w:rPr>
      </w:pPr>
      <w:r w:rsidRPr="002024B1">
        <w:rPr>
          <w:sz w:val="32"/>
          <w:szCs w:val="32"/>
        </w:rPr>
        <w:t xml:space="preserve">Scriptiebegeleider: </w:t>
      </w:r>
      <w:r w:rsidRPr="002024B1">
        <w:rPr>
          <w:sz w:val="32"/>
          <w:szCs w:val="32"/>
        </w:rPr>
        <w:tab/>
        <w:t xml:space="preserve">Drs. R.D. Achaibersing </w:t>
      </w:r>
    </w:p>
    <w:p w:rsidR="00754475" w:rsidRPr="002024B1" w:rsidRDefault="00754475" w:rsidP="00754475">
      <w:pPr>
        <w:rPr>
          <w:sz w:val="32"/>
          <w:szCs w:val="32"/>
        </w:rPr>
      </w:pPr>
      <w:r w:rsidRPr="002024B1">
        <w:rPr>
          <w:sz w:val="32"/>
          <w:szCs w:val="32"/>
        </w:rPr>
        <w:t>Datum</w:t>
      </w:r>
      <w:proofErr w:type="gramStart"/>
      <w:r w:rsidRPr="002024B1">
        <w:rPr>
          <w:sz w:val="32"/>
          <w:szCs w:val="32"/>
        </w:rPr>
        <w:t>:</w:t>
      </w:r>
      <w:r w:rsidRPr="002024B1">
        <w:rPr>
          <w:sz w:val="32"/>
          <w:szCs w:val="32"/>
        </w:rPr>
        <w:tab/>
      </w:r>
      <w:r w:rsidRPr="002024B1">
        <w:rPr>
          <w:sz w:val="32"/>
          <w:szCs w:val="32"/>
        </w:rPr>
        <w:tab/>
      </w:r>
      <w:r w:rsidRPr="002024B1">
        <w:rPr>
          <w:sz w:val="32"/>
          <w:szCs w:val="32"/>
        </w:rPr>
        <w:tab/>
      </w:r>
      <w:proofErr w:type="gramEnd"/>
      <w:r w:rsidRPr="002024B1">
        <w:rPr>
          <w:sz w:val="32"/>
          <w:szCs w:val="32"/>
        </w:rPr>
        <w:t>8 juli 2013</w:t>
      </w:r>
    </w:p>
    <w:p w:rsidR="00533CD7" w:rsidRPr="002024B1" w:rsidRDefault="00754475" w:rsidP="00533CD7">
      <w:pPr>
        <w:rPr>
          <w:sz w:val="32"/>
          <w:szCs w:val="32"/>
        </w:rPr>
      </w:pPr>
      <w:r w:rsidRPr="002024B1">
        <w:rPr>
          <w:sz w:val="32"/>
          <w:szCs w:val="32"/>
        </w:rPr>
        <w:t>Plaats</w:t>
      </w:r>
      <w:proofErr w:type="gramStart"/>
      <w:r w:rsidRPr="002024B1">
        <w:rPr>
          <w:sz w:val="32"/>
          <w:szCs w:val="32"/>
        </w:rPr>
        <w:t>:</w:t>
      </w:r>
      <w:r w:rsidRPr="002024B1">
        <w:rPr>
          <w:sz w:val="32"/>
          <w:szCs w:val="32"/>
        </w:rPr>
        <w:tab/>
      </w:r>
      <w:r w:rsidRPr="002024B1">
        <w:rPr>
          <w:sz w:val="32"/>
          <w:szCs w:val="32"/>
        </w:rPr>
        <w:tab/>
      </w:r>
      <w:r w:rsidRPr="002024B1">
        <w:rPr>
          <w:sz w:val="32"/>
          <w:szCs w:val="32"/>
        </w:rPr>
        <w:tab/>
        <w:t>Rotterdam</w:t>
      </w:r>
      <w:proofErr w:type="gramEnd"/>
    </w:p>
    <w:p w:rsidR="00754475" w:rsidRPr="002024B1" w:rsidRDefault="00754475" w:rsidP="00533CD7">
      <w:pPr>
        <w:pStyle w:val="Heading2"/>
        <w:rPr>
          <w:color w:val="auto"/>
          <w:sz w:val="28"/>
          <w:szCs w:val="28"/>
        </w:rPr>
      </w:pPr>
      <w:r w:rsidRPr="002024B1">
        <w:rPr>
          <w:color w:val="auto"/>
        </w:rPr>
        <w:lastRenderedPageBreak/>
        <w:t>Samenvatting</w:t>
      </w:r>
    </w:p>
    <w:p w:rsidR="00754475" w:rsidRDefault="00E7288A" w:rsidP="00775B27">
      <w:pPr>
        <w:jc w:val="both"/>
      </w:pPr>
      <w:r>
        <w:t>Waardering van vastgoed kan plaatsvinden volgens het kostprijsmodel of het actuele waarde model. Het actuele waarde model leidt tot enerzijds de bedrijfswaarde en anderzijds</w:t>
      </w:r>
      <w:r w:rsidR="002721D7">
        <w:t xml:space="preserve"> tot</w:t>
      </w:r>
      <w:r>
        <w:t xml:space="preserve"> de reële waarde of marktwaarde</w:t>
      </w:r>
      <w:r w:rsidR="002721D7">
        <w:t xml:space="preserve"> van het goed</w:t>
      </w:r>
      <w:r>
        <w:t xml:space="preserve">. Naast deze methode hanteert het CFV de </w:t>
      </w:r>
      <w:proofErr w:type="spellStart"/>
      <w:r>
        <w:t>volkshuisvestelijke</w:t>
      </w:r>
      <w:proofErr w:type="spellEnd"/>
      <w:r>
        <w:t xml:space="preserve"> </w:t>
      </w:r>
      <w:proofErr w:type="spellStart"/>
      <w:r>
        <w:t>exploitatie</w:t>
      </w:r>
      <w:r w:rsidR="00533CD7">
        <w:t>-</w:t>
      </w:r>
      <w:r>
        <w:t>waarde</w:t>
      </w:r>
      <w:proofErr w:type="spellEnd"/>
      <w:r>
        <w:t xml:space="preserve">. Dit is de bedrijfswaarde met een aantal </w:t>
      </w:r>
      <w:r w:rsidR="002721D7">
        <w:t>aanpassingen van parameters</w:t>
      </w:r>
      <w:r>
        <w:t xml:space="preserve"> om de </w:t>
      </w:r>
      <w:proofErr w:type="spellStart"/>
      <w:r>
        <w:t>vergelijkbaar</w:t>
      </w:r>
      <w:r w:rsidR="00533CD7">
        <w:t>-</w:t>
      </w:r>
      <w:r>
        <w:t>heid</w:t>
      </w:r>
      <w:proofErr w:type="spellEnd"/>
      <w:r>
        <w:t xml:space="preserve"> van woningcorporaties te doen toenemen.</w:t>
      </w:r>
    </w:p>
    <w:p w:rsidR="00E7288A" w:rsidRDefault="00E7288A" w:rsidP="00775B27">
      <w:pPr>
        <w:jc w:val="both"/>
      </w:pPr>
      <w:r>
        <w:t xml:space="preserve">De financiële positie van woningcorporaties wordt bepaald aan de hand van de kengetallen: liquiditeit, </w:t>
      </w:r>
      <w:proofErr w:type="gramStart"/>
      <w:r>
        <w:t>solvabiliteit</w:t>
      </w:r>
      <w:proofErr w:type="gramEnd"/>
      <w:r>
        <w:t xml:space="preserve">, rentabiliteit, </w:t>
      </w:r>
      <w:proofErr w:type="spellStart"/>
      <w:r>
        <w:t>rentedekkingsgraad</w:t>
      </w:r>
      <w:proofErr w:type="spellEnd"/>
      <w:r>
        <w:t xml:space="preserve"> en continuïteit. De </w:t>
      </w:r>
      <w:proofErr w:type="gramStart"/>
      <w:r>
        <w:t>solvabiliteit</w:t>
      </w:r>
      <w:proofErr w:type="gramEnd"/>
      <w:r>
        <w:t xml:space="preserve"> en </w:t>
      </w:r>
      <w:proofErr w:type="spellStart"/>
      <w:r>
        <w:t>rentedekkingsgraad</w:t>
      </w:r>
      <w:proofErr w:type="spellEnd"/>
      <w:r>
        <w:t xml:space="preserve"> zijn de belangrijkste kengetallen voor financiers en toezichthouders van woningcorporaties.</w:t>
      </w:r>
    </w:p>
    <w:p w:rsidR="00E7288A" w:rsidRDefault="00E7288A" w:rsidP="00775B27">
      <w:pPr>
        <w:jc w:val="both"/>
      </w:pPr>
      <w:r>
        <w:t>De R</w:t>
      </w:r>
      <w:r w:rsidR="002721D7">
        <w:t xml:space="preserve">aad voor de Jaarverslaggeving geeft Richtlijnen voor de Jaarverslaggeving voor </w:t>
      </w:r>
      <w:proofErr w:type="spellStart"/>
      <w:r w:rsidR="002721D7">
        <w:t>woningcorpora</w:t>
      </w:r>
      <w:r w:rsidR="00733B71">
        <w:t>-</w:t>
      </w:r>
      <w:r w:rsidR="002721D7">
        <w:t>ties</w:t>
      </w:r>
      <w:proofErr w:type="spellEnd"/>
      <w:r w:rsidR="002721D7">
        <w:t xml:space="preserve"> in R</w:t>
      </w:r>
      <w:r>
        <w:t>J 645</w:t>
      </w:r>
      <w:r w:rsidR="002721D7">
        <w:t>. Deze is in 2011 herzien en</w:t>
      </w:r>
      <w:r>
        <w:t xml:space="preserve"> verplicht voor de boekjaren vanaf 2012. De belangrijkste wijziging in de herziene Richtlijn is dat vastgoed gekwalificeerd dient te worden naar </w:t>
      </w:r>
      <w:r w:rsidR="002721D7">
        <w:t xml:space="preserve">sociaal vastgoed als bedrijfsmiddel, sociaal vastgoed als belegging of commercieel vastgoed. </w:t>
      </w:r>
      <w:r w:rsidR="00A56AF3">
        <w:t xml:space="preserve">Sociaal vastgoed is het vastgoed dat valt onder de huurgrens van de huursubsidie, wanneer een woning niet in aanmerking komt voor huursubsidie is het commercieel vastgoed. </w:t>
      </w:r>
      <w:r>
        <w:t xml:space="preserve">Naar aanleiding hiervan kan bepaald worden of </w:t>
      </w:r>
      <w:proofErr w:type="gramStart"/>
      <w:r>
        <w:t>staatssteun</w:t>
      </w:r>
      <w:proofErr w:type="gramEnd"/>
      <w:r>
        <w:t xml:space="preserve"> is toegestaan voor woningcorporaties. De Europese Commissie ziet er op toe dat alleen </w:t>
      </w:r>
      <w:r w:rsidR="002721D7">
        <w:t>activiteiten die in verband staan met sociaal vastgoed als bedrijfsmiddel</w:t>
      </w:r>
      <w:r>
        <w:t xml:space="preserve"> </w:t>
      </w:r>
      <w:proofErr w:type="gramStart"/>
      <w:r>
        <w:t>staatssteun</w:t>
      </w:r>
      <w:proofErr w:type="gramEnd"/>
      <w:r>
        <w:t xml:space="preserve"> krijgen. </w:t>
      </w:r>
      <w:proofErr w:type="spellStart"/>
      <w:r w:rsidR="002721D7">
        <w:t>Activi</w:t>
      </w:r>
      <w:r w:rsidR="00733B71">
        <w:t>-</w:t>
      </w:r>
      <w:r w:rsidR="002721D7">
        <w:t>teiten</w:t>
      </w:r>
      <w:proofErr w:type="spellEnd"/>
      <w:r w:rsidR="002721D7">
        <w:t xml:space="preserve"> die samenhangen met sociaal vastgoed als bedrijfsmiddel worden Diensten van Algemeen </w:t>
      </w:r>
      <w:proofErr w:type="spellStart"/>
      <w:r w:rsidR="002721D7">
        <w:t>Eco</w:t>
      </w:r>
      <w:r w:rsidR="00733B71">
        <w:t>-</w:t>
      </w:r>
      <w:r w:rsidR="002721D7">
        <w:t>nomisch</w:t>
      </w:r>
      <w:proofErr w:type="spellEnd"/>
      <w:r w:rsidR="002721D7">
        <w:t xml:space="preserve"> Belang (DAEB) genoemd. </w:t>
      </w:r>
      <w:r>
        <w:t xml:space="preserve">Dit vastgoed dient gewaardeerd te worden volgens het </w:t>
      </w:r>
      <w:proofErr w:type="spellStart"/>
      <w:r>
        <w:t>kostprijs</w:t>
      </w:r>
      <w:r w:rsidR="00733B71">
        <w:t>-</w:t>
      </w:r>
      <w:r>
        <w:t>model</w:t>
      </w:r>
      <w:proofErr w:type="spellEnd"/>
      <w:r>
        <w:t xml:space="preserve"> of </w:t>
      </w:r>
      <w:r w:rsidR="0037711E">
        <w:t xml:space="preserve">tegen bedrijfswaarde. </w:t>
      </w:r>
      <w:proofErr w:type="spellStart"/>
      <w:r w:rsidR="0037711E">
        <w:t>Niet-DAEB-</w:t>
      </w:r>
      <w:r>
        <w:t>activiteiten</w:t>
      </w:r>
      <w:proofErr w:type="spellEnd"/>
      <w:r>
        <w:t xml:space="preserve"> </w:t>
      </w:r>
      <w:r w:rsidR="0037711E">
        <w:t>behoren tot</w:t>
      </w:r>
      <w:r>
        <w:t xml:space="preserve"> sociaal vastgoed dat </w:t>
      </w:r>
      <w:proofErr w:type="spellStart"/>
      <w:r>
        <w:t>gekwalifi</w:t>
      </w:r>
      <w:r w:rsidR="00733B71">
        <w:t>-</w:t>
      </w:r>
      <w:r>
        <w:t>ceerd</w:t>
      </w:r>
      <w:proofErr w:type="spellEnd"/>
      <w:r>
        <w:t xml:space="preserve"> wordt als belegging en het commercieel vastgoed. Dit vastgoed dient gewaardee</w:t>
      </w:r>
      <w:r w:rsidR="00A56AF3">
        <w:t>rd te worden tegen reële waarde, de</w:t>
      </w:r>
      <w:r>
        <w:t xml:space="preserve"> marktwaarde.</w:t>
      </w:r>
    </w:p>
    <w:p w:rsidR="00E7288A" w:rsidRDefault="004965C8" w:rsidP="00775B27">
      <w:pPr>
        <w:jc w:val="both"/>
      </w:pPr>
      <w:r>
        <w:t xml:space="preserve">Waardering volgens het kostprijsmodel en tegen bedrijfswaarde levert een lagere balanswaarde op </w:t>
      </w:r>
      <w:r w:rsidR="000B7E0C">
        <w:t>door</w:t>
      </w:r>
      <w:r w:rsidR="00C16B0C">
        <w:t xml:space="preserve">dat in de berekening van de balanswaarden een kleinere resterende levensduur wordt </w:t>
      </w:r>
      <w:proofErr w:type="spellStart"/>
      <w:r w:rsidR="00C16B0C">
        <w:t>veron</w:t>
      </w:r>
      <w:r w:rsidR="00733B71">
        <w:t>-</w:t>
      </w:r>
      <w:r w:rsidR="00C16B0C">
        <w:t>derstelt</w:t>
      </w:r>
      <w:proofErr w:type="spellEnd"/>
      <w:r w:rsidR="00C16B0C">
        <w:t xml:space="preserve"> dan zou moeten</w:t>
      </w:r>
      <w:r>
        <w:t xml:space="preserve">. De bedrijfswaarde en reële waarde </w:t>
      </w:r>
      <w:proofErr w:type="gramStart"/>
      <w:r>
        <w:t>is</w:t>
      </w:r>
      <w:proofErr w:type="gramEnd"/>
      <w:r>
        <w:t xml:space="preserve"> daarnaast subjec</w:t>
      </w:r>
      <w:r w:rsidR="00C16B0C">
        <w:t>tief door</w:t>
      </w:r>
      <w:r>
        <w:t xml:space="preserve">dat </w:t>
      </w:r>
      <w:proofErr w:type="spellStart"/>
      <w:r>
        <w:t>indirec</w:t>
      </w:r>
      <w:r w:rsidR="00733B71">
        <w:t>-</w:t>
      </w:r>
      <w:r>
        <w:t>te</w:t>
      </w:r>
      <w:proofErr w:type="spellEnd"/>
      <w:r>
        <w:t xml:space="preserve"> kosten worden toegerekend aan woningen of complexen. De berekeningen van de bedrijfswaarde en reële waarde bestaan uit schattingen </w:t>
      </w:r>
      <w:r w:rsidR="00C16B0C">
        <w:t>in</w:t>
      </w:r>
      <w:r>
        <w:t xml:space="preserve"> de toekomst, </w:t>
      </w:r>
      <w:r w:rsidR="00C16B0C">
        <w:t>wat niet</w:t>
      </w:r>
      <w:r>
        <w:t xml:space="preserve"> </w:t>
      </w:r>
      <w:r w:rsidR="00C16B0C">
        <w:t>bij</w:t>
      </w:r>
      <w:r>
        <w:t xml:space="preserve">draagt aan een objectieve </w:t>
      </w:r>
      <w:proofErr w:type="spellStart"/>
      <w:r>
        <w:t>waar</w:t>
      </w:r>
      <w:r w:rsidR="00733B71">
        <w:t>-</w:t>
      </w:r>
      <w:r>
        <w:t>debepaling</w:t>
      </w:r>
      <w:proofErr w:type="spellEnd"/>
      <w:r>
        <w:t>.</w:t>
      </w:r>
    </w:p>
    <w:p w:rsidR="004965C8" w:rsidRDefault="004965C8" w:rsidP="00775B27">
      <w:pPr>
        <w:jc w:val="both"/>
      </w:pPr>
      <w:r>
        <w:t xml:space="preserve">De </w:t>
      </w:r>
      <w:proofErr w:type="gramStart"/>
      <w:r>
        <w:t>solvabiliteit</w:t>
      </w:r>
      <w:proofErr w:type="gramEnd"/>
      <w:r>
        <w:t xml:space="preserve"> staat onder grote invloed van de waarderingsmethode. De ontwikkeling van de </w:t>
      </w:r>
      <w:proofErr w:type="spellStart"/>
      <w:r>
        <w:t>solva</w:t>
      </w:r>
      <w:r w:rsidR="00733B71">
        <w:t>-</w:t>
      </w:r>
      <w:r>
        <w:t>biliteit</w:t>
      </w:r>
      <w:proofErr w:type="spellEnd"/>
      <w:r>
        <w:t xml:space="preserve"> zegt dan ook meer over de financiële positie. Om de ontwikkeling van de </w:t>
      </w:r>
      <w:proofErr w:type="gramStart"/>
      <w:r>
        <w:t>solvabiliteit</w:t>
      </w:r>
      <w:proofErr w:type="gramEnd"/>
      <w:r>
        <w:t xml:space="preserve"> goed te kunnen beoordelen moeten marktontwikkelingen tot uiting komen in de solv</w:t>
      </w:r>
      <w:r w:rsidR="00C16B0C">
        <w:t>abiliteit. Dit gebeurt het best</w:t>
      </w:r>
      <w:r>
        <w:t xml:space="preserve"> bij waardering tegen reële waarde. </w:t>
      </w:r>
    </w:p>
    <w:p w:rsidR="004965C8" w:rsidRDefault="004965C8" w:rsidP="00775B27">
      <w:pPr>
        <w:jc w:val="both"/>
      </w:pPr>
      <w:r>
        <w:t xml:space="preserve">De conclusie van het onderzoek </w:t>
      </w:r>
      <w:proofErr w:type="gramStart"/>
      <w:r>
        <w:t>is</w:t>
      </w:r>
      <w:proofErr w:type="gramEnd"/>
      <w:r>
        <w:t xml:space="preserve"> dat de invloed van de waarderingsmethoden zich beperkt tot de solvabiliteit. Samen met de </w:t>
      </w:r>
      <w:proofErr w:type="spellStart"/>
      <w:r>
        <w:t>rentedekkingsgraad</w:t>
      </w:r>
      <w:proofErr w:type="spellEnd"/>
      <w:r>
        <w:t xml:space="preserve"> is </w:t>
      </w:r>
      <w:proofErr w:type="gramStart"/>
      <w:r>
        <w:t>solvabiliteit</w:t>
      </w:r>
      <w:proofErr w:type="gramEnd"/>
      <w:r>
        <w:t xml:space="preserve"> het belangrijkste kengetal voor </w:t>
      </w:r>
      <w:r w:rsidR="00C16B0C">
        <w:t>het bepalen</w:t>
      </w:r>
      <w:r>
        <w:t xml:space="preserve"> van de financiële positie</w:t>
      </w:r>
      <w:r w:rsidR="00C16B0C">
        <w:t xml:space="preserve"> van woningcorporaties</w:t>
      </w:r>
      <w:r>
        <w:t>. Om een g</w:t>
      </w:r>
      <w:r w:rsidR="00C16B0C">
        <w:t>oed inzicht te verschaffen in die</w:t>
      </w:r>
      <w:r>
        <w:t xml:space="preserve"> financië</w:t>
      </w:r>
      <w:r w:rsidR="00C16B0C">
        <w:t>le positie</w:t>
      </w:r>
      <w:r>
        <w:t xml:space="preserve"> zou de reële waarde als waarderingsgrondslag van vastgoed gehanteerd moeten worden. </w:t>
      </w:r>
    </w:p>
    <w:p w:rsidR="006C5B92" w:rsidRDefault="006C5B92" w:rsidP="00FC01B5">
      <w:pPr>
        <w:jc w:val="both"/>
      </w:pPr>
      <w:proofErr w:type="gramStart"/>
      <w:r>
        <w:t xml:space="preserve">Sleutelwoorden: Woningcorporaties; Waarderingsmethoden; Financiële positie; Bedrijfswaarde; Reële waarde/marktwaarde; RJ 645. </w:t>
      </w:r>
      <w:proofErr w:type="gramEnd"/>
    </w:p>
    <w:p w:rsidR="004965C8" w:rsidRPr="002024B1" w:rsidRDefault="00F961C2" w:rsidP="00F961C2">
      <w:pPr>
        <w:pStyle w:val="Heading2"/>
        <w:rPr>
          <w:color w:val="auto"/>
        </w:rPr>
      </w:pPr>
      <w:r w:rsidRPr="002024B1">
        <w:rPr>
          <w:color w:val="auto"/>
        </w:rPr>
        <w:lastRenderedPageBreak/>
        <w:t>Inhoudsopgave</w:t>
      </w:r>
    </w:p>
    <w:p w:rsidR="00F961C2" w:rsidRDefault="00F961C2" w:rsidP="00F961C2"/>
    <w:p w:rsidR="00F961C2" w:rsidRDefault="00F961C2" w:rsidP="00F961C2">
      <w:pPr>
        <w:rPr>
          <w:b/>
        </w:rPr>
      </w:pPr>
      <w:r>
        <w:rPr>
          <w:b/>
        </w:rPr>
        <w:t>Samenvatting</w:t>
      </w:r>
      <w:r>
        <w:rPr>
          <w:b/>
        </w:rPr>
        <w:tab/>
      </w:r>
      <w:r>
        <w:rPr>
          <w:b/>
        </w:rPr>
        <w:tab/>
      </w:r>
      <w:r>
        <w:rPr>
          <w:b/>
        </w:rPr>
        <w:tab/>
      </w:r>
      <w:r>
        <w:rPr>
          <w:b/>
        </w:rPr>
        <w:tab/>
      </w:r>
      <w:r>
        <w:rPr>
          <w:b/>
        </w:rPr>
        <w:tab/>
      </w:r>
      <w:r>
        <w:rPr>
          <w:b/>
        </w:rPr>
        <w:tab/>
      </w:r>
      <w:r>
        <w:rPr>
          <w:b/>
        </w:rPr>
        <w:tab/>
      </w:r>
      <w:r>
        <w:rPr>
          <w:b/>
        </w:rPr>
        <w:tab/>
      </w:r>
      <w:r>
        <w:rPr>
          <w:b/>
        </w:rPr>
        <w:tab/>
      </w:r>
      <w:r>
        <w:rPr>
          <w:b/>
        </w:rPr>
        <w:tab/>
        <w:t>2</w:t>
      </w:r>
    </w:p>
    <w:p w:rsidR="005E0DB9" w:rsidRPr="005E0DB9" w:rsidRDefault="00F961C2" w:rsidP="005E0DB9">
      <w:pPr>
        <w:pStyle w:val="NoSpacing"/>
        <w:rPr>
          <w:b/>
        </w:rPr>
      </w:pPr>
      <w:r w:rsidRPr="005E0DB9">
        <w:rPr>
          <w:b/>
        </w:rPr>
        <w:t>Inleiding</w:t>
      </w:r>
      <w:r w:rsidRPr="005E0DB9">
        <w:rPr>
          <w:b/>
        </w:rPr>
        <w:tab/>
      </w:r>
      <w:r w:rsidRPr="005E0DB9">
        <w:rPr>
          <w:b/>
        </w:rPr>
        <w:tab/>
      </w:r>
      <w:r w:rsidRPr="005E0DB9">
        <w:rPr>
          <w:b/>
        </w:rPr>
        <w:tab/>
      </w:r>
      <w:r w:rsidRPr="005E0DB9">
        <w:rPr>
          <w:b/>
        </w:rPr>
        <w:tab/>
      </w:r>
      <w:r w:rsidRPr="005E0DB9">
        <w:rPr>
          <w:b/>
        </w:rPr>
        <w:tab/>
      </w:r>
      <w:r w:rsidRPr="005E0DB9">
        <w:rPr>
          <w:b/>
        </w:rPr>
        <w:tab/>
      </w:r>
      <w:r w:rsidRPr="005E0DB9">
        <w:rPr>
          <w:b/>
        </w:rPr>
        <w:tab/>
      </w:r>
      <w:r w:rsidRPr="005E0DB9">
        <w:rPr>
          <w:b/>
        </w:rPr>
        <w:tab/>
      </w:r>
      <w:r w:rsidRPr="005E0DB9">
        <w:rPr>
          <w:b/>
        </w:rPr>
        <w:tab/>
      </w:r>
      <w:r w:rsidRPr="005E0DB9">
        <w:rPr>
          <w:b/>
        </w:rPr>
        <w:tab/>
      </w:r>
      <w:r w:rsidR="00467662" w:rsidRPr="005E0DB9">
        <w:rPr>
          <w:b/>
        </w:rPr>
        <w:t>5</w:t>
      </w:r>
    </w:p>
    <w:p w:rsidR="005E0DB9" w:rsidRDefault="005E0DB9" w:rsidP="005E0DB9">
      <w:pPr>
        <w:pStyle w:val="NoSpacing"/>
      </w:pPr>
      <w:r>
        <w:t>Lijst van gebruikte afkortingen</w:t>
      </w:r>
      <w:r>
        <w:tab/>
      </w:r>
      <w:r>
        <w:tab/>
      </w:r>
      <w:r>
        <w:tab/>
      </w:r>
      <w:r>
        <w:tab/>
      </w:r>
      <w:r>
        <w:tab/>
      </w:r>
      <w:r>
        <w:tab/>
      </w:r>
      <w:r>
        <w:tab/>
      </w:r>
      <w:r>
        <w:tab/>
        <w:t>6</w:t>
      </w:r>
    </w:p>
    <w:p w:rsidR="005E0DB9" w:rsidRDefault="005E0DB9" w:rsidP="005E0DB9">
      <w:pPr>
        <w:pStyle w:val="NoSpacing"/>
      </w:pPr>
    </w:p>
    <w:p w:rsidR="00F961C2" w:rsidRDefault="00F961C2" w:rsidP="00F961C2">
      <w:pPr>
        <w:pStyle w:val="NoSpacing"/>
        <w:rPr>
          <w:b/>
        </w:rPr>
      </w:pPr>
      <w:r w:rsidRPr="00F961C2">
        <w:rPr>
          <w:b/>
        </w:rPr>
        <w:t>Hoofdstuk</w:t>
      </w:r>
      <w:r w:rsidR="005E0DB9">
        <w:rPr>
          <w:b/>
        </w:rPr>
        <w:t xml:space="preserve"> </w:t>
      </w:r>
      <w:r w:rsidRPr="00F961C2">
        <w:rPr>
          <w:b/>
        </w:rPr>
        <w:t>1: Waarderingsmethoden van vastgoed</w:t>
      </w:r>
      <w:r w:rsidRPr="00F961C2">
        <w:rPr>
          <w:b/>
        </w:rPr>
        <w:tab/>
      </w:r>
      <w:r w:rsidRPr="00F961C2">
        <w:rPr>
          <w:b/>
        </w:rPr>
        <w:tab/>
      </w:r>
      <w:r w:rsidRPr="00F961C2">
        <w:rPr>
          <w:b/>
        </w:rPr>
        <w:tab/>
      </w:r>
      <w:r w:rsidRPr="00F961C2">
        <w:rPr>
          <w:b/>
        </w:rPr>
        <w:tab/>
      </w:r>
      <w:r w:rsidRPr="00F961C2">
        <w:rPr>
          <w:b/>
        </w:rPr>
        <w:tab/>
      </w:r>
      <w:r w:rsidR="00467662">
        <w:rPr>
          <w:b/>
        </w:rPr>
        <w:t>7</w:t>
      </w:r>
    </w:p>
    <w:p w:rsidR="00F961C2" w:rsidRDefault="00F961C2" w:rsidP="00F961C2">
      <w:pPr>
        <w:pStyle w:val="NoSpacing"/>
      </w:pPr>
      <w:r>
        <w:t xml:space="preserve">1.1 </w:t>
      </w:r>
      <w:r w:rsidR="00467662">
        <w:t>Inleiding</w:t>
      </w:r>
      <w:r w:rsidR="00467662">
        <w:tab/>
      </w:r>
      <w:r w:rsidR="00467662">
        <w:tab/>
      </w:r>
      <w:r w:rsidR="00467662">
        <w:tab/>
      </w:r>
      <w:r w:rsidR="00467662">
        <w:tab/>
      </w:r>
      <w:r w:rsidR="00467662">
        <w:tab/>
      </w:r>
      <w:r w:rsidR="00467662">
        <w:tab/>
      </w:r>
      <w:r w:rsidR="00467662">
        <w:tab/>
      </w:r>
      <w:r w:rsidR="00467662">
        <w:tab/>
      </w:r>
      <w:r w:rsidR="00467662">
        <w:tab/>
      </w:r>
      <w:r w:rsidR="00467662">
        <w:tab/>
        <w:t>7</w:t>
      </w:r>
    </w:p>
    <w:p w:rsidR="00C90753" w:rsidRDefault="00467662" w:rsidP="00F961C2">
      <w:pPr>
        <w:pStyle w:val="NoSpacing"/>
      </w:pPr>
      <w:r>
        <w:t>1.2 Kostprijsmodel</w:t>
      </w:r>
      <w:r>
        <w:tab/>
      </w:r>
      <w:r>
        <w:tab/>
      </w:r>
      <w:r>
        <w:tab/>
      </w:r>
      <w:r>
        <w:tab/>
      </w:r>
      <w:r>
        <w:tab/>
      </w:r>
      <w:r>
        <w:tab/>
      </w:r>
      <w:r>
        <w:tab/>
      </w:r>
      <w:r>
        <w:tab/>
      </w:r>
      <w:r>
        <w:tab/>
        <w:t>7</w:t>
      </w:r>
    </w:p>
    <w:p w:rsidR="00C90753" w:rsidRDefault="00467662" w:rsidP="00F961C2">
      <w:pPr>
        <w:pStyle w:val="NoSpacing"/>
      </w:pPr>
      <w:r>
        <w:t>1.3 Bedrijfswaarde</w:t>
      </w:r>
      <w:r>
        <w:tab/>
      </w:r>
      <w:r>
        <w:tab/>
      </w:r>
      <w:r>
        <w:tab/>
      </w:r>
      <w:r>
        <w:tab/>
      </w:r>
      <w:r>
        <w:tab/>
      </w:r>
      <w:r>
        <w:tab/>
      </w:r>
      <w:r>
        <w:tab/>
      </w:r>
      <w:r>
        <w:tab/>
      </w:r>
      <w:r>
        <w:tab/>
        <w:t>8</w:t>
      </w:r>
    </w:p>
    <w:p w:rsidR="00C90753" w:rsidRDefault="00467662" w:rsidP="00F961C2">
      <w:pPr>
        <w:pStyle w:val="NoSpacing"/>
      </w:pPr>
      <w:r>
        <w:t>1.4 Actuele waarde</w:t>
      </w:r>
      <w:r>
        <w:tab/>
      </w:r>
      <w:r>
        <w:tab/>
      </w:r>
      <w:r>
        <w:tab/>
      </w:r>
      <w:r>
        <w:tab/>
      </w:r>
      <w:r>
        <w:tab/>
      </w:r>
      <w:r>
        <w:tab/>
      </w:r>
      <w:r>
        <w:tab/>
      </w:r>
      <w:r>
        <w:tab/>
      </w:r>
      <w:r>
        <w:tab/>
        <w:t>9</w:t>
      </w:r>
    </w:p>
    <w:p w:rsidR="00C90753" w:rsidRDefault="00C90753" w:rsidP="00F961C2">
      <w:pPr>
        <w:pStyle w:val="NoSpacing"/>
      </w:pPr>
      <w:r>
        <w:t xml:space="preserve">1.5 </w:t>
      </w:r>
      <w:proofErr w:type="spellStart"/>
      <w:r>
        <w:t>Volkshuisves</w:t>
      </w:r>
      <w:r w:rsidR="00467662">
        <w:t>telijke</w:t>
      </w:r>
      <w:proofErr w:type="spellEnd"/>
      <w:r w:rsidR="00467662">
        <w:t xml:space="preserve"> exploitatiewaarde</w:t>
      </w:r>
      <w:r w:rsidR="00467662">
        <w:tab/>
      </w:r>
      <w:r w:rsidR="00467662">
        <w:tab/>
      </w:r>
      <w:r w:rsidR="00467662">
        <w:tab/>
      </w:r>
      <w:r w:rsidR="00467662">
        <w:tab/>
      </w:r>
      <w:r w:rsidR="00467662">
        <w:tab/>
      </w:r>
      <w:r w:rsidR="00467662">
        <w:tab/>
        <w:t>9</w:t>
      </w:r>
    </w:p>
    <w:p w:rsidR="00C90753" w:rsidRDefault="00467662" w:rsidP="00F961C2">
      <w:pPr>
        <w:pStyle w:val="NoSpacing"/>
      </w:pPr>
      <w:r>
        <w:t>1.6 Conclusie</w:t>
      </w:r>
      <w:r>
        <w:tab/>
      </w:r>
      <w:r>
        <w:tab/>
      </w:r>
      <w:r>
        <w:tab/>
      </w:r>
      <w:r>
        <w:tab/>
      </w:r>
      <w:r>
        <w:tab/>
      </w:r>
      <w:r>
        <w:tab/>
      </w:r>
      <w:r>
        <w:tab/>
      </w:r>
      <w:r>
        <w:tab/>
      </w:r>
      <w:r>
        <w:tab/>
      </w:r>
      <w:r>
        <w:tab/>
        <w:t>11</w:t>
      </w:r>
    </w:p>
    <w:p w:rsidR="00C90753" w:rsidRDefault="00C90753" w:rsidP="00F961C2">
      <w:pPr>
        <w:pStyle w:val="NoSpacing"/>
      </w:pPr>
    </w:p>
    <w:p w:rsidR="00C90753" w:rsidRDefault="00C90753" w:rsidP="00F961C2">
      <w:pPr>
        <w:pStyle w:val="NoSpacing"/>
        <w:rPr>
          <w:b/>
        </w:rPr>
      </w:pPr>
      <w:r>
        <w:rPr>
          <w:b/>
        </w:rPr>
        <w:t>Hoofdstuk</w:t>
      </w:r>
      <w:r w:rsidR="00467662">
        <w:rPr>
          <w:b/>
        </w:rPr>
        <w:t xml:space="preserve"> 2: Financiële positie</w:t>
      </w:r>
      <w:r w:rsidR="00467662">
        <w:rPr>
          <w:b/>
        </w:rPr>
        <w:tab/>
      </w:r>
      <w:r w:rsidR="00467662">
        <w:rPr>
          <w:b/>
        </w:rPr>
        <w:tab/>
      </w:r>
      <w:r w:rsidR="00467662">
        <w:rPr>
          <w:b/>
        </w:rPr>
        <w:tab/>
      </w:r>
      <w:r w:rsidR="00467662">
        <w:rPr>
          <w:b/>
        </w:rPr>
        <w:tab/>
      </w:r>
      <w:r w:rsidR="00467662">
        <w:rPr>
          <w:b/>
        </w:rPr>
        <w:tab/>
      </w:r>
      <w:r w:rsidR="00467662">
        <w:rPr>
          <w:b/>
        </w:rPr>
        <w:tab/>
      </w:r>
      <w:r w:rsidR="00467662">
        <w:rPr>
          <w:b/>
        </w:rPr>
        <w:tab/>
      </w:r>
      <w:r w:rsidR="00467662">
        <w:rPr>
          <w:b/>
        </w:rPr>
        <w:tab/>
        <w:t>12</w:t>
      </w:r>
    </w:p>
    <w:p w:rsidR="00C90753" w:rsidRDefault="00467662" w:rsidP="00F961C2">
      <w:pPr>
        <w:pStyle w:val="NoSpacing"/>
      </w:pPr>
      <w:r>
        <w:t>2.1 Inleiding</w:t>
      </w:r>
      <w:r>
        <w:tab/>
      </w:r>
      <w:r>
        <w:tab/>
      </w:r>
      <w:r>
        <w:tab/>
      </w:r>
      <w:r>
        <w:tab/>
      </w:r>
      <w:r>
        <w:tab/>
      </w:r>
      <w:r>
        <w:tab/>
      </w:r>
      <w:r>
        <w:tab/>
      </w:r>
      <w:r>
        <w:tab/>
      </w:r>
      <w:r>
        <w:tab/>
      </w:r>
      <w:r>
        <w:tab/>
        <w:t>12</w:t>
      </w:r>
    </w:p>
    <w:p w:rsidR="00C90753" w:rsidRDefault="00467662" w:rsidP="00F961C2">
      <w:pPr>
        <w:pStyle w:val="NoSpacing"/>
      </w:pPr>
      <w:r>
        <w:t>2.2 Liquiditeit</w:t>
      </w:r>
      <w:r>
        <w:tab/>
      </w:r>
      <w:r>
        <w:tab/>
      </w:r>
      <w:r>
        <w:tab/>
      </w:r>
      <w:r>
        <w:tab/>
      </w:r>
      <w:r>
        <w:tab/>
      </w:r>
      <w:r>
        <w:tab/>
      </w:r>
      <w:r>
        <w:tab/>
      </w:r>
      <w:r>
        <w:tab/>
      </w:r>
      <w:r>
        <w:tab/>
      </w:r>
      <w:r>
        <w:tab/>
        <w:t>12</w:t>
      </w:r>
    </w:p>
    <w:p w:rsidR="00C90753" w:rsidRDefault="00467662" w:rsidP="00F961C2">
      <w:pPr>
        <w:pStyle w:val="NoSpacing"/>
      </w:pPr>
      <w:r>
        <w:t xml:space="preserve">2.3 </w:t>
      </w:r>
      <w:proofErr w:type="gramStart"/>
      <w:r>
        <w:t>Solvabiliteit</w:t>
      </w:r>
      <w:proofErr w:type="gramEnd"/>
      <w:r>
        <w:tab/>
      </w:r>
      <w:r>
        <w:tab/>
      </w:r>
      <w:r>
        <w:tab/>
      </w:r>
      <w:r>
        <w:tab/>
      </w:r>
      <w:r>
        <w:tab/>
      </w:r>
      <w:r>
        <w:tab/>
      </w:r>
      <w:r>
        <w:tab/>
      </w:r>
      <w:r>
        <w:tab/>
      </w:r>
      <w:r>
        <w:tab/>
      </w:r>
      <w:r>
        <w:tab/>
        <w:t>13</w:t>
      </w:r>
    </w:p>
    <w:p w:rsidR="00C90753" w:rsidRDefault="00467662" w:rsidP="00F961C2">
      <w:pPr>
        <w:pStyle w:val="NoSpacing"/>
      </w:pPr>
      <w:r>
        <w:t>2.4 Rentabiliteit</w:t>
      </w:r>
      <w:r>
        <w:tab/>
      </w:r>
      <w:r>
        <w:tab/>
      </w:r>
      <w:r>
        <w:tab/>
      </w:r>
      <w:r>
        <w:tab/>
      </w:r>
      <w:r>
        <w:tab/>
      </w:r>
      <w:r>
        <w:tab/>
      </w:r>
      <w:r>
        <w:tab/>
      </w:r>
      <w:r>
        <w:tab/>
      </w:r>
      <w:r>
        <w:tab/>
        <w:t>14</w:t>
      </w:r>
    </w:p>
    <w:p w:rsidR="00C90753" w:rsidRDefault="00467662" w:rsidP="00F961C2">
      <w:pPr>
        <w:pStyle w:val="NoSpacing"/>
      </w:pPr>
      <w:r>
        <w:t xml:space="preserve">2.5 </w:t>
      </w:r>
      <w:proofErr w:type="spellStart"/>
      <w:r>
        <w:t>Rentedekkingsgraad</w:t>
      </w:r>
      <w:proofErr w:type="spellEnd"/>
      <w:r>
        <w:tab/>
      </w:r>
      <w:r>
        <w:tab/>
      </w:r>
      <w:r>
        <w:tab/>
      </w:r>
      <w:r>
        <w:tab/>
      </w:r>
      <w:r>
        <w:tab/>
      </w:r>
      <w:r>
        <w:tab/>
      </w:r>
      <w:r>
        <w:tab/>
      </w:r>
      <w:r>
        <w:tab/>
        <w:t>15</w:t>
      </w:r>
    </w:p>
    <w:p w:rsidR="00C90753" w:rsidRDefault="00C90753" w:rsidP="00F961C2">
      <w:pPr>
        <w:pStyle w:val="NoSpacing"/>
      </w:pPr>
      <w:r>
        <w:t>2.</w:t>
      </w:r>
      <w:r w:rsidR="00467662">
        <w:t>6 Continuïteit</w:t>
      </w:r>
      <w:r w:rsidR="00467662">
        <w:tab/>
      </w:r>
      <w:r w:rsidR="00467662">
        <w:tab/>
      </w:r>
      <w:r w:rsidR="00467662">
        <w:tab/>
      </w:r>
      <w:r w:rsidR="00467662">
        <w:tab/>
      </w:r>
      <w:r w:rsidR="00467662">
        <w:tab/>
      </w:r>
      <w:r w:rsidR="00467662">
        <w:tab/>
      </w:r>
      <w:r w:rsidR="00467662">
        <w:tab/>
      </w:r>
      <w:r w:rsidR="00467662">
        <w:tab/>
      </w:r>
      <w:r w:rsidR="00467662">
        <w:tab/>
      </w:r>
      <w:r w:rsidR="00467662">
        <w:tab/>
        <w:t>16</w:t>
      </w:r>
    </w:p>
    <w:p w:rsidR="00C90753" w:rsidRDefault="00C90753" w:rsidP="00F961C2">
      <w:pPr>
        <w:pStyle w:val="NoSpacing"/>
      </w:pPr>
      <w:r>
        <w:t>2.7 Samens</w:t>
      </w:r>
      <w:r w:rsidR="00467662">
        <w:t>telling vreemd vermogen</w:t>
      </w:r>
      <w:r w:rsidR="00467662">
        <w:tab/>
      </w:r>
      <w:r w:rsidR="00467662">
        <w:tab/>
      </w:r>
      <w:r w:rsidR="00467662">
        <w:tab/>
      </w:r>
      <w:r w:rsidR="00467662">
        <w:tab/>
      </w:r>
      <w:r w:rsidR="00467662">
        <w:tab/>
      </w:r>
      <w:r w:rsidR="00467662">
        <w:tab/>
      </w:r>
      <w:r w:rsidR="00467662">
        <w:tab/>
        <w:t>16</w:t>
      </w:r>
    </w:p>
    <w:p w:rsidR="00C90753" w:rsidRDefault="00404E77" w:rsidP="00F961C2">
      <w:pPr>
        <w:pStyle w:val="NoSpacing"/>
      </w:pPr>
      <w:r>
        <w:t>2.8 Conclusie</w:t>
      </w:r>
      <w:r>
        <w:tab/>
      </w:r>
      <w:r>
        <w:tab/>
      </w:r>
      <w:r>
        <w:tab/>
      </w:r>
      <w:r>
        <w:tab/>
      </w:r>
      <w:r>
        <w:tab/>
      </w:r>
      <w:r>
        <w:tab/>
      </w:r>
      <w:r>
        <w:tab/>
      </w:r>
      <w:r>
        <w:tab/>
      </w:r>
      <w:r>
        <w:tab/>
      </w:r>
      <w:r>
        <w:tab/>
        <w:t>17</w:t>
      </w:r>
    </w:p>
    <w:p w:rsidR="00C90753" w:rsidRDefault="00C90753" w:rsidP="00F961C2">
      <w:pPr>
        <w:pStyle w:val="NoSpacing"/>
      </w:pPr>
    </w:p>
    <w:p w:rsidR="00C90753" w:rsidRDefault="00C90753" w:rsidP="00F961C2">
      <w:pPr>
        <w:pStyle w:val="NoSpacing"/>
        <w:rPr>
          <w:b/>
        </w:rPr>
      </w:pPr>
      <w:r>
        <w:rPr>
          <w:b/>
        </w:rPr>
        <w:t>Hoofdstuk</w:t>
      </w:r>
      <w:r w:rsidR="00467662">
        <w:rPr>
          <w:b/>
        </w:rPr>
        <w:t xml:space="preserve"> 3: Wet- en regelgeving</w:t>
      </w:r>
      <w:r w:rsidR="00467662">
        <w:rPr>
          <w:b/>
        </w:rPr>
        <w:tab/>
      </w:r>
      <w:r w:rsidR="00467662">
        <w:rPr>
          <w:b/>
        </w:rPr>
        <w:tab/>
      </w:r>
      <w:r w:rsidR="00467662">
        <w:rPr>
          <w:b/>
        </w:rPr>
        <w:tab/>
      </w:r>
      <w:r w:rsidR="00467662">
        <w:rPr>
          <w:b/>
        </w:rPr>
        <w:tab/>
      </w:r>
      <w:r w:rsidR="00467662">
        <w:rPr>
          <w:b/>
        </w:rPr>
        <w:tab/>
      </w:r>
      <w:r w:rsidR="00467662">
        <w:rPr>
          <w:b/>
        </w:rPr>
        <w:tab/>
      </w:r>
      <w:r w:rsidR="00467662">
        <w:rPr>
          <w:b/>
        </w:rPr>
        <w:tab/>
        <w:t>18</w:t>
      </w:r>
    </w:p>
    <w:p w:rsidR="00C90753" w:rsidRDefault="00467662" w:rsidP="00F961C2">
      <w:pPr>
        <w:pStyle w:val="NoSpacing"/>
      </w:pPr>
      <w:r>
        <w:t>3.1 Inleiding</w:t>
      </w:r>
      <w:r>
        <w:tab/>
      </w:r>
      <w:r>
        <w:tab/>
      </w:r>
      <w:r>
        <w:tab/>
      </w:r>
      <w:r>
        <w:tab/>
      </w:r>
      <w:r>
        <w:tab/>
      </w:r>
      <w:r>
        <w:tab/>
      </w:r>
      <w:r>
        <w:tab/>
      </w:r>
      <w:r>
        <w:tab/>
      </w:r>
      <w:r>
        <w:tab/>
      </w:r>
      <w:r>
        <w:tab/>
        <w:t>18</w:t>
      </w:r>
    </w:p>
    <w:p w:rsidR="00C90753" w:rsidRDefault="00C90753" w:rsidP="00F961C2">
      <w:pPr>
        <w:pStyle w:val="NoSpacing"/>
      </w:pPr>
      <w:r>
        <w:t>3.2 Besluit Be</w:t>
      </w:r>
      <w:r w:rsidR="00467662">
        <w:t>heer Sociale Huursector</w:t>
      </w:r>
      <w:r w:rsidR="00467662">
        <w:tab/>
      </w:r>
      <w:r w:rsidR="00467662">
        <w:tab/>
      </w:r>
      <w:r w:rsidR="00467662">
        <w:tab/>
      </w:r>
      <w:r w:rsidR="00467662">
        <w:tab/>
      </w:r>
      <w:r w:rsidR="00467662">
        <w:tab/>
      </w:r>
      <w:r w:rsidR="00467662">
        <w:tab/>
      </w:r>
      <w:r w:rsidR="00467662">
        <w:tab/>
        <w:t>18</w:t>
      </w:r>
    </w:p>
    <w:p w:rsidR="00C90753" w:rsidRDefault="00C90753" w:rsidP="00F961C2">
      <w:pPr>
        <w:pStyle w:val="NoSpacing"/>
      </w:pPr>
      <w:r>
        <w:t xml:space="preserve">3.3 </w:t>
      </w:r>
      <w:r w:rsidR="00467662">
        <w:t xml:space="preserve">RJ 645 (herzien 2011) </w:t>
      </w:r>
      <w:r w:rsidR="00467662">
        <w:tab/>
      </w:r>
      <w:r w:rsidR="00467662">
        <w:tab/>
      </w:r>
      <w:r w:rsidR="00467662">
        <w:tab/>
      </w:r>
      <w:r w:rsidR="00467662">
        <w:tab/>
      </w:r>
      <w:r w:rsidR="00467662">
        <w:tab/>
      </w:r>
      <w:r w:rsidR="00467662">
        <w:tab/>
      </w:r>
      <w:r w:rsidR="00467662">
        <w:tab/>
      </w:r>
      <w:r w:rsidR="00467662">
        <w:tab/>
        <w:t>18</w:t>
      </w:r>
    </w:p>
    <w:p w:rsidR="00C90753" w:rsidRDefault="00C90753" w:rsidP="00F961C2">
      <w:pPr>
        <w:pStyle w:val="NoSpacing"/>
      </w:pPr>
      <w:r>
        <w:tab/>
        <w:t xml:space="preserve">3.3.1 </w:t>
      </w:r>
      <w:r w:rsidR="00467662">
        <w:t>Onderscheid in vastgoed</w:t>
      </w:r>
      <w:r w:rsidR="00467662">
        <w:tab/>
      </w:r>
      <w:r w:rsidR="00467662">
        <w:tab/>
      </w:r>
      <w:r w:rsidR="00467662">
        <w:tab/>
      </w:r>
      <w:r w:rsidR="00467662">
        <w:tab/>
      </w:r>
      <w:r w:rsidR="00467662">
        <w:tab/>
      </w:r>
      <w:r w:rsidR="00467662">
        <w:tab/>
      </w:r>
      <w:r w:rsidR="00467662">
        <w:tab/>
        <w:t>19</w:t>
      </w:r>
    </w:p>
    <w:p w:rsidR="00C90753" w:rsidRDefault="00467662" w:rsidP="00F961C2">
      <w:pPr>
        <w:pStyle w:val="NoSpacing"/>
      </w:pPr>
      <w:r>
        <w:tab/>
        <w:t>3.3.2 Kostprijsmodel</w:t>
      </w:r>
      <w:r>
        <w:tab/>
      </w:r>
      <w:r>
        <w:tab/>
      </w:r>
      <w:r>
        <w:tab/>
      </w:r>
      <w:r>
        <w:tab/>
      </w:r>
      <w:r>
        <w:tab/>
      </w:r>
      <w:r>
        <w:tab/>
      </w:r>
      <w:r>
        <w:tab/>
      </w:r>
      <w:r>
        <w:tab/>
        <w:t>19</w:t>
      </w:r>
    </w:p>
    <w:p w:rsidR="00C90753" w:rsidRDefault="00C90753" w:rsidP="00F961C2">
      <w:pPr>
        <w:pStyle w:val="NoSpacing"/>
      </w:pPr>
      <w:r>
        <w:tab/>
        <w:t>3.3</w:t>
      </w:r>
      <w:r w:rsidR="00467662">
        <w:t>.3 Actuele waarde model</w:t>
      </w:r>
      <w:r w:rsidR="00467662">
        <w:tab/>
      </w:r>
      <w:r w:rsidR="00467662">
        <w:tab/>
      </w:r>
      <w:r w:rsidR="00467662">
        <w:tab/>
      </w:r>
      <w:r w:rsidR="00467662">
        <w:tab/>
      </w:r>
      <w:r w:rsidR="00467662">
        <w:tab/>
      </w:r>
      <w:r w:rsidR="00467662">
        <w:tab/>
      </w:r>
      <w:r w:rsidR="00467662">
        <w:tab/>
        <w:t>20</w:t>
      </w:r>
    </w:p>
    <w:p w:rsidR="00C90753" w:rsidRDefault="00C90753" w:rsidP="00F961C2">
      <w:pPr>
        <w:pStyle w:val="NoSpacing"/>
      </w:pPr>
      <w:r>
        <w:t>3.4 Wijzigi</w:t>
      </w:r>
      <w:r w:rsidR="00467662">
        <w:t>ngen in RJ 645 en ratio</w:t>
      </w:r>
      <w:r w:rsidR="00467662">
        <w:tab/>
      </w:r>
      <w:r w:rsidR="00467662">
        <w:tab/>
      </w:r>
      <w:r w:rsidR="00467662">
        <w:tab/>
      </w:r>
      <w:r w:rsidR="00467662">
        <w:tab/>
      </w:r>
      <w:r w:rsidR="00467662">
        <w:tab/>
      </w:r>
      <w:r w:rsidR="00467662">
        <w:tab/>
      </w:r>
      <w:r w:rsidR="00467662">
        <w:tab/>
        <w:t>20</w:t>
      </w:r>
    </w:p>
    <w:p w:rsidR="00C90753" w:rsidRDefault="00C90753" w:rsidP="00F961C2">
      <w:pPr>
        <w:pStyle w:val="NoSpacing"/>
      </w:pPr>
      <w:r>
        <w:tab/>
        <w:t xml:space="preserve">3.4.1 DAEB / </w:t>
      </w:r>
      <w:proofErr w:type="spellStart"/>
      <w:r>
        <w:t>niet-DAEB</w:t>
      </w:r>
      <w:proofErr w:type="spellEnd"/>
      <w:r>
        <w:tab/>
      </w:r>
      <w:r>
        <w:tab/>
      </w:r>
      <w:r>
        <w:tab/>
      </w:r>
      <w:r>
        <w:tab/>
      </w:r>
      <w:r>
        <w:tab/>
      </w:r>
      <w:r>
        <w:tab/>
      </w:r>
      <w:r>
        <w:tab/>
      </w:r>
      <w:r>
        <w:tab/>
      </w:r>
      <w:r w:rsidR="00467662">
        <w:t>20</w:t>
      </w:r>
    </w:p>
    <w:p w:rsidR="00B923B6" w:rsidRDefault="00B923B6" w:rsidP="00F961C2">
      <w:pPr>
        <w:pStyle w:val="NoSpacing"/>
      </w:pPr>
      <w:r>
        <w:tab/>
        <w:t>3.4.2 Herwaardering vaste activa</w:t>
      </w:r>
      <w:r>
        <w:tab/>
      </w:r>
      <w:r>
        <w:tab/>
      </w:r>
      <w:r>
        <w:tab/>
      </w:r>
      <w:r>
        <w:tab/>
      </w:r>
      <w:r>
        <w:tab/>
      </w:r>
      <w:r>
        <w:tab/>
      </w:r>
      <w:r w:rsidR="00467662">
        <w:t>20</w:t>
      </w:r>
    </w:p>
    <w:p w:rsidR="00B923B6" w:rsidRDefault="00B923B6" w:rsidP="00F961C2">
      <w:pPr>
        <w:pStyle w:val="NoSpacing"/>
      </w:pPr>
      <w:r>
        <w:tab/>
        <w:t>3.4.3 Afschrijving</w:t>
      </w:r>
      <w:r>
        <w:tab/>
      </w:r>
      <w:r>
        <w:tab/>
      </w:r>
      <w:r>
        <w:tab/>
      </w:r>
      <w:r>
        <w:tab/>
      </w:r>
      <w:r>
        <w:tab/>
      </w:r>
      <w:r>
        <w:tab/>
      </w:r>
      <w:r>
        <w:tab/>
      </w:r>
      <w:r>
        <w:tab/>
        <w:t>2</w:t>
      </w:r>
      <w:r w:rsidR="00467662">
        <w:t>1</w:t>
      </w:r>
    </w:p>
    <w:p w:rsidR="00B923B6" w:rsidRDefault="00B923B6" w:rsidP="00F961C2">
      <w:pPr>
        <w:pStyle w:val="NoSpacing"/>
      </w:pPr>
      <w:r>
        <w:tab/>
        <w:t>3.4.4 Verkoop onder voorwaarde</w:t>
      </w:r>
      <w:r>
        <w:tab/>
      </w:r>
      <w:r>
        <w:tab/>
      </w:r>
      <w:r>
        <w:tab/>
      </w:r>
      <w:r>
        <w:tab/>
      </w:r>
      <w:r>
        <w:tab/>
      </w:r>
      <w:r>
        <w:tab/>
        <w:t>2</w:t>
      </w:r>
      <w:r w:rsidR="00467662">
        <w:t>1</w:t>
      </w:r>
    </w:p>
    <w:p w:rsidR="00B923B6" w:rsidRPr="00C90753" w:rsidRDefault="00B923B6" w:rsidP="00F961C2">
      <w:pPr>
        <w:pStyle w:val="NoSpacing"/>
      </w:pPr>
      <w:r>
        <w:tab/>
        <w:t>3.4.5 Rentabiliteitswaarde correctie</w:t>
      </w:r>
      <w:r>
        <w:tab/>
      </w:r>
      <w:r>
        <w:tab/>
      </w:r>
      <w:r>
        <w:tab/>
      </w:r>
      <w:r>
        <w:tab/>
      </w:r>
      <w:r>
        <w:tab/>
      </w:r>
      <w:r>
        <w:tab/>
        <w:t>2</w:t>
      </w:r>
      <w:r w:rsidR="00467662">
        <w:t>1</w:t>
      </w:r>
    </w:p>
    <w:p w:rsidR="00C90753" w:rsidRDefault="00B923B6" w:rsidP="00F961C2">
      <w:pPr>
        <w:pStyle w:val="NoSpacing"/>
      </w:pPr>
      <w:r>
        <w:t>3.5 Recente ontwikkelingen</w:t>
      </w:r>
      <w:r>
        <w:tab/>
      </w:r>
      <w:r>
        <w:tab/>
      </w:r>
      <w:r>
        <w:tab/>
      </w:r>
      <w:r>
        <w:tab/>
      </w:r>
      <w:r>
        <w:tab/>
      </w:r>
      <w:r>
        <w:tab/>
      </w:r>
      <w:r>
        <w:tab/>
      </w:r>
      <w:r>
        <w:tab/>
        <w:t>2</w:t>
      </w:r>
      <w:r w:rsidR="00467662">
        <w:t>1</w:t>
      </w:r>
    </w:p>
    <w:p w:rsidR="00B923B6" w:rsidRDefault="00B923B6" w:rsidP="00F961C2">
      <w:pPr>
        <w:pStyle w:val="NoSpacing"/>
      </w:pPr>
      <w:r>
        <w:t>3.6 Conclusie</w:t>
      </w:r>
      <w:r>
        <w:tab/>
      </w:r>
      <w:r>
        <w:tab/>
      </w:r>
      <w:r>
        <w:tab/>
      </w:r>
      <w:r>
        <w:tab/>
      </w:r>
      <w:r>
        <w:tab/>
      </w:r>
      <w:r>
        <w:tab/>
      </w:r>
      <w:r>
        <w:tab/>
      </w:r>
      <w:r>
        <w:tab/>
      </w:r>
      <w:r>
        <w:tab/>
      </w:r>
      <w:r>
        <w:tab/>
        <w:t>2</w:t>
      </w:r>
      <w:r w:rsidR="00467662">
        <w:t>2</w:t>
      </w:r>
    </w:p>
    <w:p w:rsidR="00B923B6" w:rsidRDefault="00B923B6" w:rsidP="00F961C2">
      <w:pPr>
        <w:pStyle w:val="NoSpacing"/>
      </w:pPr>
    </w:p>
    <w:p w:rsidR="00B923B6" w:rsidRDefault="00B923B6" w:rsidP="00F961C2">
      <w:pPr>
        <w:pStyle w:val="NoSpacing"/>
        <w:rPr>
          <w:b/>
        </w:rPr>
      </w:pPr>
      <w:r>
        <w:rPr>
          <w:b/>
        </w:rPr>
        <w:t>Hoofdstuk 4: Belang van waarderingsmethoden</w:t>
      </w:r>
      <w:r>
        <w:rPr>
          <w:b/>
        </w:rPr>
        <w:tab/>
      </w:r>
      <w:r>
        <w:rPr>
          <w:b/>
        </w:rPr>
        <w:tab/>
      </w:r>
      <w:r>
        <w:rPr>
          <w:b/>
        </w:rPr>
        <w:tab/>
      </w:r>
      <w:r>
        <w:rPr>
          <w:b/>
        </w:rPr>
        <w:tab/>
      </w:r>
      <w:r>
        <w:rPr>
          <w:b/>
        </w:rPr>
        <w:tab/>
        <w:t>2</w:t>
      </w:r>
      <w:r w:rsidR="00467662">
        <w:rPr>
          <w:b/>
        </w:rPr>
        <w:t>3</w:t>
      </w:r>
    </w:p>
    <w:p w:rsidR="00B923B6" w:rsidRDefault="00B923B6" w:rsidP="00F961C2">
      <w:pPr>
        <w:pStyle w:val="NoSpacing"/>
      </w:pPr>
      <w:r>
        <w:t>4.1 Inleiding</w:t>
      </w:r>
      <w:r>
        <w:tab/>
      </w:r>
      <w:r>
        <w:tab/>
      </w:r>
      <w:r>
        <w:tab/>
      </w:r>
      <w:r>
        <w:tab/>
      </w:r>
      <w:r>
        <w:tab/>
      </w:r>
      <w:r>
        <w:tab/>
      </w:r>
      <w:r>
        <w:tab/>
      </w:r>
      <w:r>
        <w:tab/>
      </w:r>
      <w:r>
        <w:tab/>
      </w:r>
      <w:r>
        <w:tab/>
        <w:t>2</w:t>
      </w:r>
      <w:r w:rsidR="00467662">
        <w:t>3</w:t>
      </w:r>
    </w:p>
    <w:p w:rsidR="00B923B6" w:rsidRDefault="00B923B6" w:rsidP="00F961C2">
      <w:pPr>
        <w:pStyle w:val="NoSpacing"/>
      </w:pPr>
      <w:r>
        <w:t>4.2 Bedrijfswaarde en stille reserves</w:t>
      </w:r>
      <w:r>
        <w:tab/>
      </w:r>
      <w:r>
        <w:tab/>
      </w:r>
      <w:r>
        <w:tab/>
      </w:r>
      <w:r>
        <w:tab/>
      </w:r>
      <w:r>
        <w:tab/>
      </w:r>
      <w:r>
        <w:tab/>
      </w:r>
      <w:r>
        <w:tab/>
        <w:t>2</w:t>
      </w:r>
      <w:r w:rsidR="00467662">
        <w:t>3</w:t>
      </w:r>
    </w:p>
    <w:p w:rsidR="00F961C2" w:rsidRDefault="00B923B6" w:rsidP="00B923B6">
      <w:pPr>
        <w:pStyle w:val="NoSpacing"/>
        <w:tabs>
          <w:tab w:val="left" w:pos="708"/>
          <w:tab w:val="left" w:pos="1416"/>
          <w:tab w:val="left" w:pos="2124"/>
          <w:tab w:val="left" w:pos="2832"/>
          <w:tab w:val="left" w:pos="3540"/>
          <w:tab w:val="left" w:pos="4248"/>
          <w:tab w:val="left" w:pos="7552"/>
        </w:tabs>
      </w:pPr>
      <w:r>
        <w:tab/>
        <w:t>4.2.1 Bedrijfswaarde berekening</w:t>
      </w:r>
      <w:r>
        <w:tab/>
      </w:r>
      <w:r>
        <w:tab/>
      </w:r>
      <w:r>
        <w:tab/>
        <w:t>2</w:t>
      </w:r>
      <w:r w:rsidR="00467662">
        <w:t>3</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4.2.2 Stille reserves</w:t>
      </w:r>
      <w:r>
        <w:tab/>
      </w:r>
      <w:r>
        <w:tab/>
      </w:r>
      <w:r>
        <w:tab/>
      </w:r>
      <w:r>
        <w:tab/>
      </w:r>
      <w:r>
        <w:tab/>
        <w:t>2</w:t>
      </w:r>
      <w:r w:rsidR="00467662">
        <w:t>4</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4.3 Commercieel waarderen en winstmaximalisatie</w:t>
      </w:r>
      <w:r>
        <w:tab/>
      </w:r>
      <w:r>
        <w:tab/>
        <w:t>2</w:t>
      </w:r>
      <w:r w:rsidR="00467662">
        <w:t>4</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4.3.1 Commerciële verhuurders</w:t>
      </w:r>
      <w:r>
        <w:tab/>
      </w:r>
      <w:r>
        <w:tab/>
      </w:r>
      <w:r>
        <w:tab/>
      </w:r>
      <w:r>
        <w:tab/>
        <w:t>2</w:t>
      </w:r>
      <w:r w:rsidR="00467662">
        <w:t>5</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4.3.2 Privatisering</w:t>
      </w:r>
      <w:r>
        <w:tab/>
      </w:r>
      <w:r>
        <w:tab/>
      </w:r>
      <w:r>
        <w:tab/>
      </w:r>
      <w:r>
        <w:tab/>
      </w:r>
      <w:r>
        <w:tab/>
        <w:t>2</w:t>
      </w:r>
      <w:r w:rsidR="00467662">
        <w:t>6</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4.4 Financieringsmogelijkheden</w:t>
      </w:r>
      <w:r>
        <w:tab/>
      </w:r>
      <w:r>
        <w:tab/>
      </w:r>
      <w:r>
        <w:tab/>
      </w:r>
      <w:r>
        <w:tab/>
      </w:r>
      <w:r>
        <w:tab/>
        <w:t>2</w:t>
      </w:r>
      <w:r w:rsidR="00467662">
        <w:t>6</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 xml:space="preserve">4.4.1 </w:t>
      </w:r>
      <w:proofErr w:type="gramStart"/>
      <w:r>
        <w:t>Stopzetten</w:t>
      </w:r>
      <w:proofErr w:type="gramEnd"/>
      <w:r>
        <w:t xml:space="preserve"> </w:t>
      </w:r>
      <w:r w:rsidR="0004078F">
        <w:t>waar</w:t>
      </w:r>
      <w:r w:rsidR="009540ED">
        <w:t>borging door WSW</w:t>
      </w:r>
      <w:r w:rsidR="009540ED">
        <w:tab/>
      </w:r>
      <w:r w:rsidR="009540ED">
        <w:tab/>
      </w:r>
      <w:r>
        <w:t>2</w:t>
      </w:r>
      <w:r w:rsidR="00467662">
        <w:t>6</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4.4.2 Aantrekken van kapitaal</w:t>
      </w:r>
      <w:r>
        <w:tab/>
      </w:r>
      <w:r>
        <w:tab/>
      </w:r>
      <w:r>
        <w:tab/>
      </w:r>
      <w:r>
        <w:tab/>
        <w:t>2</w:t>
      </w:r>
      <w:r w:rsidR="00467662">
        <w:t>6</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 xml:space="preserve">4.4.3 </w:t>
      </w:r>
      <w:proofErr w:type="gramStart"/>
      <w:r>
        <w:t>Verkopen</w:t>
      </w:r>
      <w:proofErr w:type="gramEnd"/>
      <w:r>
        <w:tab/>
      </w:r>
      <w:r>
        <w:tab/>
      </w:r>
      <w:r>
        <w:tab/>
      </w:r>
      <w:r>
        <w:tab/>
      </w:r>
      <w:r>
        <w:tab/>
      </w:r>
      <w:r>
        <w:tab/>
        <w:t>2</w:t>
      </w:r>
      <w:r w:rsidR="00467662">
        <w:t>7</w:t>
      </w:r>
    </w:p>
    <w:p w:rsidR="00B923B6" w:rsidRDefault="00B923B6" w:rsidP="00B923B6">
      <w:pPr>
        <w:pStyle w:val="NoSpacing"/>
        <w:tabs>
          <w:tab w:val="left" w:pos="708"/>
          <w:tab w:val="left" w:pos="1416"/>
          <w:tab w:val="left" w:pos="2124"/>
          <w:tab w:val="left" w:pos="2832"/>
          <w:tab w:val="left" w:pos="3540"/>
          <w:tab w:val="left" w:pos="4248"/>
          <w:tab w:val="left" w:pos="7167"/>
          <w:tab w:val="left" w:pos="7769"/>
          <w:tab w:val="left" w:pos="7820"/>
        </w:tabs>
      </w:pPr>
      <w:r>
        <w:tab/>
        <w:t>4.4.4 Bouwakkoord</w:t>
      </w:r>
      <w:r>
        <w:tab/>
      </w:r>
      <w:r>
        <w:tab/>
      </w:r>
      <w:r>
        <w:tab/>
      </w:r>
      <w:r>
        <w:tab/>
      </w:r>
      <w:r>
        <w:tab/>
        <w:t>2</w:t>
      </w:r>
      <w:r w:rsidR="00467662">
        <w:t>7</w:t>
      </w:r>
      <w:r>
        <w:tab/>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4.5 Conclusie</w:t>
      </w:r>
      <w:r>
        <w:tab/>
      </w:r>
      <w:r>
        <w:tab/>
      </w:r>
      <w:r>
        <w:tab/>
      </w:r>
      <w:r>
        <w:tab/>
      </w:r>
      <w:r>
        <w:tab/>
      </w:r>
      <w:r>
        <w:tab/>
      </w:r>
      <w:r>
        <w:tab/>
        <w:t>27</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r>
        <w:rPr>
          <w:b/>
        </w:rPr>
        <w:t>Hoofdstuk 5: Inzicht in de financiële positie</w:t>
      </w:r>
      <w:r w:rsidR="00BC5B45">
        <w:rPr>
          <w:b/>
        </w:rPr>
        <w:t xml:space="preserve"> van woningcorporaties</w:t>
      </w:r>
      <w:r w:rsidR="00BC5B45">
        <w:rPr>
          <w:b/>
        </w:rPr>
        <w:tab/>
      </w:r>
      <w:r w:rsidR="00BC5B45">
        <w:rPr>
          <w:b/>
        </w:rPr>
        <w:tab/>
      </w:r>
      <w:r>
        <w:rPr>
          <w:b/>
        </w:rPr>
        <w:t>29</w:t>
      </w:r>
    </w:p>
    <w:p w:rsidR="00467662" w:rsidRDefault="00467662" w:rsidP="00467662">
      <w:pPr>
        <w:pStyle w:val="NoSpacing"/>
        <w:tabs>
          <w:tab w:val="left" w:pos="708"/>
          <w:tab w:val="left" w:pos="1416"/>
          <w:tab w:val="left" w:pos="2124"/>
          <w:tab w:val="left" w:pos="2832"/>
          <w:tab w:val="left" w:pos="3540"/>
          <w:tab w:val="left" w:pos="4248"/>
          <w:tab w:val="left" w:pos="7167"/>
          <w:tab w:val="left" w:pos="7702"/>
          <w:tab w:val="left" w:pos="7769"/>
          <w:tab w:val="left" w:pos="7820"/>
        </w:tabs>
      </w:pPr>
      <w:r>
        <w:t>5.1 Inleiding</w:t>
      </w:r>
      <w:r>
        <w:tab/>
      </w:r>
      <w:r>
        <w:tab/>
      </w:r>
      <w:r>
        <w:tab/>
      </w:r>
      <w:r>
        <w:tab/>
      </w:r>
      <w:r>
        <w:tab/>
      </w:r>
      <w:r>
        <w:tab/>
      </w:r>
      <w:r>
        <w:tab/>
      </w:r>
      <w:r>
        <w:tab/>
        <w:t>29</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5.2 Subjectiviteit in de bedrijfswaarde</w:t>
      </w:r>
      <w:r>
        <w:tab/>
      </w:r>
      <w:r>
        <w:tab/>
      </w:r>
      <w:r>
        <w:tab/>
      </w:r>
      <w:r>
        <w:tab/>
        <w:t>29</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5.3 Subjectiviteit ten gevolge van de herziene RJ 645</w:t>
      </w:r>
      <w:r>
        <w:tab/>
      </w:r>
      <w:r>
        <w:tab/>
        <w:t>30</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5.4 Eenduidige waardering van vastgoed</w:t>
      </w:r>
      <w:r>
        <w:tab/>
      </w:r>
      <w:r>
        <w:tab/>
      </w:r>
      <w:r>
        <w:tab/>
        <w:t>30</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5.5 Het beste inzicht in de financiële positie</w:t>
      </w:r>
      <w:r>
        <w:tab/>
      </w:r>
      <w:r>
        <w:tab/>
      </w:r>
      <w:r>
        <w:tab/>
        <w:t>30</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r>
        <w:t xml:space="preserve">5.6 Conclusie </w:t>
      </w:r>
      <w:r>
        <w:tab/>
      </w:r>
      <w:r>
        <w:tab/>
      </w:r>
      <w:r>
        <w:tab/>
      </w:r>
      <w:r>
        <w:tab/>
      </w:r>
      <w:r>
        <w:tab/>
      </w:r>
      <w:r>
        <w:tab/>
      </w:r>
      <w:r>
        <w:tab/>
        <w:t>31</w:t>
      </w:r>
    </w:p>
    <w:p w:rsid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Default="002E6F72"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r>
        <w:rPr>
          <w:b/>
        </w:rPr>
        <w:t xml:space="preserve">Conclusie </w:t>
      </w:r>
      <w:r>
        <w:rPr>
          <w:b/>
        </w:rPr>
        <w:tab/>
      </w:r>
      <w:r>
        <w:rPr>
          <w:b/>
        </w:rPr>
        <w:tab/>
      </w:r>
      <w:r>
        <w:rPr>
          <w:b/>
        </w:rPr>
        <w:tab/>
      </w:r>
      <w:r>
        <w:rPr>
          <w:b/>
        </w:rPr>
        <w:tab/>
      </w:r>
      <w:r>
        <w:rPr>
          <w:b/>
        </w:rPr>
        <w:tab/>
      </w:r>
      <w:r>
        <w:rPr>
          <w:b/>
        </w:rPr>
        <w:tab/>
      </w:r>
      <w:r>
        <w:rPr>
          <w:b/>
        </w:rPr>
        <w:tab/>
        <w:t>32</w:t>
      </w:r>
    </w:p>
    <w:p w:rsidR="00467662" w:rsidRPr="00467662"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p>
    <w:p w:rsidR="00467662" w:rsidRDefault="002E6F72"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r>
        <w:rPr>
          <w:b/>
        </w:rPr>
        <w:t>Literatuur</w:t>
      </w:r>
      <w:r>
        <w:rPr>
          <w:b/>
        </w:rPr>
        <w:tab/>
      </w:r>
      <w:r>
        <w:rPr>
          <w:b/>
        </w:rPr>
        <w:tab/>
      </w:r>
      <w:r>
        <w:rPr>
          <w:b/>
        </w:rPr>
        <w:tab/>
      </w:r>
      <w:r>
        <w:rPr>
          <w:b/>
        </w:rPr>
        <w:tab/>
      </w:r>
      <w:r>
        <w:rPr>
          <w:b/>
        </w:rPr>
        <w:tab/>
      </w:r>
      <w:r>
        <w:rPr>
          <w:b/>
        </w:rPr>
        <w:tab/>
      </w:r>
      <w:r>
        <w:rPr>
          <w:b/>
        </w:rPr>
        <w:tab/>
        <w:t>34</w:t>
      </w:r>
    </w:p>
    <w:p w:rsidR="00D41980" w:rsidRPr="00D41980" w:rsidRDefault="00D41980"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p>
    <w:p w:rsidR="00467662" w:rsidRPr="00404E77" w:rsidRDefault="002E6F72"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r>
        <w:rPr>
          <w:b/>
        </w:rPr>
        <w:t>Appendix A: Kengetallen</w:t>
      </w:r>
      <w:r>
        <w:rPr>
          <w:b/>
        </w:rPr>
        <w:tab/>
      </w:r>
      <w:r>
        <w:rPr>
          <w:b/>
        </w:rPr>
        <w:tab/>
      </w:r>
      <w:r>
        <w:rPr>
          <w:b/>
        </w:rPr>
        <w:tab/>
      </w:r>
      <w:r>
        <w:rPr>
          <w:b/>
        </w:rPr>
        <w:tab/>
      </w:r>
      <w:r>
        <w:rPr>
          <w:b/>
        </w:rPr>
        <w:tab/>
        <w:t>36</w:t>
      </w:r>
    </w:p>
    <w:p w:rsidR="00467662" w:rsidRPr="00404E7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04E77" w:rsidP="00B923B6">
      <w:pPr>
        <w:pStyle w:val="NoSpacing"/>
        <w:tabs>
          <w:tab w:val="left" w:pos="708"/>
          <w:tab w:val="left" w:pos="1416"/>
          <w:tab w:val="left" w:pos="2124"/>
          <w:tab w:val="left" w:pos="2832"/>
          <w:tab w:val="left" w:pos="3540"/>
          <w:tab w:val="left" w:pos="4248"/>
          <w:tab w:val="left" w:pos="7167"/>
          <w:tab w:val="left" w:pos="7769"/>
          <w:tab w:val="left" w:pos="7820"/>
        </w:tabs>
        <w:rPr>
          <w:b/>
        </w:rPr>
      </w:pPr>
      <w:r w:rsidRPr="00404E77">
        <w:rPr>
          <w:b/>
        </w:rPr>
        <w:t>Appendix B: Bedrijfswaarde berekening</w:t>
      </w:r>
      <w:r w:rsidRPr="00404E77">
        <w:rPr>
          <w:b/>
        </w:rPr>
        <w:tab/>
      </w:r>
      <w:r w:rsidRPr="00404E77">
        <w:rPr>
          <w:b/>
        </w:rPr>
        <w:tab/>
      </w:r>
      <w:r w:rsidRPr="00404E77">
        <w:rPr>
          <w:b/>
        </w:rPr>
        <w:tab/>
      </w:r>
      <w:r w:rsidR="002E6F72">
        <w:rPr>
          <w:b/>
        </w:rPr>
        <w:t>38</w:t>
      </w: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467662" w:rsidRPr="002721D7" w:rsidRDefault="00467662" w:rsidP="00B923B6">
      <w:pPr>
        <w:pStyle w:val="NoSpacing"/>
        <w:tabs>
          <w:tab w:val="left" w:pos="708"/>
          <w:tab w:val="left" w:pos="1416"/>
          <w:tab w:val="left" w:pos="2124"/>
          <w:tab w:val="left" w:pos="2832"/>
          <w:tab w:val="left" w:pos="3540"/>
          <w:tab w:val="left" w:pos="4248"/>
          <w:tab w:val="left" w:pos="7167"/>
          <w:tab w:val="left" w:pos="7769"/>
          <w:tab w:val="left" w:pos="7820"/>
        </w:tabs>
      </w:pPr>
    </w:p>
    <w:p w:rsidR="00F961C2" w:rsidRPr="002024B1" w:rsidRDefault="00F961C2" w:rsidP="00F961C2">
      <w:pPr>
        <w:pStyle w:val="Heading2"/>
        <w:rPr>
          <w:color w:val="auto"/>
        </w:rPr>
      </w:pPr>
      <w:r w:rsidRPr="002024B1">
        <w:rPr>
          <w:color w:val="auto"/>
        </w:rPr>
        <w:t>Inleiding</w:t>
      </w:r>
    </w:p>
    <w:p w:rsidR="00F961C2" w:rsidRDefault="00F961C2" w:rsidP="00F961C2"/>
    <w:p w:rsidR="00F961C2" w:rsidRDefault="00F961C2" w:rsidP="00775B27">
      <w:pPr>
        <w:jc w:val="both"/>
      </w:pPr>
      <w:r>
        <w:t xml:space="preserve">Deze scriptie </w:t>
      </w:r>
      <w:r w:rsidR="00C16B0C">
        <w:t>beschrijft</w:t>
      </w:r>
      <w:r>
        <w:t xml:space="preserve"> de waarderingsmethoden van onroerend goed en de invloed daarvan op de financiële positie van woningcorporaties. De aanleiding om een scriptie over woningcorporaties te schrijven is in eerste instantie mijn persoonlijke interesse in dit onderwerp. Het heeft mij bevreemd dat woningcorporaties in financieringsproblemen zitten terwijl zij zouden moeten kunnen lenen </w:t>
      </w:r>
      <w:proofErr w:type="spellStart"/>
      <w:r>
        <w:t>te</w:t>
      </w:r>
      <w:r w:rsidR="00733B71">
        <w:t>-</w:t>
      </w:r>
      <w:r>
        <w:t>gen</w:t>
      </w:r>
      <w:proofErr w:type="spellEnd"/>
      <w:r>
        <w:t xml:space="preserve"> 2,4%</w:t>
      </w:r>
      <w:r>
        <w:rPr>
          <w:rStyle w:val="FootnoteReference"/>
        </w:rPr>
        <w:footnoteReference w:id="1"/>
      </w:r>
      <w:r>
        <w:t xml:space="preserve">. In het woningbezit moeten zich enorme stille reserves bevinden </w:t>
      </w:r>
      <w:r w:rsidR="000B7E0C">
        <w:t>door</w:t>
      </w:r>
      <w:r>
        <w:t xml:space="preserve">dat woningen tegen een lage bedrijfswaarde worden gewaardeerd, terwijl de </w:t>
      </w:r>
      <w:r w:rsidR="00BA409C">
        <w:t>reële waarde/</w:t>
      </w:r>
      <w:r>
        <w:t xml:space="preserve">marktwaarde aanmerkelijk hoger ligt. Wordt hier wel rekening mee gehouden bij het beoordelen van de financiële positie van een woningcorporatie? </w:t>
      </w:r>
    </w:p>
    <w:p w:rsidR="00F961C2" w:rsidRDefault="00F961C2" w:rsidP="00775B27">
      <w:pPr>
        <w:jc w:val="both"/>
      </w:pPr>
      <w:r>
        <w:t xml:space="preserve">Dit is een relevant onderwerp </w:t>
      </w:r>
      <w:r w:rsidR="000B7E0C">
        <w:t>door</w:t>
      </w:r>
      <w:r>
        <w:t>dat er op dit moment veel discussie plaats</w:t>
      </w:r>
      <w:r w:rsidR="00C16B0C">
        <w:t>vindt over de werkwijze van woningcorporaties. Deze</w:t>
      </w:r>
      <w:r>
        <w:t xml:space="preserve"> komen regelmatig in het nieuws en er is sinds kort zelfs een minister </w:t>
      </w:r>
      <w:r w:rsidR="00C16B0C">
        <w:t>die het toezicht van woningcorporaties in zijn portefeuille heeft</w:t>
      </w:r>
      <w:r>
        <w:t>. Wetsw</w:t>
      </w:r>
      <w:r w:rsidR="00C16B0C">
        <w:t xml:space="preserve">ijzigingen maken dit </w:t>
      </w:r>
      <w:proofErr w:type="spellStart"/>
      <w:proofErr w:type="gramStart"/>
      <w:r w:rsidR="00C16B0C">
        <w:t>onder</w:t>
      </w:r>
      <w:r w:rsidR="00733B71">
        <w:t>-</w:t>
      </w:r>
      <w:r w:rsidR="00C16B0C">
        <w:t>werp</w:t>
      </w:r>
      <w:proofErr w:type="spellEnd"/>
      <w:proofErr w:type="gramEnd"/>
      <w:r>
        <w:t xml:space="preserve"> actueel. </w:t>
      </w:r>
      <w:r w:rsidR="00C16B0C">
        <w:t xml:space="preserve">De richtlijnen voor jaarverslaggeving voor woningcorporaties staan in RJ 645. Deze </w:t>
      </w:r>
      <w:proofErr w:type="gramStart"/>
      <w:r w:rsidR="00C16B0C">
        <w:t xml:space="preserve">is  </w:t>
      </w:r>
      <w:proofErr w:type="gramEnd"/>
      <w:r w:rsidR="00C16B0C">
        <w:t xml:space="preserve">in 2011 herzien en vanaf 2012 hebben woningcorporaties belangrijke wijzigingen in hun </w:t>
      </w:r>
      <w:proofErr w:type="spellStart"/>
      <w:r w:rsidR="00C16B0C">
        <w:t>jaarverslag</w:t>
      </w:r>
      <w:r w:rsidR="00733B71">
        <w:t>-</w:t>
      </w:r>
      <w:r w:rsidR="00C16B0C">
        <w:t>geving</w:t>
      </w:r>
      <w:proofErr w:type="spellEnd"/>
      <w:r w:rsidR="00C16B0C">
        <w:t xml:space="preserve"> moeten doorvoeren.</w:t>
      </w:r>
      <w:r>
        <w:t xml:space="preserve"> </w:t>
      </w:r>
    </w:p>
    <w:p w:rsidR="00F961C2" w:rsidRDefault="00F961C2" w:rsidP="00775B27">
      <w:pPr>
        <w:jc w:val="both"/>
      </w:pPr>
      <w:r>
        <w:t xml:space="preserve">De relevantie met betrekking tot het vakgebied Externe Verslaggeving zit in de </w:t>
      </w:r>
      <w:proofErr w:type="spellStart"/>
      <w:r>
        <w:t>waarderingsmetho</w:t>
      </w:r>
      <w:r w:rsidR="00733B71">
        <w:t>-</w:t>
      </w:r>
      <w:r>
        <w:t>den</w:t>
      </w:r>
      <w:proofErr w:type="spellEnd"/>
      <w:r>
        <w:t xml:space="preserve">. Begrippen als actuele waarde, bedrijfswaarde, </w:t>
      </w:r>
      <w:proofErr w:type="spellStart"/>
      <w:r>
        <w:t>volkshuisvestelijke</w:t>
      </w:r>
      <w:proofErr w:type="spellEnd"/>
      <w:r>
        <w:t xml:space="preserve"> exploitatie waarde en </w:t>
      </w:r>
      <w:proofErr w:type="spellStart"/>
      <w:r>
        <w:t>histori</w:t>
      </w:r>
      <w:r w:rsidR="00733B71">
        <w:t>-</w:t>
      </w:r>
      <w:r>
        <w:t>sche</w:t>
      </w:r>
      <w:proofErr w:type="spellEnd"/>
      <w:r>
        <w:t xml:space="preserve"> kostprijs zul</w:t>
      </w:r>
      <w:r w:rsidR="00C16B0C">
        <w:t>len aan bod komen. Verder zal de</w:t>
      </w:r>
      <w:r>
        <w:t xml:space="preserve"> jaarrekening van </w:t>
      </w:r>
      <w:r w:rsidR="00C16B0C">
        <w:t xml:space="preserve">enkele </w:t>
      </w:r>
      <w:r>
        <w:t xml:space="preserve">woningcorporaties </w:t>
      </w:r>
      <w:proofErr w:type="spellStart"/>
      <w:r w:rsidR="00C16B0C">
        <w:t>wor</w:t>
      </w:r>
      <w:r w:rsidR="00733B71">
        <w:t>-</w:t>
      </w:r>
      <w:r w:rsidR="00C16B0C">
        <w:t>den</w:t>
      </w:r>
      <w:proofErr w:type="spellEnd"/>
      <w:r w:rsidR="00C16B0C">
        <w:t xml:space="preserve"> besproken</w:t>
      </w:r>
      <w:r>
        <w:t>.</w:t>
      </w:r>
    </w:p>
    <w:p w:rsidR="00F961C2" w:rsidRDefault="00F961C2" w:rsidP="00775B27">
      <w:pPr>
        <w:jc w:val="both"/>
      </w:pPr>
      <w:r>
        <w:t>Woningcorporaties zouden een enorm kapitaal in huis moeten hebben in de vorm van woningen in exploitatie. Ik verwacht dan ook dat de waarderingsmethode van grote invloed is op het beeld van de financiële situatie. De vervolgvraag is dan of dat</w:t>
      </w:r>
      <w:r w:rsidR="008165B2">
        <w:t xml:space="preserve"> geschetste beeld wordt, </w:t>
      </w:r>
      <w:r>
        <w:t xml:space="preserve">overeenkomt met de </w:t>
      </w:r>
      <w:proofErr w:type="spellStart"/>
      <w:r>
        <w:t>wer</w:t>
      </w:r>
      <w:r w:rsidR="00733B71">
        <w:t>-</w:t>
      </w:r>
      <w:r>
        <w:t>kelijke</w:t>
      </w:r>
      <w:proofErr w:type="spellEnd"/>
      <w:r>
        <w:t xml:space="preserve"> situatie. De onderzoeksvraag van deze scriptie luidt:</w:t>
      </w:r>
    </w:p>
    <w:p w:rsidR="00F961C2" w:rsidRPr="00106734" w:rsidRDefault="00F961C2" w:rsidP="00775B27">
      <w:pPr>
        <w:jc w:val="both"/>
        <w:rPr>
          <w:b/>
          <w:i/>
        </w:rPr>
      </w:pPr>
      <w:r w:rsidRPr="00106734">
        <w:rPr>
          <w:b/>
          <w:i/>
        </w:rPr>
        <w:t xml:space="preserve">Wat is de invloed van de waarderingsmethoden van </w:t>
      </w:r>
      <w:r>
        <w:rPr>
          <w:b/>
          <w:i/>
        </w:rPr>
        <w:t xml:space="preserve">vastgoed </w:t>
      </w:r>
      <w:r w:rsidRPr="00106734">
        <w:rPr>
          <w:b/>
          <w:i/>
        </w:rPr>
        <w:t>op het inzicht in de financiële positie van woningcorporaties?</w:t>
      </w:r>
    </w:p>
    <w:p w:rsidR="00F961C2" w:rsidRDefault="00F961C2" w:rsidP="00775B27">
      <w:pPr>
        <w:jc w:val="both"/>
      </w:pPr>
      <w:proofErr w:type="gramStart"/>
      <w:r>
        <w:t xml:space="preserve">Vanaf  </w:t>
      </w:r>
      <w:proofErr w:type="gramEnd"/>
      <w:r>
        <w:t xml:space="preserve">het boekjaar 2012 is het voor woningcorporaties verplicht de bedrijfswaarde van hun </w:t>
      </w:r>
      <w:proofErr w:type="spellStart"/>
      <w:r>
        <w:t>woning</w:t>
      </w:r>
      <w:r w:rsidR="00733B71">
        <w:t>-</w:t>
      </w:r>
      <w:r>
        <w:t>bezit</w:t>
      </w:r>
      <w:proofErr w:type="spellEnd"/>
      <w:r>
        <w:t xml:space="preserve"> te </w:t>
      </w:r>
      <w:r w:rsidR="008165B2">
        <w:t>vermelden</w:t>
      </w:r>
      <w:r>
        <w:t xml:space="preserve"> in de jaarrekening (RJ 645). Dit is een goede aanleiding om de </w:t>
      </w:r>
      <w:proofErr w:type="spellStart"/>
      <w:r>
        <w:t>waarderingsmetho</w:t>
      </w:r>
      <w:r w:rsidR="00733B71">
        <w:t>-</w:t>
      </w:r>
      <w:r>
        <w:t>den</w:t>
      </w:r>
      <w:proofErr w:type="spellEnd"/>
      <w:r>
        <w:t xml:space="preserve"> naast elkaar te leggen. </w:t>
      </w:r>
    </w:p>
    <w:p w:rsidR="00F961C2" w:rsidRDefault="00F961C2" w:rsidP="00775B27">
      <w:pPr>
        <w:jc w:val="both"/>
      </w:pPr>
      <w:r>
        <w:t xml:space="preserve">Per hoofdstuk zal er een deelvraag </w:t>
      </w:r>
      <w:proofErr w:type="gramStart"/>
      <w:r>
        <w:t>beantwoord</w:t>
      </w:r>
      <w:proofErr w:type="gramEnd"/>
      <w:r>
        <w:t xml:space="preserve"> worden. Op deze manier wordt gewerkt naar een </w:t>
      </w:r>
      <w:proofErr w:type="spellStart"/>
      <w:r>
        <w:t>be</w:t>
      </w:r>
      <w:r w:rsidR="00733B71">
        <w:t>-</w:t>
      </w:r>
      <w:r>
        <w:t>antwoording</w:t>
      </w:r>
      <w:proofErr w:type="spellEnd"/>
      <w:r>
        <w:t xml:space="preserve"> van de onderzoeksvraag. De volgende deelvragen komen aan bod: </w:t>
      </w:r>
    </w:p>
    <w:p w:rsidR="00F961C2" w:rsidRPr="00011352" w:rsidRDefault="00F961C2" w:rsidP="00775B27">
      <w:pPr>
        <w:pStyle w:val="NoSpacing"/>
        <w:jc w:val="both"/>
        <w:rPr>
          <w:i/>
        </w:rPr>
      </w:pPr>
      <w:r w:rsidRPr="00011352">
        <w:rPr>
          <w:i/>
        </w:rPr>
        <w:t xml:space="preserve">Welke waarderingsmethoden voor </w:t>
      </w:r>
      <w:r>
        <w:rPr>
          <w:i/>
        </w:rPr>
        <w:t>vastgoed</w:t>
      </w:r>
      <w:r w:rsidRPr="00011352">
        <w:rPr>
          <w:i/>
        </w:rPr>
        <w:t xml:space="preserve"> bestaan er?</w:t>
      </w:r>
    </w:p>
    <w:p w:rsidR="00F961C2" w:rsidRDefault="00F961C2" w:rsidP="00775B27">
      <w:pPr>
        <w:pStyle w:val="NoSpacing"/>
        <w:jc w:val="both"/>
      </w:pPr>
      <w:r>
        <w:t xml:space="preserve">In Hoofdstuk 1 volgt een uiteenzetting van de </w:t>
      </w:r>
      <w:r w:rsidR="008165B2">
        <w:t xml:space="preserve">diverse </w:t>
      </w:r>
      <w:r>
        <w:t xml:space="preserve">waarderingsmethoden. </w:t>
      </w:r>
    </w:p>
    <w:p w:rsidR="00F961C2" w:rsidRDefault="00F961C2" w:rsidP="00775B27">
      <w:pPr>
        <w:pStyle w:val="NoSpacing"/>
        <w:jc w:val="both"/>
      </w:pPr>
    </w:p>
    <w:p w:rsidR="00F961C2" w:rsidRPr="00011352" w:rsidRDefault="00F961C2" w:rsidP="00775B27">
      <w:pPr>
        <w:pStyle w:val="NoSpacing"/>
        <w:jc w:val="both"/>
        <w:rPr>
          <w:i/>
        </w:rPr>
      </w:pPr>
      <w:r>
        <w:rPr>
          <w:i/>
        </w:rPr>
        <w:t>Hoe wordt de financiële positie van een woningcorporatie bepaald?</w:t>
      </w:r>
    </w:p>
    <w:p w:rsidR="00F961C2" w:rsidRDefault="00F961C2" w:rsidP="00775B27">
      <w:pPr>
        <w:pStyle w:val="NoSpacing"/>
        <w:jc w:val="both"/>
      </w:pPr>
      <w:r>
        <w:t xml:space="preserve">In Hoofdstuk 2 wordt uitgelegd wat er bedoeld wordt met een financiële positie. Begrippen als </w:t>
      </w:r>
      <w:proofErr w:type="spellStart"/>
      <w:r>
        <w:t>solva</w:t>
      </w:r>
      <w:r w:rsidR="00733B71">
        <w:t>-</w:t>
      </w:r>
      <w:r>
        <w:t>biliteit</w:t>
      </w:r>
      <w:proofErr w:type="spellEnd"/>
      <w:r>
        <w:t>, kredietwaardigheid, rentabiliteitswaarde en rente dekkingsgraad zullen aan bod komen. Als laatste wordt uitgelegd welke financieringsvoorwaarde het belangrijkst is voor kredietverstrekkers.</w:t>
      </w:r>
    </w:p>
    <w:p w:rsidR="00F961C2" w:rsidRDefault="00F961C2" w:rsidP="00775B27">
      <w:pPr>
        <w:pStyle w:val="NoSpacing"/>
        <w:jc w:val="both"/>
      </w:pPr>
    </w:p>
    <w:p w:rsidR="00F961C2" w:rsidRPr="00011352" w:rsidRDefault="00F961C2" w:rsidP="00775B27">
      <w:pPr>
        <w:pStyle w:val="NoSpacing"/>
        <w:jc w:val="both"/>
        <w:rPr>
          <w:i/>
        </w:rPr>
      </w:pPr>
      <w:r w:rsidRPr="00011352">
        <w:rPr>
          <w:i/>
        </w:rPr>
        <w:t>Welke wetswijzigingen hebben plaatsgevonden en wat zijn de gevolgen?</w:t>
      </w:r>
    </w:p>
    <w:p w:rsidR="00F961C2" w:rsidRDefault="00F961C2" w:rsidP="00775B27">
      <w:pPr>
        <w:pStyle w:val="NoSpacing"/>
        <w:jc w:val="both"/>
      </w:pPr>
      <w:r>
        <w:t xml:space="preserve">Naar aanleiding van deze deelvraag worden in Hoofdstuk 3 de recente wetswijzigingen besproken en wat deze voor gevolgen hebben. </w:t>
      </w:r>
      <w:r w:rsidR="008165B2">
        <w:t xml:space="preserve">De herziene richtlijn voor de jaarverslaggeving van </w:t>
      </w:r>
      <w:proofErr w:type="spellStart"/>
      <w:r w:rsidR="008165B2">
        <w:t>woningcorpora</w:t>
      </w:r>
      <w:r w:rsidR="00733B71">
        <w:t>-</w:t>
      </w:r>
      <w:r w:rsidR="008165B2">
        <w:t>ties</w:t>
      </w:r>
      <w:proofErr w:type="spellEnd"/>
      <w:r w:rsidR="008165B2">
        <w:t xml:space="preserve"> in RJ 645 beslaat het grootste gedeelte van dit hoofdstuk</w:t>
      </w:r>
      <w:r>
        <w:t xml:space="preserve">. De oude RJ 645 en waarom de </w:t>
      </w:r>
      <w:proofErr w:type="spellStart"/>
      <w:r>
        <w:t>veran</w:t>
      </w:r>
      <w:r w:rsidR="00733B71">
        <w:t>-</w:t>
      </w:r>
      <w:r>
        <w:t>deringen</w:t>
      </w:r>
      <w:proofErr w:type="spellEnd"/>
      <w:r>
        <w:t xml:space="preserve"> hebben plaatsgevonden komen ook aan bod. </w:t>
      </w:r>
    </w:p>
    <w:p w:rsidR="00F961C2" w:rsidRDefault="00F961C2" w:rsidP="00775B27">
      <w:pPr>
        <w:pStyle w:val="NoSpacing"/>
        <w:jc w:val="both"/>
      </w:pPr>
    </w:p>
    <w:p w:rsidR="00F961C2" w:rsidRPr="00011352" w:rsidRDefault="00F961C2" w:rsidP="00775B27">
      <w:pPr>
        <w:pStyle w:val="NoSpacing"/>
        <w:jc w:val="both"/>
        <w:rPr>
          <w:i/>
        </w:rPr>
      </w:pPr>
      <w:r>
        <w:rPr>
          <w:i/>
        </w:rPr>
        <w:t>Wat is het belang van de waarderingsmethode</w:t>
      </w:r>
      <w:r w:rsidRPr="00011352">
        <w:rPr>
          <w:i/>
        </w:rPr>
        <w:t>?</w:t>
      </w:r>
    </w:p>
    <w:p w:rsidR="00F961C2" w:rsidRDefault="00F961C2" w:rsidP="00775B27">
      <w:pPr>
        <w:pStyle w:val="NoSpacing"/>
        <w:jc w:val="both"/>
      </w:pPr>
      <w:r>
        <w:t xml:space="preserve">In Hoofdstuk 4 volgt een antwoord op wat de gevolgen zijn van de keuze voor een </w:t>
      </w:r>
      <w:proofErr w:type="spellStart"/>
      <w:r>
        <w:t>waarderings</w:t>
      </w:r>
      <w:r w:rsidR="00733B71">
        <w:t>-</w:t>
      </w:r>
      <w:r>
        <w:t>methode</w:t>
      </w:r>
      <w:proofErr w:type="spellEnd"/>
      <w:r>
        <w:t xml:space="preserve">. Het is een vervolg op de eerste deelvraag, maar de twee overlappen </w:t>
      </w:r>
      <w:proofErr w:type="gramStart"/>
      <w:r>
        <w:t>elkaar</w:t>
      </w:r>
      <w:proofErr w:type="gramEnd"/>
      <w:r>
        <w:t xml:space="preserve"> niet. In deze deelvraag wordt vooral ingegaan op wat waarderingsmethoden betekenen voor het inzicht in de financiële positie. Ook wordt gekeken naar de invulling van</w:t>
      </w:r>
      <w:r w:rsidR="008165B2">
        <w:t xml:space="preserve"> het begrip</w:t>
      </w:r>
      <w:r>
        <w:t xml:space="preserve"> bedrijfswaarde, de gevolgen van het uitgangspunt van winstmaximalisatie en het commercieel waarderen van onroerend goed. </w:t>
      </w:r>
      <w:r w:rsidR="008165B2">
        <w:t>Het hoofdstuk besluit met</w:t>
      </w:r>
      <w:r>
        <w:t xml:space="preserve"> de gevolgen van waarderingsmethoden op het financieringsprobleem in het kader van de gestelde financiële voorwaarden.</w:t>
      </w:r>
    </w:p>
    <w:p w:rsidR="00F961C2" w:rsidRDefault="00F961C2" w:rsidP="00775B27">
      <w:pPr>
        <w:pStyle w:val="NoSpacing"/>
        <w:jc w:val="both"/>
      </w:pPr>
    </w:p>
    <w:p w:rsidR="00F961C2" w:rsidRPr="00022785" w:rsidRDefault="00F961C2" w:rsidP="00775B27">
      <w:pPr>
        <w:pStyle w:val="NoSpacing"/>
        <w:jc w:val="both"/>
        <w:rPr>
          <w:i/>
        </w:rPr>
      </w:pPr>
      <w:r>
        <w:rPr>
          <w:i/>
        </w:rPr>
        <w:t>Welke methode geeft het beste inzicht in de financiële positie?</w:t>
      </w:r>
    </w:p>
    <w:p w:rsidR="00F961C2" w:rsidRDefault="00F961C2" w:rsidP="00775B27">
      <w:pPr>
        <w:pStyle w:val="NoSpacing"/>
        <w:jc w:val="both"/>
      </w:pPr>
      <w:r>
        <w:t xml:space="preserve">In Hoofdstuk 5 wordt aangegeven wat het meest ‘wenselijk’ is. Om te bepalen wat wenselijk </w:t>
      </w:r>
      <w:proofErr w:type="gramStart"/>
      <w:r>
        <w:t xml:space="preserve">is  </w:t>
      </w:r>
      <w:proofErr w:type="gramEnd"/>
      <w:r>
        <w:t>wordt uitgegaan van het</w:t>
      </w:r>
      <w:r w:rsidR="008165B2">
        <w:t xml:space="preserve"> doel van externe verslaggeving, n</w:t>
      </w:r>
      <w:r>
        <w:t xml:space="preserve">amelijk dat de </w:t>
      </w:r>
      <w:proofErr w:type="spellStart"/>
      <w:r>
        <w:t>stakeholders</w:t>
      </w:r>
      <w:proofErr w:type="spellEnd"/>
      <w:r>
        <w:t xml:space="preserve"> goed geïnformeerd moeten worden over de financiële positie van de corporatie. Er wordt gezocht naar de methode die het beste inzicht geeft in de financiële positie.</w:t>
      </w:r>
    </w:p>
    <w:p w:rsidR="00F961C2" w:rsidRDefault="00F961C2" w:rsidP="00775B27">
      <w:pPr>
        <w:pStyle w:val="NoSpacing"/>
        <w:jc w:val="both"/>
      </w:pPr>
    </w:p>
    <w:p w:rsidR="00F961C2" w:rsidRDefault="008165B2" w:rsidP="00775B27">
      <w:pPr>
        <w:jc w:val="both"/>
      </w:pPr>
      <w:r>
        <w:t>De doelstelling is</w:t>
      </w:r>
      <w:r w:rsidR="00F961C2">
        <w:t xml:space="preserve"> te onde</w:t>
      </w:r>
      <w:r>
        <w:t>rzoeken of woningcorporaties</w:t>
      </w:r>
      <w:r w:rsidR="00F961C2">
        <w:t xml:space="preserve"> een vertekend beeld kunnen geven van hun financiële positie. Wel</w:t>
      </w:r>
      <w:r>
        <w:t>ke methode is het meest passend, o</w:t>
      </w:r>
      <w:r w:rsidR="00F961C2">
        <w:t xml:space="preserve">f </w:t>
      </w:r>
      <w:r>
        <w:t xml:space="preserve">het meest </w:t>
      </w:r>
      <w:r w:rsidR="00F961C2">
        <w:t>transparant? Eerst worden de waarderingsmethoden met elkaar vergeleken en daarna wat dit betekent voor woningcor</w:t>
      </w:r>
      <w:r>
        <w:t>poraties. Er wordt geprobeerd</w:t>
      </w:r>
      <w:r w:rsidR="00F961C2">
        <w:t xml:space="preserve"> een uitspraak te doen </w:t>
      </w:r>
      <w:r>
        <w:t>over</w:t>
      </w:r>
      <w:r w:rsidR="00F961C2">
        <w:t xml:space="preserve"> de g</w:t>
      </w:r>
      <w:r>
        <w:t>evolgen van de nieuwe wetgeving.</w:t>
      </w:r>
    </w:p>
    <w:p w:rsidR="00F961C2" w:rsidRDefault="00F961C2" w:rsidP="00775B27">
      <w:pPr>
        <w:jc w:val="both"/>
      </w:pPr>
      <w:r>
        <w:t xml:space="preserve">Deze scriptie is voornamelijk een literatuurstudie. Relevante bronnen over dit onderwerp zullen geraadpleegd worden in de vorm van wetenschappelijke artikelen, jaarrekeningen en onderzoeken. Veel gegevens van woningcorporaties zijn </w:t>
      </w:r>
      <w:proofErr w:type="gramStart"/>
      <w:r>
        <w:t>de</w:t>
      </w:r>
      <w:proofErr w:type="gramEnd"/>
      <w:r>
        <w:t xml:space="preserve"> vinden op de website van het Centraal Fonds </w:t>
      </w:r>
      <w:proofErr w:type="spellStart"/>
      <w:r>
        <w:t>Volks</w:t>
      </w:r>
      <w:r w:rsidR="00733B71">
        <w:t>-</w:t>
      </w:r>
      <w:r>
        <w:t>huisvesting</w:t>
      </w:r>
      <w:proofErr w:type="spellEnd"/>
      <w:r>
        <w:t xml:space="preserve">. </w:t>
      </w:r>
    </w:p>
    <w:p w:rsidR="005E0DB9" w:rsidRPr="002024B1" w:rsidRDefault="005E0DB9" w:rsidP="00F807B2">
      <w:pPr>
        <w:pStyle w:val="Heading2"/>
        <w:rPr>
          <w:color w:val="auto"/>
        </w:rPr>
      </w:pPr>
      <w:r w:rsidRPr="002024B1">
        <w:rPr>
          <w:color w:val="auto"/>
        </w:rPr>
        <w:t>Lijst van gebruikte afkortingen</w:t>
      </w:r>
    </w:p>
    <w:p w:rsidR="00F807B2" w:rsidRDefault="00F807B2" w:rsidP="005E0DB9">
      <w:r>
        <w:t>BAW</w:t>
      </w:r>
      <w:proofErr w:type="gramStart"/>
      <w:r>
        <w:t>:</w:t>
      </w:r>
      <w:r>
        <w:tab/>
      </w:r>
      <w:r>
        <w:tab/>
        <w:t>Besluit</w:t>
      </w:r>
      <w:proofErr w:type="gramEnd"/>
      <w:r>
        <w:t xml:space="preserve"> Actuele Waarde</w:t>
      </w:r>
    </w:p>
    <w:p w:rsidR="006900CE" w:rsidRDefault="006900CE" w:rsidP="005E0DB9">
      <w:r>
        <w:t>BW</w:t>
      </w:r>
      <w:proofErr w:type="gramStart"/>
      <w:r>
        <w:t>:</w:t>
      </w:r>
      <w:r>
        <w:tab/>
      </w:r>
      <w:r>
        <w:tab/>
        <w:t>Burgerlijk</w:t>
      </w:r>
      <w:proofErr w:type="gramEnd"/>
      <w:r>
        <w:t xml:space="preserve"> Wetboek</w:t>
      </w:r>
    </w:p>
    <w:p w:rsidR="005E0DB9" w:rsidRDefault="005E0DB9" w:rsidP="005E0DB9">
      <w:r>
        <w:t xml:space="preserve">CFV: </w:t>
      </w:r>
      <w:r>
        <w:tab/>
      </w:r>
      <w:r>
        <w:tab/>
        <w:t>Centraal Fonds Volkshuisvesting</w:t>
      </w:r>
    </w:p>
    <w:p w:rsidR="005E0DB9" w:rsidRDefault="005E0DB9" w:rsidP="005E0DB9">
      <w:r>
        <w:t>BBSH</w:t>
      </w:r>
      <w:proofErr w:type="gramStart"/>
      <w:r>
        <w:t>:</w:t>
      </w:r>
      <w:r>
        <w:tab/>
      </w:r>
      <w:r>
        <w:tab/>
        <w:t>Besluit</w:t>
      </w:r>
      <w:proofErr w:type="gramEnd"/>
      <w:r>
        <w:t xml:space="preserve"> Beheer Sociale Huursector</w:t>
      </w:r>
    </w:p>
    <w:p w:rsidR="005E0DB9" w:rsidRDefault="005E0DB9" w:rsidP="005E0DB9">
      <w:r>
        <w:t>DAEB</w:t>
      </w:r>
      <w:proofErr w:type="gramStart"/>
      <w:r>
        <w:t>:</w:t>
      </w:r>
      <w:r>
        <w:tab/>
      </w:r>
      <w:r>
        <w:tab/>
        <w:t>Diensten</w:t>
      </w:r>
      <w:proofErr w:type="gramEnd"/>
      <w:r>
        <w:t xml:space="preserve"> van Algemeen Economisch Belang</w:t>
      </w:r>
    </w:p>
    <w:p w:rsidR="005E0DB9" w:rsidRDefault="005E0DB9" w:rsidP="005E0DB9">
      <w:r>
        <w:t>RJ</w:t>
      </w:r>
      <w:proofErr w:type="gramStart"/>
      <w:r>
        <w:t>:</w:t>
      </w:r>
      <w:r>
        <w:tab/>
      </w:r>
      <w:r>
        <w:tab/>
        <w:t>Raad</w:t>
      </w:r>
      <w:proofErr w:type="gramEnd"/>
      <w:r>
        <w:t>/Richtlijnen van de Jaarverslaggeving</w:t>
      </w:r>
    </w:p>
    <w:p w:rsidR="005E0DB9" w:rsidRDefault="005E0DB9" w:rsidP="005E0DB9">
      <w:r>
        <w:t>VTW</w:t>
      </w:r>
      <w:proofErr w:type="gramStart"/>
      <w:r>
        <w:t>:</w:t>
      </w:r>
      <w:r>
        <w:tab/>
      </w:r>
      <w:r>
        <w:tab/>
        <w:t>Vereniging</w:t>
      </w:r>
      <w:proofErr w:type="gramEnd"/>
      <w:r>
        <w:t xml:space="preserve"> Toezichthouders Woningcorporaties</w:t>
      </w:r>
    </w:p>
    <w:p w:rsidR="008165B2" w:rsidRDefault="005E0DB9" w:rsidP="008165B2">
      <w:r>
        <w:t>WSW</w:t>
      </w:r>
      <w:proofErr w:type="gramStart"/>
      <w:r>
        <w:t>:</w:t>
      </w:r>
      <w:r>
        <w:tab/>
      </w:r>
      <w:r>
        <w:tab/>
        <w:t>Waarborgfonds</w:t>
      </w:r>
      <w:proofErr w:type="gramEnd"/>
      <w:r>
        <w:t xml:space="preserve"> Sociale Woningbouw</w:t>
      </w:r>
    </w:p>
    <w:p w:rsidR="008165B2" w:rsidRDefault="008165B2" w:rsidP="008165B2"/>
    <w:p w:rsidR="00F961C2" w:rsidRPr="002024B1" w:rsidRDefault="00F961C2" w:rsidP="00F961C2">
      <w:pPr>
        <w:pStyle w:val="Heading2"/>
        <w:rPr>
          <w:color w:val="auto"/>
        </w:rPr>
      </w:pPr>
      <w:r w:rsidRPr="002024B1">
        <w:rPr>
          <w:color w:val="auto"/>
        </w:rPr>
        <w:t>1: Waarderingsmethoden van vastgoed gebruikt door woningcorporaties.</w:t>
      </w:r>
    </w:p>
    <w:p w:rsidR="00F961C2" w:rsidRPr="002024B1" w:rsidRDefault="00F961C2" w:rsidP="00F961C2"/>
    <w:p w:rsidR="00F961C2" w:rsidRPr="002024B1" w:rsidRDefault="00F961C2" w:rsidP="00F961C2">
      <w:pPr>
        <w:pStyle w:val="Heading3"/>
        <w:numPr>
          <w:ilvl w:val="1"/>
          <w:numId w:val="1"/>
        </w:numPr>
        <w:rPr>
          <w:color w:val="auto"/>
        </w:rPr>
      </w:pPr>
      <w:r w:rsidRPr="002024B1">
        <w:rPr>
          <w:color w:val="auto"/>
        </w:rPr>
        <w:t>Inleiding.</w:t>
      </w:r>
    </w:p>
    <w:p w:rsidR="00F961C2" w:rsidRDefault="00F961C2" w:rsidP="00775B27">
      <w:pPr>
        <w:jc w:val="both"/>
      </w:pPr>
      <w:r>
        <w:t xml:space="preserve">In het eerste hoofdstuk worden </w:t>
      </w:r>
      <w:r w:rsidR="008165B2">
        <w:t xml:space="preserve">de </w:t>
      </w:r>
      <w:r>
        <w:t xml:space="preserve">waarderingsgrondslagen van vastgoed uiteengezet. Het gaat om waarderingsgrondslagen die relevant zijn voor woningcorporaties. Het kan zijn dat ze al in gebruik zijn of dat ze in de toekomst toegepast zouden kunnen worden. De </w:t>
      </w:r>
      <w:proofErr w:type="spellStart"/>
      <w:r>
        <w:t>volkshuisvestelijke</w:t>
      </w:r>
      <w:proofErr w:type="spellEnd"/>
      <w:r>
        <w:t xml:space="preserve"> </w:t>
      </w:r>
      <w:proofErr w:type="spellStart"/>
      <w:r>
        <w:t>expl</w:t>
      </w:r>
      <w:r w:rsidR="008165B2">
        <w:t>oitatie</w:t>
      </w:r>
      <w:r w:rsidR="00733B71">
        <w:t>-</w:t>
      </w:r>
      <w:r w:rsidR="008165B2">
        <w:t>waarde</w:t>
      </w:r>
      <w:proofErr w:type="spellEnd"/>
      <w:r w:rsidR="008165B2">
        <w:t xml:space="preserve"> is </w:t>
      </w:r>
      <w:proofErr w:type="gramStart"/>
      <w:r w:rsidR="008165B2">
        <w:t>zo’n</w:t>
      </w:r>
      <w:proofErr w:type="gramEnd"/>
      <w:r w:rsidR="008165B2">
        <w:t xml:space="preserve"> begrip dat</w:t>
      </w:r>
      <w:r>
        <w:t xml:space="preserve"> in de toekomst van belang zou kunnen worden. </w:t>
      </w:r>
    </w:p>
    <w:p w:rsidR="00F961C2" w:rsidRDefault="008165B2" w:rsidP="00775B27">
      <w:pPr>
        <w:jc w:val="both"/>
      </w:pPr>
      <w:r>
        <w:t>De waarde van</w:t>
      </w:r>
      <w:r w:rsidR="00F961C2">
        <w:t xml:space="preserve"> sociale huurwoningen wordt uitgedrukt in een geldbedrag. Het gaat hier echter niet om een objectief begrip van waarde. Deze waarde is namelijk afhankelijk van de gekozen </w:t>
      </w:r>
      <w:proofErr w:type="spellStart"/>
      <w:r w:rsidR="00F961C2">
        <w:t>waard</w:t>
      </w:r>
      <w:r w:rsidR="00733B71">
        <w:t>-</w:t>
      </w:r>
      <w:r w:rsidR="00F961C2">
        <w:t>eringsgrondslag</w:t>
      </w:r>
      <w:proofErr w:type="spellEnd"/>
      <w:r w:rsidR="00F961C2">
        <w:t xml:space="preserve"> en die is afhankelijk van taxatie, verwachte toekomstige kosten, inkomsten en </w:t>
      </w:r>
      <w:proofErr w:type="spellStart"/>
      <w:r w:rsidR="00F961C2">
        <w:t>ver</w:t>
      </w:r>
      <w:r w:rsidR="00733B71">
        <w:t>-</w:t>
      </w:r>
      <w:r w:rsidR="00F961C2">
        <w:t>disconteringvoet</w:t>
      </w:r>
      <w:proofErr w:type="spellEnd"/>
      <w:r w:rsidR="00F961C2">
        <w:t xml:space="preserve">. Paragraaf </w:t>
      </w:r>
      <w:proofErr w:type="gramStart"/>
      <w:r w:rsidR="00F961C2">
        <w:t xml:space="preserve">1.2  </w:t>
      </w:r>
      <w:proofErr w:type="gramEnd"/>
      <w:r w:rsidR="00F961C2">
        <w:t xml:space="preserve">gaat in op de historische kostprijs minus afschrijvingen. Paragraaf 1.3 gaat in op de actuele waarde, ook wel bedrijfswaarde genoemd. In paragraaf 1.4 wordt aandacht </w:t>
      </w:r>
      <w:proofErr w:type="spellStart"/>
      <w:r w:rsidR="00F961C2">
        <w:t>ge</w:t>
      </w:r>
      <w:r w:rsidR="00733B71">
        <w:t>-</w:t>
      </w:r>
      <w:r w:rsidR="00F961C2">
        <w:t>schonken</w:t>
      </w:r>
      <w:proofErr w:type="spellEnd"/>
      <w:r w:rsidR="00F961C2">
        <w:t xml:space="preserve"> aan de marktwaarde. Tot slot gaat paragraaf 1.5 in op de </w:t>
      </w:r>
      <w:proofErr w:type="spellStart"/>
      <w:r w:rsidR="00F961C2">
        <w:t>volkshuisvestelijke</w:t>
      </w:r>
      <w:proofErr w:type="spellEnd"/>
      <w:r w:rsidR="00F961C2">
        <w:t xml:space="preserve"> </w:t>
      </w:r>
      <w:proofErr w:type="spellStart"/>
      <w:r w:rsidR="00F961C2">
        <w:t>exploitatie</w:t>
      </w:r>
      <w:r w:rsidR="00733B71">
        <w:t>-</w:t>
      </w:r>
      <w:r w:rsidR="00F961C2">
        <w:t>waarde</w:t>
      </w:r>
      <w:proofErr w:type="spellEnd"/>
      <w:r w:rsidR="00F961C2">
        <w:t xml:space="preserve">. </w:t>
      </w:r>
    </w:p>
    <w:p w:rsidR="00F961C2" w:rsidRPr="002024B1" w:rsidRDefault="00C90753" w:rsidP="00F961C2">
      <w:pPr>
        <w:pStyle w:val="Heading3"/>
        <w:numPr>
          <w:ilvl w:val="1"/>
          <w:numId w:val="1"/>
        </w:numPr>
        <w:rPr>
          <w:color w:val="auto"/>
        </w:rPr>
      </w:pPr>
      <w:r w:rsidRPr="002024B1">
        <w:rPr>
          <w:color w:val="auto"/>
        </w:rPr>
        <w:t>Kostprijsmodel</w:t>
      </w:r>
    </w:p>
    <w:p w:rsidR="00F961C2" w:rsidRDefault="00F961C2" w:rsidP="00775B27">
      <w:pPr>
        <w:jc w:val="both"/>
      </w:pPr>
      <w:r>
        <w:t xml:space="preserve">De historische kostprijs als grondslag voor waardering van onroerend goed bestaat uit de </w:t>
      </w:r>
      <w:proofErr w:type="spellStart"/>
      <w:r>
        <w:t>verkrijg</w:t>
      </w:r>
      <w:r w:rsidR="00733B71">
        <w:t>-</w:t>
      </w:r>
      <w:r>
        <w:t>ings</w:t>
      </w:r>
      <w:proofErr w:type="spellEnd"/>
      <w:r>
        <w:t xml:space="preserve">- of </w:t>
      </w:r>
      <w:proofErr w:type="spellStart"/>
      <w:r>
        <w:t>vervaardigingsprijs</w:t>
      </w:r>
      <w:proofErr w:type="spellEnd"/>
      <w:r>
        <w:t xml:space="preserve"> en de overige kosten die gemaakt moeten worden om het pand in de staat te krijgen die nodig is voor het beoogde gebruik (IAS 16.16, RJ 212.302). De </w:t>
      </w:r>
      <w:proofErr w:type="spellStart"/>
      <w:r>
        <w:t>verkrijgingsprijs</w:t>
      </w:r>
      <w:proofErr w:type="spellEnd"/>
      <w:r>
        <w:t xml:space="preserve"> is de prijs die betaald moest worden om het actief in bezit te krijgen (RJ 120.202). Bijkomende kosten behoren ook tot de </w:t>
      </w:r>
      <w:proofErr w:type="spellStart"/>
      <w:r>
        <w:t>verkrijgingsprijs</w:t>
      </w:r>
      <w:proofErr w:type="spellEnd"/>
      <w:r>
        <w:t xml:space="preserve">. Woonstad Rotterdam is een woningcorporatie die over het verslagjaar 2011 nog gebruik maakte van de historische kostprijs als waarderingsgrondslag voor woningen. In het jaarverslag over 2011 noemt zij als bijkomende kosten: rente tijdens de bouw, toezicht, ontwikkeling en administratie. </w:t>
      </w:r>
    </w:p>
    <w:p w:rsidR="00F961C2" w:rsidRDefault="00F961C2" w:rsidP="00775B27">
      <w:pPr>
        <w:jc w:val="both"/>
      </w:pPr>
      <w:r>
        <w:t xml:space="preserve">Wanneer er investeringen worden gedaan kunnen deze worden geactiveerd en toegevoegd aan de waarde op basis van historische kostprijs. Volgens RJ 212.206 zit het onderscheid tussen </w:t>
      </w:r>
      <w:proofErr w:type="spellStart"/>
      <w:r>
        <w:t>investering</w:t>
      </w:r>
      <w:r w:rsidR="00733B71">
        <w:t>-</w:t>
      </w:r>
      <w:r>
        <w:t>en</w:t>
      </w:r>
      <w:proofErr w:type="spellEnd"/>
      <w:r>
        <w:t xml:space="preserve"> en onderhoud in de waarschijnlijkheid van economische voordelen. Om tot activering over te </w:t>
      </w:r>
      <w:proofErr w:type="spellStart"/>
      <w:r>
        <w:t>kun</w:t>
      </w:r>
      <w:r w:rsidR="00733B71">
        <w:t>-</w:t>
      </w:r>
      <w:r>
        <w:t>nen</w:t>
      </w:r>
      <w:proofErr w:type="spellEnd"/>
      <w:r>
        <w:t xml:space="preserve"> gaan dient er sprake te zijn van een verhoging van het prestatievermogen. Dit kunnen zijn: </w:t>
      </w:r>
      <w:proofErr w:type="spellStart"/>
      <w:r>
        <w:t>kos</w:t>
      </w:r>
      <w:r w:rsidR="00733B71">
        <w:t>-</w:t>
      </w:r>
      <w:r>
        <w:t>ten</w:t>
      </w:r>
      <w:proofErr w:type="spellEnd"/>
      <w:r>
        <w:t xml:space="preserve"> voor grootonderhoud en renovaties die leiden tot gebruiksduurverlenging en </w:t>
      </w:r>
      <w:proofErr w:type="gramStart"/>
      <w:r>
        <w:t xml:space="preserve">huurverhogingen.  </w:t>
      </w:r>
      <w:proofErr w:type="gramEnd"/>
    </w:p>
    <w:p w:rsidR="00F961C2" w:rsidRDefault="00F961C2" w:rsidP="00775B27">
      <w:pPr>
        <w:jc w:val="both"/>
        <w:rPr>
          <w:color w:val="FF0000"/>
        </w:rPr>
      </w:pPr>
      <w:r>
        <w:t xml:space="preserve">Afschrijvingen worden aan het begin van de periode vastgesteld. De methode staat vast, zodat het waardeverloop van het onroerend goed van te voren duidelijk is (Gruis, 2001). Afschrijvingstermijnen zijn over het algemeen gelijk aan de exploitatieduur van de woningen. De woningcorporaties hebben enige mate van vrijheid aangezien ze zelf de afschrijvingsmethode kunnen kiezen. In het Handboek Woningcorporaties (2012) wordt vermeld dat de </w:t>
      </w:r>
      <w:proofErr w:type="spellStart"/>
      <w:r>
        <w:t>annuïtaire</w:t>
      </w:r>
      <w:proofErr w:type="spellEnd"/>
      <w:r>
        <w:t xml:space="preserve"> afschrijvingsmethode niet passend is voor woningcorporaties. Afschrijvingen dienen de waardevermindering van het actief zo goed </w:t>
      </w:r>
      <w:proofErr w:type="spellStart"/>
      <w:r>
        <w:t>moge</w:t>
      </w:r>
      <w:r w:rsidR="00733B71">
        <w:t>-</w:t>
      </w:r>
      <w:r>
        <w:t>lijk</w:t>
      </w:r>
      <w:proofErr w:type="spellEnd"/>
      <w:r>
        <w:t xml:space="preserve"> te benaderen. De </w:t>
      </w:r>
      <w:proofErr w:type="spellStart"/>
      <w:r>
        <w:t>annuïtaire</w:t>
      </w:r>
      <w:proofErr w:type="spellEnd"/>
      <w:r>
        <w:t xml:space="preserve"> afschrijvingsmethode is een progressief afschrijvingssysteem, dit past niet bij het gebruikspatroon van sociale huurwoningen (RJ 645.212). In de praktijk wordt deze methode toch het meest gehanteerd.</w:t>
      </w:r>
      <w:r w:rsidR="00DC0500">
        <w:t xml:space="preserve"> </w:t>
      </w:r>
    </w:p>
    <w:p w:rsidR="00DC0500" w:rsidRPr="00DC0500" w:rsidRDefault="00DC0500" w:rsidP="00F961C2">
      <w:pPr>
        <w:rPr>
          <w:color w:val="FF0000"/>
        </w:rPr>
      </w:pPr>
    </w:p>
    <w:p w:rsidR="00F961C2" w:rsidRPr="002024B1" w:rsidRDefault="00F961C2" w:rsidP="00F961C2">
      <w:pPr>
        <w:pStyle w:val="Heading3"/>
        <w:numPr>
          <w:ilvl w:val="1"/>
          <w:numId w:val="1"/>
        </w:numPr>
        <w:rPr>
          <w:color w:val="auto"/>
        </w:rPr>
      </w:pPr>
      <w:r w:rsidRPr="002024B1">
        <w:rPr>
          <w:color w:val="auto"/>
        </w:rPr>
        <w:t>Bedrijfswaarde</w:t>
      </w:r>
    </w:p>
    <w:p w:rsidR="00F961C2" w:rsidRDefault="00F961C2" w:rsidP="00775B27">
      <w:pPr>
        <w:jc w:val="both"/>
      </w:pPr>
      <w:r>
        <w:t xml:space="preserve">Een door woningcorporaties veelgebruikte waarderingsgrondslag is de bedrijfswaarde. De </w:t>
      </w:r>
      <w:proofErr w:type="spellStart"/>
      <w:r>
        <w:t>bedrijfs</w:t>
      </w:r>
      <w:r w:rsidR="00733B71">
        <w:t>-</w:t>
      </w:r>
      <w:r>
        <w:t>waarde</w:t>
      </w:r>
      <w:proofErr w:type="spellEnd"/>
      <w:r>
        <w:t xml:space="preserve"> van een sociale huurwoning is de contante waarde van toekomst</w:t>
      </w:r>
      <w:r w:rsidR="00DC0500">
        <w:t xml:space="preserve">ige kaststromen van die </w:t>
      </w:r>
      <w:proofErr w:type="spellStart"/>
      <w:r>
        <w:t>wo</w:t>
      </w:r>
      <w:r w:rsidR="00733B71">
        <w:t>-</w:t>
      </w:r>
      <w:r>
        <w:t>ning</w:t>
      </w:r>
      <w:proofErr w:type="spellEnd"/>
      <w:r>
        <w:t xml:space="preserve">. Dit </w:t>
      </w:r>
      <w:r w:rsidR="00DC0500">
        <w:t>omvat</w:t>
      </w:r>
      <w:r>
        <w:t xml:space="preserve"> de ingaande en uitgaande kasstromen. De contante waarde van toekomstige kosten en de contante waarde van de restwaarde behoren </w:t>
      </w:r>
      <w:proofErr w:type="gramStart"/>
      <w:r>
        <w:t>derhalve</w:t>
      </w:r>
      <w:proofErr w:type="gramEnd"/>
      <w:r>
        <w:t xml:space="preserve"> ook tot de bedrijfswaarde (Handboek Jaarrekening, 2011). De bedrijfswaarde is dus een zeer subj</w:t>
      </w:r>
      <w:r w:rsidR="00DC0500">
        <w:t>ectieve waardebepaling omdat die</w:t>
      </w:r>
      <w:r>
        <w:t xml:space="preserve"> uitgaat van verwachtingen. Toekomstige ingaande kasstromen zijn bekend, ook stijgingen hierin zijn goed te voorspellen. De vraag is in hoeverre woningcorporaties kunnen </w:t>
      </w:r>
      <w:proofErr w:type="gramStart"/>
      <w:r>
        <w:t>inschatten</w:t>
      </w:r>
      <w:proofErr w:type="gramEnd"/>
      <w:r>
        <w:t xml:space="preserve"> welke kosten in de </w:t>
      </w:r>
      <w:proofErr w:type="spellStart"/>
      <w:r>
        <w:t>toe</w:t>
      </w:r>
      <w:r w:rsidR="00733B71">
        <w:t>-</w:t>
      </w:r>
      <w:r>
        <w:t>komst</w:t>
      </w:r>
      <w:proofErr w:type="spellEnd"/>
      <w:r>
        <w:t xml:space="preserve"> gemaakt zullen worden en wat de restwaarde </w:t>
      </w:r>
      <w:r w:rsidR="00DC0500">
        <w:t xml:space="preserve">van een woning </w:t>
      </w:r>
      <w:r>
        <w:t xml:space="preserve">over X jaar is. </w:t>
      </w:r>
    </w:p>
    <w:p w:rsidR="00F961C2" w:rsidRDefault="00F961C2" w:rsidP="00775B27">
      <w:pPr>
        <w:jc w:val="both"/>
      </w:pPr>
      <w:r>
        <w:t>Schattingen van kasstromen bestaan uit prognoses van de kasontvangsten bij voortgezet gebruik van het actief en kasu</w:t>
      </w:r>
      <w:r w:rsidR="000B7E0C">
        <w:t>itgaven die noodzakelijk zijn</w:t>
      </w:r>
      <w:r>
        <w:t xml:space="preserve"> kasontvangsten te generen (RJ 121.311). Als laatste dient de restwaarde van het actief te worden geschat (RJ 121.320). </w:t>
      </w:r>
    </w:p>
    <w:p w:rsidR="00F961C2" w:rsidRDefault="00F961C2" w:rsidP="00775B27">
      <w:pPr>
        <w:jc w:val="both"/>
      </w:pPr>
      <w:r>
        <w:t>Daarnaast is de gebruikte disconteringvoet van grote invloed. Dit is ook altijd een schatting en aan verandering onderhevig. De disconteringsvoet moet de actuele marktrente en de specifieke risico’s met betrekking tot het actief weergeven (RJ 121.323). In de praktijk hanteren woningcorporaties de disconteringsvoet die wordt berekend door het Waarborgfonds Sociale Woningbouw (WSW). Op de website van het WSW wordt deze toegelicht (</w:t>
      </w:r>
      <w:hyperlink r:id="rId8" w:history="1">
        <w:r w:rsidRPr="00877124">
          <w:rPr>
            <w:rStyle w:val="Hyperlink"/>
          </w:rPr>
          <w:t>www.wsw.nl</w:t>
        </w:r>
      </w:hyperlink>
      <w:r>
        <w:t xml:space="preserve">). </w:t>
      </w:r>
      <w:r>
        <w:rPr>
          <w:rFonts w:cs="Arial"/>
        </w:rPr>
        <w:t>A</w:t>
      </w:r>
      <w:r w:rsidRPr="00877124">
        <w:rPr>
          <w:rFonts w:cs="Arial"/>
        </w:rPr>
        <w:t xml:space="preserve">lgemene inflatie (2%), reële rente </w:t>
      </w:r>
      <w:proofErr w:type="spellStart"/>
      <w:r w:rsidRPr="00877124">
        <w:rPr>
          <w:rFonts w:cs="Arial"/>
        </w:rPr>
        <w:t>tien</w:t>
      </w:r>
      <w:r w:rsidR="00733B71">
        <w:rPr>
          <w:rFonts w:cs="Arial"/>
        </w:rPr>
        <w:t>-</w:t>
      </w:r>
      <w:r w:rsidRPr="00877124">
        <w:rPr>
          <w:rFonts w:cs="Arial"/>
        </w:rPr>
        <w:t>jaars-staatsleningen</w:t>
      </w:r>
      <w:proofErr w:type="spellEnd"/>
      <w:r w:rsidRPr="00877124">
        <w:rPr>
          <w:rFonts w:cs="Arial"/>
        </w:rPr>
        <w:t xml:space="preserve"> (2,5%), een algemene spread voor de corporaties (0,50%) en een kostentoeslag van 0,25% die voortvloeit uit de overige financieringskosten.</w:t>
      </w:r>
      <w:r>
        <w:rPr>
          <w:rFonts w:cs="Arial"/>
        </w:rPr>
        <w:t xml:space="preserve"> Dit brengt de disconteringsvoet tot 5,25% voor het jaar 2012. Dit percentage geeft aan welk rendement wordt vereist op investeringen. </w:t>
      </w:r>
    </w:p>
    <w:p w:rsidR="00F961C2" w:rsidRDefault="00F961C2" w:rsidP="00775B27">
      <w:pPr>
        <w:jc w:val="both"/>
      </w:pPr>
      <w:r>
        <w:t>Bij berekening van de bedrijfswaarde zijn de volgende uitgangspunten en parameters van belang: (Handboek Woningcorporaties, 2012)</w:t>
      </w:r>
    </w:p>
    <w:p w:rsidR="00F961C2" w:rsidRPr="002024B1" w:rsidRDefault="00F961C2" w:rsidP="00F961C2">
      <w:pPr>
        <w:pStyle w:val="Heading4"/>
        <w:numPr>
          <w:ilvl w:val="0"/>
          <w:numId w:val="4"/>
        </w:numPr>
        <w:rPr>
          <w:color w:val="auto"/>
        </w:rPr>
      </w:pPr>
      <w:r w:rsidRPr="002024B1">
        <w:rPr>
          <w:color w:val="auto"/>
        </w:rPr>
        <w:t>De exploitatieduur</w:t>
      </w:r>
    </w:p>
    <w:p w:rsidR="00F961C2" w:rsidRDefault="00F961C2" w:rsidP="00775B27">
      <w:pPr>
        <w:jc w:val="both"/>
      </w:pPr>
      <w:r>
        <w:t xml:space="preserve">Voor de afschrijving van de buitenschil (casco) van huurwoningen wordt een termijn gegeven van vijftig jaar. De exploitatieduur voor de berekening van de bedrijfswaarde wordt </w:t>
      </w:r>
      <w:proofErr w:type="gramStart"/>
      <w:r>
        <w:t>derhalve</w:t>
      </w:r>
      <w:proofErr w:type="gramEnd"/>
      <w:r>
        <w:t xml:space="preserve"> ook veelal op vijftig jaar geschat. De economische levensduur van huurwoningen kan worden gewijzigd nadat renovatie- of sloopplannen zijn gemaakt (RJ 121.136).</w:t>
      </w:r>
    </w:p>
    <w:p w:rsidR="00F961C2" w:rsidRPr="002024B1" w:rsidRDefault="00F961C2" w:rsidP="00F961C2">
      <w:pPr>
        <w:pStyle w:val="Heading4"/>
        <w:numPr>
          <w:ilvl w:val="0"/>
          <w:numId w:val="4"/>
        </w:numPr>
        <w:rPr>
          <w:color w:val="auto"/>
        </w:rPr>
      </w:pPr>
      <w:r w:rsidRPr="002024B1">
        <w:rPr>
          <w:color w:val="auto"/>
        </w:rPr>
        <w:t>De jaarlijkse huurontwikkeling</w:t>
      </w:r>
    </w:p>
    <w:p w:rsidR="00F961C2" w:rsidRDefault="00F961C2" w:rsidP="00775B27">
      <w:pPr>
        <w:jc w:val="both"/>
      </w:pPr>
      <w:r>
        <w:t>De eerste vijf jaren van verwachte kasstromen kunnen door woningcorporaties zelf ingevuld worden. Dit moet wel conform zijn met het beleid van de gehele corporatie en gebaseerd op budgetten van de leiding. De huurstijgingen na vijf jaar worden gebaseerd op cijfers die in lijn zijn met de gehele sector.</w:t>
      </w:r>
    </w:p>
    <w:p w:rsidR="00F961C2" w:rsidRPr="002024B1" w:rsidRDefault="00F961C2" w:rsidP="00F961C2">
      <w:pPr>
        <w:pStyle w:val="Heading4"/>
        <w:numPr>
          <w:ilvl w:val="0"/>
          <w:numId w:val="4"/>
        </w:numPr>
        <w:rPr>
          <w:color w:val="auto"/>
        </w:rPr>
      </w:pPr>
      <w:r w:rsidRPr="002024B1">
        <w:rPr>
          <w:color w:val="auto"/>
        </w:rPr>
        <w:t>De mutatiegraad</w:t>
      </w:r>
    </w:p>
    <w:p w:rsidR="00F961C2" w:rsidRDefault="00F961C2" w:rsidP="00775B27">
      <w:pPr>
        <w:jc w:val="both"/>
      </w:pPr>
      <w:r>
        <w:t xml:space="preserve">De mutatiegraad is een parameter die aangeeft hoeveel nieuwe verhuringen van bestaande woningen hebben plaatsgevonden. Dit wordt uitgedrukt in een percentage van het totale </w:t>
      </w:r>
      <w:proofErr w:type="spellStart"/>
      <w:r>
        <w:t>woning</w:t>
      </w:r>
      <w:r w:rsidR="00733B71">
        <w:t>-</w:t>
      </w:r>
      <w:r>
        <w:t>aanbod</w:t>
      </w:r>
      <w:proofErr w:type="spellEnd"/>
      <w:r>
        <w:t xml:space="preserve"> van de corporatie. De mutatiewaarde wordt geschat op basis van gegevens uit het verleden. De mutatiegraad heeft geen directe invloed op de bedrijfswaarde. Maar volgens het actuele </w:t>
      </w:r>
      <w:proofErr w:type="spellStart"/>
      <w:r>
        <w:t>waarde</w:t>
      </w:r>
      <w:r w:rsidR="00733B71">
        <w:t>-</w:t>
      </w:r>
      <w:r>
        <w:t>model</w:t>
      </w:r>
      <w:proofErr w:type="spellEnd"/>
      <w:r>
        <w:t xml:space="preserve"> moeten woni</w:t>
      </w:r>
      <w:r w:rsidR="000B7E0C">
        <w:t>ngen die op de planning staan</w:t>
      </w:r>
      <w:r>
        <w:t xml:space="preserve"> verkocht te worden tegen de directe </w:t>
      </w:r>
      <w:proofErr w:type="spellStart"/>
      <w:r>
        <w:t>opbrengst</w:t>
      </w:r>
      <w:r w:rsidR="00733B71">
        <w:t>-</w:t>
      </w:r>
      <w:r>
        <w:t>waarde</w:t>
      </w:r>
      <w:proofErr w:type="spellEnd"/>
      <w:r>
        <w:t xml:space="preserve"> worden gewaardeerd. Hier speelt de mutatiegraad wel een rol.</w:t>
      </w:r>
    </w:p>
    <w:p w:rsidR="00F961C2" w:rsidRPr="002024B1" w:rsidRDefault="00F961C2" w:rsidP="00F961C2">
      <w:pPr>
        <w:pStyle w:val="Heading4"/>
        <w:numPr>
          <w:ilvl w:val="0"/>
          <w:numId w:val="4"/>
        </w:numPr>
        <w:rPr>
          <w:color w:val="auto"/>
        </w:rPr>
      </w:pPr>
      <w:r w:rsidRPr="002024B1">
        <w:rPr>
          <w:color w:val="auto"/>
        </w:rPr>
        <w:t>De jaarlijkse lastenontwikkeling</w:t>
      </w:r>
    </w:p>
    <w:p w:rsidR="00F961C2" w:rsidRPr="00311537" w:rsidRDefault="00F961C2" w:rsidP="00775B27">
      <w:pPr>
        <w:jc w:val="both"/>
      </w:pPr>
      <w:r>
        <w:t xml:space="preserve">Net als bij de jaarlijkse huurontwikkeling kunnen woningcorporaties in de eerste vijf jaren de </w:t>
      </w:r>
      <w:proofErr w:type="spellStart"/>
      <w:r>
        <w:t>lasten</w:t>
      </w:r>
      <w:r w:rsidR="00733B71">
        <w:t>-</w:t>
      </w:r>
      <w:r>
        <w:t>ontwikkeling</w:t>
      </w:r>
      <w:proofErr w:type="spellEnd"/>
      <w:r>
        <w:t xml:space="preserve"> zelf invullen. In de periode na vijf jaar moeten de cijfers in overeenstemming zijn met de lastenontwikkeling die voor de sector gebruikelijk is. </w:t>
      </w:r>
    </w:p>
    <w:p w:rsidR="00F961C2" w:rsidRPr="002024B1" w:rsidRDefault="00F961C2" w:rsidP="00F961C2">
      <w:pPr>
        <w:pStyle w:val="Heading4"/>
        <w:numPr>
          <w:ilvl w:val="0"/>
          <w:numId w:val="4"/>
        </w:numPr>
        <w:rPr>
          <w:color w:val="auto"/>
        </w:rPr>
      </w:pPr>
      <w:r w:rsidRPr="002024B1">
        <w:rPr>
          <w:color w:val="auto"/>
        </w:rPr>
        <w:t>De restwaarde en de sloopkosten</w:t>
      </w:r>
    </w:p>
    <w:p w:rsidR="00F961C2" w:rsidRDefault="00F961C2" w:rsidP="00775B27">
      <w:pPr>
        <w:jc w:val="both"/>
      </w:pPr>
      <w:r>
        <w:t xml:space="preserve">De restwaarde van huurwoningen wordt geschat, hier worden verwachte sloopkosten van </w:t>
      </w:r>
      <w:proofErr w:type="spellStart"/>
      <w:r>
        <w:t>afgetrok</w:t>
      </w:r>
      <w:r w:rsidR="00733B71">
        <w:t>-</w:t>
      </w:r>
      <w:r>
        <w:t>ken</w:t>
      </w:r>
      <w:proofErr w:type="spellEnd"/>
      <w:r>
        <w:t xml:space="preserve"> en verdisconteerd in de bedrijfswaarde. Hier heeft de woningcorporatie dus ook veel vrije </w:t>
      </w:r>
      <w:proofErr w:type="spellStart"/>
      <w:r>
        <w:t>invul</w:t>
      </w:r>
      <w:r w:rsidR="00733B71">
        <w:t>-</w:t>
      </w:r>
      <w:r>
        <w:t>ling</w:t>
      </w:r>
      <w:proofErr w:type="spellEnd"/>
      <w:r>
        <w:t xml:space="preserve"> in de bepaling van de bedrijfswaarde.</w:t>
      </w:r>
    </w:p>
    <w:p w:rsidR="00F961C2" w:rsidRPr="002024B1" w:rsidRDefault="00F961C2" w:rsidP="00F961C2">
      <w:pPr>
        <w:pStyle w:val="Heading4"/>
        <w:numPr>
          <w:ilvl w:val="0"/>
          <w:numId w:val="4"/>
        </w:numPr>
        <w:rPr>
          <w:color w:val="auto"/>
        </w:rPr>
      </w:pPr>
      <w:r w:rsidRPr="002024B1">
        <w:rPr>
          <w:color w:val="auto"/>
        </w:rPr>
        <w:t>Huurwoningen die worden verkocht</w:t>
      </w:r>
    </w:p>
    <w:p w:rsidR="00F961C2" w:rsidRDefault="00DC0500" w:rsidP="00775B27">
      <w:pPr>
        <w:jc w:val="both"/>
      </w:pPr>
      <w:r>
        <w:t xml:space="preserve">De balanswaarde van huurwoningen die verkocht worden, staan onder invloed van </w:t>
      </w:r>
      <w:proofErr w:type="gramStart"/>
      <w:r>
        <w:t>het</w:t>
      </w:r>
      <w:proofErr w:type="gramEnd"/>
      <w:r>
        <w:t xml:space="preserve"> </w:t>
      </w:r>
      <w:proofErr w:type="spellStart"/>
      <w:r>
        <w:t>verkooptem</w:t>
      </w:r>
      <w:r w:rsidR="00733B71">
        <w:t>-</w:t>
      </w:r>
      <w:r>
        <w:t>po</w:t>
      </w:r>
      <w:proofErr w:type="spellEnd"/>
      <w:r>
        <w:t xml:space="preserve"> van woningen en de ontwikkeling van de verkoopwaarde van soortgelijke woningen. </w:t>
      </w:r>
      <w:r w:rsidR="00F961C2">
        <w:t xml:space="preserve">Het </w:t>
      </w:r>
      <w:proofErr w:type="spellStart"/>
      <w:r w:rsidR="00F961C2">
        <w:t>verkoop</w:t>
      </w:r>
      <w:r w:rsidR="00733B71">
        <w:t>-</w:t>
      </w:r>
      <w:r w:rsidR="00F961C2">
        <w:t>tempo</w:t>
      </w:r>
      <w:proofErr w:type="spellEnd"/>
      <w:r w:rsidR="00F961C2">
        <w:t xml:space="preserve"> en de ontwikkeling van de verkoopwaarde zijn van invloed op de (ongerealiseerde) winst. Woningcorporaties moeten zelf prognoses hierover maken. </w:t>
      </w:r>
    </w:p>
    <w:p w:rsidR="00F961C2" w:rsidRDefault="00F961C2" w:rsidP="00775B27">
      <w:pPr>
        <w:jc w:val="both"/>
      </w:pPr>
      <w:r>
        <w:t xml:space="preserve">Door de vrijheid van corporaties in het bepalen van huurontwikkeling, lastenontwikkeling, </w:t>
      </w:r>
      <w:proofErr w:type="spellStart"/>
      <w:r>
        <w:t>restwaar</w:t>
      </w:r>
      <w:r w:rsidR="00733B71">
        <w:t>-</w:t>
      </w:r>
      <w:r>
        <w:t>de</w:t>
      </w:r>
      <w:proofErr w:type="spellEnd"/>
      <w:r>
        <w:t xml:space="preserve"> en prognoses over verkopen heeft de </w:t>
      </w:r>
      <w:r w:rsidR="00DC0500">
        <w:t xml:space="preserve">toegekende </w:t>
      </w:r>
      <w:r>
        <w:t xml:space="preserve">bedrijfswaarde een grote mate van </w:t>
      </w:r>
      <w:proofErr w:type="spellStart"/>
      <w:r>
        <w:t>subject</w:t>
      </w:r>
      <w:r w:rsidR="00733B71">
        <w:t>-</w:t>
      </w:r>
      <w:r>
        <w:t>iviteit</w:t>
      </w:r>
      <w:proofErr w:type="spellEnd"/>
      <w:r>
        <w:t xml:space="preserve">. </w:t>
      </w:r>
    </w:p>
    <w:p w:rsidR="00F961C2" w:rsidRPr="002024B1" w:rsidRDefault="00F961C2" w:rsidP="00F961C2">
      <w:pPr>
        <w:pStyle w:val="Heading3"/>
        <w:rPr>
          <w:color w:val="auto"/>
        </w:rPr>
      </w:pPr>
      <w:r w:rsidRPr="002024B1">
        <w:rPr>
          <w:color w:val="auto"/>
        </w:rPr>
        <w:t>1.4 Actuele waarde</w:t>
      </w:r>
    </w:p>
    <w:p w:rsidR="00F961C2" w:rsidRDefault="00F961C2" w:rsidP="00775B27">
      <w:pPr>
        <w:jc w:val="both"/>
      </w:pPr>
      <w:r>
        <w:t xml:space="preserve">De actuele waarde van een materieel vast actief is gelijk aan de vervangingswaarde. Wanneer de bedrijfswaarde van het actief lager is, is de actuele waarde gelijk aan de bedrijfswaarde. Wanneer het actief verkocht gaat worden, is de actuele waarde gelijk aan de directe opbrengstwaarde (Art. 7 BAW). </w:t>
      </w:r>
    </w:p>
    <w:p w:rsidR="00F961C2" w:rsidRDefault="00F961C2" w:rsidP="00775B27">
      <w:pPr>
        <w:jc w:val="both"/>
      </w:pPr>
      <w:r>
        <w:t xml:space="preserve">De vervangingswaarde is de waarde die het bedrag weergeeft dat nodig zou zijn om een actief te kunnen vervangen voor een actief dat van soortgelijke betekenis is (Art. 2 BAW). In het geval van een woningcorporatie zou die waarde bepaald kunnen worden aan de hand van huizenprijzen van </w:t>
      </w:r>
      <w:proofErr w:type="spellStart"/>
      <w:r>
        <w:t>soort</w:t>
      </w:r>
      <w:r w:rsidR="00733B71">
        <w:t>-</w:t>
      </w:r>
      <w:r>
        <w:t>gelijke</w:t>
      </w:r>
      <w:proofErr w:type="spellEnd"/>
      <w:r>
        <w:t xml:space="preserve"> woningen. </w:t>
      </w:r>
    </w:p>
    <w:p w:rsidR="00F961C2" w:rsidRDefault="00F961C2" w:rsidP="00775B27">
      <w:pPr>
        <w:jc w:val="both"/>
      </w:pPr>
      <w:r>
        <w:t xml:space="preserve">De directe opbrengstwaarde is van toepassing wanneer bij gebruik van actuele waarde wordt </w:t>
      </w:r>
      <w:proofErr w:type="spellStart"/>
      <w:r>
        <w:t>be</w:t>
      </w:r>
      <w:r w:rsidR="00733B71">
        <w:t>-</w:t>
      </w:r>
      <w:r>
        <w:t>sloten</w:t>
      </w:r>
      <w:proofErr w:type="spellEnd"/>
      <w:r>
        <w:t xml:space="preserve"> de woning te verkopen. De waarde wordt bepaald naar aanleiding van een schatting van </w:t>
      </w:r>
      <w:r w:rsidR="00DC0500">
        <w:t xml:space="preserve">het bedrag </w:t>
      </w:r>
      <w:r>
        <w:t xml:space="preserve">waartegen de woning maximaal kan worden verkocht. Hier worden nog bijkomende kosten zoals verkoopkosten van afgetrokken (Art. 5 BAW). </w:t>
      </w:r>
    </w:p>
    <w:p w:rsidR="00F961C2" w:rsidRDefault="00F961C2" w:rsidP="00775B27">
      <w:pPr>
        <w:jc w:val="both"/>
      </w:pPr>
      <w:r>
        <w:t xml:space="preserve">De actuele waarde is over het algemeen gelijk aan de bedrijfswaarde. De bedrijfswaarde geeft bijna altijd een lagere waarde aan dan de vervangingswaarde. Het enige verschil tussen bedrijfswaarde en actuele waarde voor woningcorporaties is het waarderen tegen opbrengstwaarde </w:t>
      </w:r>
      <w:r w:rsidR="00DC0500">
        <w:t>als besloten wordt</w:t>
      </w:r>
      <w:r>
        <w:t xml:space="preserve"> tot verkoop.</w:t>
      </w:r>
      <w:r w:rsidR="005F4BAD">
        <w:t xml:space="preserve"> Zie voor verdere invulling van de actuele waarde paragraaf 3.3.3. </w:t>
      </w:r>
    </w:p>
    <w:p w:rsidR="00F961C2" w:rsidRPr="002024B1" w:rsidRDefault="00F961C2" w:rsidP="00F961C2">
      <w:pPr>
        <w:pStyle w:val="Heading3"/>
        <w:rPr>
          <w:color w:val="auto"/>
        </w:rPr>
      </w:pPr>
      <w:r w:rsidRPr="002024B1">
        <w:rPr>
          <w:bCs w:val="0"/>
          <w:color w:val="auto"/>
        </w:rPr>
        <w:t>1</w:t>
      </w:r>
      <w:r w:rsidRPr="002024B1">
        <w:rPr>
          <w:b w:val="0"/>
          <w:bCs w:val="0"/>
          <w:color w:val="auto"/>
        </w:rPr>
        <w:t>.</w:t>
      </w:r>
      <w:r w:rsidRPr="002024B1">
        <w:rPr>
          <w:color w:val="auto"/>
        </w:rPr>
        <w:t xml:space="preserve">5 </w:t>
      </w:r>
      <w:proofErr w:type="spellStart"/>
      <w:r w:rsidRPr="002024B1">
        <w:rPr>
          <w:color w:val="auto"/>
        </w:rPr>
        <w:t>Volkshuisvestelijke</w:t>
      </w:r>
      <w:proofErr w:type="spellEnd"/>
      <w:r w:rsidRPr="002024B1">
        <w:rPr>
          <w:color w:val="auto"/>
        </w:rPr>
        <w:t xml:space="preserve"> exploitatiewaarde</w:t>
      </w:r>
    </w:p>
    <w:p w:rsidR="00F961C2" w:rsidRDefault="00F961C2" w:rsidP="00775B27">
      <w:pPr>
        <w:jc w:val="both"/>
      </w:pPr>
      <w:r>
        <w:t xml:space="preserve">De bedrijfswaarde is de belangrijkste waarderingsgrondslag voor woningcorporaties. Deze methode kent een grote vrijheid in de invulling van de waardebepaling. Zo kan het gebeuren dat corporaties op een </w:t>
      </w:r>
      <w:r w:rsidR="00DC0500">
        <w:t>afwijkende</w:t>
      </w:r>
      <w:r>
        <w:t xml:space="preserve"> manier hun woningbezit waarderen. ‘Het doet afbreuk aan het inzicht in de </w:t>
      </w:r>
      <w:proofErr w:type="spellStart"/>
      <w:r>
        <w:t>finan</w:t>
      </w:r>
      <w:r w:rsidR="00841C78">
        <w:t>-</w:t>
      </w:r>
      <w:r>
        <w:t>ciële</w:t>
      </w:r>
      <w:proofErr w:type="spellEnd"/>
      <w:r>
        <w:t xml:space="preserve"> positie en vergelijkbaarheid van woningcorporaties’ (CFV, 2008). Als de </w:t>
      </w:r>
      <w:proofErr w:type="gramStart"/>
      <w:r>
        <w:t>financieel</w:t>
      </w:r>
      <w:proofErr w:type="gramEnd"/>
      <w:r>
        <w:t xml:space="preserve"> </w:t>
      </w:r>
      <w:proofErr w:type="spellStart"/>
      <w:r>
        <w:t>toezichthou</w:t>
      </w:r>
      <w:r w:rsidR="00841C78">
        <w:t>-</w:t>
      </w:r>
      <w:r>
        <w:t>der</w:t>
      </w:r>
      <w:proofErr w:type="spellEnd"/>
      <w:r>
        <w:t xml:space="preserve"> voor woningcorporaties moet het Centraal Fonds Volkshuisvesting (CFV)  beoordelen hoe </w:t>
      </w:r>
      <w:proofErr w:type="spellStart"/>
      <w:r>
        <w:t>corpo</w:t>
      </w:r>
      <w:r w:rsidR="00841C78">
        <w:t>-</w:t>
      </w:r>
      <w:r>
        <w:t>raties</w:t>
      </w:r>
      <w:proofErr w:type="spellEnd"/>
      <w:r>
        <w:t xml:space="preserve"> er voor staan. Om de onduidelijkheid over de financiële positie van woningcorporaties weg te nemen heeft het CFV de </w:t>
      </w:r>
      <w:proofErr w:type="spellStart"/>
      <w:r>
        <w:t>volkshuisvestelijke</w:t>
      </w:r>
      <w:proofErr w:type="spellEnd"/>
      <w:r>
        <w:t xml:space="preserve"> exploitatiewaarde geïntroduceerd. Deze </w:t>
      </w:r>
      <w:proofErr w:type="spellStart"/>
      <w:r>
        <w:t>volkshuisvest</w:t>
      </w:r>
      <w:r w:rsidR="00841C78">
        <w:t>-</w:t>
      </w:r>
      <w:r>
        <w:t>elijke</w:t>
      </w:r>
      <w:proofErr w:type="spellEnd"/>
      <w:r>
        <w:t xml:space="preserve"> exploitatiewaarde zorg</w:t>
      </w:r>
      <w:r w:rsidR="00DC0500">
        <w:t>t</w:t>
      </w:r>
      <w:r>
        <w:t xml:space="preserve"> voor uniformering in de waardering tegen bedrijfswaarde en een betere vergelijkbaarheid van woningcorporaties. Het CFV ontvangt gegevens van woningcorporaties over hun berekeningen van de bedrijfswaarde en past deze aan om tot de </w:t>
      </w:r>
      <w:proofErr w:type="spellStart"/>
      <w:r>
        <w:t>volkshuisvestelijke</w:t>
      </w:r>
      <w:proofErr w:type="spellEnd"/>
      <w:r>
        <w:t xml:space="preserve"> </w:t>
      </w:r>
      <w:proofErr w:type="spellStart"/>
      <w:r>
        <w:t>exploi</w:t>
      </w:r>
      <w:r w:rsidR="00841C78">
        <w:t>-</w:t>
      </w:r>
      <w:r>
        <w:t>tatiewaarde</w:t>
      </w:r>
      <w:proofErr w:type="spellEnd"/>
      <w:r>
        <w:t xml:space="preserve"> te komen.</w:t>
      </w:r>
    </w:p>
    <w:p w:rsidR="00F961C2" w:rsidRDefault="00F961C2" w:rsidP="00775B27">
      <w:pPr>
        <w:jc w:val="both"/>
      </w:pPr>
      <w:r>
        <w:t xml:space="preserve">In zes stappen wordt van bedrijfswaarde naar </w:t>
      </w:r>
      <w:proofErr w:type="spellStart"/>
      <w:r>
        <w:t>volkshuisvestelijke</w:t>
      </w:r>
      <w:proofErr w:type="spellEnd"/>
      <w:r>
        <w:t xml:space="preserve"> exploitatiewaarde gegaan (CFV, 2008): </w:t>
      </w:r>
    </w:p>
    <w:p w:rsidR="00F961C2" w:rsidRDefault="00F961C2" w:rsidP="00F961C2">
      <w:pPr>
        <w:pStyle w:val="ListParagraph"/>
        <w:numPr>
          <w:ilvl w:val="0"/>
          <w:numId w:val="2"/>
        </w:numPr>
      </w:pPr>
      <w:r>
        <w:t>Moment van disconteren gelijkstellen.</w:t>
      </w:r>
    </w:p>
    <w:p w:rsidR="00F961C2" w:rsidRDefault="00F961C2" w:rsidP="00F961C2">
      <w:pPr>
        <w:pStyle w:val="ListParagraph"/>
        <w:numPr>
          <w:ilvl w:val="0"/>
          <w:numId w:val="2"/>
        </w:numPr>
      </w:pPr>
      <w:r>
        <w:t xml:space="preserve">Verkoopwaarden in bedrijfswaarde corrigeren naar </w:t>
      </w:r>
      <w:proofErr w:type="spellStart"/>
      <w:r>
        <w:t>doorexploitatiewaarde</w:t>
      </w:r>
      <w:proofErr w:type="spellEnd"/>
      <w:r>
        <w:t>.</w:t>
      </w:r>
    </w:p>
    <w:p w:rsidR="00F961C2" w:rsidRDefault="00F961C2" w:rsidP="00F961C2">
      <w:pPr>
        <w:pStyle w:val="ListParagraph"/>
        <w:numPr>
          <w:ilvl w:val="0"/>
          <w:numId w:val="2"/>
        </w:numPr>
      </w:pPr>
      <w:r>
        <w:t>Uniformering van huurstijging, huurderving en kosten.</w:t>
      </w:r>
    </w:p>
    <w:p w:rsidR="00F961C2" w:rsidRDefault="00F961C2" w:rsidP="00F961C2">
      <w:pPr>
        <w:pStyle w:val="ListParagraph"/>
        <w:numPr>
          <w:ilvl w:val="0"/>
          <w:numId w:val="2"/>
        </w:numPr>
      </w:pPr>
      <w:r>
        <w:t>Uniformering van de economische levensduur.</w:t>
      </w:r>
    </w:p>
    <w:p w:rsidR="00F961C2" w:rsidRDefault="00F961C2" w:rsidP="00F961C2">
      <w:pPr>
        <w:pStyle w:val="ListParagraph"/>
        <w:numPr>
          <w:ilvl w:val="0"/>
          <w:numId w:val="2"/>
        </w:numPr>
      </w:pPr>
      <w:r>
        <w:t>Bepaling van restwaarde gelijkstellen.</w:t>
      </w:r>
    </w:p>
    <w:p w:rsidR="00F961C2" w:rsidRDefault="00F961C2" w:rsidP="00F961C2">
      <w:pPr>
        <w:pStyle w:val="ListParagraph"/>
        <w:numPr>
          <w:ilvl w:val="0"/>
          <w:numId w:val="2"/>
        </w:numPr>
      </w:pPr>
      <w:r>
        <w:t>Opgenomen lastenniveau in bedrijfswaarde gelijkstellen.</w:t>
      </w:r>
    </w:p>
    <w:p w:rsidR="00F961C2" w:rsidRPr="002024B1" w:rsidRDefault="00F961C2" w:rsidP="00F961C2">
      <w:pPr>
        <w:pStyle w:val="Heading4"/>
        <w:numPr>
          <w:ilvl w:val="0"/>
          <w:numId w:val="3"/>
        </w:numPr>
        <w:rPr>
          <w:color w:val="auto"/>
        </w:rPr>
      </w:pPr>
      <w:r w:rsidRPr="002024B1">
        <w:rPr>
          <w:color w:val="auto"/>
        </w:rPr>
        <w:t>Moment van disconteren gelijkstellen</w:t>
      </w:r>
    </w:p>
    <w:p w:rsidR="00F961C2" w:rsidRDefault="00F961C2" w:rsidP="00775B27">
      <w:pPr>
        <w:jc w:val="both"/>
      </w:pPr>
      <w:r>
        <w:t xml:space="preserve">De bedrijfswaarde bestaat uit toekomstige kasstromen die verdisconteerd worden. Het is van belang voor de uitkomst van die discontering of er van uit gegaan wordt of de kasstromen op 1 januari, dan wel halverwege het jaar of op 31 december vervallen. Wanneer ingaande kasstromen op een later moment worden verdisconteerd, zal de bedrijfswaarde lager uitvallen. Volgens het CFV is het </w:t>
      </w:r>
      <w:proofErr w:type="spellStart"/>
      <w:r>
        <w:t>onrea</w:t>
      </w:r>
      <w:r w:rsidR="00841C78">
        <w:t>-</w:t>
      </w:r>
      <w:r>
        <w:t>listisch</w:t>
      </w:r>
      <w:proofErr w:type="spellEnd"/>
      <w:r>
        <w:t xml:space="preserve"> om te stellen dat alle kasstromen aan het begin of einde van het jaar vallen. Daarom is er voor</w:t>
      </w:r>
      <w:r w:rsidR="00550EEC">
        <w:t xml:space="preserve"> de uniformering voor gekozen</w:t>
      </w:r>
      <w:r>
        <w:t xml:space="preserve"> alle kasstromen halverwege het jaar te laten </w:t>
      </w:r>
      <w:r w:rsidR="00550EEC">
        <w:t>ver</w:t>
      </w:r>
      <w:r>
        <w:t xml:space="preserve">vallen. </w:t>
      </w:r>
    </w:p>
    <w:p w:rsidR="00F961C2" w:rsidRPr="002024B1" w:rsidRDefault="00F961C2" w:rsidP="00F961C2">
      <w:pPr>
        <w:pStyle w:val="Heading4"/>
        <w:numPr>
          <w:ilvl w:val="0"/>
          <w:numId w:val="3"/>
        </w:numPr>
        <w:rPr>
          <w:color w:val="auto"/>
        </w:rPr>
      </w:pPr>
      <w:r w:rsidRPr="002024B1">
        <w:rPr>
          <w:color w:val="auto"/>
        </w:rPr>
        <w:t xml:space="preserve">Verkoopwaarden in de bedrijfswaarde corrigeren naar </w:t>
      </w:r>
      <w:proofErr w:type="spellStart"/>
      <w:r w:rsidRPr="002024B1">
        <w:rPr>
          <w:color w:val="auto"/>
        </w:rPr>
        <w:t>doorexploitatiewaarde</w:t>
      </w:r>
      <w:proofErr w:type="spellEnd"/>
    </w:p>
    <w:p w:rsidR="00F961C2" w:rsidRPr="002024B1" w:rsidRDefault="00F961C2" w:rsidP="00775B27">
      <w:pPr>
        <w:jc w:val="both"/>
      </w:pPr>
      <w:r w:rsidRPr="002024B1">
        <w:t xml:space="preserve">In de bedrijfswaarde kunnen toekomstige inkomsten uit verwachte verkoop worden inbegrepen. Dit wordt niet door alle corporaties toegepast. Het CFV gaat in de berekening van de </w:t>
      </w:r>
      <w:proofErr w:type="spellStart"/>
      <w:r w:rsidRPr="002024B1">
        <w:t>volkshuisvestelijke</w:t>
      </w:r>
      <w:proofErr w:type="spellEnd"/>
      <w:r w:rsidRPr="002024B1">
        <w:t xml:space="preserve"> exploitatiewaarde uit van ‘doorexploitatie’. Dat wil zeggen dat ze er niet van uit gaan dat er wordt verkocht, maar</w:t>
      </w:r>
      <w:r w:rsidR="00550EEC" w:rsidRPr="002024B1">
        <w:t xml:space="preserve"> dat de</w:t>
      </w:r>
      <w:r w:rsidRPr="002024B1">
        <w:t xml:space="preserve"> exploitatie wordt doorgezet. Wanneer de gemiddelde bedrijfswaarde van de te verkopen woningen hoger is dan de gemiddelde bedrijfswaarde van vergelijkbare woningen die wel worden doorgeëxploiteerd wordt de waarde naar beneden aangepast. </w:t>
      </w:r>
    </w:p>
    <w:p w:rsidR="00F961C2" w:rsidRPr="002024B1" w:rsidRDefault="00F961C2" w:rsidP="00F961C2">
      <w:pPr>
        <w:pStyle w:val="Heading4"/>
        <w:numPr>
          <w:ilvl w:val="0"/>
          <w:numId w:val="3"/>
        </w:numPr>
        <w:rPr>
          <w:color w:val="auto"/>
        </w:rPr>
      </w:pPr>
      <w:r w:rsidRPr="002024B1">
        <w:rPr>
          <w:color w:val="auto"/>
        </w:rPr>
        <w:t xml:space="preserve">Uniformering van huurstijging, </w:t>
      </w:r>
      <w:proofErr w:type="gramStart"/>
      <w:r w:rsidRPr="002024B1">
        <w:rPr>
          <w:color w:val="auto"/>
        </w:rPr>
        <w:t xml:space="preserve">huurderving,  </w:t>
      </w:r>
      <w:proofErr w:type="gramEnd"/>
      <w:r w:rsidRPr="002024B1">
        <w:rPr>
          <w:color w:val="auto"/>
        </w:rPr>
        <w:t>kosten en disconteringsvoet</w:t>
      </w:r>
    </w:p>
    <w:p w:rsidR="00F961C2" w:rsidRPr="002024B1" w:rsidRDefault="00F961C2" w:rsidP="00775B27">
      <w:pPr>
        <w:jc w:val="both"/>
      </w:pPr>
      <w:r w:rsidRPr="002024B1">
        <w:t>In de berekening van de bedrijfswaarde is de groeivoet van</w:t>
      </w:r>
      <w:r w:rsidR="00550EEC" w:rsidRPr="002024B1">
        <w:t xml:space="preserve"> de</w:t>
      </w:r>
      <w:r w:rsidRPr="002024B1">
        <w:t xml:space="preserve"> huurstijging van groot belang. Zo zijn er nog andere parameters die woningcorporaties zelf in kunnen vullen. Voor huurstijging heeft het CFV een bovengrens ingesteld. Wanneer een corporatie hierboven zit wordt deze bij berekening van de </w:t>
      </w:r>
      <w:proofErr w:type="spellStart"/>
      <w:r w:rsidRPr="002024B1">
        <w:t>volkshuisvestelijke</w:t>
      </w:r>
      <w:proofErr w:type="spellEnd"/>
      <w:r w:rsidRPr="002024B1">
        <w:t xml:space="preserve"> exploitatiewaarde naar beneden aangepast. Voor bepaling van huurderving wordt een bandbreedte ingesteld. De onderhoudskostenstijging wordt bepaald naar aanleiding van de inflatie voor de bouwkostenontwikkeling. De disconteringsvoet die gehanteerd wordt is volgens </w:t>
      </w:r>
      <w:r w:rsidR="00550EEC" w:rsidRPr="002024B1">
        <w:t xml:space="preserve">de regels van </w:t>
      </w:r>
      <w:r w:rsidRPr="002024B1">
        <w:t>het Waarborgfonds Sociale Woningbouw</w:t>
      </w:r>
      <w:r w:rsidR="00550EEC" w:rsidRPr="002024B1">
        <w:t xml:space="preserve"> (WSW)</w:t>
      </w:r>
      <w:r w:rsidRPr="002024B1">
        <w:t>.</w:t>
      </w:r>
    </w:p>
    <w:p w:rsidR="00F961C2" w:rsidRPr="002024B1" w:rsidRDefault="00F961C2" w:rsidP="00F961C2">
      <w:pPr>
        <w:pStyle w:val="Heading4"/>
        <w:numPr>
          <w:ilvl w:val="0"/>
          <w:numId w:val="3"/>
        </w:numPr>
        <w:rPr>
          <w:color w:val="auto"/>
        </w:rPr>
      </w:pPr>
      <w:r w:rsidRPr="002024B1">
        <w:rPr>
          <w:color w:val="auto"/>
        </w:rPr>
        <w:t>Uniformering van de economische levensduur</w:t>
      </w:r>
    </w:p>
    <w:p w:rsidR="00F961C2" w:rsidRPr="002024B1" w:rsidRDefault="00F961C2" w:rsidP="00775B27">
      <w:pPr>
        <w:jc w:val="both"/>
      </w:pPr>
      <w:proofErr w:type="gramStart"/>
      <w:r w:rsidRPr="002024B1">
        <w:t>De economische levens</w:t>
      </w:r>
      <w:r w:rsidR="00550EEC" w:rsidRPr="002024B1">
        <w:t>duur van het woningbezit bepaalt</w:t>
      </w:r>
      <w:r w:rsidRPr="002024B1">
        <w:t xml:space="preserve"> hoeveel kasstromen er nog zullen worden gegenereerd. </w:t>
      </w:r>
      <w:proofErr w:type="gramEnd"/>
      <w:r w:rsidRPr="002024B1">
        <w:t xml:space="preserve">Wanneer de ingaande kasstromen </w:t>
      </w:r>
      <w:r w:rsidR="00550EEC" w:rsidRPr="002024B1">
        <w:t>groter</w:t>
      </w:r>
      <w:r w:rsidRPr="002024B1">
        <w:t xml:space="preserve"> zijn dan de uitgaande kasstromen, zal de bedrijfswaarde hoger zijn bij een langere levensduur. Voor een goede vergelijking van </w:t>
      </w:r>
      <w:proofErr w:type="spellStart"/>
      <w:r w:rsidRPr="002024B1">
        <w:t>woningcorpo</w:t>
      </w:r>
      <w:r w:rsidR="00841C78" w:rsidRPr="002024B1">
        <w:t>-</w:t>
      </w:r>
      <w:r w:rsidRPr="002024B1">
        <w:t>raties</w:t>
      </w:r>
      <w:proofErr w:type="spellEnd"/>
      <w:r w:rsidRPr="002024B1">
        <w:t xml:space="preserve"> is het van belang dat de gehanteerde economische levensduur niet te veel afwijkt van het </w:t>
      </w:r>
      <w:proofErr w:type="spellStart"/>
      <w:r w:rsidRPr="002024B1">
        <w:t>ge</w:t>
      </w:r>
      <w:r w:rsidR="00841C78" w:rsidRPr="002024B1">
        <w:t>-</w:t>
      </w:r>
      <w:r w:rsidRPr="002024B1">
        <w:t>middelde</w:t>
      </w:r>
      <w:proofErr w:type="spellEnd"/>
      <w:r w:rsidRPr="002024B1">
        <w:t>. Het CFV heeft daar</w:t>
      </w:r>
      <w:r w:rsidR="00550EEC" w:rsidRPr="002024B1">
        <w:t>om een bandbreedte ingesteld voor</w:t>
      </w:r>
      <w:r w:rsidRPr="002024B1">
        <w:t xml:space="preserve"> 3 jaar. Wanneer een </w:t>
      </w:r>
      <w:proofErr w:type="spellStart"/>
      <w:r w:rsidRPr="002024B1">
        <w:t>woningcorpo</w:t>
      </w:r>
      <w:r w:rsidR="00841C78" w:rsidRPr="002024B1">
        <w:t>-</w:t>
      </w:r>
      <w:r w:rsidRPr="002024B1">
        <w:t>ratie</w:t>
      </w:r>
      <w:proofErr w:type="spellEnd"/>
      <w:r w:rsidRPr="002024B1">
        <w:t xml:space="preserve"> in haar berekende economische levensduur meer dan 3 jaar afwijkt van het gemiddelde van woningcorporaties met een verg</w:t>
      </w:r>
      <w:r w:rsidR="00550EEC" w:rsidRPr="002024B1">
        <w:t>elijkbaar woningbezit, wordt er een aanpassing van de economische levensduur gemaakt zodat deze binnen de bandbreedte valt</w:t>
      </w:r>
      <w:r w:rsidRPr="002024B1">
        <w:t xml:space="preserve">. </w:t>
      </w:r>
    </w:p>
    <w:p w:rsidR="00F961C2" w:rsidRPr="002024B1" w:rsidRDefault="00F961C2" w:rsidP="00F961C2">
      <w:pPr>
        <w:pStyle w:val="Heading4"/>
        <w:numPr>
          <w:ilvl w:val="0"/>
          <w:numId w:val="3"/>
        </w:numPr>
        <w:rPr>
          <w:color w:val="auto"/>
        </w:rPr>
      </w:pPr>
      <w:r w:rsidRPr="002024B1">
        <w:rPr>
          <w:color w:val="auto"/>
        </w:rPr>
        <w:t>Bepaling van de restwaarde gelijkstellen</w:t>
      </w:r>
    </w:p>
    <w:p w:rsidR="00F961C2" w:rsidRPr="002024B1" w:rsidRDefault="00F961C2" w:rsidP="00775B27">
      <w:pPr>
        <w:jc w:val="both"/>
      </w:pPr>
      <w:r w:rsidRPr="002024B1">
        <w:t>Woningcorporaties hanteren verschillende methoden voor de bepaling van de restwaarde in de berekening</w:t>
      </w:r>
      <w:r w:rsidR="00550EEC" w:rsidRPr="002024B1">
        <w:t xml:space="preserve"> van de bedrijfswaarde. Sommige</w:t>
      </w:r>
      <w:r w:rsidRPr="002024B1">
        <w:t xml:space="preserve"> gaan uit van een restwaarde van nihil, andere gebruiken de historische kostprijs voor hun berekening of er wordt aan de hand van de huidige grondwaarde een restwaarde berekend. Het CFV wil dit gelijk</w:t>
      </w:r>
      <w:r w:rsidR="00550EEC" w:rsidRPr="002024B1">
        <w:t>trekken</w:t>
      </w:r>
      <w:r w:rsidRPr="002024B1">
        <w:t>. Alleen b</w:t>
      </w:r>
      <w:r w:rsidR="00550EEC" w:rsidRPr="002024B1">
        <w:t xml:space="preserve">ij woningen die gesloopt zullen </w:t>
      </w:r>
      <w:proofErr w:type="spellStart"/>
      <w:r w:rsidRPr="002024B1">
        <w:t>wor</w:t>
      </w:r>
      <w:r w:rsidR="00841C78" w:rsidRPr="002024B1">
        <w:t>-</w:t>
      </w:r>
      <w:r w:rsidRPr="002024B1">
        <w:t>den</w:t>
      </w:r>
      <w:proofErr w:type="spellEnd"/>
      <w:r w:rsidRPr="002024B1">
        <w:t xml:space="preserve">, wordt niet gecorrigeerd. Bij sloop is er vaak sprake van bestemmingswijziging wat de </w:t>
      </w:r>
      <w:proofErr w:type="spellStart"/>
      <w:r w:rsidRPr="002024B1">
        <w:t>waar</w:t>
      </w:r>
      <w:r w:rsidR="00841C78" w:rsidRPr="002024B1">
        <w:t>-</w:t>
      </w:r>
      <w:r w:rsidRPr="002024B1">
        <w:t>de</w:t>
      </w:r>
      <w:proofErr w:type="spellEnd"/>
      <w:r w:rsidRPr="002024B1">
        <w:t xml:space="preserve"> van de grond doet veranderen. Woningen die niet gesloopt zullen worden krijgen een restwaarde van €5000</w:t>
      </w:r>
      <w:proofErr w:type="gramStart"/>
      <w:r w:rsidRPr="002024B1">
        <w:t>,-</w:t>
      </w:r>
      <w:proofErr w:type="gramEnd"/>
      <w:r w:rsidRPr="002024B1">
        <w:t xml:space="preserve"> toegekend, dit is een vrij arbitraire methode van het CFV. </w:t>
      </w:r>
    </w:p>
    <w:p w:rsidR="00F961C2" w:rsidRPr="002024B1" w:rsidRDefault="00F961C2" w:rsidP="00F961C2">
      <w:pPr>
        <w:pStyle w:val="Heading4"/>
        <w:numPr>
          <w:ilvl w:val="0"/>
          <w:numId w:val="3"/>
        </w:numPr>
        <w:rPr>
          <w:color w:val="auto"/>
        </w:rPr>
      </w:pPr>
      <w:r w:rsidRPr="002024B1">
        <w:rPr>
          <w:color w:val="auto"/>
        </w:rPr>
        <w:t>Opgenomen lastenniveau in de bedrijfswaarde gelijkstellen</w:t>
      </w:r>
    </w:p>
    <w:p w:rsidR="00F961C2" w:rsidRPr="002024B1" w:rsidRDefault="00F961C2" w:rsidP="00775B27">
      <w:pPr>
        <w:jc w:val="both"/>
      </w:pPr>
      <w:r w:rsidRPr="002024B1">
        <w:t xml:space="preserve">De laatste aanpassing gaat over de indirecte kosten. Het is moeilijk deze goed aan woningen toe te kennen </w:t>
      </w:r>
      <w:r w:rsidR="00550EEC" w:rsidRPr="002024B1">
        <w:t>door</w:t>
      </w:r>
      <w:r w:rsidRPr="002024B1">
        <w:t xml:space="preserve">dat ze niet in direct verband staan. Het lastenniveau per woning dat is opgegeven door de woningcorporaties wordt vergeleken met gemiddelden op sectorniveau. Er is ook hier een </w:t>
      </w:r>
      <w:proofErr w:type="spellStart"/>
      <w:r w:rsidRPr="002024B1">
        <w:t>band</w:t>
      </w:r>
      <w:r w:rsidR="00841C78" w:rsidRPr="002024B1">
        <w:t>-</w:t>
      </w:r>
      <w:r w:rsidRPr="002024B1">
        <w:t>breedte</w:t>
      </w:r>
      <w:proofErr w:type="spellEnd"/>
      <w:r w:rsidRPr="002024B1">
        <w:t xml:space="preserve"> vastgesteld en wanneer een corporatie te veel afwijkt, wordt dit aangepast.</w:t>
      </w:r>
    </w:p>
    <w:p w:rsidR="00F961C2" w:rsidRPr="002024B1" w:rsidRDefault="00F961C2" w:rsidP="00775B27">
      <w:pPr>
        <w:jc w:val="both"/>
      </w:pPr>
      <w:r w:rsidRPr="002024B1">
        <w:t xml:space="preserve">Het CFV geeft in de </w:t>
      </w:r>
      <w:proofErr w:type="spellStart"/>
      <w:r w:rsidRPr="002024B1">
        <w:t>volkshuisvestelijke</w:t>
      </w:r>
      <w:proofErr w:type="spellEnd"/>
      <w:r w:rsidRPr="002024B1">
        <w:t xml:space="preserve"> exploitatiewaarde geen vrijheid meer in de berekening van de bedrijfswaarde. Dit is een goed hulpmiddel om woningcorporaties te kunnen vergelijken. </w:t>
      </w:r>
    </w:p>
    <w:p w:rsidR="00F961C2" w:rsidRPr="002024B1" w:rsidRDefault="00F961C2" w:rsidP="00F961C2">
      <w:pPr>
        <w:pStyle w:val="Heading3"/>
        <w:rPr>
          <w:color w:val="auto"/>
        </w:rPr>
      </w:pPr>
      <w:r w:rsidRPr="002024B1">
        <w:rPr>
          <w:color w:val="auto"/>
        </w:rPr>
        <w:t>1.6 Conclusie</w:t>
      </w:r>
    </w:p>
    <w:p w:rsidR="00F961C2" w:rsidRPr="002024B1" w:rsidRDefault="00B7656F" w:rsidP="00775B27">
      <w:pPr>
        <w:jc w:val="both"/>
      </w:pPr>
      <w:r w:rsidRPr="002024B1">
        <w:t>De</w:t>
      </w:r>
      <w:r w:rsidR="00F961C2" w:rsidRPr="002024B1">
        <w:t xml:space="preserve"> waarderingsmethoden van woningbezit van woningcorporaties zijn behandeld. Bij de methode van historische kostprijs minus afschrijving werd duidelijk dat er altijd rekening gehouden moet worden met bijkomende kosten. Investeringen kunnen worden geactiveerd bij een verhoging van het prestatievermogen. Woningcorporaties mogen zelf de methode van afschrijving kiezen. De </w:t>
      </w:r>
      <w:proofErr w:type="spellStart"/>
      <w:r w:rsidR="00F961C2" w:rsidRPr="002024B1">
        <w:t>bedrijfs</w:t>
      </w:r>
      <w:r w:rsidRPr="002024B1">
        <w:t>-</w:t>
      </w:r>
      <w:r w:rsidR="00F961C2" w:rsidRPr="002024B1">
        <w:t>waarde</w:t>
      </w:r>
      <w:proofErr w:type="spellEnd"/>
      <w:r w:rsidR="00F961C2" w:rsidRPr="002024B1">
        <w:t xml:space="preserve"> is opgebouwd uit de verdisconteerde in- en uitgaande kasstromen behorende bij het </w:t>
      </w:r>
      <w:r w:rsidRPr="002024B1">
        <w:t>vast</w:t>
      </w:r>
      <w:r w:rsidR="00F961C2" w:rsidRPr="002024B1">
        <w:t xml:space="preserve">goed. De door het WSW aangeleverde disconteringsvoet van 5,25% wordt gebruikt. Verdere uitgangspunten en parameters bij de bedrijfswaarde zijn: de exploitatieduur, de jaarlijkse </w:t>
      </w:r>
      <w:proofErr w:type="spellStart"/>
      <w:r w:rsidR="00F961C2" w:rsidRPr="002024B1">
        <w:t>huur</w:t>
      </w:r>
      <w:r w:rsidRPr="002024B1">
        <w:t>-</w:t>
      </w:r>
      <w:r w:rsidR="00F961C2" w:rsidRPr="002024B1">
        <w:t>ontwikkeling</w:t>
      </w:r>
      <w:proofErr w:type="spellEnd"/>
      <w:r w:rsidR="00F961C2" w:rsidRPr="002024B1">
        <w:t xml:space="preserve">, de mutatiegraad, de jaarlijkse lastenontwikkeling, de restwaarde en de sloopkosten en de verkoop van woningen. Gebruik van de actuele waarde kan drie dingen betekenen. In eerste instantie is de actuele waarde gelijk aan de vervangingswaarde. Wanneer de bedrijfswaarde lager is, is deze van toepassing. Wanneer een woning verkocht zal worden moet deze tegen directe opbrengstwaarde op de balans worden gewaardeerd. Tot slot is de </w:t>
      </w:r>
      <w:proofErr w:type="spellStart"/>
      <w:r w:rsidR="00F961C2" w:rsidRPr="002024B1">
        <w:t>volkshuisvestelijke</w:t>
      </w:r>
      <w:proofErr w:type="spellEnd"/>
      <w:r w:rsidR="00F961C2" w:rsidRPr="002024B1">
        <w:t xml:space="preserve"> </w:t>
      </w:r>
      <w:proofErr w:type="spellStart"/>
      <w:r w:rsidR="00F961C2" w:rsidRPr="002024B1">
        <w:t>exploitatie</w:t>
      </w:r>
      <w:r w:rsidR="00841C78" w:rsidRPr="002024B1">
        <w:t>-</w:t>
      </w:r>
      <w:r w:rsidR="00F961C2" w:rsidRPr="002024B1">
        <w:t>waarde</w:t>
      </w:r>
      <w:proofErr w:type="spellEnd"/>
      <w:r w:rsidR="00F961C2" w:rsidRPr="002024B1">
        <w:t xml:space="preserve"> geïntroduceerd. Deze wordt gehanteerd door het Centraal Fonds Volkshuisvesting om beter toezicht te kunnen houden op woningcorporaties en de vergelijkbaarheid van corporaties is </w:t>
      </w:r>
      <w:r w:rsidR="00550EEC" w:rsidRPr="002024B1">
        <w:t>daardoor aanzienlijk</w:t>
      </w:r>
      <w:r w:rsidR="00F961C2" w:rsidRPr="002024B1">
        <w:t xml:space="preserve"> toegenomen. </w:t>
      </w:r>
    </w:p>
    <w:p w:rsidR="00F961C2" w:rsidRPr="004D1769" w:rsidRDefault="00F961C2" w:rsidP="00775B27">
      <w:pPr>
        <w:jc w:val="both"/>
      </w:pPr>
      <w:r w:rsidRPr="002024B1">
        <w:t xml:space="preserve">Hoofdstuk 1 van deze scriptie vormt </w:t>
      </w:r>
      <w:r w:rsidR="00550EEC" w:rsidRPr="002024B1">
        <w:t>de</w:t>
      </w:r>
      <w:r w:rsidRPr="002024B1">
        <w:t xml:space="preserve"> basis voor het vervolg van het onderzoek. In Hoofdstuk 2 zal duidelijk worden waar de financiële positie van een woningcorporatie uit bestaat. Daarna kunnen uitspraken gedaan worden over de invloed van waarderingsmethoden op de financiële positie van</w:t>
      </w:r>
      <w:r>
        <w:t xml:space="preserve"> woningcorporaties.</w:t>
      </w:r>
    </w:p>
    <w:p w:rsidR="00F961C2" w:rsidRDefault="00F961C2" w:rsidP="00754475"/>
    <w:p w:rsidR="00F961C2" w:rsidRDefault="00F961C2" w:rsidP="00754475"/>
    <w:p w:rsidR="00F961C2" w:rsidRPr="002024B1" w:rsidRDefault="00F961C2" w:rsidP="00F961C2">
      <w:pPr>
        <w:pStyle w:val="Heading2"/>
        <w:rPr>
          <w:color w:val="auto"/>
        </w:rPr>
      </w:pPr>
      <w:r w:rsidRPr="002024B1">
        <w:rPr>
          <w:color w:val="auto"/>
        </w:rPr>
        <w:t>2: Financiële positie</w:t>
      </w:r>
    </w:p>
    <w:p w:rsidR="00F961C2" w:rsidRPr="002024B1" w:rsidRDefault="00F961C2" w:rsidP="00F961C2"/>
    <w:p w:rsidR="00F961C2" w:rsidRPr="002024B1" w:rsidRDefault="00F961C2" w:rsidP="00F961C2">
      <w:pPr>
        <w:pStyle w:val="Heading3"/>
        <w:rPr>
          <w:color w:val="auto"/>
        </w:rPr>
      </w:pPr>
      <w:r w:rsidRPr="002024B1">
        <w:rPr>
          <w:color w:val="auto"/>
        </w:rPr>
        <w:t>2.1 Inleiding</w:t>
      </w:r>
    </w:p>
    <w:p w:rsidR="00F961C2" w:rsidRPr="002024B1" w:rsidRDefault="00F961C2" w:rsidP="00775B27">
      <w:pPr>
        <w:jc w:val="both"/>
      </w:pPr>
      <w:r w:rsidRPr="002024B1">
        <w:t xml:space="preserve">Regelmatig komt in het nieuws dat woningcorporaties onder druk staan. Maar aan welke </w:t>
      </w:r>
      <w:proofErr w:type="spellStart"/>
      <w:r w:rsidRPr="002024B1">
        <w:t>voorwaar</w:t>
      </w:r>
      <w:r w:rsidR="00841C78" w:rsidRPr="002024B1">
        <w:t>-</w:t>
      </w:r>
      <w:r w:rsidRPr="002024B1">
        <w:t>den</w:t>
      </w:r>
      <w:proofErr w:type="spellEnd"/>
      <w:r w:rsidRPr="002024B1">
        <w:t xml:space="preserve"> moet de jaarrekening voldoen </w:t>
      </w:r>
      <w:r w:rsidR="008D5872" w:rsidRPr="002024B1">
        <w:t>voordat</w:t>
      </w:r>
      <w:r w:rsidRPr="002024B1">
        <w:t xml:space="preserve"> de financiële positie van een woningcorporatie </w:t>
      </w:r>
      <w:proofErr w:type="spellStart"/>
      <w:r w:rsidRPr="002024B1">
        <w:t>zorgwek</w:t>
      </w:r>
      <w:r w:rsidR="00841C78" w:rsidRPr="002024B1">
        <w:t>-</w:t>
      </w:r>
      <w:r w:rsidRPr="002024B1">
        <w:t>kend</w:t>
      </w:r>
      <w:proofErr w:type="spellEnd"/>
      <w:r w:rsidRPr="002024B1">
        <w:t xml:space="preserve"> is?</w:t>
      </w:r>
    </w:p>
    <w:p w:rsidR="00F961C2" w:rsidRPr="002024B1" w:rsidRDefault="00F961C2" w:rsidP="00775B27">
      <w:pPr>
        <w:jc w:val="both"/>
      </w:pPr>
      <w:r w:rsidRPr="002024B1">
        <w:t xml:space="preserve">Dit hoofdstuk hangt samen met de tweede deelvraag. Het zal duidelijk worden wat een financiële positie is en wat het specifiek voor de woningcorporatie </w:t>
      </w:r>
      <w:proofErr w:type="gramStart"/>
      <w:r w:rsidRPr="002024B1">
        <w:t>betekent</w:t>
      </w:r>
      <w:proofErr w:type="gramEnd"/>
      <w:r w:rsidRPr="002024B1">
        <w:t xml:space="preserve">. </w:t>
      </w:r>
      <w:r w:rsidR="008D5872" w:rsidRPr="002024B1">
        <w:t>De f</w:t>
      </w:r>
      <w:r w:rsidRPr="002024B1">
        <w:t xml:space="preserve">inanciële positie wordt in hoge mate bepaald door de waarderingsgrondslag aangezien de balanspost ‘sociaal vastgoed’ een groot deel uitmaakt van het totale vermogen. Begrippen als liquiditeit, </w:t>
      </w:r>
      <w:proofErr w:type="gramStart"/>
      <w:r w:rsidRPr="002024B1">
        <w:t>solvabiliteit</w:t>
      </w:r>
      <w:proofErr w:type="gramEnd"/>
      <w:r w:rsidRPr="002024B1">
        <w:t xml:space="preserve">, rentabiliteit en </w:t>
      </w:r>
      <w:proofErr w:type="spellStart"/>
      <w:r w:rsidRPr="002024B1">
        <w:t>rentedekkingsgraad</w:t>
      </w:r>
      <w:proofErr w:type="spellEnd"/>
      <w:r w:rsidRPr="002024B1">
        <w:t xml:space="preserve"> zullen aan bod komen. </w:t>
      </w:r>
      <w:proofErr w:type="gramStart"/>
      <w:r w:rsidRPr="002024B1">
        <w:t>Met name</w:t>
      </w:r>
      <w:proofErr w:type="gramEnd"/>
      <w:r w:rsidRPr="002024B1">
        <w:t xml:space="preserve"> de trend van krediet aanvragen bij </w:t>
      </w:r>
      <w:proofErr w:type="spellStart"/>
      <w:r w:rsidRPr="002024B1">
        <w:t>commer</w:t>
      </w:r>
      <w:r w:rsidR="00841C78" w:rsidRPr="002024B1">
        <w:t>-</w:t>
      </w:r>
      <w:r w:rsidRPr="002024B1">
        <w:t>ciële</w:t>
      </w:r>
      <w:proofErr w:type="spellEnd"/>
      <w:r w:rsidRPr="002024B1">
        <w:t xml:space="preserve"> banken is hierbij van belang. Het belangrijkste bij het inzicht krijgen in de financiële positie van een entiteit is het bestuderen van de jaarrekenin</w:t>
      </w:r>
      <w:r w:rsidR="008D5872" w:rsidRPr="002024B1">
        <w:t xml:space="preserve">g. Voor dit hoofdstuk zijn vijf </w:t>
      </w:r>
      <w:r w:rsidRPr="002024B1">
        <w:t xml:space="preserve">woningcorporaties </w:t>
      </w:r>
      <w:proofErr w:type="spellStart"/>
      <w:r w:rsidRPr="002024B1">
        <w:t>ge</w:t>
      </w:r>
      <w:r w:rsidR="00841C78" w:rsidRPr="002024B1">
        <w:t>-</w:t>
      </w:r>
      <w:r w:rsidRPr="002024B1">
        <w:t>selecteerd</w:t>
      </w:r>
      <w:proofErr w:type="spellEnd"/>
      <w:r w:rsidRPr="002024B1">
        <w:t xml:space="preserve"> waarvan de </w:t>
      </w:r>
      <w:proofErr w:type="spellStart"/>
      <w:r w:rsidRPr="002024B1">
        <w:t>ratio’s</w:t>
      </w:r>
      <w:proofErr w:type="spellEnd"/>
      <w:r w:rsidRPr="002024B1">
        <w:t xml:space="preserve"> per paragraaf worden vermeld. </w:t>
      </w:r>
      <w:r w:rsidR="00404E77" w:rsidRPr="002024B1">
        <w:t xml:space="preserve">De berekeningen zijn te vinden in </w:t>
      </w:r>
      <w:proofErr w:type="spellStart"/>
      <w:r w:rsidR="00404E77" w:rsidRPr="002024B1">
        <w:t>Ap</w:t>
      </w:r>
      <w:r w:rsidR="00841C78" w:rsidRPr="002024B1">
        <w:t>-</w:t>
      </w:r>
      <w:r w:rsidR="00404E77" w:rsidRPr="002024B1">
        <w:t>pendix</w:t>
      </w:r>
      <w:proofErr w:type="spellEnd"/>
      <w:r w:rsidR="00404E77" w:rsidRPr="002024B1">
        <w:t xml:space="preserve"> A. </w:t>
      </w:r>
      <w:proofErr w:type="gramStart"/>
      <w:r w:rsidRPr="002024B1">
        <w:t xml:space="preserve">In paragraaf 2.2 wordt liquiditeit besproken. </w:t>
      </w:r>
      <w:proofErr w:type="gramEnd"/>
      <w:r w:rsidRPr="002024B1">
        <w:t>Paragr</w:t>
      </w:r>
      <w:r w:rsidR="008D5872" w:rsidRPr="002024B1">
        <w:t xml:space="preserve">aaf 2.3 gaat over </w:t>
      </w:r>
      <w:proofErr w:type="gramStart"/>
      <w:r w:rsidR="008D5872" w:rsidRPr="002024B1">
        <w:t>solvabiliteit</w:t>
      </w:r>
      <w:proofErr w:type="gramEnd"/>
      <w:r w:rsidR="008D5872" w:rsidRPr="002024B1">
        <w:t>, paragraaf 2.4 over rentabiliteit, p</w:t>
      </w:r>
      <w:r w:rsidRPr="002024B1">
        <w:t xml:space="preserve">aragraaf 2.5: </w:t>
      </w:r>
      <w:proofErr w:type="spellStart"/>
      <w:r w:rsidRPr="002024B1">
        <w:t>rentedekkingsgraad</w:t>
      </w:r>
      <w:proofErr w:type="spellEnd"/>
      <w:r w:rsidRPr="002024B1">
        <w:t xml:space="preserve">. Ten slotte paragraaf 2.6 over continuïteit en in paragraaf 2.7 wordt een begin gemaakt met het vraagstuk over de financiering van woningcorporaties. </w:t>
      </w:r>
    </w:p>
    <w:p w:rsidR="00F961C2" w:rsidRPr="002024B1" w:rsidRDefault="00F961C2" w:rsidP="00F961C2">
      <w:pPr>
        <w:pStyle w:val="Heading3"/>
        <w:rPr>
          <w:color w:val="auto"/>
        </w:rPr>
      </w:pPr>
      <w:r w:rsidRPr="002024B1">
        <w:rPr>
          <w:color w:val="auto"/>
        </w:rPr>
        <w:t>2.2 Liquiditeit</w:t>
      </w:r>
    </w:p>
    <w:p w:rsidR="00F961C2" w:rsidRDefault="00F961C2" w:rsidP="00775B27">
      <w:pPr>
        <w:jc w:val="both"/>
      </w:pPr>
      <w:r w:rsidRPr="002024B1">
        <w:t xml:space="preserve">De </w:t>
      </w:r>
      <w:r w:rsidR="008D5872" w:rsidRPr="002024B1">
        <w:t xml:space="preserve">mate van </w:t>
      </w:r>
      <w:r w:rsidRPr="002024B1">
        <w:t>liquiditeit van een onderneming geeft aan in welke mate zij aan haar korte termijn</w:t>
      </w:r>
      <w:r>
        <w:t xml:space="preserve"> financiële verplichtingen kan voldoen (Gruis, 2001). </w:t>
      </w:r>
    </w:p>
    <w:p w:rsidR="00F961C2" w:rsidRDefault="00F961C2" w:rsidP="00775B27">
      <w:pPr>
        <w:jc w:val="both"/>
      </w:pPr>
      <w:r>
        <w:t xml:space="preserve">Liquiditeit wordt </w:t>
      </w:r>
      <w:r w:rsidR="002E6F72">
        <w:t>in de bedrijfseconomie</w:t>
      </w:r>
      <w:r>
        <w:t xml:space="preserve"> in twee </w:t>
      </w:r>
      <w:proofErr w:type="spellStart"/>
      <w:r>
        <w:t>ratio’s</w:t>
      </w:r>
      <w:proofErr w:type="spellEnd"/>
      <w:r>
        <w:t xml:space="preserve"> uitgedrukt. Er is een liquiditeitsratio in ruime zin, ofwel de </w:t>
      </w:r>
      <w:proofErr w:type="spellStart"/>
      <w:r>
        <w:t>current</w:t>
      </w:r>
      <w:proofErr w:type="spellEnd"/>
      <w:r>
        <w:t xml:space="preserve"> ratio en er is een liquiditeitsratio in enge zin, ofwel </w:t>
      </w:r>
      <w:proofErr w:type="spellStart"/>
      <w:r>
        <w:t>quick</w:t>
      </w:r>
      <w:proofErr w:type="spellEnd"/>
      <w:r>
        <w:t xml:space="preserve"> ratio of de acid test. De formule van de liquiditeitsratio in ruime zin is als volgt: </w:t>
      </w:r>
    </w:p>
    <w:p w:rsidR="00F961C2" w:rsidRDefault="00F961C2" w:rsidP="00F961C2">
      <w:pPr>
        <w:jc w:val="center"/>
      </w:pPr>
      <w:r>
        <w:rPr>
          <w:noProof/>
          <w:lang w:val="en-US"/>
        </w:rPr>
        <w:drawing>
          <wp:inline distT="0" distB="0" distL="0" distR="0">
            <wp:extent cx="2667000" cy="790575"/>
            <wp:effectExtent l="1905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667000" cy="790575"/>
                    </a:xfrm>
                    <a:prstGeom prst="rect">
                      <a:avLst/>
                    </a:prstGeom>
                    <a:noFill/>
                    <a:ln w="9525">
                      <a:noFill/>
                      <a:miter lim="800000"/>
                      <a:headEnd/>
                      <a:tailEnd/>
                    </a:ln>
                  </pic:spPr>
                </pic:pic>
              </a:graphicData>
            </a:graphic>
          </wp:inline>
        </w:drawing>
      </w:r>
    </w:p>
    <w:tbl>
      <w:tblPr>
        <w:tblStyle w:val="Lichtearcering1"/>
        <w:tblpPr w:leftFromText="141" w:rightFromText="141" w:vertAnchor="text" w:horzAnchor="margin" w:tblpXSpec="right" w:tblpY="980"/>
        <w:tblW w:w="0" w:type="auto"/>
        <w:tblLook w:val="04A0"/>
      </w:tblPr>
      <w:tblGrid>
        <w:gridCol w:w="3246"/>
        <w:gridCol w:w="1682"/>
      </w:tblGrid>
      <w:tr w:rsidR="00F961C2" w:rsidTr="00C90753">
        <w:trPr>
          <w:cnfStyle w:val="100000000000"/>
          <w:trHeight w:val="287"/>
        </w:trPr>
        <w:tc>
          <w:tcPr>
            <w:cnfStyle w:val="001000000000"/>
            <w:tcW w:w="3246" w:type="dxa"/>
          </w:tcPr>
          <w:p w:rsidR="00F961C2" w:rsidRDefault="00F961C2" w:rsidP="00C90753">
            <w:r>
              <w:t>Woningcorporatie</w:t>
            </w:r>
          </w:p>
        </w:tc>
        <w:tc>
          <w:tcPr>
            <w:tcW w:w="1682" w:type="dxa"/>
          </w:tcPr>
          <w:p w:rsidR="00F961C2" w:rsidRDefault="00F961C2" w:rsidP="00C90753">
            <w:pPr>
              <w:cnfStyle w:val="100000000000"/>
            </w:pPr>
            <w:proofErr w:type="spellStart"/>
            <w:r>
              <w:t>Current</w:t>
            </w:r>
            <w:proofErr w:type="spellEnd"/>
            <w:r>
              <w:t xml:space="preserve"> Ratio</w:t>
            </w:r>
          </w:p>
        </w:tc>
      </w:tr>
      <w:tr w:rsidR="00F961C2" w:rsidTr="00C90753">
        <w:trPr>
          <w:cnfStyle w:val="000000100000"/>
          <w:trHeight w:val="287"/>
        </w:trPr>
        <w:tc>
          <w:tcPr>
            <w:cnfStyle w:val="001000000000"/>
            <w:tcW w:w="3246" w:type="dxa"/>
          </w:tcPr>
          <w:p w:rsidR="00F961C2" w:rsidRDefault="00F961C2" w:rsidP="00C90753">
            <w:r>
              <w:t>Mozaïek Wonen Gouda</w:t>
            </w:r>
          </w:p>
        </w:tc>
        <w:tc>
          <w:tcPr>
            <w:tcW w:w="1682" w:type="dxa"/>
          </w:tcPr>
          <w:p w:rsidR="00F961C2" w:rsidRDefault="00F961C2" w:rsidP="00C90753">
            <w:pPr>
              <w:cnfStyle w:val="000000100000"/>
            </w:pPr>
            <w:r>
              <w:t>0,50</w:t>
            </w:r>
          </w:p>
        </w:tc>
      </w:tr>
      <w:tr w:rsidR="00F961C2" w:rsidTr="00C90753">
        <w:trPr>
          <w:trHeight w:val="287"/>
        </w:trPr>
        <w:tc>
          <w:tcPr>
            <w:cnfStyle w:val="001000000000"/>
            <w:tcW w:w="3246" w:type="dxa"/>
          </w:tcPr>
          <w:p w:rsidR="00F961C2" w:rsidRDefault="00F961C2" w:rsidP="00C90753">
            <w:r>
              <w:t>Woonstad Rotterdam</w:t>
            </w:r>
          </w:p>
        </w:tc>
        <w:tc>
          <w:tcPr>
            <w:tcW w:w="1682" w:type="dxa"/>
          </w:tcPr>
          <w:p w:rsidR="00F961C2" w:rsidRDefault="00F961C2" w:rsidP="00C90753">
            <w:pPr>
              <w:cnfStyle w:val="000000000000"/>
            </w:pPr>
            <w:r>
              <w:t>0,54</w:t>
            </w:r>
          </w:p>
        </w:tc>
      </w:tr>
      <w:tr w:rsidR="00F961C2" w:rsidTr="00C90753">
        <w:trPr>
          <w:cnfStyle w:val="000000100000"/>
          <w:trHeight w:val="271"/>
        </w:trPr>
        <w:tc>
          <w:tcPr>
            <w:cnfStyle w:val="001000000000"/>
            <w:tcW w:w="3246" w:type="dxa"/>
          </w:tcPr>
          <w:p w:rsidR="00F961C2" w:rsidRDefault="00F961C2" w:rsidP="00C90753">
            <w:proofErr w:type="spellStart"/>
            <w:r>
              <w:t>Ymere</w:t>
            </w:r>
            <w:proofErr w:type="spellEnd"/>
            <w:r>
              <w:t xml:space="preserve"> Amsterdam</w:t>
            </w:r>
          </w:p>
        </w:tc>
        <w:tc>
          <w:tcPr>
            <w:tcW w:w="1682" w:type="dxa"/>
          </w:tcPr>
          <w:p w:rsidR="00F961C2" w:rsidRDefault="00F961C2" w:rsidP="00C90753">
            <w:pPr>
              <w:cnfStyle w:val="000000100000"/>
            </w:pPr>
            <w:r>
              <w:t>0,17</w:t>
            </w:r>
          </w:p>
        </w:tc>
      </w:tr>
      <w:tr w:rsidR="00F961C2" w:rsidTr="00C90753">
        <w:trPr>
          <w:trHeight w:val="287"/>
        </w:trPr>
        <w:tc>
          <w:tcPr>
            <w:cnfStyle w:val="001000000000"/>
            <w:tcW w:w="3246" w:type="dxa"/>
          </w:tcPr>
          <w:p w:rsidR="00F961C2" w:rsidRDefault="00F961C2" w:rsidP="00C90753">
            <w:r>
              <w:t xml:space="preserve">De Goede Woning - </w:t>
            </w:r>
            <w:proofErr w:type="spellStart"/>
            <w:r>
              <w:t>Neerijnen</w:t>
            </w:r>
            <w:proofErr w:type="spellEnd"/>
          </w:p>
        </w:tc>
        <w:tc>
          <w:tcPr>
            <w:tcW w:w="1682" w:type="dxa"/>
          </w:tcPr>
          <w:p w:rsidR="00F961C2" w:rsidRDefault="00F961C2" w:rsidP="00C90753">
            <w:pPr>
              <w:cnfStyle w:val="000000000000"/>
            </w:pPr>
            <w:r>
              <w:t>1,07</w:t>
            </w:r>
          </w:p>
        </w:tc>
      </w:tr>
      <w:tr w:rsidR="00F961C2" w:rsidTr="00C90753">
        <w:trPr>
          <w:cnfStyle w:val="000000100000"/>
          <w:trHeight w:val="287"/>
        </w:trPr>
        <w:tc>
          <w:tcPr>
            <w:cnfStyle w:val="001000000000"/>
            <w:tcW w:w="3246" w:type="dxa"/>
          </w:tcPr>
          <w:p w:rsidR="00F961C2" w:rsidRDefault="00F961C2" w:rsidP="00C90753">
            <w:r>
              <w:t>Portaal Baarn</w:t>
            </w:r>
          </w:p>
        </w:tc>
        <w:tc>
          <w:tcPr>
            <w:tcW w:w="1682" w:type="dxa"/>
          </w:tcPr>
          <w:p w:rsidR="00F961C2" w:rsidRDefault="00F961C2" w:rsidP="00C90753">
            <w:pPr>
              <w:cnfStyle w:val="000000100000"/>
            </w:pPr>
            <w:r>
              <w:t>1,92</w:t>
            </w:r>
          </w:p>
        </w:tc>
      </w:tr>
    </w:tbl>
    <w:p w:rsidR="00F961C2" w:rsidRDefault="00F961C2" w:rsidP="00775B27">
      <w:pPr>
        <w:jc w:val="both"/>
      </w:pPr>
      <w:r>
        <w:t xml:space="preserve">Wanneer er een grotere uitkomst is dan 1 zijn de vlottende activa groter dan het vreemd vermogen op korte termijn. De onderneming wordt dan geacht in staat te zijn aan haar korte termijn financiële verplichtingen te kunnen voldoen. Volgens deze regel scoren slechts twee van de vijf hiernaast </w:t>
      </w:r>
      <w:proofErr w:type="spellStart"/>
      <w:r>
        <w:t>ver</w:t>
      </w:r>
      <w:r w:rsidR="00841C78">
        <w:t>-</w:t>
      </w:r>
      <w:r>
        <w:t>melde</w:t>
      </w:r>
      <w:proofErr w:type="spellEnd"/>
      <w:r>
        <w:t xml:space="preserve"> woningcorporaties voldoende wat betreft hun </w:t>
      </w:r>
      <w:proofErr w:type="spellStart"/>
      <w:r>
        <w:t>current</w:t>
      </w:r>
      <w:proofErr w:type="spellEnd"/>
      <w:r>
        <w:t xml:space="preserve"> ratio. </w:t>
      </w:r>
    </w:p>
    <w:p w:rsidR="00F961C2" w:rsidRDefault="00F961C2" w:rsidP="00F961C2"/>
    <w:p w:rsidR="00F961C2" w:rsidRDefault="00F961C2" w:rsidP="00F961C2"/>
    <w:p w:rsidR="00F961C2" w:rsidRDefault="00F961C2" w:rsidP="00F961C2"/>
    <w:p w:rsidR="00841C78" w:rsidRDefault="00841C78" w:rsidP="00F961C2"/>
    <w:p w:rsidR="00F961C2" w:rsidRDefault="00F961C2" w:rsidP="00F961C2"/>
    <w:p w:rsidR="00F961C2" w:rsidRDefault="00F961C2" w:rsidP="00F961C2">
      <w:r>
        <w:t>De formule van de liquiditeitsratio in enge zin:</w:t>
      </w:r>
    </w:p>
    <w:p w:rsidR="00F961C2" w:rsidRDefault="00F961C2" w:rsidP="00F961C2">
      <w:pPr>
        <w:jc w:val="center"/>
      </w:pPr>
      <w:r>
        <w:rPr>
          <w:noProof/>
          <w:lang w:val="en-US"/>
        </w:rPr>
        <w:drawing>
          <wp:inline distT="0" distB="0" distL="0" distR="0">
            <wp:extent cx="5276850" cy="752475"/>
            <wp:effectExtent l="1905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276850" cy="752475"/>
                    </a:xfrm>
                    <a:prstGeom prst="rect">
                      <a:avLst/>
                    </a:prstGeom>
                    <a:noFill/>
                    <a:ln w="9525">
                      <a:noFill/>
                      <a:miter lim="800000"/>
                      <a:headEnd/>
                      <a:tailEnd/>
                    </a:ln>
                  </pic:spPr>
                </pic:pic>
              </a:graphicData>
            </a:graphic>
          </wp:inline>
        </w:drawing>
      </w:r>
    </w:p>
    <w:p w:rsidR="00F961C2" w:rsidRDefault="00F961C2" w:rsidP="00775B27">
      <w:pPr>
        <w:jc w:val="both"/>
      </w:pPr>
      <w:r>
        <w:t xml:space="preserve">Deze formule is van groter belang voor woningcorporaties. In de liquiditeitsratio in enge zin worden vlottende activa die niet direct in geld om te zetten zijn buiten beschouwing gelaten. In het geval van woningcorporaties gaat het om woningen die bestemd zijn voor verkoop. Deze worden wel tot de vlottende activa gerekend, maar kunnen relatief niet snel worden omgezet in liquide middelen. Zelfs vastgoed in ontwikkeling bestemd voor verkoop wordt tot vlottende activa gerekend (Jaarverslag </w:t>
      </w:r>
      <w:proofErr w:type="spellStart"/>
      <w:r>
        <w:t>Ymere</w:t>
      </w:r>
      <w:proofErr w:type="spellEnd"/>
      <w:r>
        <w:t>, 2012). De liquiditeitsratio in enge zin is dus een strengere berekening van liquiditeit. Ook bij de schulden worden slechts de meest liquide elementen meegenomen in de berekening (</w:t>
      </w:r>
      <w:proofErr w:type="spellStart"/>
      <w:r>
        <w:t>Ooghe</w:t>
      </w:r>
      <w:proofErr w:type="spellEnd"/>
      <w:r>
        <w:t xml:space="preserve"> &amp; Van </w:t>
      </w:r>
      <w:proofErr w:type="spellStart"/>
      <w:r>
        <w:t>Wymeersch</w:t>
      </w:r>
      <w:proofErr w:type="spellEnd"/>
      <w:r>
        <w:t xml:space="preserve">, 2008). </w:t>
      </w:r>
    </w:p>
    <w:p w:rsidR="00F961C2" w:rsidRPr="002024B1" w:rsidRDefault="00F961C2" w:rsidP="00F961C2">
      <w:pPr>
        <w:pStyle w:val="Heading3"/>
        <w:rPr>
          <w:color w:val="auto"/>
        </w:rPr>
      </w:pPr>
      <w:r w:rsidRPr="002024B1">
        <w:rPr>
          <w:color w:val="auto"/>
        </w:rPr>
        <w:t xml:space="preserve">2.3 </w:t>
      </w:r>
      <w:proofErr w:type="gramStart"/>
      <w:r w:rsidRPr="002024B1">
        <w:rPr>
          <w:color w:val="auto"/>
        </w:rPr>
        <w:t>Solvabiliteit</w:t>
      </w:r>
      <w:proofErr w:type="gramEnd"/>
    </w:p>
    <w:p w:rsidR="00F961C2" w:rsidRDefault="00F961C2" w:rsidP="00775B27">
      <w:pPr>
        <w:jc w:val="both"/>
      </w:pPr>
      <w:r>
        <w:t xml:space="preserve">In de economische literatuur wordt onder </w:t>
      </w:r>
      <w:proofErr w:type="gramStart"/>
      <w:r>
        <w:t>solvabiliteit</w:t>
      </w:r>
      <w:proofErr w:type="gramEnd"/>
      <w:r>
        <w:t xml:space="preserve"> verstaan: de mate waarin een onderneming bij liquidatie kan voldoen aan openstaande financiële verplichtingen. De volgende formule wordt </w:t>
      </w:r>
      <w:proofErr w:type="spellStart"/>
      <w:r>
        <w:t>gehan</w:t>
      </w:r>
      <w:r w:rsidR="00841C78">
        <w:t>-</w:t>
      </w:r>
      <w:r>
        <w:t>teerd</w:t>
      </w:r>
      <w:proofErr w:type="spellEnd"/>
      <w:r>
        <w:t>:</w:t>
      </w:r>
    </w:p>
    <w:p w:rsidR="00F961C2" w:rsidRDefault="00F961C2" w:rsidP="00F961C2">
      <w:pPr>
        <w:jc w:val="center"/>
      </w:pPr>
      <w:r>
        <w:rPr>
          <w:noProof/>
          <w:lang w:val="en-US"/>
        </w:rPr>
        <w:drawing>
          <wp:inline distT="0" distB="0" distL="0" distR="0">
            <wp:extent cx="2571750" cy="914400"/>
            <wp:effectExtent l="1905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2571750" cy="914400"/>
                    </a:xfrm>
                    <a:prstGeom prst="rect">
                      <a:avLst/>
                    </a:prstGeom>
                    <a:noFill/>
                    <a:ln w="9525">
                      <a:noFill/>
                      <a:miter lim="800000"/>
                      <a:headEnd/>
                      <a:tailEnd/>
                    </a:ln>
                  </pic:spPr>
                </pic:pic>
              </a:graphicData>
            </a:graphic>
          </wp:inline>
        </w:drawing>
      </w:r>
    </w:p>
    <w:tbl>
      <w:tblPr>
        <w:tblStyle w:val="Lichtearcering1"/>
        <w:tblpPr w:leftFromText="141" w:rightFromText="141" w:vertAnchor="text" w:horzAnchor="page" w:tblpX="598" w:tblpY="401"/>
        <w:tblW w:w="0" w:type="auto"/>
        <w:tblLook w:val="04A0"/>
      </w:tblPr>
      <w:tblGrid>
        <w:gridCol w:w="3227"/>
        <w:gridCol w:w="1984"/>
      </w:tblGrid>
      <w:tr w:rsidR="00F961C2" w:rsidTr="00C90753">
        <w:trPr>
          <w:cnfStyle w:val="100000000000"/>
        </w:trPr>
        <w:tc>
          <w:tcPr>
            <w:cnfStyle w:val="001000000000"/>
            <w:tcW w:w="3227" w:type="dxa"/>
          </w:tcPr>
          <w:p w:rsidR="00F961C2" w:rsidRDefault="00F961C2" w:rsidP="00C90753">
            <w:r>
              <w:t>Woningcorporatie</w:t>
            </w:r>
          </w:p>
        </w:tc>
        <w:tc>
          <w:tcPr>
            <w:tcW w:w="1984" w:type="dxa"/>
          </w:tcPr>
          <w:p w:rsidR="00F961C2" w:rsidRDefault="00F961C2" w:rsidP="00C90753">
            <w:pPr>
              <w:cnfStyle w:val="100000000000"/>
            </w:pPr>
            <w:proofErr w:type="gramStart"/>
            <w:r>
              <w:t>Solvabiliteit</w:t>
            </w:r>
            <w:proofErr w:type="gramEnd"/>
          </w:p>
        </w:tc>
      </w:tr>
      <w:tr w:rsidR="00F961C2" w:rsidTr="00C90753">
        <w:trPr>
          <w:cnfStyle w:val="000000100000"/>
        </w:trPr>
        <w:tc>
          <w:tcPr>
            <w:cnfStyle w:val="001000000000"/>
            <w:tcW w:w="3227" w:type="dxa"/>
          </w:tcPr>
          <w:p w:rsidR="00F961C2" w:rsidRDefault="00F961C2" w:rsidP="00C90753">
            <w:r>
              <w:t>Mozaïek Wonen Gouda</w:t>
            </w:r>
          </w:p>
        </w:tc>
        <w:tc>
          <w:tcPr>
            <w:tcW w:w="1984" w:type="dxa"/>
          </w:tcPr>
          <w:p w:rsidR="00F961C2" w:rsidRDefault="00F961C2" w:rsidP="00C90753">
            <w:pPr>
              <w:cnfStyle w:val="000000100000"/>
            </w:pPr>
            <w:r>
              <w:t>0,35</w:t>
            </w:r>
          </w:p>
        </w:tc>
      </w:tr>
      <w:tr w:rsidR="00F961C2" w:rsidTr="00C90753">
        <w:tc>
          <w:tcPr>
            <w:cnfStyle w:val="001000000000"/>
            <w:tcW w:w="3227" w:type="dxa"/>
          </w:tcPr>
          <w:p w:rsidR="00F961C2" w:rsidRDefault="00F961C2" w:rsidP="00C90753">
            <w:r>
              <w:t>Woonstad Rotterdam</w:t>
            </w:r>
          </w:p>
        </w:tc>
        <w:tc>
          <w:tcPr>
            <w:tcW w:w="1984" w:type="dxa"/>
          </w:tcPr>
          <w:p w:rsidR="00F961C2" w:rsidRDefault="00F961C2" w:rsidP="00C90753">
            <w:pPr>
              <w:cnfStyle w:val="000000000000"/>
            </w:pPr>
            <w:r>
              <w:t>0,50</w:t>
            </w:r>
          </w:p>
        </w:tc>
      </w:tr>
      <w:tr w:rsidR="00F961C2" w:rsidTr="00C90753">
        <w:trPr>
          <w:cnfStyle w:val="000000100000"/>
        </w:trPr>
        <w:tc>
          <w:tcPr>
            <w:cnfStyle w:val="001000000000"/>
            <w:tcW w:w="3227" w:type="dxa"/>
          </w:tcPr>
          <w:p w:rsidR="00F961C2" w:rsidRDefault="00F961C2" w:rsidP="00C90753">
            <w:proofErr w:type="spellStart"/>
            <w:r>
              <w:t>Ymere</w:t>
            </w:r>
            <w:proofErr w:type="spellEnd"/>
            <w:r>
              <w:t xml:space="preserve"> Amsterdam</w:t>
            </w:r>
          </w:p>
        </w:tc>
        <w:tc>
          <w:tcPr>
            <w:tcW w:w="1984" w:type="dxa"/>
          </w:tcPr>
          <w:p w:rsidR="00F961C2" w:rsidRDefault="00F961C2" w:rsidP="00C90753">
            <w:pPr>
              <w:cnfStyle w:val="000000100000"/>
            </w:pPr>
            <w:r>
              <w:t>0,56</w:t>
            </w:r>
          </w:p>
        </w:tc>
      </w:tr>
      <w:tr w:rsidR="00F961C2" w:rsidTr="00C90753">
        <w:tc>
          <w:tcPr>
            <w:cnfStyle w:val="001000000000"/>
            <w:tcW w:w="3227" w:type="dxa"/>
          </w:tcPr>
          <w:p w:rsidR="00F961C2" w:rsidRDefault="00F961C2" w:rsidP="00C90753">
            <w:r>
              <w:t xml:space="preserve">De Goede Woning - </w:t>
            </w:r>
            <w:proofErr w:type="spellStart"/>
            <w:r>
              <w:t>Neerijnen</w:t>
            </w:r>
            <w:proofErr w:type="spellEnd"/>
          </w:p>
        </w:tc>
        <w:tc>
          <w:tcPr>
            <w:tcW w:w="1984" w:type="dxa"/>
          </w:tcPr>
          <w:p w:rsidR="00F961C2" w:rsidRDefault="00F961C2" w:rsidP="00C90753">
            <w:pPr>
              <w:cnfStyle w:val="000000000000"/>
            </w:pPr>
            <w:r>
              <w:t>0,58</w:t>
            </w:r>
          </w:p>
        </w:tc>
      </w:tr>
      <w:tr w:rsidR="00F961C2" w:rsidTr="00C90753">
        <w:trPr>
          <w:cnfStyle w:val="000000100000"/>
        </w:trPr>
        <w:tc>
          <w:tcPr>
            <w:cnfStyle w:val="001000000000"/>
            <w:tcW w:w="3227" w:type="dxa"/>
          </w:tcPr>
          <w:p w:rsidR="00F961C2" w:rsidRDefault="00F961C2" w:rsidP="00C90753">
            <w:r>
              <w:t>Portaal Baarn</w:t>
            </w:r>
          </w:p>
        </w:tc>
        <w:tc>
          <w:tcPr>
            <w:tcW w:w="1984" w:type="dxa"/>
          </w:tcPr>
          <w:p w:rsidR="00F961C2" w:rsidRDefault="00F961C2" w:rsidP="00C90753">
            <w:pPr>
              <w:cnfStyle w:val="000000100000"/>
            </w:pPr>
            <w:r>
              <w:t>0,24</w:t>
            </w:r>
          </w:p>
        </w:tc>
      </w:tr>
    </w:tbl>
    <w:p w:rsidR="00F961C2" w:rsidRDefault="00F961C2" w:rsidP="00775B27">
      <w:pPr>
        <w:jc w:val="both"/>
      </w:pPr>
      <w:r>
        <w:t xml:space="preserve">In het geval van deze formule moet er een uitkomst zijn van minimaal 0,5 om bij liquidatie aan de financiële verplichtingen te kunnen voldoen. Het eigen vermogen zou dan voldoende groot zijn om het vreemd vermogen te dekken. </w:t>
      </w:r>
      <w:proofErr w:type="spellStart"/>
      <w:r>
        <w:t>Woningcorpo</w:t>
      </w:r>
      <w:r w:rsidR="00841C78">
        <w:t>-</w:t>
      </w:r>
      <w:r>
        <w:t>raties</w:t>
      </w:r>
      <w:proofErr w:type="spellEnd"/>
      <w:r>
        <w:t xml:space="preserve"> kunnen een lagere </w:t>
      </w:r>
      <w:proofErr w:type="gramStart"/>
      <w:r>
        <w:t>solvabiliteit</w:t>
      </w:r>
      <w:proofErr w:type="gramEnd"/>
      <w:r>
        <w:t xml:space="preserve"> aanhouden </w:t>
      </w:r>
      <w:r w:rsidR="000B7E0C">
        <w:t>door</w:t>
      </w:r>
      <w:r>
        <w:t xml:space="preserve">dat ze grote stille reserves hebben in hun </w:t>
      </w:r>
      <w:proofErr w:type="spellStart"/>
      <w:r>
        <w:t>wo</w:t>
      </w:r>
      <w:r w:rsidR="00841C78">
        <w:t>-</w:t>
      </w:r>
      <w:r>
        <w:t>ningbezit</w:t>
      </w:r>
      <w:proofErr w:type="spellEnd"/>
      <w:r>
        <w:t xml:space="preserve">. Drie van de vijf woningcorporaties </w:t>
      </w:r>
      <w:proofErr w:type="spellStart"/>
      <w:r>
        <w:t>heb</w:t>
      </w:r>
      <w:r w:rsidR="00841C78">
        <w:t>-</w:t>
      </w:r>
      <w:r>
        <w:t>ben</w:t>
      </w:r>
      <w:proofErr w:type="spellEnd"/>
      <w:r>
        <w:t xml:space="preserve"> een voldoende grote </w:t>
      </w:r>
      <w:proofErr w:type="gramStart"/>
      <w:r>
        <w:t>solvabiliteit</w:t>
      </w:r>
      <w:proofErr w:type="gramEnd"/>
      <w:r>
        <w:t xml:space="preserve">. </w:t>
      </w:r>
    </w:p>
    <w:p w:rsidR="00F961C2" w:rsidRDefault="00F961C2" w:rsidP="00775B27">
      <w:pPr>
        <w:jc w:val="both"/>
      </w:pPr>
      <w:r>
        <w:t xml:space="preserve">Volgens Gruis (2001) wordt de </w:t>
      </w:r>
      <w:proofErr w:type="gramStart"/>
      <w:r>
        <w:t>solvabiliteit</w:t>
      </w:r>
      <w:proofErr w:type="gramEnd"/>
      <w:r>
        <w:t xml:space="preserve"> van woningcorporaties bepaald door de mate waarin de lange termijn verplichtingen worden gedekt door de lange termijn inkomsten. Het Centraal Fonds Volkshuisvesting (CFV) geeft een solvabiliteitsoordeel aan </w:t>
      </w:r>
      <w:proofErr w:type="gramStart"/>
      <w:r>
        <w:t xml:space="preserve">woningcorporaties:  </w:t>
      </w:r>
      <w:proofErr w:type="gramEnd"/>
    </w:p>
    <w:p w:rsidR="00F961C2" w:rsidRPr="001E7D73" w:rsidRDefault="00F961C2" w:rsidP="00F961C2">
      <w:pPr>
        <w:jc w:val="center"/>
        <w:rPr>
          <w:i/>
        </w:rPr>
      </w:pPr>
      <w:r w:rsidRPr="001E7D73">
        <w:rPr>
          <w:i/>
        </w:rPr>
        <w:t xml:space="preserve">“Bij het solvabiliteitsoordeel wordt vastgesteld of een corporatie op basis van voortzetting van het beheer op balansdatum haar verplichtingen kan nakomen. Het solvabiliteitsoordeel is gebaseerd op twee bouwstenen: het </w:t>
      </w:r>
      <w:proofErr w:type="spellStart"/>
      <w:r w:rsidRPr="001E7D73">
        <w:rPr>
          <w:i/>
        </w:rPr>
        <w:t>volkshuisvestelijk</w:t>
      </w:r>
      <w:proofErr w:type="spellEnd"/>
      <w:r w:rsidRPr="001E7D73">
        <w:rPr>
          <w:i/>
        </w:rPr>
        <w:t xml:space="preserve"> vermogen op balansdatum en het vermogen dat op </w:t>
      </w:r>
      <w:proofErr w:type="spellStart"/>
      <w:r w:rsidRPr="001E7D73">
        <w:rPr>
          <w:i/>
        </w:rPr>
        <w:t>balans</w:t>
      </w:r>
      <w:r w:rsidR="00841C78">
        <w:rPr>
          <w:i/>
        </w:rPr>
        <w:t>-</w:t>
      </w:r>
      <w:r w:rsidRPr="001E7D73">
        <w:rPr>
          <w:i/>
        </w:rPr>
        <w:t>datum</w:t>
      </w:r>
      <w:proofErr w:type="spellEnd"/>
      <w:r w:rsidRPr="001E7D73">
        <w:rPr>
          <w:i/>
        </w:rPr>
        <w:t xml:space="preserve"> beschikbaar moet zijn om de risico’s te kunnen opvangen.”</w:t>
      </w:r>
    </w:p>
    <w:p w:rsidR="00F961C2" w:rsidRDefault="00F961C2" w:rsidP="00775B27">
      <w:pPr>
        <w:jc w:val="both"/>
      </w:pPr>
      <w:r>
        <w:t xml:space="preserve">Bij woningcorporaties gelden andere eisen </w:t>
      </w:r>
      <w:r w:rsidR="008D5872">
        <w:t xml:space="preserve">ten </w:t>
      </w:r>
      <w:r>
        <w:t>aan</w:t>
      </w:r>
      <w:r w:rsidR="008D5872">
        <w:t>zien van de</w:t>
      </w:r>
      <w:r>
        <w:t xml:space="preserve"> </w:t>
      </w:r>
      <w:proofErr w:type="gramStart"/>
      <w:r>
        <w:t>solvabiliteit</w:t>
      </w:r>
      <w:proofErr w:type="gramEnd"/>
      <w:r>
        <w:t xml:space="preserve">. Er volgt een positief </w:t>
      </w:r>
      <w:proofErr w:type="spellStart"/>
      <w:r>
        <w:t>oor</w:t>
      </w:r>
      <w:r w:rsidR="00841C78">
        <w:t>-</w:t>
      </w:r>
      <w:r>
        <w:t>deel</w:t>
      </w:r>
      <w:proofErr w:type="spellEnd"/>
      <w:r>
        <w:t xml:space="preserve"> wanneer de </w:t>
      </w:r>
      <w:proofErr w:type="gramStart"/>
      <w:r>
        <w:t>solvabiliteit</w:t>
      </w:r>
      <w:proofErr w:type="gramEnd"/>
      <w:r>
        <w:t xml:space="preserve"> niet te veel afwijkt met vorige jaren (CFV, 2012</w:t>
      </w:r>
      <w:r w:rsidR="00987A3F">
        <w:t>a</w:t>
      </w:r>
      <w:r w:rsidR="008D5872">
        <w:t xml:space="preserve">). Het is niet nodig dat alle </w:t>
      </w:r>
      <w:r>
        <w:t xml:space="preserve">schulden kunnen worden gedekt met eigen vermogen. De eis is dat de corporatie bij </w:t>
      </w:r>
      <w:r w:rsidR="008D5872">
        <w:t xml:space="preserve">een </w:t>
      </w:r>
      <w:proofErr w:type="spellStart"/>
      <w:r>
        <w:t>norma</w:t>
      </w:r>
      <w:r w:rsidR="00841C78">
        <w:t>-</w:t>
      </w:r>
      <w:r>
        <w:t>le</w:t>
      </w:r>
      <w:proofErr w:type="spellEnd"/>
      <w:r>
        <w:t xml:space="preserve"> gang van zaken per balansdatum haar verplichtingen kan nakomen. </w:t>
      </w:r>
      <w:r w:rsidR="008D5872">
        <w:t>Het CFV</w:t>
      </w:r>
      <w:r>
        <w:t xml:space="preserve"> gaat uit van de </w:t>
      </w:r>
      <w:proofErr w:type="spellStart"/>
      <w:r>
        <w:t>vol</w:t>
      </w:r>
      <w:r w:rsidR="00775B27">
        <w:t>-</w:t>
      </w:r>
      <w:r>
        <w:t>gende</w:t>
      </w:r>
      <w:proofErr w:type="spellEnd"/>
      <w:r>
        <w:t xml:space="preserve"> formule:</w:t>
      </w:r>
    </w:p>
    <w:p w:rsidR="00F961C2" w:rsidRDefault="00F961C2" w:rsidP="00F961C2">
      <w:pPr>
        <w:jc w:val="center"/>
      </w:pPr>
      <w:r>
        <w:rPr>
          <w:noProof/>
          <w:lang w:val="en-US"/>
        </w:rPr>
        <w:drawing>
          <wp:inline distT="0" distB="0" distL="0" distR="0">
            <wp:extent cx="4686300" cy="533400"/>
            <wp:effectExtent l="19050" t="0" r="0" b="0"/>
            <wp:docPr id="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4686300" cy="533400"/>
                    </a:xfrm>
                    <a:prstGeom prst="rect">
                      <a:avLst/>
                    </a:prstGeom>
                    <a:noFill/>
                    <a:ln w="9525">
                      <a:noFill/>
                      <a:miter lim="800000"/>
                      <a:headEnd/>
                      <a:tailEnd/>
                    </a:ln>
                  </pic:spPr>
                </pic:pic>
              </a:graphicData>
            </a:graphic>
          </wp:inline>
        </w:drawing>
      </w:r>
    </w:p>
    <w:p w:rsidR="00F961C2" w:rsidRDefault="00F961C2" w:rsidP="00775B27">
      <w:pPr>
        <w:jc w:val="both"/>
      </w:pPr>
      <w:r>
        <w:t xml:space="preserve">Het </w:t>
      </w:r>
      <w:proofErr w:type="spellStart"/>
      <w:r>
        <w:t>volkshuisvestelijk</w:t>
      </w:r>
      <w:proofErr w:type="spellEnd"/>
      <w:r>
        <w:t xml:space="preserve"> vermogen wordt berekend door woningen te waarderen tegen de uniforme </w:t>
      </w:r>
      <w:proofErr w:type="spellStart"/>
      <w:r>
        <w:t>volkshuisvestelijk</w:t>
      </w:r>
      <w:proofErr w:type="spellEnd"/>
      <w:r>
        <w:t xml:space="preserve"> exploitatiewaarde. Hier worden voorzieningen bij opgeteld en immateriële vaste activa afgetrokken. Het risicovermogen is </w:t>
      </w:r>
      <w:r w:rsidR="008D5872">
        <w:t>de</w:t>
      </w:r>
      <w:r>
        <w:t xml:space="preserve"> waarde van de schulden die nodig is om met 95% </w:t>
      </w:r>
      <w:proofErr w:type="spellStart"/>
      <w:r>
        <w:t>zeker</w:t>
      </w:r>
      <w:r w:rsidR="00841C78">
        <w:t>-</w:t>
      </w:r>
      <w:r>
        <w:t>heid</w:t>
      </w:r>
      <w:proofErr w:type="spellEnd"/>
      <w:r>
        <w:t xml:space="preserve"> te kunnen zeggen dat de corporatie aan haar verplichtingen kan voldoen. Wanneer de uitkomst groter dan nul is, volgt er een positief oordeel CFV (2012</w:t>
      </w:r>
      <w:r w:rsidR="00987A3F">
        <w:t>a</w:t>
      </w:r>
      <w:r>
        <w:t xml:space="preserve">). </w:t>
      </w:r>
    </w:p>
    <w:p w:rsidR="00F961C2" w:rsidRDefault="00F961C2" w:rsidP="00775B27">
      <w:pPr>
        <w:jc w:val="both"/>
      </w:pPr>
      <w:r>
        <w:t xml:space="preserve">Hier is een duidelijke link te zien tussen de definitie van </w:t>
      </w:r>
      <w:proofErr w:type="gramStart"/>
      <w:r>
        <w:t>solvabiliteit</w:t>
      </w:r>
      <w:proofErr w:type="gramEnd"/>
      <w:r>
        <w:t xml:space="preserve"> en het waarderen tegen </w:t>
      </w:r>
      <w:proofErr w:type="spellStart"/>
      <w:r>
        <w:t>bedrijfs</w:t>
      </w:r>
      <w:r w:rsidR="00841C78">
        <w:t>-</w:t>
      </w:r>
      <w:r>
        <w:t>waarde</w:t>
      </w:r>
      <w:proofErr w:type="spellEnd"/>
      <w:r>
        <w:t xml:space="preserve">. Het overgrote deel van het </w:t>
      </w:r>
      <w:proofErr w:type="spellStart"/>
      <w:r>
        <w:t>volkshuisvestelijk</w:t>
      </w:r>
      <w:proofErr w:type="spellEnd"/>
      <w:r>
        <w:t xml:space="preserve"> vermogen bestaat immers uit de toekomstige kasstromen wanneer wordt gewaardeerd tegen bedrijfswaarde. Zo kan goed worden bepaald of de lange termijn verplichtingen gedekt kunnen worden. </w:t>
      </w:r>
    </w:p>
    <w:p w:rsidR="00F961C2" w:rsidRPr="002024B1" w:rsidRDefault="00F961C2" w:rsidP="00F961C2">
      <w:pPr>
        <w:pStyle w:val="Heading3"/>
        <w:rPr>
          <w:color w:val="auto"/>
        </w:rPr>
      </w:pPr>
      <w:r w:rsidRPr="002024B1">
        <w:rPr>
          <w:color w:val="auto"/>
        </w:rPr>
        <w:t>2.4 Rentabiliteit</w:t>
      </w:r>
    </w:p>
    <w:p w:rsidR="00F961C2" w:rsidRDefault="00F961C2" w:rsidP="00F961C2">
      <w:r>
        <w:t xml:space="preserve">Rentabiliteit kan </w:t>
      </w:r>
      <w:r w:rsidR="002E6F72">
        <w:t xml:space="preserve">volgens de bedrijfseconomische theorie </w:t>
      </w:r>
      <w:r>
        <w:t xml:space="preserve">op drie manieren tot uitdrukking komen. </w:t>
      </w:r>
    </w:p>
    <w:p w:rsidR="00F961C2" w:rsidRDefault="00F961C2" w:rsidP="00F961C2">
      <w:r>
        <w:t>Rentabiliteit van het eigen vermogen:</w:t>
      </w:r>
    </w:p>
    <w:p w:rsidR="00F961C2" w:rsidRDefault="00F961C2" w:rsidP="00F961C2">
      <w:r>
        <w:rPr>
          <w:noProof/>
          <w:lang w:val="en-US"/>
        </w:rPr>
        <w:drawing>
          <wp:inline distT="0" distB="0" distL="0" distR="0">
            <wp:extent cx="2266950" cy="466725"/>
            <wp:effectExtent l="19050" t="0" r="0" b="0"/>
            <wp:docPr id="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2266950" cy="466725"/>
                    </a:xfrm>
                    <a:prstGeom prst="rect">
                      <a:avLst/>
                    </a:prstGeom>
                    <a:noFill/>
                    <a:ln w="9525">
                      <a:noFill/>
                      <a:miter lim="800000"/>
                      <a:headEnd/>
                      <a:tailEnd/>
                    </a:ln>
                  </pic:spPr>
                </pic:pic>
              </a:graphicData>
            </a:graphic>
          </wp:inline>
        </w:drawing>
      </w:r>
    </w:p>
    <w:p w:rsidR="00F961C2" w:rsidRDefault="00F961C2" w:rsidP="00F961C2">
      <w:r>
        <w:t xml:space="preserve">Rentabiliteit van het totale vermogen: </w:t>
      </w:r>
    </w:p>
    <w:p w:rsidR="00F961C2" w:rsidRDefault="00F961C2" w:rsidP="00F961C2">
      <w:r>
        <w:rPr>
          <w:noProof/>
          <w:lang w:val="en-US"/>
        </w:rPr>
        <w:drawing>
          <wp:inline distT="0" distB="0" distL="0" distR="0">
            <wp:extent cx="2857500" cy="447675"/>
            <wp:effectExtent l="19050" t="0" r="0" b="0"/>
            <wp:docPr id="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2857500" cy="447675"/>
                    </a:xfrm>
                    <a:prstGeom prst="rect">
                      <a:avLst/>
                    </a:prstGeom>
                    <a:noFill/>
                    <a:ln w="9525">
                      <a:noFill/>
                      <a:miter lim="800000"/>
                      <a:headEnd/>
                      <a:tailEnd/>
                    </a:ln>
                  </pic:spPr>
                </pic:pic>
              </a:graphicData>
            </a:graphic>
          </wp:inline>
        </w:drawing>
      </w:r>
    </w:p>
    <w:p w:rsidR="00F961C2" w:rsidRDefault="00F961C2" w:rsidP="00F961C2">
      <w:r>
        <w:t>Rentabiliteit van het vreemd vermogen:</w:t>
      </w:r>
    </w:p>
    <w:p w:rsidR="00981255" w:rsidRPr="002E6F72" w:rsidRDefault="00F961C2" w:rsidP="00F961C2">
      <w:r>
        <w:rPr>
          <w:noProof/>
          <w:lang w:val="en-US"/>
        </w:rPr>
        <w:drawing>
          <wp:inline distT="0" distB="0" distL="0" distR="0">
            <wp:extent cx="2390775" cy="466725"/>
            <wp:effectExtent l="19050" t="0" r="9525" b="0"/>
            <wp:docPr id="1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2390775" cy="466725"/>
                    </a:xfrm>
                    <a:prstGeom prst="rect">
                      <a:avLst/>
                    </a:prstGeom>
                    <a:noFill/>
                    <a:ln w="9525">
                      <a:noFill/>
                      <a:miter lim="800000"/>
                      <a:headEnd/>
                      <a:tailEnd/>
                    </a:ln>
                  </pic:spPr>
                </pic:pic>
              </a:graphicData>
            </a:graphic>
          </wp:inline>
        </w:drawing>
      </w:r>
    </w:p>
    <w:p w:rsidR="00F961C2" w:rsidRDefault="00F961C2" w:rsidP="00775B27">
      <w:pPr>
        <w:jc w:val="both"/>
      </w:pPr>
      <w:r>
        <w:t xml:space="preserve">De rentabiliteit van het eigen vermogen valt vaak lager uit dan </w:t>
      </w:r>
      <w:r w:rsidR="00981255">
        <w:t xml:space="preserve">de </w:t>
      </w:r>
      <w:r>
        <w:t xml:space="preserve">rentabiliteit op </w:t>
      </w:r>
      <w:proofErr w:type="gramStart"/>
      <w:r>
        <w:t>het</w:t>
      </w:r>
      <w:proofErr w:type="gramEnd"/>
      <w:r>
        <w:t xml:space="preserve"> totaal </w:t>
      </w:r>
      <w:proofErr w:type="spellStart"/>
      <w:r>
        <w:t>vermo</w:t>
      </w:r>
      <w:r w:rsidR="00841C78">
        <w:t>-</w:t>
      </w:r>
      <w:r>
        <w:t>gen</w:t>
      </w:r>
      <w:proofErr w:type="spellEnd"/>
      <w:r>
        <w:t xml:space="preserve">. Bij rentabiliteit wordt de </w:t>
      </w:r>
      <w:r w:rsidR="00981255">
        <w:t xml:space="preserve">betaalde </w:t>
      </w:r>
      <w:r>
        <w:t>rente opgeteld bij de nettowinst. Bij woningcorporaties is de rente vaak een hoog bedrag</w:t>
      </w:r>
      <w:r w:rsidR="00981255">
        <w:t>,</w:t>
      </w:r>
      <w:r>
        <w:t xml:space="preserve"> </w:t>
      </w:r>
      <w:r w:rsidR="00981255">
        <w:t>waardoor</w:t>
      </w:r>
      <w:r>
        <w:t xml:space="preserve"> de rentabiliteit op </w:t>
      </w:r>
      <w:r w:rsidR="00981255">
        <w:t>het totale</w:t>
      </w:r>
      <w:r>
        <w:t xml:space="preserve"> vermogen hoger uitvalt</w:t>
      </w:r>
      <w:r w:rsidR="00981255">
        <w:t xml:space="preserve"> dan de rentabiliteit op het eigen vermogen</w:t>
      </w:r>
      <w:r>
        <w:t xml:space="preserve">. Het hefboomeffect werkt de verkeerde kant op. Normaal </w:t>
      </w:r>
      <w:proofErr w:type="spellStart"/>
      <w:r>
        <w:t>zou</w:t>
      </w:r>
      <w:r w:rsidR="00841C78">
        <w:t>-</w:t>
      </w:r>
      <w:r w:rsidR="00981255">
        <w:t>den</w:t>
      </w:r>
      <w:proofErr w:type="spellEnd"/>
      <w:r>
        <w:t xml:space="preserve"> bij een hoger rendement dan de interestkosten de rentabiliteit op </w:t>
      </w:r>
      <w:r w:rsidR="00981255">
        <w:t xml:space="preserve">het </w:t>
      </w:r>
      <w:r>
        <w:t>eigen vermogen hoger moeten zijn dan de rentabiliteit op</w:t>
      </w:r>
      <w:r w:rsidR="00981255">
        <w:t xml:space="preserve"> het totale</w:t>
      </w:r>
      <w:r>
        <w:t xml:space="preserve"> vermogen. Bij woningcorporaties is het rendement vaak niet eens groter dan de</w:t>
      </w:r>
      <w:r w:rsidR="00981255">
        <w:t xml:space="preserve"> betaalde</w:t>
      </w:r>
      <w:r>
        <w:t xml:space="preserve"> rente. </w:t>
      </w:r>
    </w:p>
    <w:p w:rsidR="00775B27" w:rsidRDefault="00775B27" w:rsidP="00775B27">
      <w:pPr>
        <w:jc w:val="both"/>
      </w:pPr>
    </w:p>
    <w:p w:rsidR="002E6F72" w:rsidRDefault="002E6F72" w:rsidP="00775B27">
      <w:pPr>
        <w:jc w:val="both"/>
      </w:pPr>
    </w:p>
    <w:p w:rsidR="00775B27" w:rsidRPr="00A643D2" w:rsidRDefault="00775B27" w:rsidP="00775B27">
      <w:pPr>
        <w:jc w:val="both"/>
      </w:pPr>
    </w:p>
    <w:tbl>
      <w:tblPr>
        <w:tblStyle w:val="Lichtearcering1"/>
        <w:tblW w:w="0" w:type="auto"/>
        <w:tblLook w:val="04A0"/>
      </w:tblPr>
      <w:tblGrid>
        <w:gridCol w:w="2943"/>
        <w:gridCol w:w="1934"/>
        <w:gridCol w:w="2177"/>
        <w:gridCol w:w="1985"/>
      </w:tblGrid>
      <w:tr w:rsidR="00F961C2" w:rsidTr="00C90753">
        <w:trPr>
          <w:cnfStyle w:val="100000000000"/>
        </w:trPr>
        <w:tc>
          <w:tcPr>
            <w:cnfStyle w:val="001000000000"/>
            <w:tcW w:w="2943" w:type="dxa"/>
          </w:tcPr>
          <w:p w:rsidR="00F961C2" w:rsidRDefault="00F961C2" w:rsidP="00C90753">
            <w:r>
              <w:t>Woningcorporatie</w:t>
            </w:r>
          </w:p>
        </w:tc>
        <w:tc>
          <w:tcPr>
            <w:tcW w:w="1934" w:type="dxa"/>
          </w:tcPr>
          <w:p w:rsidR="00F961C2" w:rsidRDefault="00F961C2" w:rsidP="00C90753">
            <w:pPr>
              <w:cnfStyle w:val="100000000000"/>
            </w:pPr>
            <w:r>
              <w:t>Rentabiliteit Eigen vermogen</w:t>
            </w:r>
          </w:p>
        </w:tc>
        <w:tc>
          <w:tcPr>
            <w:tcW w:w="2177" w:type="dxa"/>
          </w:tcPr>
          <w:p w:rsidR="00F961C2" w:rsidRDefault="00F961C2" w:rsidP="00C90753">
            <w:pPr>
              <w:cnfStyle w:val="100000000000"/>
            </w:pPr>
            <w:r>
              <w:t>Rentabiliteit Totaal Vermogen</w:t>
            </w:r>
          </w:p>
        </w:tc>
        <w:tc>
          <w:tcPr>
            <w:tcW w:w="1985" w:type="dxa"/>
          </w:tcPr>
          <w:p w:rsidR="00F961C2" w:rsidRDefault="00F961C2" w:rsidP="00C90753">
            <w:pPr>
              <w:cnfStyle w:val="100000000000"/>
            </w:pPr>
            <w:r>
              <w:t>Rentabiliteit Vreemd Vermogen</w:t>
            </w:r>
          </w:p>
        </w:tc>
      </w:tr>
      <w:tr w:rsidR="00F961C2" w:rsidTr="00C90753">
        <w:trPr>
          <w:cnfStyle w:val="000000100000"/>
        </w:trPr>
        <w:tc>
          <w:tcPr>
            <w:cnfStyle w:val="001000000000"/>
            <w:tcW w:w="2943" w:type="dxa"/>
          </w:tcPr>
          <w:p w:rsidR="00F961C2" w:rsidRDefault="00F961C2" w:rsidP="00C90753">
            <w:r>
              <w:t>Mozaïek Wonen Gouda</w:t>
            </w:r>
          </w:p>
        </w:tc>
        <w:tc>
          <w:tcPr>
            <w:tcW w:w="1934" w:type="dxa"/>
          </w:tcPr>
          <w:p w:rsidR="00F961C2" w:rsidRDefault="00F961C2" w:rsidP="00C90753">
            <w:pPr>
              <w:cnfStyle w:val="000000100000"/>
            </w:pPr>
            <w:r>
              <w:t>-0,037</w:t>
            </w:r>
          </w:p>
        </w:tc>
        <w:tc>
          <w:tcPr>
            <w:tcW w:w="2177" w:type="dxa"/>
          </w:tcPr>
          <w:p w:rsidR="00F961C2" w:rsidRDefault="00F961C2" w:rsidP="00C90753">
            <w:pPr>
              <w:cnfStyle w:val="000000100000"/>
            </w:pPr>
            <w:r>
              <w:t>0,0058</w:t>
            </w:r>
          </w:p>
        </w:tc>
        <w:tc>
          <w:tcPr>
            <w:tcW w:w="1985" w:type="dxa"/>
          </w:tcPr>
          <w:p w:rsidR="00F961C2" w:rsidRDefault="00F961C2" w:rsidP="00C90753">
            <w:pPr>
              <w:cnfStyle w:val="000000100000"/>
            </w:pPr>
            <w:r>
              <w:t>0,0414</w:t>
            </w:r>
          </w:p>
        </w:tc>
      </w:tr>
      <w:tr w:rsidR="00F961C2" w:rsidTr="00C90753">
        <w:tc>
          <w:tcPr>
            <w:cnfStyle w:val="001000000000"/>
            <w:tcW w:w="2943" w:type="dxa"/>
          </w:tcPr>
          <w:p w:rsidR="00F961C2" w:rsidRDefault="00F961C2" w:rsidP="00C90753">
            <w:r>
              <w:t>Woonstad Rotterdam</w:t>
            </w:r>
          </w:p>
        </w:tc>
        <w:tc>
          <w:tcPr>
            <w:tcW w:w="1934" w:type="dxa"/>
          </w:tcPr>
          <w:p w:rsidR="00F961C2" w:rsidRDefault="00F961C2" w:rsidP="00C90753">
            <w:pPr>
              <w:cnfStyle w:val="000000000000"/>
            </w:pPr>
            <w:r>
              <w:t>-0,076</w:t>
            </w:r>
          </w:p>
        </w:tc>
        <w:tc>
          <w:tcPr>
            <w:tcW w:w="2177" w:type="dxa"/>
          </w:tcPr>
          <w:p w:rsidR="00F961C2" w:rsidRDefault="00F961C2" w:rsidP="00C90753">
            <w:pPr>
              <w:cnfStyle w:val="000000000000"/>
            </w:pPr>
            <w:r>
              <w:t>-0,0231</w:t>
            </w:r>
          </w:p>
        </w:tc>
        <w:tc>
          <w:tcPr>
            <w:tcW w:w="1985" w:type="dxa"/>
          </w:tcPr>
          <w:p w:rsidR="00F961C2" w:rsidRDefault="00F961C2" w:rsidP="00C90753">
            <w:pPr>
              <w:cnfStyle w:val="000000000000"/>
            </w:pPr>
            <w:r>
              <w:t>0,0312</w:t>
            </w:r>
          </w:p>
        </w:tc>
      </w:tr>
      <w:tr w:rsidR="00F961C2" w:rsidTr="00C90753">
        <w:trPr>
          <w:cnfStyle w:val="000000100000"/>
        </w:trPr>
        <w:tc>
          <w:tcPr>
            <w:cnfStyle w:val="001000000000"/>
            <w:tcW w:w="2943" w:type="dxa"/>
          </w:tcPr>
          <w:p w:rsidR="00F961C2" w:rsidRDefault="00F961C2" w:rsidP="00C90753">
            <w:proofErr w:type="spellStart"/>
            <w:r>
              <w:t>Ymere</w:t>
            </w:r>
            <w:proofErr w:type="spellEnd"/>
            <w:r>
              <w:t xml:space="preserve"> Amsterdam</w:t>
            </w:r>
          </w:p>
        </w:tc>
        <w:tc>
          <w:tcPr>
            <w:tcW w:w="1934" w:type="dxa"/>
          </w:tcPr>
          <w:p w:rsidR="00F961C2" w:rsidRDefault="00F961C2" w:rsidP="00C90753">
            <w:pPr>
              <w:cnfStyle w:val="000000100000"/>
            </w:pPr>
            <w:r>
              <w:t>-0,041</w:t>
            </w:r>
          </w:p>
        </w:tc>
        <w:tc>
          <w:tcPr>
            <w:tcW w:w="2177" w:type="dxa"/>
          </w:tcPr>
          <w:p w:rsidR="00F961C2" w:rsidRDefault="00F961C2" w:rsidP="00C90753">
            <w:pPr>
              <w:cnfStyle w:val="000000100000"/>
            </w:pPr>
            <w:r>
              <w:t>-0,0057</w:t>
            </w:r>
          </w:p>
        </w:tc>
        <w:tc>
          <w:tcPr>
            <w:tcW w:w="1985" w:type="dxa"/>
          </w:tcPr>
          <w:p w:rsidR="00F961C2" w:rsidRDefault="00F961C2" w:rsidP="00C90753">
            <w:pPr>
              <w:cnfStyle w:val="000000100000"/>
            </w:pPr>
            <w:r>
              <w:t>0,0367</w:t>
            </w:r>
          </w:p>
        </w:tc>
      </w:tr>
      <w:tr w:rsidR="00F961C2" w:rsidTr="00C90753">
        <w:tc>
          <w:tcPr>
            <w:cnfStyle w:val="001000000000"/>
            <w:tcW w:w="2943" w:type="dxa"/>
          </w:tcPr>
          <w:p w:rsidR="00F961C2" w:rsidRDefault="00F961C2" w:rsidP="00C90753">
            <w:r>
              <w:t xml:space="preserve">De Goede Woning </w:t>
            </w:r>
            <w:proofErr w:type="spellStart"/>
            <w:r>
              <w:t>Neerijnen</w:t>
            </w:r>
            <w:proofErr w:type="spellEnd"/>
          </w:p>
        </w:tc>
        <w:tc>
          <w:tcPr>
            <w:tcW w:w="1934" w:type="dxa"/>
          </w:tcPr>
          <w:p w:rsidR="00F961C2" w:rsidRDefault="00F961C2" w:rsidP="00C90753">
            <w:pPr>
              <w:cnfStyle w:val="000000000000"/>
            </w:pPr>
            <w:r>
              <w:t>0,067</w:t>
            </w:r>
          </w:p>
        </w:tc>
        <w:tc>
          <w:tcPr>
            <w:tcW w:w="2177" w:type="dxa"/>
          </w:tcPr>
          <w:p w:rsidR="00F961C2" w:rsidRDefault="00F961C2" w:rsidP="00C90753">
            <w:pPr>
              <w:cnfStyle w:val="000000000000"/>
            </w:pPr>
            <w:r>
              <w:t>0,0583</w:t>
            </w:r>
          </w:p>
        </w:tc>
        <w:tc>
          <w:tcPr>
            <w:tcW w:w="1985" w:type="dxa"/>
          </w:tcPr>
          <w:p w:rsidR="00F961C2" w:rsidRDefault="00F961C2" w:rsidP="00C90753">
            <w:pPr>
              <w:cnfStyle w:val="000000000000"/>
            </w:pPr>
            <w:r>
              <w:t>0,0452</w:t>
            </w:r>
          </w:p>
        </w:tc>
      </w:tr>
      <w:tr w:rsidR="00F961C2" w:rsidTr="00C90753">
        <w:trPr>
          <w:cnfStyle w:val="000000100000"/>
        </w:trPr>
        <w:tc>
          <w:tcPr>
            <w:cnfStyle w:val="001000000000"/>
            <w:tcW w:w="2943" w:type="dxa"/>
          </w:tcPr>
          <w:p w:rsidR="00F961C2" w:rsidRDefault="00F961C2" w:rsidP="00C90753">
            <w:r>
              <w:t>Portaal Baarn</w:t>
            </w:r>
          </w:p>
        </w:tc>
        <w:tc>
          <w:tcPr>
            <w:tcW w:w="1934" w:type="dxa"/>
          </w:tcPr>
          <w:p w:rsidR="00F961C2" w:rsidRDefault="00F961C2" w:rsidP="00C90753">
            <w:pPr>
              <w:cnfStyle w:val="000000100000"/>
            </w:pPr>
            <w:r>
              <w:t>-0,034</w:t>
            </w:r>
          </w:p>
        </w:tc>
        <w:tc>
          <w:tcPr>
            <w:tcW w:w="2177" w:type="dxa"/>
          </w:tcPr>
          <w:p w:rsidR="00F961C2" w:rsidRDefault="00F961C2" w:rsidP="00C90753">
            <w:pPr>
              <w:cnfStyle w:val="000000100000"/>
            </w:pPr>
            <w:r>
              <w:t>0,0323</w:t>
            </w:r>
          </w:p>
        </w:tc>
        <w:tc>
          <w:tcPr>
            <w:tcW w:w="1985" w:type="dxa"/>
          </w:tcPr>
          <w:p w:rsidR="00F961C2" w:rsidRDefault="00F961C2" w:rsidP="00C90753">
            <w:pPr>
              <w:cnfStyle w:val="000000100000"/>
            </w:pPr>
            <w:r>
              <w:t>0,0357</w:t>
            </w:r>
          </w:p>
        </w:tc>
      </w:tr>
    </w:tbl>
    <w:p w:rsidR="00F961C2" w:rsidRDefault="00F961C2" w:rsidP="00F961C2"/>
    <w:p w:rsidR="00F961C2" w:rsidRDefault="00F961C2" w:rsidP="00F961C2"/>
    <w:p w:rsidR="00F961C2" w:rsidRPr="002024B1" w:rsidRDefault="00F961C2" w:rsidP="00F961C2">
      <w:pPr>
        <w:pStyle w:val="Heading3"/>
        <w:rPr>
          <w:color w:val="auto"/>
        </w:rPr>
      </w:pPr>
      <w:r w:rsidRPr="002024B1">
        <w:rPr>
          <w:color w:val="auto"/>
        </w:rPr>
        <w:t xml:space="preserve">2.5 </w:t>
      </w:r>
      <w:proofErr w:type="spellStart"/>
      <w:r w:rsidRPr="002024B1">
        <w:rPr>
          <w:color w:val="auto"/>
        </w:rPr>
        <w:t>Rentedekkingsgraad</w:t>
      </w:r>
      <w:proofErr w:type="spellEnd"/>
    </w:p>
    <w:p w:rsidR="00F961C2" w:rsidRDefault="00F961C2" w:rsidP="00775B27">
      <w:pPr>
        <w:jc w:val="both"/>
      </w:pPr>
      <w:r>
        <w:t xml:space="preserve">De </w:t>
      </w:r>
      <w:proofErr w:type="spellStart"/>
      <w:r>
        <w:t>rentedekkingsgraad</w:t>
      </w:r>
      <w:proofErr w:type="spellEnd"/>
      <w:r>
        <w:t xml:space="preserve"> is een parameter die gebruikt wordt door kredietverschaffers om te bepalen of de entiteit waar een lening aan </w:t>
      </w:r>
      <w:r w:rsidR="00981255">
        <w:t>verstrekt wordt</w:t>
      </w:r>
      <w:r>
        <w:t xml:space="preserve"> i</w:t>
      </w:r>
      <w:r w:rsidR="00981255">
        <w:t>n staat is</w:t>
      </w:r>
      <w:r>
        <w:t xml:space="preserve"> aan de renteverplichting te voldoen. De formule van de </w:t>
      </w:r>
      <w:proofErr w:type="spellStart"/>
      <w:r>
        <w:t>rentedekkingsgraad</w:t>
      </w:r>
      <w:proofErr w:type="spellEnd"/>
      <w:r>
        <w:t xml:space="preserve"> is</w:t>
      </w:r>
      <w:r w:rsidR="002E6F72">
        <w:t xml:space="preserve"> algemeen bekend in de volgende vorm</w:t>
      </w:r>
      <w:r>
        <w:t>:</w:t>
      </w:r>
    </w:p>
    <w:p w:rsidR="00981255" w:rsidRPr="002E6F72" w:rsidRDefault="00F961C2" w:rsidP="002E6F72">
      <w:pPr>
        <w:jc w:val="center"/>
      </w:pPr>
      <w:r>
        <w:rPr>
          <w:noProof/>
          <w:lang w:val="en-US"/>
        </w:rPr>
        <w:drawing>
          <wp:inline distT="0" distB="0" distL="0" distR="0">
            <wp:extent cx="1800225" cy="552450"/>
            <wp:effectExtent l="1905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1800225" cy="552450"/>
                    </a:xfrm>
                    <a:prstGeom prst="rect">
                      <a:avLst/>
                    </a:prstGeom>
                    <a:noFill/>
                    <a:ln w="9525">
                      <a:noFill/>
                      <a:miter lim="800000"/>
                      <a:headEnd/>
                      <a:tailEnd/>
                    </a:ln>
                  </pic:spPr>
                </pic:pic>
              </a:graphicData>
            </a:graphic>
          </wp:inline>
        </w:drawing>
      </w:r>
    </w:p>
    <w:tbl>
      <w:tblPr>
        <w:tblStyle w:val="Lichtearcering1"/>
        <w:tblpPr w:leftFromText="141" w:rightFromText="141" w:vertAnchor="text" w:horzAnchor="page" w:tblpX="6322" w:tblpY="401"/>
        <w:tblW w:w="0" w:type="auto"/>
        <w:tblLook w:val="04A0"/>
      </w:tblPr>
      <w:tblGrid>
        <w:gridCol w:w="3227"/>
        <w:gridCol w:w="2268"/>
      </w:tblGrid>
      <w:tr w:rsidR="00F961C2" w:rsidTr="00C90753">
        <w:trPr>
          <w:cnfStyle w:val="100000000000"/>
        </w:trPr>
        <w:tc>
          <w:tcPr>
            <w:cnfStyle w:val="001000000000"/>
            <w:tcW w:w="3227" w:type="dxa"/>
          </w:tcPr>
          <w:p w:rsidR="00F961C2" w:rsidRDefault="00F961C2" w:rsidP="00C90753">
            <w:r>
              <w:t>Woningcorporatie</w:t>
            </w:r>
          </w:p>
        </w:tc>
        <w:tc>
          <w:tcPr>
            <w:tcW w:w="2268" w:type="dxa"/>
          </w:tcPr>
          <w:p w:rsidR="00F961C2" w:rsidRDefault="00F961C2" w:rsidP="00C90753">
            <w:pPr>
              <w:cnfStyle w:val="100000000000"/>
            </w:pPr>
            <w:proofErr w:type="spellStart"/>
            <w:r>
              <w:t>Rentedekkingsgraad</w:t>
            </w:r>
            <w:proofErr w:type="spellEnd"/>
          </w:p>
        </w:tc>
      </w:tr>
      <w:tr w:rsidR="00F961C2" w:rsidTr="00C90753">
        <w:trPr>
          <w:cnfStyle w:val="000000100000"/>
        </w:trPr>
        <w:tc>
          <w:tcPr>
            <w:cnfStyle w:val="001000000000"/>
            <w:tcW w:w="3227" w:type="dxa"/>
          </w:tcPr>
          <w:p w:rsidR="00F961C2" w:rsidRDefault="00F961C2" w:rsidP="00C90753">
            <w:r>
              <w:t>Mozaïek Wonen Gouda</w:t>
            </w:r>
          </w:p>
        </w:tc>
        <w:tc>
          <w:tcPr>
            <w:tcW w:w="2268" w:type="dxa"/>
          </w:tcPr>
          <w:p w:rsidR="00F961C2" w:rsidRDefault="00F961C2" w:rsidP="00C90753">
            <w:pPr>
              <w:cnfStyle w:val="000000100000"/>
            </w:pPr>
            <w:r>
              <w:t>1,7</w:t>
            </w:r>
          </w:p>
        </w:tc>
      </w:tr>
      <w:tr w:rsidR="00F961C2" w:rsidTr="00C90753">
        <w:tc>
          <w:tcPr>
            <w:cnfStyle w:val="001000000000"/>
            <w:tcW w:w="3227" w:type="dxa"/>
          </w:tcPr>
          <w:p w:rsidR="00F961C2" w:rsidRDefault="00F961C2" w:rsidP="00C90753">
            <w:r>
              <w:t>Woonstad Rotterdam</w:t>
            </w:r>
          </w:p>
        </w:tc>
        <w:tc>
          <w:tcPr>
            <w:tcW w:w="2268" w:type="dxa"/>
          </w:tcPr>
          <w:p w:rsidR="00F961C2" w:rsidRDefault="00F961C2" w:rsidP="00C90753">
            <w:pPr>
              <w:cnfStyle w:val="000000000000"/>
            </w:pPr>
            <w:r>
              <w:t>1,8</w:t>
            </w:r>
          </w:p>
        </w:tc>
      </w:tr>
      <w:tr w:rsidR="00F961C2" w:rsidTr="00C90753">
        <w:trPr>
          <w:cnfStyle w:val="000000100000"/>
        </w:trPr>
        <w:tc>
          <w:tcPr>
            <w:cnfStyle w:val="001000000000"/>
            <w:tcW w:w="3227" w:type="dxa"/>
          </w:tcPr>
          <w:p w:rsidR="00F961C2" w:rsidRDefault="00F961C2" w:rsidP="00C90753">
            <w:proofErr w:type="spellStart"/>
            <w:r>
              <w:t>Ymere</w:t>
            </w:r>
            <w:proofErr w:type="spellEnd"/>
            <w:r>
              <w:t xml:space="preserve"> Amsterdam</w:t>
            </w:r>
          </w:p>
        </w:tc>
        <w:tc>
          <w:tcPr>
            <w:tcW w:w="2268" w:type="dxa"/>
          </w:tcPr>
          <w:p w:rsidR="00F961C2" w:rsidRDefault="00F961C2" w:rsidP="00C90753">
            <w:pPr>
              <w:cnfStyle w:val="000000100000"/>
            </w:pPr>
            <w:r>
              <w:t>1,6</w:t>
            </w:r>
          </w:p>
        </w:tc>
      </w:tr>
      <w:tr w:rsidR="00F961C2" w:rsidTr="00C90753">
        <w:tc>
          <w:tcPr>
            <w:cnfStyle w:val="001000000000"/>
            <w:tcW w:w="3227" w:type="dxa"/>
          </w:tcPr>
          <w:p w:rsidR="00F961C2" w:rsidRDefault="00F961C2" w:rsidP="00C90753">
            <w:r>
              <w:t xml:space="preserve">De Goede Woning - </w:t>
            </w:r>
            <w:proofErr w:type="spellStart"/>
            <w:r>
              <w:t>Neerijnen</w:t>
            </w:r>
            <w:proofErr w:type="spellEnd"/>
          </w:p>
        </w:tc>
        <w:tc>
          <w:tcPr>
            <w:tcW w:w="2268" w:type="dxa"/>
          </w:tcPr>
          <w:p w:rsidR="00F961C2" w:rsidRDefault="00F961C2" w:rsidP="00C90753">
            <w:pPr>
              <w:cnfStyle w:val="000000000000"/>
            </w:pPr>
            <w:r>
              <w:t>1,9</w:t>
            </w:r>
          </w:p>
        </w:tc>
      </w:tr>
      <w:tr w:rsidR="00F961C2" w:rsidTr="00C90753">
        <w:trPr>
          <w:cnfStyle w:val="000000100000"/>
        </w:trPr>
        <w:tc>
          <w:tcPr>
            <w:cnfStyle w:val="001000000000"/>
            <w:tcW w:w="3227" w:type="dxa"/>
          </w:tcPr>
          <w:p w:rsidR="00F961C2" w:rsidRDefault="00F961C2" w:rsidP="00C90753">
            <w:r>
              <w:t>Portaal Baarn</w:t>
            </w:r>
          </w:p>
        </w:tc>
        <w:tc>
          <w:tcPr>
            <w:tcW w:w="2268" w:type="dxa"/>
          </w:tcPr>
          <w:p w:rsidR="00F961C2" w:rsidRDefault="00F961C2" w:rsidP="00C90753">
            <w:pPr>
              <w:cnfStyle w:val="000000100000"/>
            </w:pPr>
            <w:r>
              <w:t>1,4</w:t>
            </w:r>
          </w:p>
        </w:tc>
      </w:tr>
    </w:tbl>
    <w:p w:rsidR="00F961C2" w:rsidRDefault="00F961C2" w:rsidP="00775B27">
      <w:pPr>
        <w:jc w:val="both"/>
      </w:pPr>
      <w:r>
        <w:t xml:space="preserve">Bij een hogere uitkomst van de </w:t>
      </w:r>
      <w:proofErr w:type="spellStart"/>
      <w:r>
        <w:t>rentedekkingsgraad</w:t>
      </w:r>
      <w:proofErr w:type="spellEnd"/>
      <w:r>
        <w:t xml:space="preserve"> is er een lager risico dat er aan de </w:t>
      </w:r>
      <w:proofErr w:type="spellStart"/>
      <w:r>
        <w:t>renteverplicht</w:t>
      </w:r>
      <w:r w:rsidR="00841C78">
        <w:t>-</w:t>
      </w:r>
      <w:r>
        <w:t>ing</w:t>
      </w:r>
      <w:proofErr w:type="spellEnd"/>
      <w:r>
        <w:t xml:space="preserve"> niet voldaan kan worden (CFV, 2012</w:t>
      </w:r>
      <w:r w:rsidR="00987A3F">
        <w:t>b</w:t>
      </w:r>
      <w:r>
        <w:t>). Het Waarborgfonds Sociale Woningbouw (WSW) hanteert een minimum van 1,3. Wanneer de rente dekkingsgraad lager ligt</w:t>
      </w:r>
      <w:r w:rsidR="00981255">
        <w:t>,</w:t>
      </w:r>
      <w:r>
        <w:t xml:space="preserve"> is dat een signaal dat er op korte termijn een risico ontstaat dat er niet aan de renteverplichting kan worden voldaan en dat er niet kan worden afgelost (WSW, 2009). Een te hoge </w:t>
      </w:r>
      <w:proofErr w:type="spellStart"/>
      <w:r>
        <w:t>rentedekkingsgraad</w:t>
      </w:r>
      <w:proofErr w:type="spellEnd"/>
      <w:r>
        <w:t xml:space="preserve"> is ook niet positief. Dit zou betekenen dat er meer geïnvesteerd zou kunnen worden terwijl dit wordt nagelaten. Over het </w:t>
      </w:r>
      <w:proofErr w:type="spellStart"/>
      <w:r>
        <w:t>alge</w:t>
      </w:r>
      <w:r w:rsidR="00841C78">
        <w:t>-</w:t>
      </w:r>
      <w:r>
        <w:t>meen</w:t>
      </w:r>
      <w:proofErr w:type="spellEnd"/>
      <w:r>
        <w:t xml:space="preserve"> geldt een maximum van 2,0. De vijf geselecteerde wonin</w:t>
      </w:r>
      <w:r w:rsidR="00981255">
        <w:t>gcorporaties bevinden zich alle</w:t>
      </w:r>
      <w:r>
        <w:t xml:space="preserve"> binnen deze bandbreedte. </w:t>
      </w:r>
    </w:p>
    <w:p w:rsidR="00F961C2" w:rsidRDefault="00F961C2" w:rsidP="00775B27">
      <w:pPr>
        <w:jc w:val="both"/>
      </w:pPr>
      <w:r>
        <w:t xml:space="preserve">De </w:t>
      </w:r>
      <w:proofErr w:type="spellStart"/>
      <w:r>
        <w:t>rented</w:t>
      </w:r>
      <w:r w:rsidR="00981255">
        <w:t>ekkingsgraad</w:t>
      </w:r>
      <w:proofErr w:type="spellEnd"/>
      <w:r w:rsidR="00981255">
        <w:t xml:space="preserve"> is een kengetal dat</w:t>
      </w:r>
      <w:r>
        <w:t xml:space="preserve"> niet alleen de huidige situatie beschrijft. De kasstromen beschrijven de middelen die er in de toekomst zijn om aan verplichtingen te voldoen. Hierdoor is de </w:t>
      </w:r>
      <w:proofErr w:type="spellStart"/>
      <w:r>
        <w:t>rentedekkingsgraad</w:t>
      </w:r>
      <w:proofErr w:type="spellEnd"/>
      <w:r>
        <w:t xml:space="preserve"> voor kredietverstrekkers een belangrijke financieringsvoorwaarde. </w:t>
      </w:r>
    </w:p>
    <w:p w:rsidR="00F961C2" w:rsidRDefault="00F961C2" w:rsidP="00F961C2"/>
    <w:p w:rsidR="00F961C2" w:rsidRPr="002024B1" w:rsidRDefault="00F961C2" w:rsidP="00F961C2">
      <w:pPr>
        <w:pStyle w:val="Heading3"/>
        <w:rPr>
          <w:color w:val="auto"/>
        </w:rPr>
      </w:pPr>
      <w:r w:rsidRPr="002024B1">
        <w:rPr>
          <w:color w:val="auto"/>
        </w:rPr>
        <w:t>2.6 Continuïteit</w:t>
      </w:r>
    </w:p>
    <w:p w:rsidR="00F961C2" w:rsidRDefault="00F961C2" w:rsidP="00775B27">
      <w:pPr>
        <w:jc w:val="both"/>
      </w:pPr>
      <w:r>
        <w:t xml:space="preserve">Het CFV is de </w:t>
      </w:r>
      <w:proofErr w:type="gramStart"/>
      <w:r>
        <w:t>financieel</w:t>
      </w:r>
      <w:proofErr w:type="gramEnd"/>
      <w:r>
        <w:t xml:space="preserve"> toezichthouder voor woningcorporaties. Jaarlijks wordt er een oordeel </w:t>
      </w:r>
      <w:proofErr w:type="spellStart"/>
      <w:r>
        <w:t>gege</w:t>
      </w:r>
      <w:r w:rsidR="00841C78">
        <w:t>-</w:t>
      </w:r>
      <w:r>
        <w:t>ven</w:t>
      </w:r>
      <w:proofErr w:type="spellEnd"/>
      <w:r>
        <w:t xml:space="preserve"> over de financiële positie van iedere woningcorporatie. Dit oordeel bestaat uit een </w:t>
      </w:r>
      <w:proofErr w:type="spellStart"/>
      <w:r>
        <w:t>solvabiliteits</w:t>
      </w:r>
      <w:r w:rsidR="00841C78">
        <w:t>-</w:t>
      </w:r>
      <w:r>
        <w:t>oordeel</w:t>
      </w:r>
      <w:proofErr w:type="spellEnd"/>
      <w:r>
        <w:t xml:space="preserve"> en een continuïteitsoordeel. Solvabiliteit is </w:t>
      </w:r>
      <w:proofErr w:type="gramStart"/>
      <w:r>
        <w:t>reeds</w:t>
      </w:r>
      <w:proofErr w:type="gramEnd"/>
      <w:r>
        <w:t xml:space="preserve"> uitgelegd in paragraaf 2.3. Als voorbeeld staan hieronder de oordelen van het CFV over Stichting Mozaïek Wonen uit Gouda. Afkomstig uit het </w:t>
      </w:r>
      <w:proofErr w:type="gramStart"/>
      <w:r>
        <w:t>respectievelijke</w:t>
      </w:r>
      <w:proofErr w:type="gramEnd"/>
      <w:r>
        <w:t xml:space="preserve"> Corporatie in Perspectief Analyse 2012.</w:t>
      </w:r>
    </w:p>
    <w:p w:rsidR="00F961C2" w:rsidRDefault="00F961C2" w:rsidP="00F961C2">
      <w:r>
        <w:rPr>
          <w:noProof/>
          <w:lang w:val="en-US"/>
        </w:rPr>
        <w:drawing>
          <wp:inline distT="0" distB="0" distL="0" distR="0">
            <wp:extent cx="5762625" cy="1847850"/>
            <wp:effectExtent l="19050" t="0" r="9525"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5762625" cy="1847850"/>
                    </a:xfrm>
                    <a:prstGeom prst="rect">
                      <a:avLst/>
                    </a:prstGeom>
                    <a:noFill/>
                    <a:ln w="9525">
                      <a:noFill/>
                      <a:miter lim="800000"/>
                      <a:headEnd/>
                      <a:tailEnd/>
                    </a:ln>
                  </pic:spPr>
                </pic:pic>
              </a:graphicData>
            </a:graphic>
          </wp:inline>
        </w:drawing>
      </w:r>
    </w:p>
    <w:p w:rsidR="00F961C2" w:rsidRDefault="00F961C2" w:rsidP="00775B27">
      <w:pPr>
        <w:jc w:val="both"/>
      </w:pPr>
      <w:r>
        <w:t>Om tot het continuïteitsoordeel te komen wordt vastgesteld of de door de corporatie voorgenomen activiteiten in de komende vijf jaren in balans is met de verwachte financiële mogelijkheden (CFV, 2012</w:t>
      </w:r>
      <w:r w:rsidR="00987A3F">
        <w:t>a</w:t>
      </w:r>
      <w:r>
        <w:t xml:space="preserve">). Er wordt op twee momenten een vergelijking gemaakt tussen </w:t>
      </w:r>
      <w:proofErr w:type="gramStart"/>
      <w:r>
        <w:t>het</w:t>
      </w:r>
      <w:proofErr w:type="gramEnd"/>
      <w:r>
        <w:t xml:space="preserve"> </w:t>
      </w:r>
      <w:proofErr w:type="spellStart"/>
      <w:r>
        <w:t>volkshuisvestelijke</w:t>
      </w:r>
      <w:proofErr w:type="spellEnd"/>
      <w:r>
        <w:t xml:space="preserve"> </w:t>
      </w:r>
      <w:proofErr w:type="spellStart"/>
      <w:r>
        <w:t>vermo</w:t>
      </w:r>
      <w:r w:rsidR="00841C78">
        <w:t>-</w:t>
      </w:r>
      <w:r>
        <w:t>gen</w:t>
      </w:r>
      <w:proofErr w:type="spellEnd"/>
      <w:r>
        <w:t xml:space="preserve"> en een risicobedrag samen met verschuldigde vennootschapsbelasting. Deze momenten zijn na drie en vijf jaar. Het continuïteitsoordeel houdt ook rekening met niet-rendabele investeringen zoals investeringen in maatschappelijke projecten en sommige investering</w:t>
      </w:r>
      <w:r w:rsidR="001F13CB">
        <w:t>s</w:t>
      </w:r>
      <w:r>
        <w:t xml:space="preserve">projecten voor sociale verhuur. De oordelen lopen van A1 tot en met B2, van geen gevaar tot en met gevaar op korte termijn (binnen twee jaar). </w:t>
      </w:r>
    </w:p>
    <w:p w:rsidR="00F961C2" w:rsidRDefault="00F961C2" w:rsidP="00775B27">
      <w:pPr>
        <w:jc w:val="both"/>
      </w:pPr>
      <w:r>
        <w:t>In grote mate is de methodiek</w:t>
      </w:r>
      <w:r w:rsidR="001F13CB">
        <w:t xml:space="preserve"> van</w:t>
      </w:r>
      <w:r>
        <w:t xml:space="preserve"> oordelen over </w:t>
      </w:r>
      <w:r w:rsidR="001F13CB">
        <w:t xml:space="preserve">de </w:t>
      </w:r>
      <w:r>
        <w:t xml:space="preserve">continuïteit en </w:t>
      </w:r>
      <w:r w:rsidR="001F13CB">
        <w:t xml:space="preserve">de </w:t>
      </w:r>
      <w:proofErr w:type="gramStart"/>
      <w:r>
        <w:t>solvabiliteit</w:t>
      </w:r>
      <w:proofErr w:type="gramEnd"/>
      <w:r>
        <w:t xml:space="preserve"> voor </w:t>
      </w:r>
      <w:proofErr w:type="spellStart"/>
      <w:r>
        <w:t>woningcor</w:t>
      </w:r>
      <w:r w:rsidR="00841C78">
        <w:t>-</w:t>
      </w:r>
      <w:r>
        <w:t>poraties</w:t>
      </w:r>
      <w:proofErr w:type="spellEnd"/>
      <w:r>
        <w:t xml:space="preserve"> </w:t>
      </w:r>
      <w:r w:rsidR="001F13CB">
        <w:t>de</w:t>
      </w:r>
      <w:r>
        <w:t xml:space="preserve">zelfde. Alleen bij continuïteit gaan de berekeningen over momenten in de toekomst. </w:t>
      </w:r>
      <w:proofErr w:type="spellStart"/>
      <w:r>
        <w:t>Sol</w:t>
      </w:r>
      <w:r w:rsidR="00D21EF5">
        <w:t>-</w:t>
      </w:r>
      <w:r>
        <w:t>vabiliteit</w:t>
      </w:r>
      <w:proofErr w:type="spellEnd"/>
      <w:r>
        <w:t xml:space="preserve"> zegt iets over de situatie per balansdatum. </w:t>
      </w:r>
    </w:p>
    <w:p w:rsidR="00F961C2" w:rsidRPr="002024B1" w:rsidRDefault="00F961C2" w:rsidP="00F961C2">
      <w:pPr>
        <w:pStyle w:val="Heading3"/>
        <w:rPr>
          <w:color w:val="auto"/>
        </w:rPr>
      </w:pPr>
      <w:r w:rsidRPr="002024B1">
        <w:rPr>
          <w:color w:val="auto"/>
        </w:rPr>
        <w:t>2.7 Samenstelling</w:t>
      </w:r>
      <w:r w:rsidR="001F13CB" w:rsidRPr="002024B1">
        <w:rPr>
          <w:color w:val="auto"/>
        </w:rPr>
        <w:t xml:space="preserve"> van het</w:t>
      </w:r>
      <w:r w:rsidRPr="002024B1">
        <w:rPr>
          <w:color w:val="auto"/>
        </w:rPr>
        <w:t xml:space="preserve"> vreemd vermogen</w:t>
      </w:r>
    </w:p>
    <w:p w:rsidR="00F961C2" w:rsidRDefault="00F961C2" w:rsidP="00775B27">
      <w:pPr>
        <w:jc w:val="both"/>
      </w:pPr>
      <w:r>
        <w:t xml:space="preserve">Normaal kunnen corporaties lenen tegen een gunstige rente </w:t>
      </w:r>
      <w:r w:rsidR="001F13CB">
        <w:t>door</w:t>
      </w:r>
      <w:r>
        <w:t>dat leningen worden ge</w:t>
      </w:r>
      <w:r w:rsidR="001F13CB">
        <w:t>waar</w:t>
      </w:r>
      <w:r>
        <w:t xml:space="preserve">borgd door het Waarborgfonds Sociale Woningbouw (WSW). Echter, het WSW geeft voorlopig geen </w:t>
      </w:r>
      <w:proofErr w:type="spellStart"/>
      <w:r>
        <w:t>garan</w:t>
      </w:r>
      <w:r w:rsidR="00D21EF5">
        <w:t>-</w:t>
      </w:r>
      <w:r>
        <w:t>ties</w:t>
      </w:r>
      <w:proofErr w:type="spellEnd"/>
      <w:r>
        <w:t xml:space="preserve"> meer op nieuwe leningen vanwege de </w:t>
      </w:r>
      <w:proofErr w:type="spellStart"/>
      <w:r w:rsidR="001F13CB">
        <w:t>ver</w:t>
      </w:r>
      <w:r>
        <w:t>huurdersheffing</w:t>
      </w:r>
      <w:proofErr w:type="spellEnd"/>
      <w:r>
        <w:t xml:space="preserve"> </w:t>
      </w:r>
      <w:r w:rsidR="001F13CB">
        <w:t xml:space="preserve">(zie paragraaf 3.5) </w:t>
      </w:r>
      <w:r>
        <w:t>en de bijdrage die corporaties moeten leveren aan</w:t>
      </w:r>
      <w:r w:rsidR="001F13CB">
        <w:t xml:space="preserve"> de sanering van </w:t>
      </w:r>
      <w:proofErr w:type="spellStart"/>
      <w:r>
        <w:t>Vestia</w:t>
      </w:r>
      <w:proofErr w:type="spellEnd"/>
      <w:r>
        <w:t xml:space="preserve"> (</w:t>
      </w:r>
      <w:proofErr w:type="spellStart"/>
      <w:r>
        <w:t>Aedes</w:t>
      </w:r>
      <w:proofErr w:type="spellEnd"/>
      <w:r>
        <w:t>, 2012). Op 27 mei van dit jaar mel</w:t>
      </w:r>
      <w:r w:rsidR="001F13CB">
        <w:t>dt het WSW dat ze ervan uit gaat</w:t>
      </w:r>
      <w:r>
        <w:t xml:space="preserve"> dat corporaties ook op andere manieren hun financiering rond </w:t>
      </w:r>
      <w:proofErr w:type="spellStart"/>
      <w:r>
        <w:t>kun</w:t>
      </w:r>
      <w:r w:rsidR="00D21EF5">
        <w:t>-</w:t>
      </w:r>
      <w:r>
        <w:t>nen</w:t>
      </w:r>
      <w:proofErr w:type="spellEnd"/>
      <w:r>
        <w:t xml:space="preserve"> krijgen (WSW, 2013). </w:t>
      </w:r>
    </w:p>
    <w:tbl>
      <w:tblPr>
        <w:tblStyle w:val="Lichtearcering1"/>
        <w:tblW w:w="0" w:type="auto"/>
        <w:tblLook w:val="04A0"/>
      </w:tblPr>
      <w:tblGrid>
        <w:gridCol w:w="4606"/>
        <w:gridCol w:w="4606"/>
      </w:tblGrid>
      <w:tr w:rsidR="00404E77" w:rsidTr="002721D7">
        <w:trPr>
          <w:cnfStyle w:val="100000000000"/>
        </w:trPr>
        <w:tc>
          <w:tcPr>
            <w:cnfStyle w:val="001000000000"/>
            <w:tcW w:w="4606" w:type="dxa"/>
          </w:tcPr>
          <w:p w:rsidR="00404E77" w:rsidRDefault="00404E77" w:rsidP="002721D7">
            <w:r>
              <w:t>Woningcorporatie</w:t>
            </w:r>
          </w:p>
        </w:tc>
        <w:tc>
          <w:tcPr>
            <w:tcW w:w="4606" w:type="dxa"/>
          </w:tcPr>
          <w:p w:rsidR="00404E77" w:rsidRDefault="00404E77" w:rsidP="002721D7">
            <w:pPr>
              <w:cnfStyle w:val="100000000000"/>
            </w:pPr>
            <w:r>
              <w:t>Percentage door WSW geborgde leningen</w:t>
            </w:r>
          </w:p>
        </w:tc>
      </w:tr>
      <w:tr w:rsidR="00404E77" w:rsidTr="002721D7">
        <w:trPr>
          <w:cnfStyle w:val="000000100000"/>
        </w:trPr>
        <w:tc>
          <w:tcPr>
            <w:cnfStyle w:val="001000000000"/>
            <w:tcW w:w="4606" w:type="dxa"/>
          </w:tcPr>
          <w:p w:rsidR="00404E77" w:rsidRDefault="00404E77" w:rsidP="002721D7">
            <w:r>
              <w:t>Mozaïek Wonen Gouda</w:t>
            </w:r>
          </w:p>
        </w:tc>
        <w:tc>
          <w:tcPr>
            <w:tcW w:w="4606" w:type="dxa"/>
          </w:tcPr>
          <w:p w:rsidR="00404E77" w:rsidRDefault="00404E77" w:rsidP="002721D7">
            <w:pPr>
              <w:cnfStyle w:val="000000100000"/>
            </w:pPr>
            <w:r>
              <w:t>100%</w:t>
            </w:r>
          </w:p>
        </w:tc>
      </w:tr>
      <w:tr w:rsidR="00404E77" w:rsidTr="002721D7">
        <w:tc>
          <w:tcPr>
            <w:cnfStyle w:val="001000000000"/>
            <w:tcW w:w="4606" w:type="dxa"/>
          </w:tcPr>
          <w:p w:rsidR="00404E77" w:rsidRDefault="00404E77" w:rsidP="002721D7">
            <w:r>
              <w:t>Woonstad Rotterdam</w:t>
            </w:r>
          </w:p>
        </w:tc>
        <w:tc>
          <w:tcPr>
            <w:tcW w:w="4606" w:type="dxa"/>
          </w:tcPr>
          <w:p w:rsidR="00404E77" w:rsidRDefault="00404E77" w:rsidP="002721D7">
            <w:pPr>
              <w:cnfStyle w:val="000000000000"/>
            </w:pPr>
          </w:p>
        </w:tc>
      </w:tr>
      <w:tr w:rsidR="00404E77" w:rsidRPr="0080395A" w:rsidTr="002721D7">
        <w:trPr>
          <w:cnfStyle w:val="000000100000"/>
        </w:trPr>
        <w:tc>
          <w:tcPr>
            <w:cnfStyle w:val="001000000000"/>
            <w:tcW w:w="4606" w:type="dxa"/>
          </w:tcPr>
          <w:p w:rsidR="00404E77" w:rsidRPr="0080395A" w:rsidRDefault="00404E77" w:rsidP="002721D7">
            <w:proofErr w:type="spellStart"/>
            <w:r>
              <w:t>Ymere</w:t>
            </w:r>
            <w:proofErr w:type="spellEnd"/>
            <w:r>
              <w:t xml:space="preserve"> Amsterdam</w:t>
            </w:r>
          </w:p>
        </w:tc>
        <w:tc>
          <w:tcPr>
            <w:tcW w:w="4606" w:type="dxa"/>
          </w:tcPr>
          <w:p w:rsidR="00404E77" w:rsidRPr="0080395A" w:rsidRDefault="00404E77" w:rsidP="002721D7">
            <w:pPr>
              <w:cnfStyle w:val="000000100000"/>
            </w:pPr>
            <w:r>
              <w:t>98%</w:t>
            </w:r>
          </w:p>
        </w:tc>
      </w:tr>
      <w:tr w:rsidR="00404E77" w:rsidRPr="0080395A" w:rsidTr="002721D7">
        <w:tc>
          <w:tcPr>
            <w:cnfStyle w:val="001000000000"/>
            <w:tcW w:w="4606" w:type="dxa"/>
          </w:tcPr>
          <w:p w:rsidR="00404E77" w:rsidRPr="00676068" w:rsidRDefault="00404E77" w:rsidP="002721D7">
            <w:r>
              <w:t xml:space="preserve">De Goede Woning - </w:t>
            </w:r>
            <w:proofErr w:type="spellStart"/>
            <w:r>
              <w:t>Neerijnen</w:t>
            </w:r>
            <w:proofErr w:type="spellEnd"/>
          </w:p>
        </w:tc>
        <w:tc>
          <w:tcPr>
            <w:tcW w:w="4606" w:type="dxa"/>
          </w:tcPr>
          <w:p w:rsidR="00404E77" w:rsidRPr="0080395A" w:rsidRDefault="00404E77" w:rsidP="002721D7">
            <w:pPr>
              <w:cnfStyle w:val="000000000000"/>
            </w:pPr>
            <w:r>
              <w:t>100%</w:t>
            </w:r>
          </w:p>
        </w:tc>
      </w:tr>
      <w:tr w:rsidR="00404E77" w:rsidRPr="0080395A" w:rsidTr="002721D7">
        <w:trPr>
          <w:cnfStyle w:val="000000100000"/>
        </w:trPr>
        <w:tc>
          <w:tcPr>
            <w:cnfStyle w:val="001000000000"/>
            <w:tcW w:w="4606" w:type="dxa"/>
          </w:tcPr>
          <w:p w:rsidR="00404E77" w:rsidRPr="00676068" w:rsidRDefault="00404E77" w:rsidP="002721D7">
            <w:r>
              <w:t>Portaal Baarn</w:t>
            </w:r>
          </w:p>
        </w:tc>
        <w:tc>
          <w:tcPr>
            <w:tcW w:w="4606" w:type="dxa"/>
          </w:tcPr>
          <w:p w:rsidR="00404E77" w:rsidRPr="0080395A" w:rsidRDefault="00404E77" w:rsidP="002721D7">
            <w:pPr>
              <w:cnfStyle w:val="000000100000"/>
            </w:pPr>
          </w:p>
        </w:tc>
      </w:tr>
    </w:tbl>
    <w:p w:rsidR="00404E77" w:rsidRDefault="00404E77" w:rsidP="00F961C2"/>
    <w:p w:rsidR="00F961C2" w:rsidRDefault="00404E77" w:rsidP="00775B27">
      <w:pPr>
        <w:jc w:val="both"/>
      </w:pPr>
      <w:r>
        <w:t>Zoals te zien in bovenstaande tabel maken corporaties in grote mate gebruik van</w:t>
      </w:r>
      <w:r w:rsidR="0004078F">
        <w:t xml:space="preserve"> de waarborgfunctie van het WSW</w:t>
      </w:r>
      <w:r>
        <w:t xml:space="preserve">. </w:t>
      </w:r>
      <w:r w:rsidR="00F961C2">
        <w:t>Het lijkt onmogel</w:t>
      </w:r>
      <w:r w:rsidR="0004078F">
        <w:t>ijk voor een woningcorporatie</w:t>
      </w:r>
      <w:r w:rsidR="00F961C2">
        <w:t xml:space="preserve"> leningen af te sluiten voor nieuwe </w:t>
      </w:r>
      <w:proofErr w:type="spellStart"/>
      <w:r w:rsidR="00F961C2">
        <w:t>in</w:t>
      </w:r>
      <w:r w:rsidR="00D21EF5">
        <w:t>-</w:t>
      </w:r>
      <w:r w:rsidR="00F961C2">
        <w:t>vesteringen</w:t>
      </w:r>
      <w:proofErr w:type="spellEnd"/>
      <w:r w:rsidR="00F961C2">
        <w:t xml:space="preserve">. Zonder </w:t>
      </w:r>
      <w:r w:rsidR="0004078F">
        <w:t>waar</w:t>
      </w:r>
      <w:r w:rsidR="00F961C2">
        <w:t xml:space="preserve">borgstelling van het WSW zal een hogere rente betaald moeten worden en de vraag is of corporaties hiertoe bereid zijn. De onrendabele investeringen ten behoeve van sociale woningbouw komen niet in aanmerking voor financiering zonder </w:t>
      </w:r>
      <w:r w:rsidR="0004078F">
        <w:t>waar</w:t>
      </w:r>
      <w:r w:rsidR="00F961C2">
        <w:t xml:space="preserve">borgstelling. Het onderpand dat afgegeven wordt is nooit zo groot als de financieringsbehoefte. Nieuwbouwprojecten ten </w:t>
      </w:r>
      <w:proofErr w:type="spellStart"/>
      <w:r w:rsidR="00F961C2">
        <w:t>be</w:t>
      </w:r>
      <w:r w:rsidR="00D21EF5">
        <w:t>-</w:t>
      </w:r>
      <w:r w:rsidR="00F961C2">
        <w:t>hoeve</w:t>
      </w:r>
      <w:proofErr w:type="spellEnd"/>
      <w:r w:rsidR="00F961C2">
        <w:t xml:space="preserve"> van sociale woningen zullen dus voor het grootste deel uit eigen middelen gefinancierd </w:t>
      </w:r>
      <w:proofErr w:type="spellStart"/>
      <w:r w:rsidR="00F961C2">
        <w:t>moet</w:t>
      </w:r>
      <w:r w:rsidR="00D21EF5">
        <w:t>-</w:t>
      </w:r>
      <w:r w:rsidR="00F961C2">
        <w:t>en</w:t>
      </w:r>
      <w:proofErr w:type="spellEnd"/>
      <w:r w:rsidR="00F961C2">
        <w:t xml:space="preserve"> worden. Hoe dit in zijn werk gaat komt aan bod in Hoofdstuk 4. </w:t>
      </w:r>
    </w:p>
    <w:p w:rsidR="00F961C2" w:rsidRPr="002024B1" w:rsidRDefault="00F961C2" w:rsidP="00F961C2">
      <w:pPr>
        <w:pStyle w:val="Heading3"/>
        <w:rPr>
          <w:color w:val="auto"/>
        </w:rPr>
      </w:pPr>
      <w:r w:rsidRPr="002024B1">
        <w:rPr>
          <w:color w:val="auto"/>
        </w:rPr>
        <w:t>2.8 Conclusie</w:t>
      </w:r>
    </w:p>
    <w:p w:rsidR="00F961C2" w:rsidRPr="00CA7329" w:rsidRDefault="00F961C2" w:rsidP="00775B27">
      <w:pPr>
        <w:jc w:val="both"/>
      </w:pPr>
      <w:r>
        <w:t xml:space="preserve">De componenten waar de financiële positie uit is opgebouwd zijn </w:t>
      </w:r>
      <w:r w:rsidR="0004078F">
        <w:t>besproken</w:t>
      </w:r>
      <w:r>
        <w:t xml:space="preserve"> in Hoofdstuk 2. De </w:t>
      </w:r>
      <w:proofErr w:type="spellStart"/>
      <w:r>
        <w:t>liqui</w:t>
      </w:r>
      <w:r w:rsidR="00D21EF5">
        <w:t>-</w:t>
      </w:r>
      <w:r>
        <w:t>diteitsratio</w:t>
      </w:r>
      <w:proofErr w:type="spellEnd"/>
      <w:r>
        <w:t xml:space="preserve"> geeft een indicatie of de entiteit op korte termijn aan haar verplichtingen kan voldoen. De liquiditeitsratio in enge zin (</w:t>
      </w:r>
      <w:proofErr w:type="spellStart"/>
      <w:r>
        <w:t>quick</w:t>
      </w:r>
      <w:proofErr w:type="spellEnd"/>
      <w:r>
        <w:t xml:space="preserve"> ratio) sluit ‘vastgoed bestemd voor verkoop’ uit van de vlottende activa en geeft daarom een beter beeld over de mogelijkheid tot het voldoen aan financiële </w:t>
      </w:r>
      <w:proofErr w:type="spellStart"/>
      <w:r>
        <w:t>ver</w:t>
      </w:r>
      <w:r w:rsidR="00D21EF5">
        <w:t>-</w:t>
      </w:r>
      <w:r>
        <w:t>plichtingen</w:t>
      </w:r>
      <w:proofErr w:type="spellEnd"/>
      <w:r>
        <w:t xml:space="preserve"> op de korte termijn. Voor </w:t>
      </w:r>
      <w:proofErr w:type="gramStart"/>
      <w:r>
        <w:t>solvabiliteit</w:t>
      </w:r>
      <w:proofErr w:type="gramEnd"/>
      <w:r>
        <w:t xml:space="preserve"> geldt een algemene formule en een berekening volgens het CFV die onder andere rekening houdt met de </w:t>
      </w:r>
      <w:proofErr w:type="spellStart"/>
      <w:r>
        <w:t>volkshuisvestelijke</w:t>
      </w:r>
      <w:proofErr w:type="spellEnd"/>
      <w:r>
        <w:t xml:space="preserve"> exploitatiewaarde. Naar aanleiding hiervan geeft het CFV een oordeel over de </w:t>
      </w:r>
      <w:proofErr w:type="gramStart"/>
      <w:r>
        <w:t>solvabiliteit</w:t>
      </w:r>
      <w:proofErr w:type="gramEnd"/>
      <w:r>
        <w:t xml:space="preserve"> van woningcorporaties. </w:t>
      </w:r>
      <w:proofErr w:type="spellStart"/>
      <w:r>
        <w:t>Rentabili</w:t>
      </w:r>
      <w:r w:rsidR="00D21EF5">
        <w:t>-</w:t>
      </w:r>
      <w:r>
        <w:t>teit</w:t>
      </w:r>
      <w:proofErr w:type="spellEnd"/>
      <w:r>
        <w:t xml:space="preserve"> kan berekend worden op basis van eigen vermogen, totaal vermogen of vreemd vermogen. Het geeft de verhouding weer van de winst en het vermogen dat hiervoor is gebruikt. De </w:t>
      </w:r>
      <w:proofErr w:type="spellStart"/>
      <w:r>
        <w:t>rentedekkings</w:t>
      </w:r>
      <w:r w:rsidR="00D21EF5">
        <w:t>-</w:t>
      </w:r>
      <w:r>
        <w:t>graad</w:t>
      </w:r>
      <w:proofErr w:type="spellEnd"/>
      <w:r>
        <w:t xml:space="preserve"> geeft aan in hoeverre corporaties aan hun renteverplichtingen kunnen voldoen. Bij een lagere </w:t>
      </w:r>
      <w:proofErr w:type="spellStart"/>
      <w:r>
        <w:t>rentedekkingsgraad</w:t>
      </w:r>
      <w:proofErr w:type="spellEnd"/>
      <w:r>
        <w:t xml:space="preserve"> bestaat er een risico dat de rente niet meer betaald kan worden. Een hogere </w:t>
      </w:r>
      <w:proofErr w:type="spellStart"/>
      <w:r>
        <w:t>rentedekkingsgraad</w:t>
      </w:r>
      <w:proofErr w:type="spellEnd"/>
      <w:r>
        <w:t xml:space="preserve"> geeft aan dat er meer geïnvesteerd zou kunnen (moeten) worden. Continuïteit van woningcorporaties wordt beoordeeld door het CFV op basis van gegevens over toekomstige activiteiten en kasstroomposities. </w:t>
      </w:r>
      <w:proofErr w:type="gramStart"/>
      <w:r>
        <w:t>Solvabiliteit</w:t>
      </w:r>
      <w:proofErr w:type="gramEnd"/>
      <w:r>
        <w:t xml:space="preserve"> is een momentopname, continuïteit gaat over de toekomst. Net als </w:t>
      </w:r>
      <w:proofErr w:type="gramStart"/>
      <w:r>
        <w:t>solvabiliteit</w:t>
      </w:r>
      <w:proofErr w:type="gramEnd"/>
      <w:r>
        <w:t xml:space="preserve"> zijn ook de liquiditeit en rentabiliteit statische kengetallen. Ze </w:t>
      </w:r>
      <w:proofErr w:type="spellStart"/>
      <w:r>
        <w:t>beschrij</w:t>
      </w:r>
      <w:r w:rsidR="00D21EF5">
        <w:t>-</w:t>
      </w:r>
      <w:r>
        <w:t>ven</w:t>
      </w:r>
      <w:proofErr w:type="spellEnd"/>
      <w:r>
        <w:t xml:space="preserve"> de huidige situatie maar zijn weinigzeggend over de toekomst. De </w:t>
      </w:r>
      <w:proofErr w:type="spellStart"/>
      <w:r>
        <w:t>rentedekkingsgraad</w:t>
      </w:r>
      <w:proofErr w:type="spellEnd"/>
      <w:r>
        <w:t xml:space="preserve"> </w:t>
      </w:r>
      <w:proofErr w:type="spellStart"/>
      <w:r>
        <w:t>daaren</w:t>
      </w:r>
      <w:r w:rsidR="00D21EF5">
        <w:t>-</w:t>
      </w:r>
      <w:r>
        <w:t>tegen</w:t>
      </w:r>
      <w:proofErr w:type="spellEnd"/>
      <w:r>
        <w:t xml:space="preserve"> is net als continuïteit een meer op de toekomst gericht kengetal. Als laatste is in dit hoofdstuk de problematiek rond de </w:t>
      </w:r>
      <w:r w:rsidR="0004078F">
        <w:t>waar</w:t>
      </w:r>
      <w:r>
        <w:t xml:space="preserve">borgstelling </w:t>
      </w:r>
      <w:r w:rsidR="0004078F">
        <w:t>door</w:t>
      </w:r>
      <w:r>
        <w:t xml:space="preserve"> WSW aan bod gekomen. De gevolgen hiervan zullen besproken worden in Hoofdstuk 4. </w:t>
      </w:r>
    </w:p>
    <w:p w:rsidR="00F961C2" w:rsidRDefault="00F961C2"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C90753" w:rsidRDefault="00C90753" w:rsidP="00754475"/>
    <w:p w:rsidR="00B923B6" w:rsidRDefault="00B923B6" w:rsidP="00754475"/>
    <w:p w:rsidR="00B923B6" w:rsidRDefault="00B923B6" w:rsidP="00754475"/>
    <w:p w:rsidR="00B923B6" w:rsidRDefault="00B923B6" w:rsidP="00754475"/>
    <w:p w:rsidR="00C90753" w:rsidRPr="002024B1" w:rsidRDefault="00C90753" w:rsidP="00C90753">
      <w:pPr>
        <w:pStyle w:val="Heading2"/>
        <w:rPr>
          <w:color w:val="auto"/>
        </w:rPr>
      </w:pPr>
      <w:r w:rsidRPr="002024B1">
        <w:rPr>
          <w:color w:val="auto"/>
        </w:rPr>
        <w:t>3: Wet- en regelgeving.</w:t>
      </w:r>
    </w:p>
    <w:p w:rsidR="00C90753" w:rsidRPr="002024B1" w:rsidRDefault="00C90753" w:rsidP="00C90753"/>
    <w:p w:rsidR="00C90753" w:rsidRPr="002024B1" w:rsidRDefault="00C90753" w:rsidP="00C90753">
      <w:pPr>
        <w:pStyle w:val="Heading3"/>
        <w:rPr>
          <w:color w:val="auto"/>
        </w:rPr>
      </w:pPr>
      <w:r w:rsidRPr="002024B1">
        <w:rPr>
          <w:color w:val="auto"/>
        </w:rPr>
        <w:t>3.1 Inleiding</w:t>
      </w:r>
    </w:p>
    <w:p w:rsidR="00C90753" w:rsidRPr="002024B1" w:rsidRDefault="00C90753" w:rsidP="00775B27">
      <w:pPr>
        <w:jc w:val="both"/>
      </w:pPr>
      <w:r w:rsidRPr="002024B1">
        <w:t>In dit hoofdstuk wordt alle regelgeving die van toepassing is op woningcorporaties betreffende de waarderi</w:t>
      </w:r>
      <w:r w:rsidR="0004078F" w:rsidRPr="002024B1">
        <w:t>ng van vastgoed behandeld. In</w:t>
      </w:r>
      <w:r w:rsidRPr="002024B1">
        <w:t xml:space="preserve"> Richtlijn 645 worden woningcorporaties aangeduid als </w:t>
      </w:r>
      <w:proofErr w:type="spellStart"/>
      <w:r w:rsidRPr="002024B1">
        <w:t>toege</w:t>
      </w:r>
      <w:r w:rsidR="00D21EF5" w:rsidRPr="002024B1">
        <w:t>-</w:t>
      </w:r>
      <w:r w:rsidRPr="002024B1">
        <w:t>laten</w:t>
      </w:r>
      <w:proofErr w:type="spellEnd"/>
      <w:r w:rsidRPr="002024B1">
        <w:t xml:space="preserve"> instellingen volkshuisvesting. Meer algemene regels voor toegelaten instellingen </w:t>
      </w:r>
      <w:r w:rsidR="0004078F" w:rsidRPr="002024B1">
        <w:t>zijn</w:t>
      </w:r>
      <w:r w:rsidRPr="002024B1">
        <w:t xml:space="preserve"> te vinden in het Besluit beheer sociale huursector (BBSH). Dit besluit </w:t>
      </w:r>
      <w:r w:rsidR="0004078F" w:rsidRPr="002024B1">
        <w:t>behandelt</w:t>
      </w:r>
      <w:r w:rsidRPr="002024B1">
        <w:t xml:space="preserve"> onder meer toelating, statuten, fusies, werkzaamheden en verslaggeving. In paragraaf 3.2 komen alleen de bepalingen </w:t>
      </w:r>
      <w:proofErr w:type="gramStart"/>
      <w:r w:rsidRPr="002024B1">
        <w:t>omtrent</w:t>
      </w:r>
      <w:proofErr w:type="gramEnd"/>
      <w:r w:rsidRPr="002024B1">
        <w:t xml:space="preserve"> de verslaggeving uit de BBSH aan de o</w:t>
      </w:r>
      <w:r w:rsidR="0004078F" w:rsidRPr="002024B1">
        <w:t>rde. In paragraaf 3.3 wordt</w:t>
      </w:r>
      <w:r w:rsidRPr="002024B1">
        <w:t xml:space="preserve"> de herziene RJ 645 (2011) behandeld. In paragraaf 3.4 komen de wijzigingen in RJ 645 (herzien 2011) ten opzichte van RJ 645 (aangepast 2005) aan de orde. Ook de redenen achter de wijzigingen worden besproken. Ten slotte wordt in </w:t>
      </w:r>
      <w:proofErr w:type="spellStart"/>
      <w:r w:rsidRPr="002024B1">
        <w:t>pa</w:t>
      </w:r>
      <w:r w:rsidR="00D21EF5" w:rsidRPr="002024B1">
        <w:t>-</w:t>
      </w:r>
      <w:r w:rsidRPr="002024B1">
        <w:t>ragraaf</w:t>
      </w:r>
      <w:proofErr w:type="spellEnd"/>
      <w:r w:rsidRPr="002024B1">
        <w:t xml:space="preserve"> 3.5 aandacht besteed aan actuele ontwikkelingen. </w:t>
      </w:r>
    </w:p>
    <w:p w:rsidR="00C90753" w:rsidRPr="002024B1" w:rsidRDefault="00C90753" w:rsidP="00C90753">
      <w:pPr>
        <w:pStyle w:val="Heading3"/>
        <w:rPr>
          <w:color w:val="auto"/>
        </w:rPr>
      </w:pPr>
      <w:r w:rsidRPr="002024B1">
        <w:rPr>
          <w:color w:val="auto"/>
        </w:rPr>
        <w:t>3.2 Besluit beheer sociale huursector</w:t>
      </w:r>
    </w:p>
    <w:p w:rsidR="00C90753" w:rsidRPr="002024B1" w:rsidRDefault="00C90753" w:rsidP="00775B27">
      <w:pPr>
        <w:jc w:val="both"/>
      </w:pPr>
      <w:r w:rsidRPr="002024B1">
        <w:t xml:space="preserve">In hoofdstuk IV van het BBSH wordt voorgeschreven hoe de woningcorporaties hun verslaglegging van de werkzaamheden moeten </w:t>
      </w:r>
      <w:r w:rsidR="0004078F" w:rsidRPr="002024B1">
        <w:t>uitvoeren</w:t>
      </w:r>
      <w:r w:rsidRPr="002024B1">
        <w:t xml:space="preserve">. Het grootste deel van de bepalingen uit titel 9 van Boek 2 van het Burgerlijk Wetboek is ook van toepassing op woningcorporaties. Hierin staan voorschriften aangaande de jaarrekening en het jaarverslag voor onder andere coöperaties, </w:t>
      </w:r>
      <w:proofErr w:type="spellStart"/>
      <w:r w:rsidRPr="002024B1">
        <w:t>NV’s</w:t>
      </w:r>
      <w:proofErr w:type="spellEnd"/>
      <w:r w:rsidRPr="002024B1">
        <w:t xml:space="preserve"> en BV’s (art. 2:360 BW). Het BBSH geeft de uitzonderingen op deze wetten voor woningcorporaties. Het </w:t>
      </w:r>
      <w:proofErr w:type="spellStart"/>
      <w:r w:rsidRPr="002024B1">
        <w:t>jaarver</w:t>
      </w:r>
      <w:r w:rsidR="00D21EF5" w:rsidRPr="002024B1">
        <w:t>-</w:t>
      </w:r>
      <w:r w:rsidRPr="002024B1">
        <w:t>slag</w:t>
      </w:r>
      <w:proofErr w:type="spellEnd"/>
      <w:r w:rsidRPr="002024B1">
        <w:t xml:space="preserve"> moet bestaan uit twee delen: een verslag over de </w:t>
      </w:r>
      <w:proofErr w:type="spellStart"/>
      <w:r w:rsidRPr="002024B1">
        <w:t>volkshuisvestelijke</w:t>
      </w:r>
      <w:proofErr w:type="spellEnd"/>
      <w:r w:rsidRPr="002024B1">
        <w:t xml:space="preserve"> werkzaamheden en een jaarrekening. In het </w:t>
      </w:r>
      <w:proofErr w:type="spellStart"/>
      <w:r w:rsidR="0004078F" w:rsidRPr="002024B1">
        <w:t>volkshuisvestelijke</w:t>
      </w:r>
      <w:proofErr w:type="spellEnd"/>
      <w:r w:rsidR="0004078F" w:rsidRPr="002024B1">
        <w:t xml:space="preserve"> verslag</w:t>
      </w:r>
      <w:r w:rsidRPr="002024B1">
        <w:t xml:space="preserve"> moeten de volgende prestatiemaatstaven genoemd worden: kwaliteit van de woningen, verhuur van woningen, betrekken van bewoners bij beleid en beheer, voorzien in zorgwoningen en leefbaarheid. Hierop wordt in het kader van dit onderzoek verder niet ingegaan. Een belangrijke </w:t>
      </w:r>
      <w:r w:rsidR="0004078F" w:rsidRPr="002024B1">
        <w:t>eis die</w:t>
      </w:r>
      <w:r w:rsidRPr="002024B1">
        <w:t xml:space="preserve"> aan de jaarrekening </w:t>
      </w:r>
      <w:r w:rsidR="0004078F" w:rsidRPr="002024B1">
        <w:t>wordt gesteld is</w:t>
      </w:r>
      <w:r w:rsidRPr="002024B1">
        <w:t xml:space="preserve"> dat de financiële positie inzichtelijk </w:t>
      </w:r>
      <w:r w:rsidR="0004078F" w:rsidRPr="002024B1">
        <w:t>wordt</w:t>
      </w:r>
      <w:r w:rsidRPr="002024B1">
        <w:t xml:space="preserve"> gemaakt (art. </w:t>
      </w:r>
      <w:r w:rsidR="0004078F" w:rsidRPr="002024B1">
        <w:t xml:space="preserve">26 lid 2f BBSH). Hiervoor is het noodzakelijk </w:t>
      </w:r>
      <w:r w:rsidRPr="002024B1">
        <w:t xml:space="preserve">dat de </w:t>
      </w:r>
      <w:proofErr w:type="spellStart"/>
      <w:r w:rsidRPr="002024B1">
        <w:t>ontwik</w:t>
      </w:r>
      <w:r w:rsidR="00D21EF5" w:rsidRPr="002024B1">
        <w:t>-</w:t>
      </w:r>
      <w:r w:rsidRPr="002024B1">
        <w:t>keling</w:t>
      </w:r>
      <w:proofErr w:type="spellEnd"/>
      <w:r w:rsidRPr="002024B1">
        <w:t xml:space="preserve"> van de liquiditeit, </w:t>
      </w:r>
      <w:proofErr w:type="gramStart"/>
      <w:r w:rsidRPr="002024B1">
        <w:t>solvabiliteit</w:t>
      </w:r>
      <w:proofErr w:type="gramEnd"/>
      <w:r w:rsidRPr="002024B1">
        <w:t xml:space="preserve"> en rentabiliteit over de afgelopen vijf jaar wordt getoond. </w:t>
      </w:r>
      <w:proofErr w:type="spellStart"/>
      <w:r w:rsidRPr="002024B1">
        <w:t>Jaar</w:t>
      </w:r>
      <w:r w:rsidR="00D21EF5" w:rsidRPr="002024B1">
        <w:t>-</w:t>
      </w:r>
      <w:r w:rsidRPr="002024B1">
        <w:t>lijks</w:t>
      </w:r>
      <w:proofErr w:type="spellEnd"/>
      <w:r w:rsidRPr="002024B1">
        <w:t xml:space="preserve"> dienen de stukken te worden ingeleverd bij de Minister</w:t>
      </w:r>
      <w:r w:rsidR="0004078F" w:rsidRPr="002024B1">
        <w:t xml:space="preserve"> voor Wonen en Rijksdienst</w:t>
      </w:r>
      <w:r w:rsidRPr="002024B1">
        <w:t xml:space="preserve">, college van B&amp;W </w:t>
      </w:r>
      <w:r w:rsidR="0004078F" w:rsidRPr="002024B1">
        <w:t xml:space="preserve">van de vestigingsplaats </w:t>
      </w:r>
      <w:r w:rsidRPr="002024B1">
        <w:t xml:space="preserve">en </w:t>
      </w:r>
      <w:r w:rsidR="0004078F" w:rsidRPr="002024B1">
        <w:t xml:space="preserve">bij </w:t>
      </w:r>
      <w:r w:rsidRPr="002024B1">
        <w:t xml:space="preserve">het CFV. </w:t>
      </w:r>
    </w:p>
    <w:p w:rsidR="00C90753" w:rsidRPr="002024B1" w:rsidRDefault="00C90753" w:rsidP="00775B27">
      <w:pPr>
        <w:jc w:val="both"/>
      </w:pPr>
      <w:r w:rsidRPr="002024B1">
        <w:t xml:space="preserve">Het BBSH stelt zeer algemene voorwaarden voor de jaarverslaggeving. Over het onderwerp van de waardebepaling van onroerend goed wordt alleen vermeld dat de gegevens over de </w:t>
      </w:r>
      <w:proofErr w:type="spellStart"/>
      <w:r w:rsidRPr="002024B1">
        <w:t>bedrijfswaarde</w:t>
      </w:r>
      <w:r w:rsidR="00D21EF5" w:rsidRPr="002024B1">
        <w:t>-</w:t>
      </w:r>
      <w:r w:rsidRPr="002024B1">
        <w:t>berekening</w:t>
      </w:r>
      <w:proofErr w:type="spellEnd"/>
      <w:r w:rsidRPr="002024B1">
        <w:t xml:space="preserve"> aan het Rijk toegezonden moeten worden. Dit moet omdat voor een goede beoordeling van</w:t>
      </w:r>
      <w:r w:rsidR="0004078F" w:rsidRPr="002024B1">
        <w:t xml:space="preserve"> de huidige</w:t>
      </w:r>
      <w:r w:rsidRPr="002024B1">
        <w:t xml:space="preserve"> en de in de toekomst te verwachten financiële positie inzicht in de bedrijfswaarde vereist </w:t>
      </w:r>
      <w:r w:rsidR="0004078F" w:rsidRPr="002024B1">
        <w:t xml:space="preserve">is </w:t>
      </w:r>
      <w:r w:rsidRPr="002024B1">
        <w:t xml:space="preserve">(Toelichting BBSH). </w:t>
      </w:r>
    </w:p>
    <w:p w:rsidR="00C90753" w:rsidRPr="002024B1" w:rsidRDefault="00C90753" w:rsidP="00C90753">
      <w:pPr>
        <w:pStyle w:val="Heading3"/>
        <w:rPr>
          <w:color w:val="auto"/>
        </w:rPr>
      </w:pPr>
      <w:r w:rsidRPr="002024B1">
        <w:rPr>
          <w:color w:val="auto"/>
        </w:rPr>
        <w:t>3.3 RJ 645 (herzien 2011)</w:t>
      </w:r>
    </w:p>
    <w:p w:rsidR="00C90753" w:rsidRPr="002024B1" w:rsidRDefault="00C90753" w:rsidP="00775B27">
      <w:pPr>
        <w:jc w:val="both"/>
      </w:pPr>
      <w:r w:rsidRPr="002024B1">
        <w:t xml:space="preserve">In 2011 is de Richtlijn 645 herzien en is sinds het verslagjaar 2012 van kracht voor toegelaten </w:t>
      </w:r>
      <w:proofErr w:type="spellStart"/>
      <w:r w:rsidRPr="002024B1">
        <w:t>instel</w:t>
      </w:r>
      <w:r w:rsidR="00D21EF5" w:rsidRPr="002024B1">
        <w:t>-</w:t>
      </w:r>
      <w:r w:rsidRPr="002024B1">
        <w:t>lingen</w:t>
      </w:r>
      <w:proofErr w:type="spellEnd"/>
      <w:r w:rsidRPr="002024B1">
        <w:t xml:space="preserve"> volkshuisvesting (woningcorporaties). In RJ 645.1 worden algemene zaken </w:t>
      </w:r>
      <w:proofErr w:type="gramStart"/>
      <w:r w:rsidRPr="002024B1">
        <w:t>omtrent</w:t>
      </w:r>
      <w:proofErr w:type="gramEnd"/>
      <w:r w:rsidRPr="002024B1">
        <w:t xml:space="preserve"> </w:t>
      </w:r>
      <w:proofErr w:type="spellStart"/>
      <w:r w:rsidRPr="002024B1">
        <w:t>woningcor</w:t>
      </w:r>
      <w:r w:rsidR="00D21EF5" w:rsidRPr="002024B1">
        <w:t>-</w:t>
      </w:r>
      <w:r w:rsidRPr="002024B1">
        <w:t>poraties</w:t>
      </w:r>
      <w:proofErr w:type="spellEnd"/>
      <w:r w:rsidRPr="002024B1">
        <w:t xml:space="preserve"> behandeld, zoals dat zij een maatschappelijke functie hebben ten behoeve van de </w:t>
      </w:r>
      <w:proofErr w:type="spellStart"/>
      <w:r w:rsidRPr="002024B1">
        <w:t>volkshuis</w:t>
      </w:r>
      <w:r w:rsidR="00D21EF5" w:rsidRPr="002024B1">
        <w:t>-</w:t>
      </w:r>
      <w:r w:rsidRPr="002024B1">
        <w:t>vesting</w:t>
      </w:r>
      <w:proofErr w:type="spellEnd"/>
      <w:r w:rsidRPr="002024B1">
        <w:t xml:space="preserve">. Op deze plek zal daar niet verder op in worden gegaan. Wel van belang is de rol die aan </w:t>
      </w:r>
      <w:proofErr w:type="spellStart"/>
      <w:r w:rsidRPr="002024B1">
        <w:t>res</w:t>
      </w:r>
      <w:r w:rsidR="00D21EF5" w:rsidRPr="002024B1">
        <w:t>-</w:t>
      </w:r>
      <w:r w:rsidRPr="002024B1">
        <w:t>pectievelijk</w:t>
      </w:r>
      <w:proofErr w:type="spellEnd"/>
      <w:r w:rsidRPr="002024B1">
        <w:t xml:space="preserve"> het CFV en WSW wordt toe</w:t>
      </w:r>
      <w:r w:rsidR="0004078F" w:rsidRPr="002024B1">
        <w:t>bedeeld</w:t>
      </w:r>
      <w:r w:rsidRPr="002024B1">
        <w:t xml:space="preserve">. Ten behoeve van een toezichtfunctie (CFV) en een borgende functie (WSW) verstrekken woningcorporaties informatie zodat CFV en WSW parameters en disconteringsvoet kunnen voorschrijven voor de </w:t>
      </w:r>
      <w:proofErr w:type="spellStart"/>
      <w:r w:rsidRPr="002024B1">
        <w:t>bedrijfswaardeberekening</w:t>
      </w:r>
      <w:proofErr w:type="spellEnd"/>
      <w:r w:rsidRPr="002024B1">
        <w:t>. De toezichthouder heeft een sterke in</w:t>
      </w:r>
      <w:r w:rsidR="0004078F" w:rsidRPr="002024B1">
        <w:t>vloed op de bedrijfswaarde die h</w:t>
      </w:r>
      <w:r w:rsidRPr="002024B1">
        <w:t xml:space="preserve">ij vervolgens zelf moet beoordelen. </w:t>
      </w:r>
    </w:p>
    <w:p w:rsidR="00C90753" w:rsidRPr="002024B1" w:rsidRDefault="00C90753" w:rsidP="00C90753">
      <w:pPr>
        <w:pStyle w:val="Heading4"/>
        <w:rPr>
          <w:b w:val="0"/>
          <w:color w:val="auto"/>
        </w:rPr>
      </w:pPr>
      <w:r w:rsidRPr="002024B1">
        <w:rPr>
          <w:b w:val="0"/>
          <w:color w:val="auto"/>
        </w:rPr>
        <w:t>3.3.1 Onderscheid in vastgoed</w:t>
      </w:r>
    </w:p>
    <w:p w:rsidR="00C90753" w:rsidRDefault="00C90753" w:rsidP="00775B27">
      <w:pPr>
        <w:jc w:val="both"/>
      </w:pPr>
      <w:r w:rsidRPr="002024B1">
        <w:t>Onderscheid in vastgoed kan worden gemaakt volgens de beschikking van de Europese Commissie</w:t>
      </w:r>
      <w:r>
        <w:t xml:space="preserve"> van 15 december 2009 of volgens RJ 645.2. Hierbij moet vermeld worden dat RJ 645.2 de beschikking van de Europese Commissie volgt en slechts een uitbreiding hierop is. De indeling in RJ 645.2 ziet er als volgt uit:</w:t>
      </w:r>
    </w:p>
    <w:p w:rsidR="00C90753" w:rsidRDefault="00C90753" w:rsidP="00C90753">
      <w:r>
        <w:t xml:space="preserve"> </w:t>
      </w:r>
      <w:r>
        <w:rPr>
          <w:noProof/>
          <w:lang w:val="en-US"/>
        </w:rPr>
        <w:drawing>
          <wp:inline distT="0" distB="0" distL="0" distR="0">
            <wp:extent cx="4648200" cy="3972820"/>
            <wp:effectExtent l="19050" t="0" r="0" b="0"/>
            <wp:docPr id="7" name="Afbeelding 1" descr="C:\Users\Maarten\Pictures\vastgo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rten\Pictures\vastgoed.jpg"/>
                    <pic:cNvPicPr>
                      <a:picLocks noChangeAspect="1" noChangeArrowheads="1"/>
                    </pic:cNvPicPr>
                  </pic:nvPicPr>
                  <pic:blipFill>
                    <a:blip r:embed="rId18" cstate="print"/>
                    <a:srcRect/>
                    <a:stretch>
                      <a:fillRect/>
                    </a:stretch>
                  </pic:blipFill>
                  <pic:spPr bwMode="auto">
                    <a:xfrm>
                      <a:off x="0" y="0"/>
                      <a:ext cx="4649428" cy="3973870"/>
                    </a:xfrm>
                    <a:prstGeom prst="rect">
                      <a:avLst/>
                    </a:prstGeom>
                    <a:noFill/>
                    <a:ln w="9525">
                      <a:noFill/>
                      <a:miter lim="800000"/>
                      <a:headEnd/>
                      <a:tailEnd/>
                    </a:ln>
                  </pic:spPr>
                </pic:pic>
              </a:graphicData>
            </a:graphic>
          </wp:inline>
        </w:drawing>
      </w:r>
    </w:p>
    <w:p w:rsidR="00C90753" w:rsidRPr="00785C8E" w:rsidRDefault="00C90753" w:rsidP="00C90753">
      <w:pPr>
        <w:rPr>
          <w:sz w:val="18"/>
          <w:szCs w:val="18"/>
        </w:rPr>
      </w:pPr>
      <w:r>
        <w:rPr>
          <w:sz w:val="18"/>
          <w:szCs w:val="18"/>
        </w:rPr>
        <w:t>Bron: RJ 645.204. RJ 2012, p. 889.</w:t>
      </w:r>
    </w:p>
    <w:p w:rsidR="00C90753" w:rsidRDefault="00C90753" w:rsidP="00775B27">
      <w:pPr>
        <w:jc w:val="both"/>
      </w:pPr>
      <w:r>
        <w:t xml:space="preserve">Zoals te zien is in de figuur wordt het vastgoed in eerste instantie gesplitst naar wel- en </w:t>
      </w:r>
      <w:proofErr w:type="spellStart"/>
      <w:r>
        <w:t>niet-DAEB</w:t>
      </w:r>
      <w:proofErr w:type="spellEnd"/>
      <w:r>
        <w:t xml:space="preserve"> vastgoed. Het sociaal vastgoed wordt nog verder gesplitst in bedrijfsmiddelen en </w:t>
      </w:r>
      <w:proofErr w:type="spellStart"/>
      <w:r>
        <w:t>vastgoedbeleg</w:t>
      </w:r>
      <w:r w:rsidR="00D21EF5">
        <w:t>-</w:t>
      </w:r>
      <w:r>
        <w:t>gingen</w:t>
      </w:r>
      <w:proofErr w:type="spellEnd"/>
      <w:r>
        <w:t xml:space="preserve">. </w:t>
      </w:r>
      <w:proofErr w:type="spellStart"/>
      <w:r>
        <w:t>Herclassificatie</w:t>
      </w:r>
      <w:proofErr w:type="spellEnd"/>
      <w:r>
        <w:t xml:space="preserve"> van vastgoed tussen de categorieën mag niet zomaar gebeuren. </w:t>
      </w:r>
      <w:proofErr w:type="gramStart"/>
      <w:r>
        <w:t>De</w:t>
      </w:r>
      <w:proofErr w:type="gramEnd"/>
      <w:r>
        <w:t xml:space="preserve"> </w:t>
      </w:r>
      <w:proofErr w:type="spellStart"/>
      <w:r>
        <w:t>om</w:t>
      </w:r>
      <w:r w:rsidR="00D21EF5">
        <w:t>-</w:t>
      </w:r>
      <w:r>
        <w:t>standigheden</w:t>
      </w:r>
      <w:proofErr w:type="spellEnd"/>
      <w:r>
        <w:t xml:space="preserve"> moeten dusdanig wijzigen dat </w:t>
      </w:r>
      <w:r w:rsidR="002E6F72">
        <w:t>het vastgoed voor de woningcorporatie een andere functie krijgt</w:t>
      </w:r>
      <w:r w:rsidRPr="0004078F">
        <w:rPr>
          <w:color w:val="FF0000"/>
        </w:rPr>
        <w:t xml:space="preserve"> </w:t>
      </w:r>
      <w:r>
        <w:t xml:space="preserve">(RJ 213.601). </w:t>
      </w:r>
    </w:p>
    <w:p w:rsidR="00C90753" w:rsidRPr="002024B1" w:rsidRDefault="00C90753" w:rsidP="00C90753">
      <w:pPr>
        <w:pStyle w:val="Heading4"/>
        <w:rPr>
          <w:b w:val="0"/>
          <w:color w:val="auto"/>
        </w:rPr>
      </w:pPr>
      <w:r w:rsidRPr="002024B1">
        <w:rPr>
          <w:b w:val="0"/>
          <w:color w:val="auto"/>
        </w:rPr>
        <w:t>3.3.2 Kostprijsmodel</w:t>
      </w:r>
    </w:p>
    <w:p w:rsidR="00C90753" w:rsidRDefault="00C90753" w:rsidP="00775B27">
      <w:pPr>
        <w:jc w:val="both"/>
      </w:pPr>
      <w:r>
        <w:t>De waa</w:t>
      </w:r>
      <w:r w:rsidR="00D93025">
        <w:t xml:space="preserve">rdering bij eerste </w:t>
      </w:r>
      <w:proofErr w:type="gramStart"/>
      <w:r w:rsidR="00D93025">
        <w:t xml:space="preserve">verwerking </w:t>
      </w:r>
      <w:r>
        <w:t xml:space="preserve"> </w:t>
      </w:r>
      <w:proofErr w:type="gramEnd"/>
      <w:r>
        <w:t xml:space="preserve">bij de drie categorieën </w:t>
      </w:r>
      <w:r w:rsidR="00D93025">
        <w:t xml:space="preserve">is </w:t>
      </w:r>
      <w:r>
        <w:t xml:space="preserve">dezelfde: tegen kostprijs (RJ 645.202). Het kostprijsmodel staat verder uitgewerkt in paragraaf 1.2. De waardering na </w:t>
      </w:r>
      <w:r w:rsidR="00D93025">
        <w:t xml:space="preserve">de </w:t>
      </w:r>
      <w:r>
        <w:t xml:space="preserve">eerste verwerking kan volgens het kostprijsmodel of het actuele waardemodel. De woningcorporatie staat voor een keuze, maar hoe dan ook moet de actuele waarde van het vastgoed worden toegelicht (RJ 645.509). Vanwege ouderdom van woningen betekent waardering tegen historische kostprijs vaak een lagere balanswaarde dan waardering volgens het actuele waarde model. </w:t>
      </w:r>
      <w:r w:rsidR="00D93025">
        <w:t>C</w:t>
      </w:r>
      <w:r>
        <w:t xml:space="preserve">orporatie </w:t>
      </w:r>
      <w:proofErr w:type="spellStart"/>
      <w:r>
        <w:t>Mercatus</w:t>
      </w:r>
      <w:proofErr w:type="spellEnd"/>
      <w:r>
        <w:t xml:space="preserve"> heeft </w:t>
      </w:r>
      <w:proofErr w:type="spellStart"/>
      <w:r w:rsidR="00D93025">
        <w:t>bijvoor</w:t>
      </w:r>
      <w:r w:rsidR="00D21EF5">
        <w:t>-</w:t>
      </w:r>
      <w:r w:rsidR="00D93025">
        <w:t>beeld</w:t>
      </w:r>
      <w:proofErr w:type="spellEnd"/>
      <w:r w:rsidR="00D93025">
        <w:t xml:space="preserve"> </w:t>
      </w:r>
      <w:r>
        <w:t xml:space="preserve">op de jaarrekening een boekwaarde van €127.750.000 volgens historische kostprijs. In de </w:t>
      </w:r>
      <w:proofErr w:type="spellStart"/>
      <w:r>
        <w:t>toe</w:t>
      </w:r>
      <w:r w:rsidR="00D21EF5">
        <w:t>-</w:t>
      </w:r>
      <w:r>
        <w:t>lichting</w:t>
      </w:r>
      <w:proofErr w:type="spellEnd"/>
      <w:r>
        <w:t xml:space="preserve"> staat ook de bedrijfswaarde van dit bezit vermeld: €220.000.000 (Jaarverslag </w:t>
      </w:r>
      <w:proofErr w:type="spellStart"/>
      <w:r>
        <w:t>Mercatus</w:t>
      </w:r>
      <w:proofErr w:type="spellEnd"/>
      <w:r>
        <w:t xml:space="preserve">, 2012). </w:t>
      </w:r>
    </w:p>
    <w:p w:rsidR="00C90753" w:rsidRPr="002024B1" w:rsidRDefault="00C90753" w:rsidP="00C90753">
      <w:pPr>
        <w:pStyle w:val="Heading4"/>
        <w:rPr>
          <w:b w:val="0"/>
          <w:color w:val="auto"/>
        </w:rPr>
      </w:pPr>
      <w:r w:rsidRPr="002024B1">
        <w:rPr>
          <w:b w:val="0"/>
          <w:color w:val="auto"/>
        </w:rPr>
        <w:t>3.3.3 Actuele waarde model</w:t>
      </w:r>
    </w:p>
    <w:p w:rsidR="00C90753" w:rsidRPr="002024B1" w:rsidRDefault="00C90753" w:rsidP="00775B27">
      <w:pPr>
        <w:jc w:val="both"/>
      </w:pPr>
      <w:r w:rsidRPr="002024B1">
        <w:t xml:space="preserve">Er is een verschil in het actuele waardemodel tussen sociaal vastgoed als bedrijfsmiddel enerzijds en sociaal vastgoed als belegging en commercieel vastgoed anderzijds. Voor sociaal vastgoed als </w:t>
      </w:r>
      <w:proofErr w:type="spellStart"/>
      <w:r w:rsidRPr="002024B1">
        <w:t>be</w:t>
      </w:r>
      <w:r w:rsidR="00D21EF5" w:rsidRPr="002024B1">
        <w:t>-</w:t>
      </w:r>
      <w:r w:rsidRPr="002024B1">
        <w:t>drijfsmiddel</w:t>
      </w:r>
      <w:proofErr w:type="spellEnd"/>
      <w:r w:rsidRPr="002024B1">
        <w:t xml:space="preserve"> dient de actuele waarde bepaald te worden aan de hand van RJ 212.403 (RJ 645.210). Zie hierover ook paragraaf 1.4. Dit resulteert over het algemeen in een waardering tegen </w:t>
      </w:r>
      <w:proofErr w:type="spellStart"/>
      <w:r w:rsidRPr="002024B1">
        <w:t>bedrijfs</w:t>
      </w:r>
      <w:r w:rsidR="00D21EF5" w:rsidRPr="002024B1">
        <w:t>-</w:t>
      </w:r>
      <w:r w:rsidRPr="002024B1">
        <w:t>waarde</w:t>
      </w:r>
      <w:proofErr w:type="spellEnd"/>
      <w:r w:rsidRPr="002024B1">
        <w:t xml:space="preserve"> omdat deze vaak lager is dan de vervangingswaarde. De bedrijfswaarde is lager omdat er meestal sprake is van onrendabele investeringen. In 2009 zijn de gemiddelde investeringskosten per woning €60.700 hoger dan de bedrijfswaarde (VTW, 2011). </w:t>
      </w:r>
      <w:r w:rsidR="00D93025" w:rsidRPr="002024B1">
        <w:t>Het aantal nieuw gebouwde woningen in 2009 bedroeg 40.500 (</w:t>
      </w:r>
      <w:proofErr w:type="spellStart"/>
      <w:r w:rsidR="00D93025" w:rsidRPr="002024B1">
        <w:t>Aedes</w:t>
      </w:r>
      <w:proofErr w:type="spellEnd"/>
      <w:r w:rsidR="00D93025" w:rsidRPr="002024B1">
        <w:t xml:space="preserve">, 2013). </w:t>
      </w:r>
    </w:p>
    <w:p w:rsidR="00C90753" w:rsidRPr="002024B1" w:rsidRDefault="00C90753" w:rsidP="00775B27">
      <w:pPr>
        <w:jc w:val="both"/>
      </w:pPr>
      <w:r w:rsidRPr="002024B1">
        <w:t xml:space="preserve">De actuele waarde voor sociaal vastgoed als belegging en commercieel vastgoed resulteert in een waardering tegen reële waarde (RJ 213.503). De reële waarde is de maximale waarde die </w:t>
      </w:r>
      <w:proofErr w:type="spellStart"/>
      <w:r w:rsidRPr="002024B1">
        <w:t>redelijk</w:t>
      </w:r>
      <w:r w:rsidR="00D21EF5" w:rsidRPr="002024B1">
        <w:t>-</w:t>
      </w:r>
      <w:r w:rsidRPr="002024B1">
        <w:t>erwijs</w:t>
      </w:r>
      <w:proofErr w:type="spellEnd"/>
      <w:r w:rsidRPr="002024B1">
        <w:t xml:space="preserve"> verkregen kan worden bij verkoop (RJ 213.505). Omdat de reële waarde voor sociaal vastgoed lastig te bepalen is (geen courante prijzen op beschikbare markt aanwezig), wordt de reële waarde geschat aan de hand van RJ 213.509c. Woonstad Rotterdam gebruikt deze methode in haar </w:t>
      </w:r>
      <w:proofErr w:type="spellStart"/>
      <w:r w:rsidRPr="002024B1">
        <w:t>jaar</w:t>
      </w:r>
      <w:r w:rsidR="00D21EF5" w:rsidRPr="002024B1">
        <w:t>-</w:t>
      </w:r>
      <w:r w:rsidRPr="002024B1">
        <w:t>verslag</w:t>
      </w:r>
      <w:proofErr w:type="spellEnd"/>
      <w:r w:rsidRPr="002024B1">
        <w:t xml:space="preserve"> over 2012. Over een periode van 15 jaar worden ontvangsten en uitgaven geschat en contant gemaakt, daarnaast wordt de eindwaarde bepaald en contant gemaakt. In de berekening van de </w:t>
      </w:r>
      <w:proofErr w:type="spellStart"/>
      <w:r w:rsidRPr="002024B1">
        <w:t>con</w:t>
      </w:r>
      <w:r w:rsidR="00D21EF5" w:rsidRPr="002024B1">
        <w:t>-</w:t>
      </w:r>
      <w:r w:rsidRPr="002024B1">
        <w:t>tante</w:t>
      </w:r>
      <w:proofErr w:type="spellEnd"/>
      <w:r w:rsidRPr="002024B1">
        <w:t xml:space="preserve"> waarde wordt gestreefd naar winstmaximalisatie. Er wordt uitgegaan van twee scenario’s; doorexploiteren en uitponden. Doorexploiteren betekent dat er van uit gegaan wordt dat het pand verhuurd zal blijven, uitponden betekent dat bij mutatie</w:t>
      </w:r>
      <w:r w:rsidR="009D6944" w:rsidRPr="002024B1">
        <w:t xml:space="preserve"> (wisseling van bewoner)</w:t>
      </w:r>
      <w:r w:rsidRPr="002024B1">
        <w:t xml:space="preserve"> tot verkoop wordt overgegaan. Het scenario </w:t>
      </w:r>
      <w:proofErr w:type="gramStart"/>
      <w:r w:rsidRPr="002024B1">
        <w:t>die</w:t>
      </w:r>
      <w:proofErr w:type="gramEnd"/>
      <w:r w:rsidRPr="002024B1">
        <w:t xml:space="preserve"> de hoogste waarde aan het complex toekent</w:t>
      </w:r>
      <w:r w:rsidR="009D6944" w:rsidRPr="002024B1">
        <w:t>,</w:t>
      </w:r>
      <w:r w:rsidRPr="002024B1">
        <w:t xml:space="preserve"> wordt gebruikt als reële waarde (Jaarverslag Woonstad, 2012). De reële waarde van commercieel vastgoed wordt bepaald aan de hand van marktprijzen van vergelijkbare complexen (RJ 213.509 a en b). </w:t>
      </w:r>
    </w:p>
    <w:p w:rsidR="00C90753" w:rsidRPr="002024B1" w:rsidRDefault="00C90753" w:rsidP="00C90753">
      <w:pPr>
        <w:pStyle w:val="Heading3"/>
        <w:rPr>
          <w:color w:val="auto"/>
        </w:rPr>
      </w:pPr>
      <w:r w:rsidRPr="002024B1">
        <w:rPr>
          <w:color w:val="auto"/>
        </w:rPr>
        <w:t>3.4 Wijziging in de RJ 645 en ratio</w:t>
      </w:r>
    </w:p>
    <w:p w:rsidR="00C90753" w:rsidRPr="002024B1" w:rsidRDefault="00C90753" w:rsidP="00C90753">
      <w:pPr>
        <w:pStyle w:val="Heading4"/>
        <w:rPr>
          <w:b w:val="0"/>
          <w:color w:val="auto"/>
        </w:rPr>
      </w:pPr>
      <w:r w:rsidRPr="002024B1">
        <w:rPr>
          <w:b w:val="0"/>
          <w:color w:val="auto"/>
        </w:rPr>
        <w:t xml:space="preserve">3.4.1 DAEB/ </w:t>
      </w:r>
      <w:proofErr w:type="spellStart"/>
      <w:r w:rsidRPr="002024B1">
        <w:rPr>
          <w:b w:val="0"/>
          <w:color w:val="auto"/>
        </w:rPr>
        <w:t>niet-DAEB</w:t>
      </w:r>
      <w:proofErr w:type="spellEnd"/>
    </w:p>
    <w:p w:rsidR="00C90753" w:rsidRPr="009F3F38" w:rsidRDefault="00C90753" w:rsidP="00775B27">
      <w:pPr>
        <w:jc w:val="both"/>
        <w:rPr>
          <w:color w:val="FF0000"/>
        </w:rPr>
      </w:pPr>
      <w:r w:rsidRPr="002024B1">
        <w:t xml:space="preserve">Het onderscheid dat gemaakt moet worden tussen sociaal vastgoed als bedrijfsmiddel, sociaal vastgoed als belegging en commercieel vastgoed is nieuw in de herziene RJ 645. In de verslagjaren voorafgaand aan </w:t>
      </w:r>
      <w:r w:rsidR="009D6944" w:rsidRPr="002024B1">
        <w:t xml:space="preserve">de </w:t>
      </w:r>
      <w:r w:rsidRPr="002024B1">
        <w:t xml:space="preserve">invoering hiervan werd al het sociaal vastgoed gelijk behandeld. Er kon ook gekozen worden tussen de historische kosten en actuele waarde. De actuele waarde is de </w:t>
      </w:r>
      <w:proofErr w:type="spellStart"/>
      <w:r w:rsidRPr="002024B1">
        <w:t>bedrijfs</w:t>
      </w:r>
      <w:r w:rsidR="00D21EF5" w:rsidRPr="002024B1">
        <w:t>-</w:t>
      </w:r>
      <w:r w:rsidRPr="002024B1">
        <w:t>waarde</w:t>
      </w:r>
      <w:proofErr w:type="spellEnd"/>
      <w:r w:rsidRPr="002024B1">
        <w:t xml:space="preserve"> (RJ 645.208 </w:t>
      </w:r>
      <w:proofErr w:type="gramStart"/>
      <w:r w:rsidRPr="002024B1">
        <w:t>(</w:t>
      </w:r>
      <w:proofErr w:type="gramEnd"/>
      <w:r w:rsidRPr="002024B1">
        <w:t xml:space="preserve">2005)). De Europese Commissie houdt toezicht op </w:t>
      </w:r>
      <w:proofErr w:type="gramStart"/>
      <w:r w:rsidRPr="002024B1">
        <w:t>staatssteun</w:t>
      </w:r>
      <w:proofErr w:type="gramEnd"/>
      <w:r w:rsidRPr="002024B1">
        <w:t xml:space="preserve"> die </w:t>
      </w:r>
      <w:r w:rsidR="009D6944" w:rsidRPr="002024B1">
        <w:t xml:space="preserve">eventueel </w:t>
      </w:r>
      <w:r w:rsidRPr="002024B1">
        <w:t xml:space="preserve">gegeven wordt. Omdat woningcorporaties private instellingen zijn zou de </w:t>
      </w:r>
      <w:proofErr w:type="gramStart"/>
      <w:r w:rsidRPr="002024B1">
        <w:t>staatssteun</w:t>
      </w:r>
      <w:proofErr w:type="gramEnd"/>
      <w:r w:rsidRPr="002024B1">
        <w:t xml:space="preserve"> mogelijk in strijd zijn met EU regels. Hierdoor is in Beschikking C(2009)9963 van de Europese Commissie </w:t>
      </w:r>
      <w:proofErr w:type="spellStart"/>
      <w:r w:rsidRPr="002024B1">
        <w:t>vastge</w:t>
      </w:r>
      <w:r w:rsidR="00D21EF5" w:rsidRPr="002024B1">
        <w:t>-</w:t>
      </w:r>
      <w:r w:rsidRPr="002024B1">
        <w:t>legd</w:t>
      </w:r>
      <w:proofErr w:type="spellEnd"/>
      <w:r w:rsidRPr="002024B1">
        <w:t xml:space="preserve"> dat alleen Diensten van Algemeen Economisch Belang (</w:t>
      </w:r>
      <w:proofErr w:type="spellStart"/>
      <w:r w:rsidRPr="002024B1">
        <w:t>DAEB-activiteiten</w:t>
      </w:r>
      <w:proofErr w:type="spellEnd"/>
      <w:r w:rsidRPr="002024B1">
        <w:t xml:space="preserve">) </w:t>
      </w:r>
      <w:proofErr w:type="gramStart"/>
      <w:r w:rsidRPr="002024B1">
        <w:t>staatssteun</w:t>
      </w:r>
      <w:proofErr w:type="gramEnd"/>
      <w:r w:rsidRPr="002024B1">
        <w:t xml:space="preserve"> mogen ontvangen. Woningcorporaties moeten ten gevolge hiervan hun vastgoed splitsen in DAEB vastgoed (sociaal vastgoed) en </w:t>
      </w:r>
      <w:proofErr w:type="spellStart"/>
      <w:r w:rsidRPr="002024B1">
        <w:t>niet-DAEB</w:t>
      </w:r>
      <w:proofErr w:type="spellEnd"/>
      <w:r w:rsidRPr="002024B1">
        <w:t xml:space="preserve"> vastgoed (commercieel vastgoed). Sociaal vastgoed als </w:t>
      </w:r>
      <w:proofErr w:type="spellStart"/>
      <w:r w:rsidRPr="002024B1">
        <w:t>bedrijfsmid</w:t>
      </w:r>
      <w:r w:rsidR="00D21EF5" w:rsidRPr="002024B1">
        <w:t>-</w:t>
      </w:r>
      <w:r w:rsidRPr="002024B1">
        <w:t>del</w:t>
      </w:r>
      <w:proofErr w:type="spellEnd"/>
      <w:r w:rsidRPr="002024B1">
        <w:t xml:space="preserve"> wordt gehanteerd wanneer de woningcorporatie een beleid heeft dat gericht is op haar </w:t>
      </w:r>
      <w:proofErr w:type="spellStart"/>
      <w:r w:rsidRPr="002024B1">
        <w:t>maat</w:t>
      </w:r>
      <w:r w:rsidR="00D21EF5" w:rsidRPr="002024B1">
        <w:t>-</w:t>
      </w:r>
      <w:r w:rsidRPr="002024B1">
        <w:t>schappelijke</w:t>
      </w:r>
      <w:proofErr w:type="spellEnd"/>
      <w:r w:rsidRPr="002024B1">
        <w:t xml:space="preserve"> functie </w:t>
      </w:r>
      <w:proofErr w:type="gramStart"/>
      <w:r w:rsidRPr="002024B1">
        <w:t>inzake</w:t>
      </w:r>
      <w:proofErr w:type="gramEnd"/>
      <w:r w:rsidRPr="002024B1">
        <w:t xml:space="preserve"> volkshuisvesting (RJ 940). Sociaal vastgoed als vastgoedbelegging is van toepassing op de portefeuille met vastgoed dat kwalificeert als sociaal (o.a. inkomensgrens voor doelgroep) maar waar de woningcorporatie een uitgangspunt heeft van het maximaliseren van het rendement (RJ 940). De classificatie is in grote mate niet objectief te bepalen. </w:t>
      </w:r>
      <w:r w:rsidR="002E6F72" w:rsidRPr="002024B1">
        <w:t>De keuzemogelijkheid in RJ 645 impliceert dat w</w:t>
      </w:r>
      <w:r w:rsidRPr="002024B1">
        <w:t xml:space="preserve">oningcorporaties hun eigen beleid </w:t>
      </w:r>
      <w:r w:rsidR="002E6F72" w:rsidRPr="002024B1">
        <w:t xml:space="preserve">mogen </w:t>
      </w:r>
      <w:r w:rsidRPr="002024B1">
        <w:t>beoordelen met betrekking tot</w:t>
      </w:r>
      <w:r>
        <w:t xml:space="preserve"> een maatschappelijke functie of </w:t>
      </w:r>
      <w:proofErr w:type="spellStart"/>
      <w:r>
        <w:t>rende</w:t>
      </w:r>
      <w:r w:rsidR="00D21EF5">
        <w:t>-</w:t>
      </w:r>
      <w:r>
        <w:t>mentsmaximalisatie</w:t>
      </w:r>
      <w:proofErr w:type="spellEnd"/>
      <w:r>
        <w:t>.</w:t>
      </w:r>
      <w:r w:rsidR="009F3F38">
        <w:t xml:space="preserve"> </w:t>
      </w:r>
    </w:p>
    <w:p w:rsidR="00C90753" w:rsidRPr="002024B1" w:rsidRDefault="00C90753" w:rsidP="00C90753">
      <w:pPr>
        <w:pStyle w:val="Heading4"/>
        <w:rPr>
          <w:b w:val="0"/>
          <w:color w:val="auto"/>
        </w:rPr>
      </w:pPr>
      <w:r w:rsidRPr="002024B1">
        <w:rPr>
          <w:b w:val="0"/>
          <w:color w:val="auto"/>
        </w:rPr>
        <w:t xml:space="preserve">3.4.2 Herwaardering </w:t>
      </w:r>
      <w:r w:rsidR="009F3F38" w:rsidRPr="002024B1">
        <w:rPr>
          <w:b w:val="0"/>
          <w:color w:val="auto"/>
        </w:rPr>
        <w:t xml:space="preserve">van </w:t>
      </w:r>
      <w:r w:rsidRPr="002024B1">
        <w:rPr>
          <w:b w:val="0"/>
          <w:color w:val="auto"/>
        </w:rPr>
        <w:t>vaste activa</w:t>
      </w:r>
    </w:p>
    <w:p w:rsidR="00C90753" w:rsidRPr="002024B1" w:rsidRDefault="00C90753" w:rsidP="00775B27">
      <w:pPr>
        <w:jc w:val="both"/>
      </w:pPr>
      <w:r w:rsidRPr="002024B1">
        <w:t xml:space="preserve">Een gevolg van de splitsing tussen sociaal vastgoed als bedrijfsmiddel (actuele waarde volgens RJ 212) en sociaal vastgoed als belegging en commercieel vastgoed (actuele waarde volgens RJ 213) is een verschil in </w:t>
      </w:r>
      <w:r w:rsidR="009F3F38" w:rsidRPr="002024B1">
        <w:t xml:space="preserve">de </w:t>
      </w:r>
      <w:r w:rsidRPr="002024B1">
        <w:t xml:space="preserve">herwaardering van de vaste activa. Onder RJ 212 wordt de herwaardering direct in het eigen vermogen verwerkt via een wettelijke reserve. Onder RJ 213 komt de herwaardering ten laste van de verlies- en winstrekening maar daarnaast moet ook een herwaarderingsreserve gevormd worden. </w:t>
      </w:r>
      <w:r w:rsidR="009F3F38" w:rsidRPr="002024B1">
        <w:t>Of ten laste</w:t>
      </w:r>
      <w:r w:rsidRPr="002024B1">
        <w:t xml:space="preserve"> van de Overige Reserves, dan wel ten laste van het winstsaldo. Uiteindelijk is er geen verschil in de verandering in de financiële positie. Het enige verschil is dat bij actuele waarde volgens RJ 213 de ongerealiseerde winst tot uitdrukking komt in de verlies- en winstrekening en bij RJ 212 niet. </w:t>
      </w:r>
    </w:p>
    <w:p w:rsidR="00C90753" w:rsidRPr="002024B1" w:rsidRDefault="00C90753" w:rsidP="00C90753">
      <w:pPr>
        <w:pStyle w:val="Heading4"/>
        <w:rPr>
          <w:b w:val="0"/>
          <w:color w:val="auto"/>
        </w:rPr>
      </w:pPr>
      <w:r w:rsidRPr="002024B1">
        <w:rPr>
          <w:b w:val="0"/>
          <w:color w:val="auto"/>
        </w:rPr>
        <w:t>3.4.3 Afschrijving</w:t>
      </w:r>
    </w:p>
    <w:p w:rsidR="00C90753" w:rsidRPr="002024B1" w:rsidRDefault="00C90753" w:rsidP="00775B27">
      <w:pPr>
        <w:jc w:val="both"/>
      </w:pPr>
      <w:r w:rsidRPr="002024B1">
        <w:t xml:space="preserve">In de nieuwe alinea 211 van RJ 645 is bepaald dat op sociaal vastgoed als bedrijfsmiddel </w:t>
      </w:r>
      <w:proofErr w:type="spellStart"/>
      <w:r w:rsidRPr="002024B1">
        <w:t>afgeschre</w:t>
      </w:r>
      <w:r w:rsidR="00D21EF5" w:rsidRPr="002024B1">
        <w:t>-</w:t>
      </w:r>
      <w:r w:rsidRPr="002024B1">
        <w:t>ven</w:t>
      </w:r>
      <w:proofErr w:type="spellEnd"/>
      <w:r w:rsidRPr="002024B1">
        <w:t xml:space="preserve"> moet worden conform RJ 212.418. Dit betekent dat op componenten van een vast actief </w:t>
      </w:r>
      <w:proofErr w:type="spellStart"/>
      <w:r w:rsidRPr="002024B1">
        <w:t>afzon</w:t>
      </w:r>
      <w:r w:rsidR="00851909" w:rsidRPr="002024B1">
        <w:t>-</w:t>
      </w:r>
      <w:r w:rsidRPr="002024B1">
        <w:t>derlijk</w:t>
      </w:r>
      <w:proofErr w:type="spellEnd"/>
      <w:r w:rsidRPr="002024B1">
        <w:t xml:space="preserve"> van elkaar afgeschreven kan worden, de zogenoemde componente</w:t>
      </w:r>
      <w:r w:rsidR="009F3F38" w:rsidRPr="002024B1">
        <w:t>nbenadering. H</w:t>
      </w:r>
      <w:r w:rsidRPr="002024B1">
        <w:t>et casco</w:t>
      </w:r>
      <w:r w:rsidR="009F3F38" w:rsidRPr="002024B1">
        <w:t xml:space="preserve"> van een huis</w:t>
      </w:r>
      <w:r w:rsidRPr="002024B1">
        <w:t xml:space="preserve"> kan bijvoorbeeld in vijfti</w:t>
      </w:r>
      <w:r w:rsidR="009F3F38" w:rsidRPr="002024B1">
        <w:t xml:space="preserve">g jaar worden afgeschreven </w:t>
      </w:r>
      <w:proofErr w:type="gramStart"/>
      <w:r w:rsidR="009F3F38" w:rsidRPr="002024B1">
        <w:t xml:space="preserve">en </w:t>
      </w:r>
      <w:r w:rsidRPr="002024B1">
        <w:t xml:space="preserve"> </w:t>
      </w:r>
      <w:proofErr w:type="gramEnd"/>
      <w:r w:rsidRPr="002024B1">
        <w:t xml:space="preserve">een Cv-ketel in vijftien jaar. </w:t>
      </w:r>
      <w:proofErr w:type="spellStart"/>
      <w:r w:rsidRPr="002024B1">
        <w:t>Af</w:t>
      </w:r>
      <w:r w:rsidR="00851909" w:rsidRPr="002024B1">
        <w:t>-</w:t>
      </w:r>
      <w:r w:rsidRPr="002024B1">
        <w:t>schrijvingen</w:t>
      </w:r>
      <w:proofErr w:type="spellEnd"/>
      <w:r w:rsidRPr="002024B1">
        <w:t xml:space="preserve"> dienen in overeenstemming te zijn met de levensduur van de componenten, zo is de </w:t>
      </w:r>
      <w:proofErr w:type="spellStart"/>
      <w:r w:rsidRPr="002024B1">
        <w:t>af</w:t>
      </w:r>
      <w:r w:rsidR="00851909" w:rsidRPr="002024B1">
        <w:t>-</w:t>
      </w:r>
      <w:r w:rsidRPr="002024B1">
        <w:t>schrijving</w:t>
      </w:r>
      <w:proofErr w:type="spellEnd"/>
      <w:r w:rsidRPr="002024B1">
        <w:t xml:space="preserve"> meer in overeenstemming met de werkelijk</w:t>
      </w:r>
      <w:r w:rsidR="009F3F38" w:rsidRPr="002024B1">
        <w:t>e</w:t>
      </w:r>
      <w:r w:rsidRPr="002024B1">
        <w:t xml:space="preserve"> waardedalingen.</w:t>
      </w:r>
    </w:p>
    <w:p w:rsidR="00C90753" w:rsidRPr="002024B1" w:rsidRDefault="00C90753" w:rsidP="00C90753">
      <w:pPr>
        <w:pStyle w:val="Heading4"/>
        <w:rPr>
          <w:b w:val="0"/>
          <w:color w:val="auto"/>
        </w:rPr>
      </w:pPr>
      <w:r w:rsidRPr="002024B1">
        <w:rPr>
          <w:b w:val="0"/>
          <w:color w:val="auto"/>
        </w:rPr>
        <w:t>3.4.4 Verkoop onder voorwaarde</w:t>
      </w:r>
    </w:p>
    <w:p w:rsidR="00C90753" w:rsidRPr="002024B1" w:rsidRDefault="00C90753" w:rsidP="00851909">
      <w:pPr>
        <w:jc w:val="both"/>
      </w:pPr>
      <w:r w:rsidRPr="002024B1">
        <w:t>Hoofdstuk 3 van de herziene RJ 645 gaat over de verwerking van opbrengsten van onroerende zaken verkocht onder voorwaarden (VOV). In RJ 6</w:t>
      </w:r>
      <w:r w:rsidR="009F3F38" w:rsidRPr="002024B1">
        <w:t xml:space="preserve">45 (2005) kwam dit onderwerp </w:t>
      </w:r>
      <w:r w:rsidRPr="002024B1">
        <w:t xml:space="preserve">niet voor. </w:t>
      </w:r>
      <w:proofErr w:type="spellStart"/>
      <w:r w:rsidRPr="002024B1">
        <w:t>VOV-transacties</w:t>
      </w:r>
      <w:proofErr w:type="spellEnd"/>
      <w:r w:rsidRPr="002024B1">
        <w:t xml:space="preserve"> zijn verkopen met een terugkooprecht of een terugkoopplicht. In het geval van een terugkooprecht heeft de woningcorporatie na een </w:t>
      </w:r>
      <w:proofErr w:type="spellStart"/>
      <w:r w:rsidRPr="002024B1">
        <w:t>VOV-transactie</w:t>
      </w:r>
      <w:proofErr w:type="spellEnd"/>
      <w:r w:rsidRPr="002024B1">
        <w:t xml:space="preserve"> het recht de woning terug te kopen. Wanneer </w:t>
      </w:r>
      <w:proofErr w:type="spellStart"/>
      <w:r w:rsidRPr="002024B1">
        <w:t>be</w:t>
      </w:r>
      <w:r w:rsidR="00851909" w:rsidRPr="002024B1">
        <w:t>-</w:t>
      </w:r>
      <w:r w:rsidRPr="002024B1">
        <w:t>paald</w:t>
      </w:r>
      <w:proofErr w:type="spellEnd"/>
      <w:r w:rsidRPr="002024B1">
        <w:t xml:space="preserve"> is dat bij terugkoop de reële waarde moet worden betaald, is er sprake van een normale </w:t>
      </w:r>
      <w:proofErr w:type="spellStart"/>
      <w:r w:rsidRPr="002024B1">
        <w:t>ver</w:t>
      </w:r>
      <w:r w:rsidR="00851909" w:rsidRPr="002024B1">
        <w:t>-</w:t>
      </w:r>
      <w:r w:rsidRPr="002024B1">
        <w:t>koop</w:t>
      </w:r>
      <w:proofErr w:type="spellEnd"/>
      <w:r w:rsidRPr="002024B1">
        <w:t xml:space="preserve"> en volgt normale verwerking in de jaarrekening. In het geval dat er terugkooprecht is tegen een significant lagere waarde dan de reële waarde op het moment van verkoop, is er sprake van een </w:t>
      </w:r>
      <w:proofErr w:type="spellStart"/>
      <w:r w:rsidRPr="002024B1">
        <w:t>fi</w:t>
      </w:r>
      <w:r w:rsidR="00851909" w:rsidRPr="002024B1">
        <w:t>-</w:t>
      </w:r>
      <w:r w:rsidRPr="002024B1">
        <w:t>nanciering</w:t>
      </w:r>
      <w:proofErr w:type="spellEnd"/>
      <w:r w:rsidRPr="002024B1">
        <w:t xml:space="preserve">. Door de woning te verkopen heeft de woningcorporatie beschikking gekregen over de stille reserve van de woning. Terugkoop tegen een lagere waarde fungeert als financiering en de </w:t>
      </w:r>
      <w:proofErr w:type="spellStart"/>
      <w:r w:rsidRPr="002024B1">
        <w:t>VOV-transactie</w:t>
      </w:r>
      <w:proofErr w:type="spellEnd"/>
      <w:r w:rsidRPr="002024B1">
        <w:t xml:space="preserve"> wordt niet gezien als verkoop. Op de balans van de woningcorporatie komt de </w:t>
      </w:r>
      <w:proofErr w:type="spellStart"/>
      <w:r w:rsidRPr="002024B1">
        <w:t>wo</w:t>
      </w:r>
      <w:r w:rsidR="00851909" w:rsidRPr="002024B1">
        <w:t>-</w:t>
      </w:r>
      <w:r w:rsidRPr="002024B1">
        <w:t>ning</w:t>
      </w:r>
      <w:proofErr w:type="spellEnd"/>
      <w:r w:rsidRPr="002024B1">
        <w:t xml:space="preserve"> te staan onder de post ‘verkoop onder voorwaarden’. Bij een terugkoopplicht heeft er feitelijk ook geen verkoop plaatsgevonden. De transactie van terugkoopplicht krijgt dezelfde behandeling als die van het terugkooprecht tegen een significant lage</w:t>
      </w:r>
      <w:r w:rsidR="009F3F38" w:rsidRPr="002024B1">
        <w:t>re</w:t>
      </w:r>
      <w:r w:rsidRPr="002024B1">
        <w:t xml:space="preserve"> waarde (Handboek </w:t>
      </w:r>
      <w:r w:rsidR="00553672" w:rsidRPr="002024B1">
        <w:t>Woningcorporaties</w:t>
      </w:r>
      <w:r w:rsidRPr="002024B1">
        <w:t xml:space="preserve">, 2012). </w:t>
      </w:r>
    </w:p>
    <w:p w:rsidR="00C90753" w:rsidRPr="002024B1" w:rsidRDefault="00C90753" w:rsidP="00C90753">
      <w:pPr>
        <w:pStyle w:val="Heading4"/>
        <w:rPr>
          <w:b w:val="0"/>
          <w:color w:val="auto"/>
        </w:rPr>
      </w:pPr>
      <w:r w:rsidRPr="002024B1">
        <w:rPr>
          <w:b w:val="0"/>
          <w:color w:val="auto"/>
        </w:rPr>
        <w:t xml:space="preserve">3.4.5 </w:t>
      </w:r>
      <w:proofErr w:type="spellStart"/>
      <w:r w:rsidRPr="002024B1">
        <w:rPr>
          <w:b w:val="0"/>
          <w:color w:val="auto"/>
        </w:rPr>
        <w:t>Rentabiliteitswaardecorrectie</w:t>
      </w:r>
      <w:proofErr w:type="spellEnd"/>
    </w:p>
    <w:p w:rsidR="00C90753" w:rsidRPr="002024B1" w:rsidRDefault="00C90753" w:rsidP="00851909">
      <w:pPr>
        <w:jc w:val="both"/>
      </w:pPr>
      <w:r w:rsidRPr="002024B1">
        <w:t xml:space="preserve">De </w:t>
      </w:r>
      <w:proofErr w:type="spellStart"/>
      <w:r w:rsidRPr="002024B1">
        <w:t>rentabiliteitswaardecorrectie</w:t>
      </w:r>
      <w:proofErr w:type="spellEnd"/>
      <w:r w:rsidRPr="002024B1">
        <w:t xml:space="preserve"> is in de herziene RJ 645 niet meer toegestaan. De </w:t>
      </w:r>
      <w:proofErr w:type="spellStart"/>
      <w:r w:rsidRPr="002024B1">
        <w:t>rentabiliteits</w:t>
      </w:r>
      <w:r w:rsidR="00851909" w:rsidRPr="002024B1">
        <w:t>-</w:t>
      </w:r>
      <w:r w:rsidRPr="002024B1">
        <w:t>waardecorrectie</w:t>
      </w:r>
      <w:proofErr w:type="spellEnd"/>
      <w:r w:rsidRPr="002024B1">
        <w:t xml:space="preserve"> bestond uit het verschil tussen de nominale waarde van vreemd vermogen en </w:t>
      </w:r>
      <w:proofErr w:type="spellStart"/>
      <w:r w:rsidRPr="002024B1">
        <w:t>deri</w:t>
      </w:r>
      <w:r w:rsidR="00851909" w:rsidRPr="002024B1">
        <w:t>-</w:t>
      </w:r>
      <w:r w:rsidRPr="002024B1">
        <w:t>vaten</w:t>
      </w:r>
      <w:proofErr w:type="spellEnd"/>
      <w:r w:rsidRPr="002024B1">
        <w:t xml:space="preserve"> en de netto contante waarde van de daarmee samenhangende uitgaven (Jaarverslag </w:t>
      </w:r>
      <w:proofErr w:type="spellStart"/>
      <w:r w:rsidRPr="002024B1">
        <w:t>Woon</w:t>
      </w:r>
      <w:r w:rsidR="00851909" w:rsidRPr="002024B1">
        <w:t>-</w:t>
      </w:r>
      <w:r w:rsidRPr="002024B1">
        <w:t>bron</w:t>
      </w:r>
      <w:proofErr w:type="spellEnd"/>
      <w:r w:rsidRPr="002024B1">
        <w:t>, 2011). Dit werd vervolgens in de bedrijfswaarde meegenomen en liet het toekomstig</w:t>
      </w:r>
      <w:r w:rsidR="009F3F38" w:rsidRPr="002024B1">
        <w:t>e</w:t>
      </w:r>
      <w:r w:rsidRPr="002024B1">
        <w:t xml:space="preserve"> </w:t>
      </w:r>
      <w:proofErr w:type="spellStart"/>
      <w:r w:rsidRPr="002024B1">
        <w:t>rente</w:t>
      </w:r>
      <w:r w:rsidR="00851909" w:rsidRPr="002024B1">
        <w:t>-</w:t>
      </w:r>
      <w:r w:rsidRPr="002024B1">
        <w:t>voordeel</w:t>
      </w:r>
      <w:proofErr w:type="spellEnd"/>
      <w:r w:rsidRPr="002024B1">
        <w:t xml:space="preserve"> zien ten opzichte van de disconteringsvoet. Bij het aantrekken van leningen met lagere rentepercentages kon worden afgeweken van de voorgeschreven disconteringsvoet door middel van deze correctie (CFV, 2006). In de oude RJ 645 stond voorgeschreven dat kon worden afgeweken van RJ 121 wat betreft de disconteringsvoet. In de herziene RJ 645 (2011) is deze passage geschrapt, RJ</w:t>
      </w:r>
      <w:r>
        <w:t xml:space="preserve"> 121 moet gevolgd worden en de rentabiliteitswaarde correctie mag niet meer plaatsvinden. Zo is er </w:t>
      </w:r>
      <w:r w:rsidRPr="002024B1">
        <w:t>in RJ 645 meer aansluiting gevonden met de rest van de Richtlijnen voor</w:t>
      </w:r>
      <w:r w:rsidR="00553672" w:rsidRPr="002024B1">
        <w:t xml:space="preserve"> de jaarverslaggeving (CFV, 2012c</w:t>
      </w:r>
      <w:r w:rsidRPr="002024B1">
        <w:t xml:space="preserve">). </w:t>
      </w:r>
    </w:p>
    <w:p w:rsidR="00C90753" w:rsidRPr="002024B1" w:rsidRDefault="00C90753" w:rsidP="00C90753">
      <w:pPr>
        <w:pStyle w:val="Heading3"/>
        <w:rPr>
          <w:color w:val="auto"/>
        </w:rPr>
      </w:pPr>
      <w:r w:rsidRPr="002024B1">
        <w:rPr>
          <w:color w:val="auto"/>
        </w:rPr>
        <w:t>3.5 Recente ontwikkelingen</w:t>
      </w:r>
    </w:p>
    <w:p w:rsidR="00C90753" w:rsidRPr="002024B1" w:rsidRDefault="00C90753" w:rsidP="00851909">
      <w:pPr>
        <w:jc w:val="both"/>
      </w:pPr>
      <w:r w:rsidRPr="002024B1">
        <w:t xml:space="preserve">Sinds het einde van 2012 is de minister voor Wonen en Rijksdienst verantwoordelijk voor het toezicht op woningcorporaties. </w:t>
      </w:r>
      <w:proofErr w:type="spellStart"/>
      <w:r w:rsidRPr="002024B1">
        <w:t>Hiervóór</w:t>
      </w:r>
      <w:proofErr w:type="spellEnd"/>
      <w:r w:rsidRPr="002024B1">
        <w:t xml:space="preserve"> was het de Minister van Binnenlandse Zaken die de verantwoordelijkheid droeg. De taak van de Minister voor Wonen is de woningmarkt voor huur- en koopwoningen uit het slop te trekken. Hierna volgen enkele maatregelen die genomen zijn.</w:t>
      </w:r>
    </w:p>
    <w:p w:rsidR="00C90753" w:rsidRPr="002024B1" w:rsidRDefault="00C90753" w:rsidP="00851909">
      <w:pPr>
        <w:jc w:val="both"/>
      </w:pPr>
      <w:r w:rsidRPr="002024B1">
        <w:t xml:space="preserve">Op 12 maart 2013 kreeg minister Blok politieke steun voor het woonakkoord om </w:t>
      </w:r>
      <w:proofErr w:type="spellStart"/>
      <w:r w:rsidRPr="002024B1">
        <w:t>scheefwoners</w:t>
      </w:r>
      <w:proofErr w:type="spellEnd"/>
      <w:r w:rsidRPr="002024B1">
        <w:t xml:space="preserve"> aan te pakken. Per 1 juni zullen de huren voor mensen met een hoger inkomen gaan stijgen. Blok </w:t>
      </w:r>
      <w:proofErr w:type="spellStart"/>
      <w:r w:rsidRPr="002024B1">
        <w:t>ver</w:t>
      </w:r>
      <w:r w:rsidR="00851909" w:rsidRPr="002024B1">
        <w:t>-</w:t>
      </w:r>
      <w:r w:rsidRPr="002024B1">
        <w:t>klaarde</w:t>
      </w:r>
      <w:proofErr w:type="spellEnd"/>
      <w:r w:rsidRPr="002024B1">
        <w:t xml:space="preserve"> in Nieuwsuur van 13 maart 2013 dat het mes aan twee kanten snijdt; vanwege een hogere huur zullen mensen eerder overwegen een woning te kopen, wat goed is voor de koopmarkt en de vrijgekomen woningen </w:t>
      </w:r>
      <w:proofErr w:type="gramStart"/>
      <w:r w:rsidRPr="002024B1">
        <w:t>worden</w:t>
      </w:r>
      <w:proofErr w:type="gramEnd"/>
      <w:r w:rsidRPr="002024B1">
        <w:t xml:space="preserve"> beschikbaar gesteld aan gezinnen uit een lagere inkomensgroep. </w:t>
      </w:r>
    </w:p>
    <w:p w:rsidR="00C90753" w:rsidRPr="002024B1" w:rsidRDefault="00C90753" w:rsidP="00851909">
      <w:pPr>
        <w:jc w:val="both"/>
      </w:pPr>
      <w:r w:rsidRPr="002024B1">
        <w:t xml:space="preserve">Deze extra inkomsten lijken positief voor de woningcorporaties te zijn maar ze zullen het direct moeten inleveren in de vorm van een </w:t>
      </w:r>
      <w:proofErr w:type="spellStart"/>
      <w:r w:rsidRPr="002024B1">
        <w:t>verhuurdersheffing</w:t>
      </w:r>
      <w:proofErr w:type="spellEnd"/>
      <w:r w:rsidRPr="002024B1">
        <w:t xml:space="preserve">. In 2013 bedraagt </w:t>
      </w:r>
      <w:proofErr w:type="gramStart"/>
      <w:r w:rsidRPr="002024B1">
        <w:t>deze</w:t>
      </w:r>
      <w:proofErr w:type="gramEnd"/>
      <w:r w:rsidRPr="002024B1">
        <w:t xml:space="preserve"> nog €50 miljoen maar zal in 2017 oplopen tot €1,7 miljard. De heffing geldt voor verhuurders van woningen waarvan de huur lager is dan €681,02 (</w:t>
      </w:r>
      <w:proofErr w:type="spellStart"/>
      <w:r w:rsidRPr="002024B1">
        <w:t>huurtoeslaggrens</w:t>
      </w:r>
      <w:proofErr w:type="spellEnd"/>
      <w:r w:rsidRPr="002024B1">
        <w:t xml:space="preserve">). In 2013 moeten verhuurders 0,014% van de </w:t>
      </w:r>
      <w:proofErr w:type="spellStart"/>
      <w:r w:rsidRPr="002024B1">
        <w:t>WOZ-waarde</w:t>
      </w:r>
      <w:proofErr w:type="spellEnd"/>
      <w:r w:rsidRPr="002024B1">
        <w:t xml:space="preserve"> van deze woningen afdragen. De tarieven vanaf 2014 moeten nog worden bepaald. </w:t>
      </w:r>
    </w:p>
    <w:p w:rsidR="00C90753" w:rsidRPr="002024B1" w:rsidRDefault="00C90753" w:rsidP="00851909">
      <w:pPr>
        <w:jc w:val="both"/>
      </w:pPr>
      <w:r w:rsidRPr="002024B1">
        <w:t xml:space="preserve"> Volgens minister Blok kan de heffing grotendeels uit de huurverhogingen worden betaald maar woningcorporaties spreken dit tegen. De voorzitter van de branchevereniging voor </w:t>
      </w:r>
      <w:proofErr w:type="spellStart"/>
      <w:r w:rsidRPr="002024B1">
        <w:t>woningcorpo</w:t>
      </w:r>
      <w:r w:rsidR="00851909" w:rsidRPr="002024B1">
        <w:t>-</w:t>
      </w:r>
      <w:r w:rsidRPr="002024B1">
        <w:t>raties</w:t>
      </w:r>
      <w:proofErr w:type="spellEnd"/>
      <w:r w:rsidRPr="002024B1">
        <w:t xml:space="preserve"> (</w:t>
      </w:r>
      <w:proofErr w:type="spellStart"/>
      <w:r w:rsidRPr="002024B1">
        <w:t>Aedes</w:t>
      </w:r>
      <w:proofErr w:type="spellEnd"/>
      <w:r w:rsidRPr="002024B1">
        <w:t xml:space="preserve">) vindt het onterecht dat woningcorporaties op deze manier fungeren als </w:t>
      </w:r>
      <w:proofErr w:type="spellStart"/>
      <w:r w:rsidRPr="002024B1">
        <w:t>belastingkan</w:t>
      </w:r>
      <w:r w:rsidR="00851909" w:rsidRPr="002024B1">
        <w:t>-</w:t>
      </w:r>
      <w:r w:rsidRPr="002024B1">
        <w:t>toor</w:t>
      </w:r>
      <w:proofErr w:type="spellEnd"/>
      <w:r w:rsidRPr="002024B1">
        <w:t xml:space="preserve"> (BNR, 2013). Hij berekent dat slechts de helft van de </w:t>
      </w:r>
      <w:proofErr w:type="spellStart"/>
      <w:r w:rsidRPr="002024B1">
        <w:t>verhuurdersheffing</w:t>
      </w:r>
      <w:proofErr w:type="spellEnd"/>
      <w:r w:rsidRPr="002024B1">
        <w:t xml:space="preserve"> betaald kan worden uit de huurverhogingen. Veel woningcorporaties moeten al saneren en deze heffing zal leiden tot </w:t>
      </w:r>
      <w:proofErr w:type="spellStart"/>
      <w:r w:rsidRPr="002024B1">
        <w:t>solva</w:t>
      </w:r>
      <w:r w:rsidR="00851909" w:rsidRPr="002024B1">
        <w:t>-</w:t>
      </w:r>
      <w:r w:rsidRPr="002024B1">
        <w:t>biliteitsproblemen</w:t>
      </w:r>
      <w:proofErr w:type="spellEnd"/>
      <w:r w:rsidRPr="002024B1">
        <w:t xml:space="preserve"> (Stevens, 2013). </w:t>
      </w:r>
    </w:p>
    <w:p w:rsidR="00C90753" w:rsidRPr="002024B1" w:rsidRDefault="00C90753" w:rsidP="00C90753">
      <w:pPr>
        <w:pStyle w:val="Heading3"/>
        <w:rPr>
          <w:color w:val="auto"/>
        </w:rPr>
      </w:pPr>
      <w:r w:rsidRPr="002024B1">
        <w:rPr>
          <w:color w:val="auto"/>
        </w:rPr>
        <w:t>3.6 Conclusie</w:t>
      </w:r>
    </w:p>
    <w:p w:rsidR="00C90753" w:rsidRPr="002024B1" w:rsidRDefault="00C90753" w:rsidP="00851909">
      <w:pPr>
        <w:jc w:val="both"/>
      </w:pPr>
      <w:r w:rsidRPr="002024B1">
        <w:t xml:space="preserve">In dit hoofdstuk is de regelgeving </w:t>
      </w:r>
      <w:proofErr w:type="gramStart"/>
      <w:r w:rsidRPr="002024B1">
        <w:t>omtrent</w:t>
      </w:r>
      <w:proofErr w:type="gramEnd"/>
      <w:r w:rsidRPr="002024B1">
        <w:t xml:space="preserve"> woningcorporaties aan de orde gekomen. In het BBSH staan algemene richtlijnen voor het jaarverslag en de jaarrekening. In de RJ 645 worden meer </w:t>
      </w:r>
      <w:proofErr w:type="spellStart"/>
      <w:r w:rsidRPr="002024B1">
        <w:t>speci</w:t>
      </w:r>
      <w:r w:rsidR="00851909" w:rsidRPr="002024B1">
        <w:t>-</w:t>
      </w:r>
      <w:r w:rsidRPr="002024B1">
        <w:t>fieke</w:t>
      </w:r>
      <w:proofErr w:type="spellEnd"/>
      <w:r w:rsidRPr="002024B1">
        <w:t xml:space="preserve"> eisen gesteld aan de waarderingsmethoden. In het kader van dit onderzoek is de focus gelegd op de waardering van vastgoed. Het vastgoed valt uiteen in sociaal vastgoed en commercieel </w:t>
      </w:r>
      <w:proofErr w:type="spellStart"/>
      <w:r w:rsidRPr="002024B1">
        <w:t>vast</w:t>
      </w:r>
      <w:r w:rsidR="00851909" w:rsidRPr="002024B1">
        <w:t>-</w:t>
      </w:r>
      <w:r w:rsidRPr="002024B1">
        <w:t>goed</w:t>
      </w:r>
      <w:proofErr w:type="spellEnd"/>
      <w:r w:rsidRPr="002024B1">
        <w:t xml:space="preserve">. Sociaal vastgoed wordt verder gesplitst in sociaal vastgoed als bedrijsmiddel en sociaal </w:t>
      </w:r>
      <w:proofErr w:type="spellStart"/>
      <w:r w:rsidRPr="002024B1">
        <w:t>vast</w:t>
      </w:r>
      <w:r w:rsidR="00851909" w:rsidRPr="002024B1">
        <w:t>-</w:t>
      </w:r>
      <w:r w:rsidRPr="002024B1">
        <w:t>goed</w:t>
      </w:r>
      <w:proofErr w:type="spellEnd"/>
      <w:r w:rsidRPr="002024B1">
        <w:t xml:space="preserve"> als belegging. Voor sociaal vastgoed als bedrijfsmiddel is bij hantering van de actuele waarde RJ 212 van toepassing. Voor sociaal vastgoed als belegging en commercieel vastgoed is bij het actuele waardemodel RJ 213 van toepassing. Bij gebruik van het kostprijsmodel moet voor alle categorieën RJ 645.207/208 gevolgd worden. </w:t>
      </w:r>
    </w:p>
    <w:p w:rsidR="00C90753" w:rsidRDefault="00C90753" w:rsidP="002E6F72">
      <w:pPr>
        <w:jc w:val="both"/>
      </w:pPr>
      <w:r w:rsidRPr="002024B1">
        <w:t xml:space="preserve">De recente wijzigingen van de RJ 645 zijn besproken. Hieruit kwam naar voren dat de verplichte </w:t>
      </w:r>
      <w:proofErr w:type="spellStart"/>
      <w:r w:rsidRPr="002024B1">
        <w:t>inde</w:t>
      </w:r>
      <w:r w:rsidR="00851909" w:rsidRPr="002024B1">
        <w:t>-</w:t>
      </w:r>
      <w:r w:rsidRPr="002024B1">
        <w:t>ling</w:t>
      </w:r>
      <w:proofErr w:type="spellEnd"/>
      <w:r w:rsidRPr="002024B1">
        <w:t xml:space="preserve"> in vastgoed een gevolg is van het Besluit van de Europese Commissie om activiteiten te splitsen</w:t>
      </w:r>
      <w:r>
        <w:t xml:space="preserve"> in DAEB en </w:t>
      </w:r>
      <w:proofErr w:type="spellStart"/>
      <w:r>
        <w:t>niet-DAEB</w:t>
      </w:r>
      <w:proofErr w:type="spellEnd"/>
      <w:r>
        <w:t xml:space="preserve">. Zo wordt duidelijk dat alleen DAEB activiteiten gesubsidieerd kunnen worden. Andere wijzigingen zijn de methoden van herwaardering van vaste activa, de </w:t>
      </w:r>
      <w:proofErr w:type="spellStart"/>
      <w:r>
        <w:t>componentenbenade</w:t>
      </w:r>
      <w:r w:rsidR="00851909">
        <w:t>-</w:t>
      </w:r>
      <w:r>
        <w:t>ring</w:t>
      </w:r>
      <w:proofErr w:type="spellEnd"/>
      <w:r>
        <w:t xml:space="preserve"> bij afschrijving, de behandeling van </w:t>
      </w:r>
      <w:proofErr w:type="spellStart"/>
      <w:r>
        <w:t>VOV-transacties</w:t>
      </w:r>
      <w:proofErr w:type="spellEnd"/>
      <w:r>
        <w:t xml:space="preserve"> en afschaffing van de </w:t>
      </w:r>
      <w:proofErr w:type="spellStart"/>
      <w:r>
        <w:t>rentabiliteitswaarde</w:t>
      </w:r>
      <w:r w:rsidR="00851909">
        <w:t>-</w:t>
      </w:r>
      <w:r>
        <w:t>correctie</w:t>
      </w:r>
      <w:proofErr w:type="spellEnd"/>
      <w:r>
        <w:t xml:space="preserve">. Als laatste is de </w:t>
      </w:r>
      <w:proofErr w:type="spellStart"/>
      <w:r>
        <w:t>verhuurdersheffing</w:t>
      </w:r>
      <w:proofErr w:type="spellEnd"/>
      <w:r>
        <w:t xml:space="preserve"> aan bod gekomen. De volledige invulling is nog niet duidelijk omdat alleen het tarief voor 2013 bekend is. Het wetsvoorstel voor de </w:t>
      </w:r>
      <w:proofErr w:type="spellStart"/>
      <w:r>
        <w:t>verhuurdersheffing</w:t>
      </w:r>
      <w:proofErr w:type="spellEnd"/>
      <w:r>
        <w:t xml:space="preserve"> vanaf 2014</w:t>
      </w:r>
      <w:r w:rsidR="009F3F38">
        <w:t xml:space="preserve"> moet nog door de Tweede Kamer worden behandeld. </w:t>
      </w:r>
    </w:p>
    <w:p w:rsidR="00B923B6" w:rsidRPr="002024B1" w:rsidRDefault="00B923B6" w:rsidP="00B923B6">
      <w:pPr>
        <w:pStyle w:val="Heading2"/>
        <w:rPr>
          <w:color w:val="auto"/>
        </w:rPr>
      </w:pPr>
      <w:r w:rsidRPr="002024B1">
        <w:rPr>
          <w:color w:val="auto"/>
        </w:rPr>
        <w:t>4: Belang van waarderingsmethoden</w:t>
      </w:r>
    </w:p>
    <w:p w:rsidR="00B923B6" w:rsidRPr="002024B1" w:rsidRDefault="00B923B6" w:rsidP="00B923B6"/>
    <w:p w:rsidR="00B923B6" w:rsidRPr="002024B1" w:rsidRDefault="00B923B6" w:rsidP="00B923B6">
      <w:pPr>
        <w:pStyle w:val="Heading3"/>
        <w:numPr>
          <w:ilvl w:val="1"/>
          <w:numId w:val="5"/>
        </w:numPr>
        <w:rPr>
          <w:color w:val="auto"/>
        </w:rPr>
      </w:pPr>
      <w:r w:rsidRPr="002024B1">
        <w:rPr>
          <w:color w:val="auto"/>
        </w:rPr>
        <w:t>Inleiding</w:t>
      </w:r>
    </w:p>
    <w:p w:rsidR="00B923B6" w:rsidRPr="002024B1" w:rsidRDefault="00B923B6" w:rsidP="00851909">
      <w:pPr>
        <w:tabs>
          <w:tab w:val="center" w:pos="4536"/>
        </w:tabs>
        <w:jc w:val="both"/>
      </w:pPr>
      <w:r w:rsidRPr="002024B1">
        <w:t>In dit hoofdstuk worden de eerste</w:t>
      </w:r>
      <w:r w:rsidR="007505FF" w:rsidRPr="002024B1">
        <w:t xml:space="preserve"> twee</w:t>
      </w:r>
      <w:r w:rsidRPr="002024B1">
        <w:t xml:space="preserve"> hoofdstukken aan elkaar gekoppeld. De </w:t>
      </w:r>
      <w:proofErr w:type="spellStart"/>
      <w:r w:rsidRPr="002024B1">
        <w:t>waarderingsmetho</w:t>
      </w:r>
      <w:r w:rsidR="00851909" w:rsidRPr="002024B1">
        <w:t>-</w:t>
      </w:r>
      <w:r w:rsidRPr="002024B1">
        <w:t>den</w:t>
      </w:r>
      <w:proofErr w:type="spellEnd"/>
      <w:r w:rsidRPr="002024B1">
        <w:t xml:space="preserve"> zijn besproken in Hoofdstuk 1. In Hoofdstuk 2 is uitgelegd aan de hand van welke kengetallen de financiële positie van woningcorporaties wordt beoordeeld. Centraal in dit hoofdstuk is de vraag wat de keuze voor een waarderingsgrondslag tot gevolg heeft. Welke kengetallen </w:t>
      </w:r>
      <w:r w:rsidR="00DF7960" w:rsidRPr="002024B1">
        <w:t>worden beïnvloedt door</w:t>
      </w:r>
      <w:r w:rsidRPr="002024B1">
        <w:t xml:space="preserve"> de waarderingsmethoden komt</w:t>
      </w:r>
      <w:r w:rsidR="00DF7960" w:rsidRPr="002024B1">
        <w:t xml:space="preserve"> daarbij</w:t>
      </w:r>
      <w:r w:rsidRPr="002024B1">
        <w:t xml:space="preserve"> aan de orde. In paragraaf 4.2 wordt dieper ingegaan op de bedrijfswaarde. Er komt een voorbeeldberekening en duiding van de gevolgen. Paragraaf 4.3 gaat over het uitgangspunt van winstmaximalisatie. Er wordt een vergelijking gemaakt tussen </w:t>
      </w:r>
      <w:proofErr w:type="spellStart"/>
      <w:proofErr w:type="gramStart"/>
      <w:r w:rsidRPr="002024B1">
        <w:t>woningcor</w:t>
      </w:r>
      <w:r w:rsidR="00851909" w:rsidRPr="002024B1">
        <w:t>-</w:t>
      </w:r>
      <w:r w:rsidRPr="002024B1">
        <w:t>poraties</w:t>
      </w:r>
      <w:proofErr w:type="spellEnd"/>
      <w:proofErr w:type="gramEnd"/>
      <w:r w:rsidRPr="002024B1">
        <w:t xml:space="preserve"> en commerciële woonbedrijven. Paragraaf 4.4 is een vervolg op paragraaf 2.7, namelijk </w:t>
      </w:r>
      <w:r w:rsidR="00DF7960" w:rsidRPr="002024B1">
        <w:t>met betrekking tot</w:t>
      </w:r>
      <w:r w:rsidRPr="002024B1">
        <w:t xml:space="preserve"> financieringsmogelijkheden. </w:t>
      </w:r>
    </w:p>
    <w:p w:rsidR="00B923B6" w:rsidRPr="002024B1" w:rsidRDefault="00B923B6" w:rsidP="00B923B6">
      <w:pPr>
        <w:pStyle w:val="Heading3"/>
        <w:rPr>
          <w:color w:val="auto"/>
        </w:rPr>
      </w:pPr>
      <w:r w:rsidRPr="002024B1">
        <w:rPr>
          <w:bCs w:val="0"/>
          <w:color w:val="auto"/>
        </w:rPr>
        <w:t>4</w:t>
      </w:r>
      <w:r w:rsidRPr="002024B1">
        <w:rPr>
          <w:b w:val="0"/>
          <w:bCs w:val="0"/>
          <w:color w:val="auto"/>
        </w:rPr>
        <w:t>.</w:t>
      </w:r>
      <w:r w:rsidRPr="002024B1">
        <w:rPr>
          <w:color w:val="auto"/>
        </w:rPr>
        <w:t>2 Bedrijfswaarde en stille reserves</w:t>
      </w:r>
    </w:p>
    <w:p w:rsidR="00B923B6" w:rsidRPr="002024B1" w:rsidRDefault="00B923B6" w:rsidP="00851909">
      <w:pPr>
        <w:jc w:val="both"/>
      </w:pPr>
      <w:r w:rsidRPr="002024B1">
        <w:t>Sinds 1 januari 2012</w:t>
      </w:r>
      <w:r w:rsidR="00DF7960" w:rsidRPr="002024B1">
        <w:t xml:space="preserve"> is de herziene RJ645 van krach</w:t>
      </w:r>
      <w:r w:rsidRPr="002024B1">
        <w:t xml:space="preserve">. Voor woningcorporaties betekent dit dat het hanteren van de bedrijfswaarde voor sociaal vastgoed verplicht is geworden. Daarnaast zijn er een aantal wijzigingen (zie Hoofdstuk 4) doorgevoerd </w:t>
      </w:r>
      <w:r w:rsidR="00DF7960" w:rsidRPr="002024B1">
        <w:t>over de manier hoe</w:t>
      </w:r>
      <w:r w:rsidRPr="002024B1">
        <w:t xml:space="preserve"> de bedrijfswaarde berekend moet worden. Deze bedrijfswaarde roept een aantal vragen op: Hoe ontwikkeld de bedrijfswaarde zich gedurende de economische levensduur in termen van de waarde die op de balans </w:t>
      </w:r>
      <w:proofErr w:type="spellStart"/>
      <w:r w:rsidRPr="002024B1">
        <w:t>gepresen</w:t>
      </w:r>
      <w:r w:rsidR="00851909" w:rsidRPr="002024B1">
        <w:t>-</w:t>
      </w:r>
      <w:r w:rsidRPr="002024B1">
        <w:t>teerd</w:t>
      </w:r>
      <w:proofErr w:type="spellEnd"/>
      <w:r w:rsidRPr="002024B1">
        <w:t xml:space="preserve"> wordt? Is het realisti</w:t>
      </w:r>
      <w:r w:rsidR="00DF7960" w:rsidRPr="002024B1">
        <w:t>sch</w:t>
      </w:r>
      <w:r w:rsidRPr="002024B1">
        <w:t xml:space="preserve"> uit te gaan van een levensduur van minimaal vijftien en maximaal vijftig jaar? Zijn de stille reserves af te leiden uit de jaarrekening?</w:t>
      </w:r>
    </w:p>
    <w:p w:rsidR="00B923B6" w:rsidRPr="002024B1" w:rsidRDefault="00B923B6" w:rsidP="00B923B6">
      <w:pPr>
        <w:pStyle w:val="Heading4"/>
        <w:rPr>
          <w:b w:val="0"/>
          <w:color w:val="auto"/>
        </w:rPr>
      </w:pPr>
      <w:r w:rsidRPr="002024B1">
        <w:rPr>
          <w:b w:val="0"/>
          <w:color w:val="auto"/>
        </w:rPr>
        <w:t>4.2.1 Bedrijfswaarde berekening</w:t>
      </w:r>
    </w:p>
    <w:p w:rsidR="00B923B6" w:rsidRDefault="00B923B6" w:rsidP="00B33DCB">
      <w:pPr>
        <w:jc w:val="both"/>
      </w:pPr>
      <w:r w:rsidRPr="002024B1">
        <w:rPr>
          <w:noProof/>
          <w:lang w:val="en-US"/>
        </w:rPr>
        <w:drawing>
          <wp:anchor distT="0" distB="0" distL="114300" distR="114300" simplePos="0" relativeHeight="251659264" behindDoc="0" locked="0" layoutInCell="1" allowOverlap="1">
            <wp:simplePos x="0" y="0"/>
            <wp:positionH relativeFrom="margin">
              <wp:align>right</wp:align>
            </wp:positionH>
            <wp:positionV relativeFrom="margin">
              <wp:posOffset>6377305</wp:posOffset>
            </wp:positionV>
            <wp:extent cx="3505200" cy="2371725"/>
            <wp:effectExtent l="19050" t="0" r="19050" b="0"/>
            <wp:wrapSquare wrapText="bothSides"/>
            <wp:docPr id="11"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r w:rsidRPr="002024B1">
        <w:t xml:space="preserve">In </w:t>
      </w:r>
      <w:r w:rsidR="00404E77" w:rsidRPr="002024B1">
        <w:t>Appendix B</w:t>
      </w:r>
      <w:r w:rsidRPr="002024B1">
        <w:t xml:space="preserve"> staat een vereenvoudigde berekening van de bedrijfswaarde. Als jaarhuur is de </w:t>
      </w:r>
      <w:proofErr w:type="spellStart"/>
      <w:r w:rsidRPr="002024B1">
        <w:t>gemid</w:t>
      </w:r>
      <w:r w:rsidR="00851909" w:rsidRPr="002024B1">
        <w:t>-</w:t>
      </w:r>
      <w:r w:rsidRPr="002024B1">
        <w:t>delde</w:t>
      </w:r>
      <w:proofErr w:type="spellEnd"/>
      <w:r w:rsidRPr="002024B1">
        <w:t xml:space="preserve"> landelijke jaarhuur per woning van woningcorporaties gekozen (CFV, 2012</w:t>
      </w:r>
      <w:r w:rsidR="00391C8C" w:rsidRPr="002024B1">
        <w:t>d</w:t>
      </w:r>
      <w:r w:rsidRPr="002024B1">
        <w:t>). Ook de lasten zijn gebaseerd op het landelijk gemiddelde (CFV, 2012</w:t>
      </w:r>
      <w:r w:rsidR="00391C8C" w:rsidRPr="002024B1">
        <w:t>d</w:t>
      </w:r>
      <w:r w:rsidRPr="002024B1">
        <w:t xml:space="preserve">). Het verschil tussen de twee bepaalt het saldo van de in- en uitgaande kasstromen van deze voorbeeldwoning. </w:t>
      </w:r>
      <w:r w:rsidR="00DF7960" w:rsidRPr="002024B1">
        <w:t>De huur wordt jaarlijks verhoogd</w:t>
      </w:r>
      <w:r w:rsidRPr="002024B1">
        <w:t xml:space="preserve"> met 2%, conform </w:t>
      </w:r>
      <w:r w:rsidR="00DF7960" w:rsidRPr="002024B1">
        <w:t xml:space="preserve">de </w:t>
      </w:r>
      <w:r w:rsidRPr="002024B1">
        <w:t xml:space="preserve">richtlijnen van het CFV. De lasten stijgen jaarlijks met 3%, in overeenstemming met de onderhoudsindex zoals die aangeleverd wordt door het CFV. Per jaar wordt </w:t>
      </w:r>
      <w:r w:rsidR="00F87E54" w:rsidRPr="002024B1">
        <w:t>de contante waarde berekend</w:t>
      </w:r>
      <w:r w:rsidRPr="002024B1">
        <w:t xml:space="preserve"> tegen een disconteringsvoet van 5,25%. De economische levensduur is vijftig jaar,</w:t>
      </w:r>
      <w:r>
        <w:t xml:space="preserve"> wat gebruikelijk is voor nieuwe huurwoningen (Handboek Woningcorporaties, 2012). De restwaarde van de woning wordt geschat aan de hand van de grondwaarde (RJ 645). De contante waarde van de restwaarde wordt opgeteld bij de contante waarden van de </w:t>
      </w:r>
      <w:proofErr w:type="spellStart"/>
      <w:r>
        <w:t>kasstro</w:t>
      </w:r>
      <w:r w:rsidR="00372DF6">
        <w:t>-</w:t>
      </w:r>
      <w:r>
        <w:t>men</w:t>
      </w:r>
      <w:proofErr w:type="spellEnd"/>
      <w:r>
        <w:t xml:space="preserve"> en dit geeft een eerste bedrijfswaarde van €49.802,51. Zo is ook voor de volgende j</w:t>
      </w:r>
      <w:r w:rsidR="00DF7960">
        <w:t>aren de bedrijfswaarde berekend. V</w:t>
      </w:r>
      <w:r w:rsidR="00404E77">
        <w:t>oor ieder jaar moet de berekening opnieuw uitgevoerd worden. Het zou te uitgebreid zijn om alle berekeningen in de Appendix te zetten dus is er voor gekozen slechts de berekening van het eerste jaar weer te geven. De grafiek loopt</w:t>
      </w:r>
      <w:r>
        <w:t xml:space="preserve"> slechts tot het begin van jaar 36 omdat bij doorexploitatie de resterende levensduur minimaal vijftien jaar bedraagt (RJ 645). Daarnaast is er een vereenvoudigde berekening van de waarde bij hantering van de historische kostprijs met lineaire afschrijving, wederom rekening houdend met een restwaarde. </w:t>
      </w:r>
    </w:p>
    <w:p w:rsidR="00B923B6" w:rsidRDefault="00B923B6" w:rsidP="00B33DCB">
      <w:pPr>
        <w:jc w:val="both"/>
      </w:pPr>
      <w:r>
        <w:t xml:space="preserve">Zoals te zien is in de figuur, betekent waarderen tegen bedrijfswaarde een relatief lage boekwaarde. Het is ook vreemd dat de boekwaarde jaarlijks toeneemt tot het begin van jaar acht. </w:t>
      </w:r>
      <w:r w:rsidR="00DF7960">
        <w:t>Blijkbaar</w:t>
      </w:r>
      <w:r w:rsidR="00F87E54">
        <w:t xml:space="preserve"> stijgt</w:t>
      </w:r>
      <w:r>
        <w:t xml:space="preserve"> de contante waarde van de restwaarde in de eerste acht jaren </w:t>
      </w:r>
      <w:r w:rsidR="00DF7960">
        <w:t>sterker dan de daling van</w:t>
      </w:r>
      <w:r>
        <w:t xml:space="preserve"> de contante waarde</w:t>
      </w:r>
      <w:r w:rsidR="00F87E54">
        <w:t>n</w:t>
      </w:r>
      <w:r>
        <w:t xml:space="preserve"> van de toekomstige kasstromen. De contante waarde van de restwaarde wordt steeds </w:t>
      </w:r>
      <w:proofErr w:type="spellStart"/>
      <w:r>
        <w:t>ho</w:t>
      </w:r>
      <w:r w:rsidR="00B33DCB">
        <w:t>-</w:t>
      </w:r>
      <w:r>
        <w:t>ger</w:t>
      </w:r>
      <w:proofErr w:type="spellEnd"/>
      <w:r>
        <w:t xml:space="preserve"> omdat het moment van realisatie dichterbij komt en de disconteringsperiode kleiner wordt. De som van de contante waarde</w:t>
      </w:r>
      <w:r w:rsidR="00F87E54">
        <w:t>n van de kasstromen daalt</w:t>
      </w:r>
      <w:r w:rsidR="00DF7960">
        <w:t xml:space="preserve"> door</w:t>
      </w:r>
      <w:r>
        <w:t xml:space="preserve">dat het aantal jaren waarover </w:t>
      </w:r>
      <w:proofErr w:type="spellStart"/>
      <w:r>
        <w:t>kasstro</w:t>
      </w:r>
      <w:r w:rsidR="00B33DCB">
        <w:t>-</w:t>
      </w:r>
      <w:r>
        <w:t>men</w:t>
      </w:r>
      <w:proofErr w:type="spellEnd"/>
      <w:r>
        <w:t xml:space="preserve"> worden berekend minder wordt. De berekeningen kloppen, maar h</w:t>
      </w:r>
      <w:r w:rsidR="00DF7960">
        <w:t>et is niet realistisch om nieuw</w:t>
      </w:r>
      <w:r>
        <w:t>gebouwde woning</w:t>
      </w:r>
      <w:r w:rsidR="00DF7960">
        <w:t>en eerst in waarde te laten</w:t>
      </w:r>
      <w:r>
        <w:t xml:space="preserve"> toenemen en ze vervolgens in waarde te laten afnemen. Het lijkt een kleine waardeverandering, maar overwegende dat woningcorporaties in 2011 gemiddeld 5</w:t>
      </w:r>
      <w:r w:rsidR="00DF7960">
        <w:t>.</w:t>
      </w:r>
      <w:r>
        <w:t xml:space="preserve">685 woningen in bezit hebben en een gemiddelde totale bedrijfswaarde van €300.000.000 opgeven is de waardeontwikkeling opmerkelijk te noemen. </w:t>
      </w:r>
    </w:p>
    <w:p w:rsidR="00B923B6" w:rsidRDefault="00391C8C" w:rsidP="00B33DCB">
      <w:pPr>
        <w:jc w:val="both"/>
      </w:pPr>
      <w:r>
        <w:t>De herziene RJ 645 (2011</w:t>
      </w:r>
      <w:r w:rsidR="00B923B6">
        <w:t xml:space="preserve">) </w:t>
      </w:r>
      <w:r w:rsidR="00DF7960">
        <w:t>verplicht</w:t>
      </w:r>
      <w:r w:rsidR="00B923B6">
        <w:t xml:space="preserve"> woningcorporaties de bedrijfswaarde te </w:t>
      </w:r>
      <w:r w:rsidR="00F87E54">
        <w:t>noemen</w:t>
      </w:r>
      <w:r w:rsidR="00B923B6">
        <w:t xml:space="preserve"> in hun </w:t>
      </w:r>
      <w:proofErr w:type="spellStart"/>
      <w:r w:rsidR="00B923B6">
        <w:t>finan</w:t>
      </w:r>
      <w:r w:rsidR="00B33DCB">
        <w:t>-</w:t>
      </w:r>
      <w:r w:rsidR="00B923B6">
        <w:t>ciële</w:t>
      </w:r>
      <w:proofErr w:type="spellEnd"/>
      <w:r w:rsidR="00B923B6">
        <w:t xml:space="preserve"> verslaggeving. De bedrijfswaarde heeft nogal wat uitleg nodig voordat de betekenis ervan </w:t>
      </w:r>
      <w:proofErr w:type="spellStart"/>
      <w:r w:rsidR="00DF7960">
        <w:t>dui</w:t>
      </w:r>
      <w:r w:rsidR="00B33DCB">
        <w:t>-</w:t>
      </w:r>
      <w:r w:rsidR="00DF7960">
        <w:t>delijk</w:t>
      </w:r>
      <w:proofErr w:type="spellEnd"/>
      <w:r w:rsidR="00B923B6">
        <w:t xml:space="preserve"> wordt. Het CFV heeft handreikingen voor het toepassen van de RJ 645 moeten uitgeven en klankbordsessies over dit onderwerp moeten organiseren. Het hogere doel was om alle corporaties op dez</w:t>
      </w:r>
      <w:r w:rsidR="00DF7960">
        <w:t>elfde manier te laten waarderen</w:t>
      </w:r>
      <w:r w:rsidR="00B923B6">
        <w:t xml:space="preserve">. Het CFV moet nog steeds voor iedere woningcorporatie </w:t>
      </w:r>
      <w:proofErr w:type="spellStart"/>
      <w:r w:rsidR="00B923B6">
        <w:t>af</w:t>
      </w:r>
      <w:r w:rsidR="00B33DCB">
        <w:t>-</w:t>
      </w:r>
      <w:r w:rsidR="00B923B6">
        <w:t>zonderlijk</w:t>
      </w:r>
      <w:proofErr w:type="spellEnd"/>
      <w:r w:rsidR="00B923B6">
        <w:t xml:space="preserve"> een aanzienlijke uniformering toepassen voordat de woningcorporatie beoordeeld kan worden (zie paragraaf 1.5).</w:t>
      </w:r>
    </w:p>
    <w:p w:rsidR="00B923B6" w:rsidRPr="002024B1" w:rsidRDefault="00B923B6" w:rsidP="00B923B6">
      <w:pPr>
        <w:pStyle w:val="Heading4"/>
        <w:rPr>
          <w:b w:val="0"/>
          <w:color w:val="auto"/>
        </w:rPr>
      </w:pPr>
      <w:r w:rsidRPr="002024B1">
        <w:rPr>
          <w:b w:val="0"/>
          <w:color w:val="auto"/>
        </w:rPr>
        <w:t>4.2.2 Stille reserves</w:t>
      </w:r>
    </w:p>
    <w:p w:rsidR="00B923B6" w:rsidRPr="002024B1" w:rsidRDefault="00B923B6" w:rsidP="00B33DCB">
      <w:pPr>
        <w:jc w:val="both"/>
      </w:pPr>
      <w:r w:rsidRPr="002024B1">
        <w:t xml:space="preserve">De stille reserves van woningcorporaties bevinden zich in het verschil tussen de bedrijfswaarde en het bedrag dat de woningcorporatie zou krijgen bij directe verkoop van een woning. Omdat </w:t>
      </w:r>
      <w:proofErr w:type="gramStart"/>
      <w:r w:rsidRPr="002024B1">
        <w:t>de</w:t>
      </w:r>
      <w:proofErr w:type="gramEnd"/>
      <w:r w:rsidRPr="002024B1">
        <w:t xml:space="preserve"> </w:t>
      </w:r>
      <w:proofErr w:type="spellStart"/>
      <w:r w:rsidRPr="002024B1">
        <w:t>afge</w:t>
      </w:r>
      <w:r w:rsidR="00B33DCB" w:rsidRPr="002024B1">
        <w:t>-</w:t>
      </w:r>
      <w:r w:rsidRPr="002024B1">
        <w:t>lopen</w:t>
      </w:r>
      <w:proofErr w:type="spellEnd"/>
      <w:r w:rsidRPr="002024B1">
        <w:t xml:space="preserve"> jaren de huizenprijzen aanzienlijk gedaald zijn (16% tussen 1-1-2008 en 1-1-2013 (CBS, 2013)), is het een nadeel dat deze niet in de balans van woningcorporaties naar voren komen. Het is </w:t>
      </w:r>
      <w:r w:rsidR="00DF7960" w:rsidRPr="002024B1">
        <w:t xml:space="preserve">van </w:t>
      </w:r>
      <w:proofErr w:type="spellStart"/>
      <w:r w:rsidR="00DF7960" w:rsidRPr="002024B1">
        <w:t>be</w:t>
      </w:r>
      <w:r w:rsidR="00B33DCB" w:rsidRPr="002024B1">
        <w:t>-</w:t>
      </w:r>
      <w:r w:rsidR="00DF7960" w:rsidRPr="002024B1">
        <w:t>lang</w:t>
      </w:r>
      <w:proofErr w:type="spellEnd"/>
      <w:r w:rsidR="00DF7960" w:rsidRPr="002024B1">
        <w:t xml:space="preserve"> voor de bedrijfsvoering van woningcorporaties</w:t>
      </w:r>
      <w:r w:rsidRPr="002024B1">
        <w:t xml:space="preserve"> wat de directe opbrengstwaarde is en dit is niet uit de jaarrekening af te lezen. Wanneer aangenomen wordt dat de directe opbrengstwaarde van huurwoningen ongeveer gelijk is aan de </w:t>
      </w:r>
      <w:proofErr w:type="spellStart"/>
      <w:r w:rsidRPr="002024B1">
        <w:t>WOZ-waarde</w:t>
      </w:r>
      <w:proofErr w:type="spellEnd"/>
      <w:r w:rsidRPr="002024B1">
        <w:t xml:space="preserve">, kan de daling van de stille reserves worden berekend. Met een gemiddelde </w:t>
      </w:r>
      <w:proofErr w:type="spellStart"/>
      <w:r w:rsidRPr="002024B1">
        <w:t>WOZ-waarde</w:t>
      </w:r>
      <w:proofErr w:type="spellEnd"/>
      <w:r w:rsidRPr="002024B1">
        <w:t xml:space="preserve"> van €155.105 en een gemiddelde bedrijfswaarde van €42.253 waren in 2008 de stille reserves €112.852 per woning (CFV, 2012</w:t>
      </w:r>
      <w:r w:rsidR="00391C8C" w:rsidRPr="002024B1">
        <w:t>d</w:t>
      </w:r>
      <w:r w:rsidRPr="002024B1">
        <w:t xml:space="preserve">). Bij een daling van 16% van de </w:t>
      </w:r>
      <w:proofErr w:type="spellStart"/>
      <w:r w:rsidRPr="002024B1">
        <w:t>WOZ-waarde</w:t>
      </w:r>
      <w:proofErr w:type="spellEnd"/>
      <w:r w:rsidRPr="002024B1">
        <w:t xml:space="preserve"> blijft een waarde van €130.288 over. De laatst bekende gemiddelde </w:t>
      </w:r>
      <w:proofErr w:type="spellStart"/>
      <w:r w:rsidRPr="002024B1">
        <w:t>bedrijfs</w:t>
      </w:r>
      <w:r w:rsidR="00B33DCB" w:rsidRPr="002024B1">
        <w:t>-</w:t>
      </w:r>
      <w:r w:rsidRPr="002024B1">
        <w:t>waarde</w:t>
      </w:r>
      <w:proofErr w:type="spellEnd"/>
      <w:r w:rsidRPr="002024B1">
        <w:t xml:space="preserve"> per woning is €49.081, dit resulteert in een gemiddelde stille reserve van €81.207. Er is een daling in de stille reserves </w:t>
      </w:r>
      <w:r w:rsidR="00DF7960" w:rsidRPr="002024B1">
        <w:t xml:space="preserve">waar te nemen </w:t>
      </w:r>
      <w:r w:rsidRPr="002024B1">
        <w:t xml:space="preserve">van maar liefst 28%. Balanstechnisch betekent dit voor woningcorporaties dat er bij verkoop van </w:t>
      </w:r>
      <w:proofErr w:type="gramStart"/>
      <w:r w:rsidRPr="002024B1">
        <w:t xml:space="preserve">een  </w:t>
      </w:r>
      <w:proofErr w:type="gramEnd"/>
      <w:r w:rsidRPr="002024B1">
        <w:t xml:space="preserve">woning gemiddeld 28% minder stille reserve vrijkomt. Dit gegeven is niet waarneembaar uit de jaarrekening, terwijl dit een belangrijk feit is voor de </w:t>
      </w:r>
      <w:proofErr w:type="spellStart"/>
      <w:r w:rsidRPr="002024B1">
        <w:t>finan</w:t>
      </w:r>
      <w:r w:rsidR="00B33DCB" w:rsidRPr="002024B1">
        <w:t>-</w:t>
      </w:r>
      <w:r w:rsidRPr="002024B1">
        <w:t>ciering</w:t>
      </w:r>
      <w:proofErr w:type="spellEnd"/>
      <w:r w:rsidRPr="002024B1">
        <w:t xml:space="preserve"> van nieuwe projecten. </w:t>
      </w:r>
    </w:p>
    <w:p w:rsidR="00B923B6" w:rsidRPr="002024B1" w:rsidRDefault="00B923B6" w:rsidP="00B923B6">
      <w:pPr>
        <w:pStyle w:val="Heading3"/>
        <w:rPr>
          <w:rFonts w:eastAsiaTheme="minorHAnsi"/>
          <w:color w:val="auto"/>
        </w:rPr>
      </w:pPr>
      <w:r w:rsidRPr="002024B1">
        <w:rPr>
          <w:rFonts w:eastAsiaTheme="minorHAnsi"/>
          <w:bCs w:val="0"/>
          <w:color w:val="auto"/>
        </w:rPr>
        <w:t>4.</w:t>
      </w:r>
      <w:r w:rsidRPr="002024B1">
        <w:rPr>
          <w:rFonts w:eastAsiaTheme="minorHAnsi"/>
          <w:color w:val="auto"/>
        </w:rPr>
        <w:t>3 Commercieel waarderen en winstmaximalisatie</w:t>
      </w:r>
    </w:p>
    <w:p w:rsidR="00B923B6" w:rsidRPr="002024B1" w:rsidRDefault="00B923B6" w:rsidP="00B33DCB">
      <w:pPr>
        <w:jc w:val="both"/>
      </w:pPr>
      <w:r w:rsidRPr="002024B1">
        <w:t xml:space="preserve">Commerciële woonbedrijven hanteren </w:t>
      </w:r>
      <w:r w:rsidR="00DF7960" w:rsidRPr="002024B1">
        <w:t>als uitgangspunt</w:t>
      </w:r>
      <w:r w:rsidRPr="002024B1">
        <w:t xml:space="preserve"> winstmaximalisatie. Hun onroerend goed</w:t>
      </w:r>
      <w:r>
        <w:t xml:space="preserve"> dient te worden gewaardeerd tegen het kostprijsmodel of het actuele waarde model (RJ 213.501). Het</w:t>
      </w:r>
      <w:r w:rsidR="00DF7960">
        <w:t xml:space="preserve"> verschil in de jaarrekening van</w:t>
      </w:r>
      <w:r>
        <w:t xml:space="preserve"> </w:t>
      </w:r>
      <w:r w:rsidR="00DF7960">
        <w:t xml:space="preserve">de </w:t>
      </w:r>
      <w:r>
        <w:t xml:space="preserve">woningcorporaties </w:t>
      </w:r>
      <w:r w:rsidR="00DF7960">
        <w:t xml:space="preserve">en die van normale woonbedrijven </w:t>
      </w:r>
      <w:r>
        <w:t xml:space="preserve">wordt besproken. Als laatste wordt in deze paragraaf de mogelijkheid besproken dat woningcorporaties zelf </w:t>
      </w:r>
      <w:r w:rsidRPr="002024B1">
        <w:t>een uitgangspunt van winstmaximalisatie gaan hanteren.</w:t>
      </w:r>
    </w:p>
    <w:p w:rsidR="00B923B6" w:rsidRPr="002024B1" w:rsidRDefault="00B923B6" w:rsidP="00B923B6">
      <w:pPr>
        <w:pStyle w:val="Heading4"/>
        <w:rPr>
          <w:b w:val="0"/>
          <w:color w:val="auto"/>
        </w:rPr>
      </w:pPr>
      <w:r w:rsidRPr="002024B1">
        <w:rPr>
          <w:b w:val="0"/>
          <w:color w:val="auto"/>
        </w:rPr>
        <w:t>4.3.1 Commerciële verhuurders</w:t>
      </w:r>
    </w:p>
    <w:p w:rsidR="00B923B6" w:rsidRDefault="00B923B6" w:rsidP="00B33DCB">
      <w:pPr>
        <w:jc w:val="both"/>
      </w:pPr>
      <w:r w:rsidRPr="002024B1">
        <w:t xml:space="preserve">Commerciële woningverhuurders hebben niets te maken met de RJ 645. Wat betreft hun </w:t>
      </w:r>
      <w:proofErr w:type="spellStart"/>
      <w:r w:rsidRPr="002024B1">
        <w:t>woning</w:t>
      </w:r>
      <w:r w:rsidR="00B33DCB" w:rsidRPr="002024B1">
        <w:t>-</w:t>
      </w:r>
      <w:r w:rsidRPr="002024B1">
        <w:t>bezit</w:t>
      </w:r>
      <w:proofErr w:type="spellEnd"/>
      <w:r w:rsidRPr="002024B1">
        <w:t xml:space="preserve"> is RJ 213 van toepassing; dit bezit wordt gekwalificeerd als vastgoedbelegging (RJ 213.501). Bij eerste verwerking van de woning in de balans dient de waardering tegen </w:t>
      </w:r>
      <w:proofErr w:type="spellStart"/>
      <w:r w:rsidRPr="002024B1">
        <w:t>verkrijgingsprijs</w:t>
      </w:r>
      <w:proofErr w:type="spellEnd"/>
      <w:r w:rsidRPr="002024B1">
        <w:t xml:space="preserve"> te </w:t>
      </w:r>
      <w:proofErr w:type="spellStart"/>
      <w:r w:rsidRPr="002024B1">
        <w:t>geschie</w:t>
      </w:r>
      <w:r w:rsidR="00B33DCB" w:rsidRPr="002024B1">
        <w:t>-</w:t>
      </w:r>
      <w:r w:rsidRPr="002024B1">
        <w:t>den</w:t>
      </w:r>
      <w:proofErr w:type="spellEnd"/>
      <w:r w:rsidRPr="002024B1">
        <w:t xml:space="preserve"> (RJ 213.301). Na eerste verwerking staat </w:t>
      </w:r>
      <w:r w:rsidR="00DF7960" w:rsidRPr="002024B1">
        <w:t xml:space="preserve">het bedrijf </w:t>
      </w:r>
      <w:r w:rsidRPr="002024B1">
        <w:t xml:space="preserve">voor een keuze: waarderen </w:t>
      </w:r>
      <w:r w:rsidR="00F87E54" w:rsidRPr="002024B1">
        <w:t xml:space="preserve">volgens het </w:t>
      </w:r>
      <w:proofErr w:type="spellStart"/>
      <w:r w:rsidR="00F87E54" w:rsidRPr="002024B1">
        <w:t>kost</w:t>
      </w:r>
      <w:r w:rsidR="00B33DCB" w:rsidRPr="002024B1">
        <w:t>-</w:t>
      </w:r>
      <w:r w:rsidR="00F87E54">
        <w:t>prijsmodel</w:t>
      </w:r>
      <w:proofErr w:type="spellEnd"/>
      <w:r>
        <w:t xml:space="preserve"> (zie paragraaf 1.2) of volgens het actuele waarde model (zie paragraaf 1.4). Het actuele waarde model schrijft in dit geval voor dat de vastgoedbelegging wordt gewaardeerd tegen reële waarde (RJ 213.503). De reële waarde is gelijk aan de marktwaarde van de vastgoedbelegging (RJ 213.505). </w:t>
      </w:r>
      <w:proofErr w:type="spellStart"/>
      <w:r>
        <w:t>Vesteda</w:t>
      </w:r>
      <w:proofErr w:type="spellEnd"/>
      <w:r>
        <w:t xml:space="preserve"> is een bedrijf dat woningen verhuurt en deze woningen waardeert tegen </w:t>
      </w:r>
      <w:proofErr w:type="spellStart"/>
      <w:r>
        <w:t>markt</w:t>
      </w:r>
      <w:r w:rsidR="00B33DCB">
        <w:t>-</w:t>
      </w:r>
      <w:r>
        <w:t>waarde</w:t>
      </w:r>
      <w:proofErr w:type="spellEnd"/>
      <w:r>
        <w:t xml:space="preserve"> (Jaarrekening </w:t>
      </w:r>
      <w:proofErr w:type="spellStart"/>
      <w:r>
        <w:t>Vesteda</w:t>
      </w:r>
      <w:proofErr w:type="spellEnd"/>
      <w:r>
        <w:t xml:space="preserve">, 2012). Het voordeel hiervan ten opzichte van waarderen tegen </w:t>
      </w:r>
      <w:proofErr w:type="spellStart"/>
      <w:r>
        <w:t>be</w:t>
      </w:r>
      <w:r w:rsidR="00B33DCB">
        <w:t>-</w:t>
      </w:r>
      <w:r>
        <w:t>drijfswaarde</w:t>
      </w:r>
      <w:proofErr w:type="spellEnd"/>
      <w:r>
        <w:t xml:space="preserve"> is dat negatieve waardeveranderingen direct in de winst- en verliesrekening worden opgenomen. Positieve waardeveranderingen komen in een herwaarderingsreserve die ten laste komt van de vrije reserves of</w:t>
      </w:r>
      <w:r w:rsidR="00DF7960">
        <w:t xml:space="preserve"> van</w:t>
      </w:r>
      <w:r>
        <w:t xml:space="preserve"> het resultaat van het boekjaar(art. 2:390, lid 1 BW). Bij een </w:t>
      </w:r>
      <w:proofErr w:type="spellStart"/>
      <w:r>
        <w:t>bedrijfs</w:t>
      </w:r>
      <w:r w:rsidR="00B33DCB">
        <w:t>-</w:t>
      </w:r>
      <w:r>
        <w:t>waarde</w:t>
      </w:r>
      <w:proofErr w:type="spellEnd"/>
      <w:r>
        <w:t xml:space="preserve"> is het bij verkoop de vraag hoe groot de stille reserve is die vrijvalt, bij </w:t>
      </w:r>
      <w:proofErr w:type="spellStart"/>
      <w:r>
        <w:t>marktwaardewaar</w:t>
      </w:r>
      <w:r w:rsidR="00B33DCB">
        <w:t>-</w:t>
      </w:r>
      <w:r>
        <w:t>dering</w:t>
      </w:r>
      <w:proofErr w:type="spellEnd"/>
      <w:r>
        <w:t xml:space="preserve"> is altijd uit de balans af te lezen welke middelen vrijkomen bij verkoop. </w:t>
      </w:r>
    </w:p>
    <w:p w:rsidR="00B923B6" w:rsidRDefault="00B923B6" w:rsidP="00B33DCB">
      <w:pPr>
        <w:jc w:val="both"/>
      </w:pPr>
      <w:r>
        <w:t xml:space="preserve">Op basis van de jaarrekeningen van grote commerciële verhuurders als </w:t>
      </w:r>
      <w:proofErr w:type="spellStart"/>
      <w:r>
        <w:t>Vesteda</w:t>
      </w:r>
      <w:proofErr w:type="spellEnd"/>
      <w:r>
        <w:t xml:space="preserve">, Altera, </w:t>
      </w:r>
      <w:proofErr w:type="spellStart"/>
      <w:r>
        <w:t>Breevast</w:t>
      </w:r>
      <w:proofErr w:type="spellEnd"/>
      <w:r>
        <w:t xml:space="preserve"> en de </w:t>
      </w:r>
      <w:proofErr w:type="spellStart"/>
      <w:r>
        <w:t>Rabo</w:t>
      </w:r>
      <w:proofErr w:type="spellEnd"/>
      <w:r>
        <w:t xml:space="preserve"> Vastgoedgroep is de marktwaarde van vastgoedbeleggingen ongeveer gelijk aan de bruto huuropbrengst vermenigvuldigd met vijftien.</w:t>
      </w:r>
      <w:r w:rsidR="00F87E54">
        <w:t xml:space="preserve"> Dit betekent dat deze bedrijven een rendement eisen van ongeveer 6,67% (100/15=6,67). </w:t>
      </w:r>
      <w:r>
        <w:t>De marktwaarde ligt lage</w:t>
      </w:r>
      <w:r w:rsidR="00DF7960">
        <w:t xml:space="preserve">r dan de </w:t>
      </w:r>
      <w:proofErr w:type="spellStart"/>
      <w:r w:rsidR="00DF7960">
        <w:t>WOZ-waarde</w:t>
      </w:r>
      <w:proofErr w:type="spellEnd"/>
      <w:r w:rsidR="00DF7960">
        <w:t xml:space="preserve">. Dit komt </w:t>
      </w:r>
      <w:proofErr w:type="spellStart"/>
      <w:r w:rsidR="00DF7960">
        <w:t>door</w:t>
      </w:r>
      <w:r w:rsidR="00B33DCB">
        <w:t>-</w:t>
      </w:r>
      <w:r>
        <w:t>dat</w:t>
      </w:r>
      <w:proofErr w:type="spellEnd"/>
      <w:r>
        <w:t xml:space="preserve"> een woning in verhuurde staat per definitie minder opbrengt bij verkoop. De marktwaarde in verhuurde staat wordt berekend door de toekomstige kasstromen te delen</w:t>
      </w:r>
      <w:r w:rsidRPr="00174011">
        <w:t xml:space="preserve"> </w:t>
      </w:r>
      <w:r>
        <w:t xml:space="preserve">door het gewenste </w:t>
      </w:r>
      <w:proofErr w:type="spellStart"/>
      <w:r>
        <w:t>ren</w:t>
      </w:r>
      <w:r w:rsidR="00B33DCB">
        <w:t>-</w:t>
      </w:r>
      <w:r>
        <w:t>dement</w:t>
      </w:r>
      <w:proofErr w:type="spellEnd"/>
      <w:r>
        <w:t>. Wanneer van corporatie Mozaïek Wonen de bruto huuropbrengst wordt gedeeld door 5,25%</w:t>
      </w:r>
      <w:r w:rsidR="00F87E54">
        <w:t xml:space="preserve"> (disconteringsvoet woningcorporaties)</w:t>
      </w:r>
      <w:r>
        <w:t xml:space="preserve"> komt daar een waarde uit die 44% hoger is dan de bedrijfswaarde op de balans</w:t>
      </w:r>
      <w:r>
        <w:rPr>
          <w:rStyle w:val="FootnoteReference"/>
        </w:rPr>
        <w:footnoteReference w:id="2"/>
      </w:r>
      <w:r>
        <w:t xml:space="preserve">. </w:t>
      </w:r>
      <w:r w:rsidR="00DF7960">
        <w:t>Hier</w:t>
      </w:r>
      <w:r>
        <w:t xml:space="preserve"> is </w:t>
      </w:r>
      <w:r w:rsidR="00DF7960">
        <w:t>geen sprake meer</w:t>
      </w:r>
      <w:r>
        <w:t xml:space="preserve"> van stille reserves. Het voordeel hiervan is dat</w:t>
      </w:r>
      <w:r w:rsidR="00665D02">
        <w:t xml:space="preserve"> de </w:t>
      </w:r>
      <w:proofErr w:type="gramStart"/>
      <w:r w:rsidR="00665D02">
        <w:t>solvabiliteit</w:t>
      </w:r>
      <w:proofErr w:type="gramEnd"/>
      <w:r w:rsidR="00665D02">
        <w:t xml:space="preserve"> stijgt,</w:t>
      </w:r>
      <w:r>
        <w:t xml:space="preserve"> een van de financieringsvoorwaarden</w:t>
      </w:r>
      <w:r w:rsidR="00665D02">
        <w:t>,</w:t>
      </w:r>
      <w:r>
        <w:t xml:space="preserve"> en er kan makkelijker krediet </w:t>
      </w:r>
      <w:proofErr w:type="spellStart"/>
      <w:r>
        <w:t>aange</w:t>
      </w:r>
      <w:r w:rsidR="00B33DCB">
        <w:t>-</w:t>
      </w:r>
      <w:r>
        <w:t>vraagd</w:t>
      </w:r>
      <w:proofErr w:type="spellEnd"/>
      <w:r>
        <w:t xml:space="preserve"> worden voor nieuwe projecten. In de huidige situatie moeten corporaties eerst bezit afstoten voordat zij opnieuw kunnen investeren. De andere belangrijke financieringsvoorwaarde, de </w:t>
      </w:r>
      <w:proofErr w:type="spellStart"/>
      <w:r>
        <w:t>rente</w:t>
      </w:r>
      <w:r w:rsidR="00B33DCB">
        <w:t>-</w:t>
      </w:r>
      <w:r>
        <w:t>dekki</w:t>
      </w:r>
      <w:r w:rsidR="00665D02">
        <w:t>ngsgraad</w:t>
      </w:r>
      <w:proofErr w:type="spellEnd"/>
      <w:r w:rsidR="00665D02">
        <w:t>, wijzigt echter niet door</w:t>
      </w:r>
      <w:r>
        <w:t xml:space="preserve">dat er niets verandert in </w:t>
      </w:r>
      <w:r w:rsidR="00665D02">
        <w:t xml:space="preserve">de </w:t>
      </w:r>
      <w:r>
        <w:t xml:space="preserve">kasstromen en </w:t>
      </w:r>
      <w:proofErr w:type="spellStart"/>
      <w:r>
        <w:t>renteverplicht</w:t>
      </w:r>
      <w:r w:rsidR="00B33DCB">
        <w:t>-</w:t>
      </w:r>
      <w:r>
        <w:t>ingen</w:t>
      </w:r>
      <w:proofErr w:type="spellEnd"/>
      <w:r>
        <w:t xml:space="preserve">. Een tweede voordeel van deze waardering is dat waardeverminderingen van het bezit direct tot uitdrukking komen in de winst- en verliesrekening. Er is een betere weergave van de huidige marktsituatie op balansdatum. Dit in tegenstelling tot </w:t>
      </w:r>
      <w:r w:rsidR="00665D02">
        <w:t xml:space="preserve">de </w:t>
      </w:r>
      <w:r>
        <w:t>bedrij</w:t>
      </w:r>
      <w:r w:rsidR="00F87E54">
        <w:t>fswaarde, waarbij in paragraaf 4</w:t>
      </w:r>
      <w:r>
        <w:t>.</w:t>
      </w:r>
      <w:r w:rsidR="00F87E54">
        <w:t>2.2</w:t>
      </w:r>
      <w:r>
        <w:t xml:space="preserve"> geconstateerd werd dat de stille reserves met 28% zijn gedaald in de</w:t>
      </w:r>
      <w:r w:rsidR="00665D02">
        <w:t xml:space="preserve"> afgelopen vijf jaren en dit </w:t>
      </w:r>
      <w:r>
        <w:t xml:space="preserve">niet zichtbaar </w:t>
      </w:r>
      <w:r w:rsidR="00665D02">
        <w:t xml:space="preserve">is </w:t>
      </w:r>
      <w:r>
        <w:t>op de balans</w:t>
      </w:r>
      <w:r w:rsidR="00665D02">
        <w:t>,</w:t>
      </w:r>
      <w:r>
        <w:t xml:space="preserve"> terwijl het relevant is voor de bepaling van de financiële positie. </w:t>
      </w:r>
    </w:p>
    <w:p w:rsidR="00B923B6" w:rsidRPr="002024B1" w:rsidRDefault="00B923B6" w:rsidP="00B923B6">
      <w:pPr>
        <w:pStyle w:val="Heading4"/>
        <w:rPr>
          <w:b w:val="0"/>
          <w:color w:val="auto"/>
        </w:rPr>
      </w:pPr>
      <w:r w:rsidRPr="002024B1">
        <w:rPr>
          <w:b w:val="0"/>
          <w:color w:val="auto"/>
        </w:rPr>
        <w:t>4.3.2 Privatisering</w:t>
      </w:r>
    </w:p>
    <w:p w:rsidR="00B923B6" w:rsidRDefault="00B923B6" w:rsidP="00B33DCB">
      <w:pPr>
        <w:jc w:val="both"/>
      </w:pPr>
      <w:r>
        <w:t xml:space="preserve">Het volledig privatiseren van een woningcorporatie zou betekenen dat het bezit wordt verkocht aan beleggers. Op deze manier kan eigen vermogen in de corporatie worden gebracht. Er schuilt wel een gevaar in het feit dat beleggers winstmaximalisatie als doelstelling hebben. Huren zouden aanzienlijk kunnen worden verhoogd en de maatschappelijke functie van de oude woningcorporatie </w:t>
      </w:r>
      <w:proofErr w:type="spellStart"/>
      <w:r>
        <w:t>verwaar</w:t>
      </w:r>
      <w:r w:rsidR="00B33DCB">
        <w:t>-</w:t>
      </w:r>
      <w:r>
        <w:t>loosd</w:t>
      </w:r>
      <w:proofErr w:type="spellEnd"/>
      <w:r>
        <w:t xml:space="preserve"> (De Wit, 1995). Dit probleem kan deels voorkomen worden door de geprivatiseerde </w:t>
      </w:r>
      <w:proofErr w:type="spellStart"/>
      <w:r>
        <w:t>woning</w:t>
      </w:r>
      <w:r w:rsidR="00B33DCB">
        <w:t>-</w:t>
      </w:r>
      <w:r>
        <w:t>corporaties</w:t>
      </w:r>
      <w:proofErr w:type="spellEnd"/>
      <w:r>
        <w:t xml:space="preserve"> fiscale voordelen te bieden wanneer ze voldoen aan de voorwaarden van sociale verhuur (</w:t>
      </w:r>
      <w:proofErr w:type="spellStart"/>
      <w:r>
        <w:t>Rötscheid</w:t>
      </w:r>
      <w:proofErr w:type="spellEnd"/>
      <w:r>
        <w:t xml:space="preserve">, 1996). </w:t>
      </w:r>
    </w:p>
    <w:p w:rsidR="00B923B6" w:rsidRPr="002024B1" w:rsidRDefault="00B923B6" w:rsidP="00B923B6">
      <w:pPr>
        <w:pStyle w:val="Heading3"/>
        <w:rPr>
          <w:color w:val="auto"/>
        </w:rPr>
      </w:pPr>
      <w:r w:rsidRPr="002024B1">
        <w:rPr>
          <w:color w:val="auto"/>
        </w:rPr>
        <w:t>4.4 Financieringsmogelijkheden</w:t>
      </w:r>
    </w:p>
    <w:p w:rsidR="00B923B6" w:rsidRDefault="00B923B6" w:rsidP="00B33DCB">
      <w:pPr>
        <w:jc w:val="both"/>
      </w:pPr>
      <w:r>
        <w:t xml:space="preserve">Waardering tegen bedrijfswaarde geeft een relatief lage balanswaarde. De </w:t>
      </w:r>
      <w:proofErr w:type="gramStart"/>
      <w:r>
        <w:t>solvabiliteit</w:t>
      </w:r>
      <w:proofErr w:type="gramEnd"/>
      <w:r>
        <w:t xml:space="preserve"> is laag, maar de </w:t>
      </w:r>
      <w:proofErr w:type="spellStart"/>
      <w:r>
        <w:t>rentedekkingsgraad</w:t>
      </w:r>
      <w:proofErr w:type="spellEnd"/>
      <w:r>
        <w:t xml:space="preserve"> zou </w:t>
      </w:r>
      <w:r w:rsidR="00665D02">
        <w:t>de</w:t>
      </w:r>
      <w:r>
        <w:t xml:space="preserve">zelfde zijn bij andere waarderingsmethoden. </w:t>
      </w:r>
      <w:r w:rsidR="00665D02">
        <w:t>Doordat</w:t>
      </w:r>
      <w:r>
        <w:t xml:space="preserve"> </w:t>
      </w:r>
      <w:r w:rsidR="00665D02">
        <w:t xml:space="preserve">het WSW </w:t>
      </w:r>
      <w:r>
        <w:t xml:space="preserve">niet langer garant staat voor nieuwe leningen van corporaties ontstaat een financieringsprobleem. </w:t>
      </w:r>
      <w:proofErr w:type="spellStart"/>
      <w:r>
        <w:t>Corpo</w:t>
      </w:r>
      <w:r w:rsidR="00B33DCB">
        <w:t>-</w:t>
      </w:r>
      <w:r>
        <w:t>raties</w:t>
      </w:r>
      <w:proofErr w:type="spellEnd"/>
      <w:r>
        <w:t xml:space="preserve"> moeten uit eigen middelen nieuwe investeringen financieren. Die eigen middelen zijn er niet, althans alleen in de vorm van stille reserves. De </w:t>
      </w:r>
      <w:r w:rsidR="00665D02">
        <w:t>enige oplossing lijkt te zijn</w:t>
      </w:r>
      <w:r>
        <w:t xml:space="preserve"> die stille reserves in geld om te zetten door woningen te verkopen. Deze paragraaf gaat over het aanspreken van stille </w:t>
      </w:r>
      <w:proofErr w:type="spellStart"/>
      <w:r>
        <w:t>reser</w:t>
      </w:r>
      <w:r w:rsidR="00B33DCB">
        <w:t>-</w:t>
      </w:r>
      <w:r>
        <w:t>ves</w:t>
      </w:r>
      <w:proofErr w:type="spellEnd"/>
      <w:r>
        <w:t xml:space="preserve"> en andere financieringsmogelijkheden.</w:t>
      </w:r>
    </w:p>
    <w:p w:rsidR="00B923B6" w:rsidRPr="002024B1" w:rsidRDefault="00B923B6" w:rsidP="00B923B6">
      <w:pPr>
        <w:pStyle w:val="Heading4"/>
        <w:rPr>
          <w:b w:val="0"/>
          <w:color w:val="auto"/>
        </w:rPr>
      </w:pPr>
      <w:r w:rsidRPr="002024B1">
        <w:rPr>
          <w:b w:val="0"/>
          <w:color w:val="auto"/>
        </w:rPr>
        <w:t xml:space="preserve">4.4.1 </w:t>
      </w:r>
      <w:proofErr w:type="gramStart"/>
      <w:r w:rsidRPr="002024B1">
        <w:rPr>
          <w:b w:val="0"/>
          <w:color w:val="auto"/>
        </w:rPr>
        <w:t>Stopzetten</w:t>
      </w:r>
      <w:proofErr w:type="gramEnd"/>
      <w:r w:rsidRPr="002024B1">
        <w:rPr>
          <w:b w:val="0"/>
          <w:color w:val="auto"/>
        </w:rPr>
        <w:t xml:space="preserve"> </w:t>
      </w:r>
      <w:r w:rsidR="0004078F" w:rsidRPr="002024B1">
        <w:rPr>
          <w:b w:val="0"/>
          <w:color w:val="auto"/>
        </w:rPr>
        <w:t>waar</w:t>
      </w:r>
      <w:r w:rsidRPr="002024B1">
        <w:rPr>
          <w:b w:val="0"/>
          <w:color w:val="auto"/>
        </w:rPr>
        <w:t>borging door het WSW</w:t>
      </w:r>
    </w:p>
    <w:p w:rsidR="00B923B6" w:rsidRPr="002024B1" w:rsidRDefault="00B923B6" w:rsidP="00B33DCB">
      <w:pPr>
        <w:jc w:val="both"/>
      </w:pPr>
      <w:r>
        <w:t xml:space="preserve">Op 22 november 2012 laat het WSW in een brief aan de corporaties weten dat zij niet langer garant staan voor nieuwe leningen (WSW, 2012). Als reden wordt genoemd de </w:t>
      </w:r>
      <w:proofErr w:type="spellStart"/>
      <w:r w:rsidR="00665D02">
        <w:t>ver</w:t>
      </w:r>
      <w:r>
        <w:t>huurdersheffing</w:t>
      </w:r>
      <w:proofErr w:type="spellEnd"/>
      <w:r>
        <w:t xml:space="preserve"> en de bijdrage die corporaties moeten leveren aan het redden van </w:t>
      </w:r>
      <w:proofErr w:type="spellStart"/>
      <w:r>
        <w:t>Vestia</w:t>
      </w:r>
      <w:proofErr w:type="spellEnd"/>
      <w:r>
        <w:t xml:space="preserve">. Een jaar eerder werd door de Europese Commissie besloten dat er geen </w:t>
      </w:r>
      <w:proofErr w:type="gramStart"/>
      <w:r>
        <w:t>staatsst</w:t>
      </w:r>
      <w:r w:rsidR="00665D02">
        <w:t>eun</w:t>
      </w:r>
      <w:proofErr w:type="gramEnd"/>
      <w:r w:rsidR="00665D02">
        <w:t xml:space="preserve"> gegeven mag worden aan </w:t>
      </w:r>
      <w:proofErr w:type="spellStart"/>
      <w:r w:rsidR="00665D02">
        <w:t>niet-</w:t>
      </w:r>
      <w:r>
        <w:t>DEAB-activiteit</w:t>
      </w:r>
      <w:r w:rsidR="00B33DCB">
        <w:t>-</w:t>
      </w:r>
      <w:r>
        <w:t>en</w:t>
      </w:r>
      <w:proofErr w:type="spellEnd"/>
      <w:r>
        <w:t xml:space="preserve"> (Diensten van Algemeen Economisch Belang) (</w:t>
      </w:r>
      <w:r w:rsidR="00391C8C">
        <w:t>zie paragraaf 3.4.1</w:t>
      </w:r>
      <w:r>
        <w:t xml:space="preserve">). Dit betekent dat de overheid in de vorm van het WSW niet meer garant mag staan voor activiteiten van corporaties die niet ten </w:t>
      </w:r>
      <w:proofErr w:type="spellStart"/>
      <w:r>
        <w:t>be</w:t>
      </w:r>
      <w:r w:rsidR="00B33DCB">
        <w:t>-</w:t>
      </w:r>
      <w:r>
        <w:t>hoeve</w:t>
      </w:r>
      <w:proofErr w:type="spellEnd"/>
      <w:r>
        <w:t xml:space="preserve"> van de volkshuisvesting zijn. Nu ook </w:t>
      </w:r>
      <w:proofErr w:type="spellStart"/>
      <w:r>
        <w:t>DEAB-activiteiten</w:t>
      </w:r>
      <w:proofErr w:type="spellEnd"/>
      <w:r>
        <w:t xml:space="preserve"> niet meer gesteund worden ontstaat er een impasse. Corporaties stellen investeringen uit met alle gevolgen van dien voor de bouwsector. Een mog</w:t>
      </w:r>
      <w:r w:rsidR="00665D02">
        <w:t>elijke oplossing is</w:t>
      </w:r>
      <w:r>
        <w:t xml:space="preserve"> de opbrengst van de </w:t>
      </w:r>
      <w:proofErr w:type="spellStart"/>
      <w:r w:rsidR="00665D02">
        <w:t>ver</w:t>
      </w:r>
      <w:r>
        <w:t>huurdersheffing</w:t>
      </w:r>
      <w:proofErr w:type="spellEnd"/>
      <w:r>
        <w:t xml:space="preserve"> in een fonds te stoppen dat </w:t>
      </w:r>
      <w:proofErr w:type="spellStart"/>
      <w:r>
        <w:t>ge</w:t>
      </w:r>
      <w:r w:rsidR="00B33DCB">
        <w:t>-</w:t>
      </w:r>
      <w:r>
        <w:t>bruikt</w:t>
      </w:r>
      <w:proofErr w:type="spellEnd"/>
      <w:r>
        <w:t xml:space="preserve"> wordt om investeringen te financieren </w:t>
      </w:r>
      <w:sdt>
        <w:sdtPr>
          <w:id w:val="19729728"/>
          <w:citation/>
        </w:sdtPr>
        <w:sdtContent>
          <w:fldSimple w:instr=" CITATION Can13 \l 1043 ">
            <w:r>
              <w:rPr>
                <w:noProof/>
              </w:rPr>
              <w:t>(Canoy, 2013)</w:t>
            </w:r>
          </w:fldSimple>
        </w:sdtContent>
      </w:sdt>
      <w:r>
        <w:t xml:space="preserve">. Volgens berekeningen </w:t>
      </w:r>
      <w:r w:rsidR="00665D02">
        <w:t xml:space="preserve">door </w:t>
      </w:r>
      <w:r>
        <w:t xml:space="preserve">het CPB zou een fonds van 1 miljard leiden tot 6 miljard aan nieuwe investeringen. Een aanzienlijk deel van die 6 miljard gaat terug naar het rijk in de vorm van belastingen en uitgespaarde uitkeringen voor werkloze bouwvakkers. De overheid moet een keuze maken tussen de activiteiten van woningcorporaties </w:t>
      </w:r>
      <w:r w:rsidR="00665D02">
        <w:t xml:space="preserve">te </w:t>
      </w:r>
      <w:r w:rsidR="00665D02" w:rsidRPr="002024B1">
        <w:t>staken</w:t>
      </w:r>
      <w:r w:rsidRPr="002024B1">
        <w:t xml:space="preserve"> of (een deel van) de </w:t>
      </w:r>
      <w:proofErr w:type="spellStart"/>
      <w:r w:rsidR="00665D02" w:rsidRPr="002024B1">
        <w:t>ver</w:t>
      </w:r>
      <w:r w:rsidRPr="002024B1">
        <w:t>huurdersheffing</w:t>
      </w:r>
      <w:proofErr w:type="spellEnd"/>
      <w:r w:rsidRPr="002024B1">
        <w:t xml:space="preserve"> beschikbaar te stellen voor een fonds om de </w:t>
      </w:r>
      <w:proofErr w:type="spellStart"/>
      <w:r w:rsidRPr="002024B1">
        <w:t>bouw</w:t>
      </w:r>
      <w:r w:rsidR="00B33DCB" w:rsidRPr="002024B1">
        <w:t>-</w:t>
      </w:r>
      <w:r w:rsidRPr="002024B1">
        <w:t>sector</w:t>
      </w:r>
      <w:proofErr w:type="spellEnd"/>
      <w:r w:rsidRPr="002024B1">
        <w:t xml:space="preserve"> te stimuleren en het geld later via belastingen terug te verdienen.</w:t>
      </w:r>
    </w:p>
    <w:p w:rsidR="00B923B6" w:rsidRPr="002024B1" w:rsidRDefault="00B923B6" w:rsidP="00B923B6">
      <w:pPr>
        <w:pStyle w:val="Heading4"/>
        <w:rPr>
          <w:b w:val="0"/>
          <w:color w:val="auto"/>
        </w:rPr>
      </w:pPr>
      <w:r w:rsidRPr="002024B1">
        <w:rPr>
          <w:b w:val="0"/>
          <w:color w:val="auto"/>
        </w:rPr>
        <w:t>4.4.2 Aantrekken van kapitaal</w:t>
      </w:r>
    </w:p>
    <w:p w:rsidR="00B923B6" w:rsidRPr="002024B1" w:rsidRDefault="00B923B6" w:rsidP="00B33DCB">
      <w:pPr>
        <w:jc w:val="both"/>
        <w:rPr>
          <w:rFonts w:cs="Arial"/>
          <w:shd w:val="clear" w:color="auto" w:fill="FFFFFF"/>
        </w:rPr>
      </w:pPr>
      <w:r w:rsidRPr="002024B1">
        <w:t xml:space="preserve">Woningcorporaties hebben niet de mogelijkheid kapitaal aan te trekken door middel van </w:t>
      </w:r>
      <w:proofErr w:type="gramStart"/>
      <w:r w:rsidRPr="002024B1">
        <w:t>het</w:t>
      </w:r>
      <w:proofErr w:type="gramEnd"/>
      <w:r w:rsidRPr="002024B1">
        <w:t xml:space="preserve"> </w:t>
      </w:r>
      <w:proofErr w:type="spellStart"/>
      <w:r w:rsidRPr="002024B1">
        <w:t>uitge</w:t>
      </w:r>
      <w:r w:rsidR="00B33DCB" w:rsidRPr="002024B1">
        <w:t>-</w:t>
      </w:r>
      <w:r w:rsidRPr="002024B1">
        <w:t>ven</w:t>
      </w:r>
      <w:proofErr w:type="spellEnd"/>
      <w:r w:rsidRPr="002024B1">
        <w:t xml:space="preserve"> van aandelen. Een andere manier om nieuwe middelen te verkrijgen is het uitgeven van </w:t>
      </w:r>
      <w:proofErr w:type="spellStart"/>
      <w:r w:rsidRPr="002024B1">
        <w:t>obliga</w:t>
      </w:r>
      <w:r w:rsidR="00B33DCB" w:rsidRPr="002024B1">
        <w:t>-</w:t>
      </w:r>
      <w:r w:rsidRPr="002024B1">
        <w:t>ties</w:t>
      </w:r>
      <w:proofErr w:type="spellEnd"/>
      <w:r w:rsidRPr="002024B1">
        <w:t xml:space="preserve">. </w:t>
      </w:r>
      <w:r w:rsidRPr="002024B1">
        <w:rPr>
          <w:rFonts w:cs="Arial"/>
          <w:shd w:val="clear" w:color="auto" w:fill="FFFFFF"/>
        </w:rPr>
        <w:t xml:space="preserve">Corporaties zouden gezamenlijk de uitgifte kunnen doen om te besparen op indirecte kosten. Het nadeel </w:t>
      </w:r>
      <w:r w:rsidR="00665D02" w:rsidRPr="002024B1">
        <w:rPr>
          <w:rFonts w:cs="Arial"/>
          <w:shd w:val="clear" w:color="auto" w:fill="FFFFFF"/>
        </w:rPr>
        <w:t>van</w:t>
      </w:r>
      <w:r w:rsidRPr="002024B1">
        <w:rPr>
          <w:rFonts w:cs="Arial"/>
          <w:shd w:val="clear" w:color="auto" w:fill="FFFFFF"/>
        </w:rPr>
        <w:t xml:space="preserve"> deze constructie is dat investeerders een hogere rente gaan vragen omdat de </w:t>
      </w:r>
      <w:proofErr w:type="spellStart"/>
      <w:r w:rsidRPr="002024B1">
        <w:rPr>
          <w:rFonts w:cs="Arial"/>
          <w:shd w:val="clear" w:color="auto" w:fill="FFFFFF"/>
        </w:rPr>
        <w:t>over</w:t>
      </w:r>
      <w:r w:rsidR="00B33DCB" w:rsidRPr="002024B1">
        <w:rPr>
          <w:rFonts w:cs="Arial"/>
          <w:shd w:val="clear" w:color="auto" w:fill="FFFFFF"/>
        </w:rPr>
        <w:t>-</w:t>
      </w:r>
      <w:r w:rsidRPr="002024B1">
        <w:rPr>
          <w:rFonts w:cs="Arial"/>
          <w:shd w:val="clear" w:color="auto" w:fill="FFFFFF"/>
        </w:rPr>
        <w:t>heid</w:t>
      </w:r>
      <w:proofErr w:type="spellEnd"/>
      <w:r w:rsidRPr="002024B1">
        <w:rPr>
          <w:rFonts w:cs="Arial"/>
          <w:shd w:val="clear" w:color="auto" w:fill="FFFFFF"/>
        </w:rPr>
        <w:t xml:space="preserve"> niet meer garant staat. Er is waarschijnlijk wel een markt voor deze obligaties aangezien </w:t>
      </w:r>
      <w:proofErr w:type="spellStart"/>
      <w:r w:rsidRPr="002024B1">
        <w:rPr>
          <w:rFonts w:cs="Arial"/>
          <w:shd w:val="clear" w:color="auto" w:fill="FFFFFF"/>
        </w:rPr>
        <w:t>pen</w:t>
      </w:r>
      <w:r w:rsidR="00B33DCB" w:rsidRPr="002024B1">
        <w:rPr>
          <w:rFonts w:cs="Arial"/>
          <w:shd w:val="clear" w:color="auto" w:fill="FFFFFF"/>
        </w:rPr>
        <w:t>-</w:t>
      </w:r>
      <w:r w:rsidRPr="002024B1">
        <w:rPr>
          <w:rFonts w:cs="Arial"/>
          <w:shd w:val="clear" w:color="auto" w:fill="FFFFFF"/>
        </w:rPr>
        <w:t>sioenfondsen</w:t>
      </w:r>
      <w:proofErr w:type="spellEnd"/>
      <w:r w:rsidRPr="002024B1">
        <w:rPr>
          <w:rFonts w:cs="Arial"/>
          <w:shd w:val="clear" w:color="auto" w:fill="FFFFFF"/>
        </w:rPr>
        <w:t xml:space="preserve"> nog altijd veel investeren in vastrentende waarden. Bijvoorbeeld </w:t>
      </w:r>
      <w:proofErr w:type="spellStart"/>
      <w:r w:rsidRPr="002024B1">
        <w:rPr>
          <w:rFonts w:cs="Arial"/>
          <w:shd w:val="clear" w:color="auto" w:fill="FFFFFF"/>
        </w:rPr>
        <w:t>bpfBOUW</w:t>
      </w:r>
      <w:proofErr w:type="spellEnd"/>
      <w:r w:rsidRPr="002024B1">
        <w:rPr>
          <w:rFonts w:cs="Arial"/>
          <w:shd w:val="clear" w:color="auto" w:fill="FFFFFF"/>
        </w:rPr>
        <w:t xml:space="preserve"> investeert volgens de strategische normportefeuille 44% in vastrentende waarden (Jaarverslag </w:t>
      </w:r>
      <w:proofErr w:type="spellStart"/>
      <w:r w:rsidRPr="002024B1">
        <w:rPr>
          <w:rFonts w:cs="Arial"/>
          <w:shd w:val="clear" w:color="auto" w:fill="FFFFFF"/>
        </w:rPr>
        <w:t>bpfBOUW</w:t>
      </w:r>
      <w:proofErr w:type="spellEnd"/>
      <w:r w:rsidRPr="002024B1">
        <w:rPr>
          <w:rFonts w:cs="Arial"/>
          <w:shd w:val="clear" w:color="auto" w:fill="FFFFFF"/>
        </w:rPr>
        <w:t xml:space="preserve">, 2012). </w:t>
      </w:r>
    </w:p>
    <w:p w:rsidR="00B923B6" w:rsidRPr="002024B1" w:rsidRDefault="00B923B6" w:rsidP="00B923B6">
      <w:pPr>
        <w:pStyle w:val="Heading4"/>
        <w:rPr>
          <w:b w:val="0"/>
          <w:color w:val="auto"/>
        </w:rPr>
      </w:pPr>
      <w:r w:rsidRPr="002024B1">
        <w:rPr>
          <w:b w:val="0"/>
          <w:color w:val="auto"/>
        </w:rPr>
        <w:t>4.4.3 Verkopen</w:t>
      </w:r>
    </w:p>
    <w:p w:rsidR="00B923B6" w:rsidRDefault="00B923B6" w:rsidP="00B33DCB">
      <w:pPr>
        <w:jc w:val="both"/>
      </w:pPr>
      <w:r>
        <w:t xml:space="preserve">Minister Blok van Wonen zegt in een interview met Vastgoedmarkt op 1 juni 2013 dat er 2,4 miljoen corporatiewoningen zijn en de doelgroep slechts 1,8 miljoen groot is. Het is een verspilling van </w:t>
      </w:r>
      <w:proofErr w:type="spellStart"/>
      <w:r>
        <w:t>maat</w:t>
      </w:r>
      <w:r w:rsidR="00B33DCB">
        <w:t>-</w:t>
      </w:r>
      <w:r>
        <w:t>schappelijk</w:t>
      </w:r>
      <w:proofErr w:type="spellEnd"/>
      <w:r>
        <w:t xml:space="preserve"> kapitaal om 600.000 huishoudens te blijven subsidiëren terwijl dit niet nodig is (</w:t>
      </w:r>
      <w:proofErr w:type="spellStart"/>
      <w:r>
        <w:t>Eichholtz</w:t>
      </w:r>
      <w:proofErr w:type="spellEnd"/>
      <w:r>
        <w:t xml:space="preserve">, 2003). Dit gaat om huishoudens die </w:t>
      </w:r>
      <w:proofErr w:type="gramStart"/>
      <w:r>
        <w:t>inmiddels</w:t>
      </w:r>
      <w:proofErr w:type="gramEnd"/>
      <w:r>
        <w:t xml:space="preserve"> boven de inkomensnorm van de doelgroep van sociale woningbouw zitten, de zogenaamde </w:t>
      </w:r>
      <w:proofErr w:type="spellStart"/>
      <w:r>
        <w:t>scheefwoners</w:t>
      </w:r>
      <w:proofErr w:type="spellEnd"/>
      <w:r>
        <w:t xml:space="preserve">. Zij kunnen gesubsidieerd wonen terwijl </w:t>
      </w:r>
      <w:proofErr w:type="gramStart"/>
      <w:r>
        <w:t>dit</w:t>
      </w:r>
      <w:proofErr w:type="gramEnd"/>
      <w:r>
        <w:t xml:space="preserve"> </w:t>
      </w:r>
      <w:proofErr w:type="spellStart"/>
      <w:r>
        <w:t>vol</w:t>
      </w:r>
      <w:r w:rsidR="00B33DCB">
        <w:t>-</w:t>
      </w:r>
      <w:r>
        <w:t>gens</w:t>
      </w:r>
      <w:proofErr w:type="spellEnd"/>
      <w:r>
        <w:t xml:space="preserve"> de normen niet meer nodig is. Wanneer deze woningen verkocht worden kunnen stille reserves worden gerealiseerd en kan er geïnvesteerd worden in de kwaliteit van de overige woningen. Het is jammer dat het in deze tijd, met het oog op de woningmarkt, lastig is om woningen te verkopen. Een massaal aanbod op de woningmarkt zal ook een ne</w:t>
      </w:r>
      <w:r w:rsidR="00665D02">
        <w:t xml:space="preserve">gatieve impact hebben op het </w:t>
      </w:r>
      <w:proofErr w:type="spellStart"/>
      <w:r w:rsidR="00665D02">
        <w:t>peil</w:t>
      </w:r>
      <w:r>
        <w:t>l</w:t>
      </w:r>
      <w:proofErr w:type="spellEnd"/>
      <w:r>
        <w:t xml:space="preserve"> van de </w:t>
      </w:r>
      <w:proofErr w:type="spellStart"/>
      <w:r>
        <w:t>huizen</w:t>
      </w:r>
      <w:r w:rsidR="00B33DCB">
        <w:t>-</w:t>
      </w:r>
      <w:r>
        <w:t>prijzen</w:t>
      </w:r>
      <w:proofErr w:type="spellEnd"/>
      <w:r>
        <w:t>. Ook zal de opbrengst met de huidige marktprijzen</w:t>
      </w:r>
      <w:r w:rsidR="00665D02">
        <w:t xml:space="preserve"> tegenvallen</w:t>
      </w:r>
      <w:r>
        <w:t xml:space="preserve">. </w:t>
      </w:r>
    </w:p>
    <w:p w:rsidR="00B923B6" w:rsidRPr="002024B1" w:rsidRDefault="00B923B6" w:rsidP="00B923B6">
      <w:pPr>
        <w:pStyle w:val="Heading4"/>
        <w:rPr>
          <w:b w:val="0"/>
          <w:color w:val="auto"/>
        </w:rPr>
      </w:pPr>
      <w:r w:rsidRPr="002024B1">
        <w:rPr>
          <w:b w:val="0"/>
          <w:color w:val="auto"/>
        </w:rPr>
        <w:t>4.4.4 Bouwakkoord</w:t>
      </w:r>
    </w:p>
    <w:p w:rsidR="00B923B6" w:rsidRPr="002024B1" w:rsidRDefault="00B923B6" w:rsidP="00B33DCB">
      <w:pPr>
        <w:jc w:val="both"/>
      </w:pPr>
      <w:r w:rsidRPr="002024B1">
        <w:t>Op donderdag 20 juni 2013 maakten woningcorporaties en bouwbedrijven een afspraak om 110.000 woningen energieneutraal te maken (</w:t>
      </w:r>
      <w:proofErr w:type="spellStart"/>
      <w:r w:rsidRPr="002024B1">
        <w:t>König</w:t>
      </w:r>
      <w:proofErr w:type="spellEnd"/>
      <w:r w:rsidRPr="002024B1">
        <w:t xml:space="preserve">, 2013). Huurders zullen niet meer zelf hun </w:t>
      </w:r>
      <w:proofErr w:type="spellStart"/>
      <w:r w:rsidRPr="002024B1">
        <w:t>energiereke</w:t>
      </w:r>
      <w:r w:rsidR="00B33DCB" w:rsidRPr="002024B1">
        <w:t>-</w:t>
      </w:r>
      <w:r w:rsidRPr="002024B1">
        <w:t>ning</w:t>
      </w:r>
      <w:proofErr w:type="spellEnd"/>
      <w:r w:rsidRPr="002024B1">
        <w:t xml:space="preserve"> betalen maar in plaats daarvan </w:t>
      </w:r>
      <w:r w:rsidR="00665D02" w:rsidRPr="002024B1">
        <w:t>betaalt de woningcorporatie dit en de huur stijgt met hetzelfde bedrag</w:t>
      </w:r>
      <w:r w:rsidRPr="002024B1">
        <w:t xml:space="preserve">. De corporatie gebruikt de extra inkomsten om leningen af te sluiten, de leningen worden </w:t>
      </w:r>
      <w:proofErr w:type="spellStart"/>
      <w:r w:rsidRPr="002024B1">
        <w:t>ge</w:t>
      </w:r>
      <w:r w:rsidR="00B33DCB" w:rsidRPr="002024B1">
        <w:t>-</w:t>
      </w:r>
      <w:r w:rsidRPr="002024B1">
        <w:t>bruikt</w:t>
      </w:r>
      <w:proofErr w:type="spellEnd"/>
      <w:r w:rsidRPr="002024B1">
        <w:t xml:space="preserve"> voor renovatie. Na de investering is de woning energieneutraal, wat betekent dat de </w:t>
      </w:r>
      <w:proofErr w:type="spellStart"/>
      <w:r w:rsidRPr="002024B1">
        <w:t>energie</w:t>
      </w:r>
      <w:r w:rsidR="00B33DCB" w:rsidRPr="002024B1">
        <w:t>-</w:t>
      </w:r>
      <w:r w:rsidRPr="002024B1">
        <w:t>lasten</w:t>
      </w:r>
      <w:proofErr w:type="spellEnd"/>
      <w:r w:rsidR="00BC5B45" w:rsidRPr="002024B1">
        <w:t xml:space="preserve"> voor de corporatie</w:t>
      </w:r>
      <w:r w:rsidRPr="002024B1">
        <w:t xml:space="preserve"> nihil zijn. De </w:t>
      </w:r>
      <w:proofErr w:type="gramStart"/>
      <w:r w:rsidRPr="002024B1">
        <w:t xml:space="preserve">afspraak  </w:t>
      </w:r>
      <w:proofErr w:type="gramEnd"/>
      <w:r w:rsidRPr="002024B1">
        <w:t>biedt voordelen voor alle partijen: de huurder krijgt ee</w:t>
      </w:r>
      <w:r w:rsidR="00BC5B45" w:rsidRPr="002024B1">
        <w:t>n gerenoveerde, duurzame woning met gelijke lasten,</w:t>
      </w:r>
      <w:r w:rsidRPr="002024B1">
        <w:t xml:space="preserve"> de corporatie kan weer investeringen doen in hun woningbezit en bouwbedrijven krijgen meer opdrachten. Dit verhaal impliceert dat er extra investeringen kunnen worden gedaan wanneer de corporatie de energienota voor haar rekening neemt. Wanneer een corporatie alle huur inclusief energiekosten int, kan energie met </w:t>
      </w:r>
      <w:proofErr w:type="spellStart"/>
      <w:r w:rsidRPr="002024B1">
        <w:t>kwantumkor</w:t>
      </w:r>
      <w:r w:rsidR="00B33DCB" w:rsidRPr="002024B1">
        <w:t>-</w:t>
      </w:r>
      <w:r w:rsidRPr="002024B1">
        <w:t>ting</w:t>
      </w:r>
      <w:proofErr w:type="spellEnd"/>
      <w:r w:rsidRPr="002024B1">
        <w:t xml:space="preserve"> worden ingekocht en wellicht levert dit veel geld op. Dit systeem biedt mogelijkheden maar </w:t>
      </w:r>
      <w:proofErr w:type="spellStart"/>
      <w:proofErr w:type="gramStart"/>
      <w:r w:rsidRPr="002024B1">
        <w:t>cor</w:t>
      </w:r>
      <w:r w:rsidR="00B33DCB" w:rsidRPr="002024B1">
        <w:t>-</w:t>
      </w:r>
      <w:r w:rsidRPr="002024B1">
        <w:t>poraties</w:t>
      </w:r>
      <w:proofErr w:type="spellEnd"/>
      <w:proofErr w:type="gramEnd"/>
      <w:r w:rsidRPr="002024B1">
        <w:t xml:space="preserve"> zitten wel met een </w:t>
      </w:r>
      <w:r w:rsidR="00BC5B45" w:rsidRPr="002024B1">
        <w:t xml:space="preserve">sociale huurgrens van 600 euro. Wanneer de huur hoger is, kwalificeert de woning niet meer als sociaal </w:t>
      </w:r>
      <w:proofErr w:type="gramStart"/>
      <w:r w:rsidR="00BC5B45" w:rsidRPr="002024B1">
        <w:t xml:space="preserve">vastgoed. </w:t>
      </w:r>
      <w:r w:rsidRPr="002024B1">
        <w:t xml:space="preserve"> </w:t>
      </w:r>
      <w:proofErr w:type="gramEnd"/>
    </w:p>
    <w:p w:rsidR="00B923B6" w:rsidRPr="002024B1" w:rsidRDefault="00B923B6" w:rsidP="00B923B6">
      <w:pPr>
        <w:pStyle w:val="Heading3"/>
        <w:rPr>
          <w:color w:val="auto"/>
        </w:rPr>
      </w:pPr>
      <w:r w:rsidRPr="002024B1">
        <w:rPr>
          <w:color w:val="auto"/>
        </w:rPr>
        <w:t>4.5 Conclusie</w:t>
      </w:r>
    </w:p>
    <w:p w:rsidR="00B923B6" w:rsidRDefault="00B923B6" w:rsidP="00B33DCB">
      <w:pPr>
        <w:jc w:val="both"/>
      </w:pPr>
      <w:r w:rsidRPr="002024B1">
        <w:t>In Hoofdstuk 4 zijn de gevolgen van het kie</w:t>
      </w:r>
      <w:r w:rsidR="00BC5B45" w:rsidRPr="002024B1">
        <w:t>zen voor een waarderingsmethode</w:t>
      </w:r>
      <w:r w:rsidRPr="002024B1">
        <w:t xml:space="preserve"> aan bod gekomen,</w:t>
      </w:r>
      <w:r>
        <w:t xml:space="preserve"> daarnaast zijn de voor- en nadelen van enkele oplossingen voor het financieringsprobleem besproken. </w:t>
      </w:r>
    </w:p>
    <w:p w:rsidR="00B923B6" w:rsidRPr="00DF3DD2" w:rsidRDefault="00B923B6" w:rsidP="00B33DCB">
      <w:pPr>
        <w:jc w:val="both"/>
      </w:pPr>
      <w:r>
        <w:t xml:space="preserve">Wanneer woningcorporaties de bedrijfswaarde hanteren resulteert dit in een lagere balanswaarde en een lagere </w:t>
      </w:r>
      <w:proofErr w:type="gramStart"/>
      <w:r>
        <w:t>solvabiliteit</w:t>
      </w:r>
      <w:proofErr w:type="gramEnd"/>
      <w:r>
        <w:t xml:space="preserve">. Een lagere </w:t>
      </w:r>
      <w:proofErr w:type="gramStart"/>
      <w:r>
        <w:t>solvabiliteit</w:t>
      </w:r>
      <w:proofErr w:type="gramEnd"/>
      <w:r>
        <w:t xml:space="preserve"> levert problemen op bij </w:t>
      </w:r>
      <w:r w:rsidR="00BC5B45">
        <w:t>de financiering van</w:t>
      </w:r>
      <w:r>
        <w:t xml:space="preserve"> nieuwe projecten omdat het samen met de </w:t>
      </w:r>
      <w:proofErr w:type="spellStart"/>
      <w:r>
        <w:t>rentedekkingsgraad</w:t>
      </w:r>
      <w:proofErr w:type="spellEnd"/>
      <w:r>
        <w:t xml:space="preserve"> de belangrijkste financieringsvoorwaarde is voor kredietverstrekkers. De </w:t>
      </w:r>
      <w:proofErr w:type="spellStart"/>
      <w:r>
        <w:t>rentedekkingsgraad</w:t>
      </w:r>
      <w:proofErr w:type="spellEnd"/>
      <w:r>
        <w:t xml:space="preserve"> staat </w:t>
      </w:r>
      <w:proofErr w:type="gramStart"/>
      <w:r>
        <w:t>daarentegen</w:t>
      </w:r>
      <w:proofErr w:type="gramEnd"/>
      <w:r>
        <w:t xml:space="preserve"> niet in verband met de keuze voor een waarderingsmethode. Met het </w:t>
      </w:r>
      <w:proofErr w:type="spellStart"/>
      <w:r>
        <w:t>bedrijfswaardemodel</w:t>
      </w:r>
      <w:proofErr w:type="spellEnd"/>
      <w:r>
        <w:t xml:space="preserve"> is er sprake van stille reserves. Ze </w:t>
      </w:r>
      <w:proofErr w:type="spellStart"/>
      <w:r>
        <w:t>kun</w:t>
      </w:r>
      <w:r w:rsidR="00B33DCB">
        <w:t>-</w:t>
      </w:r>
      <w:r>
        <w:t>nen</w:t>
      </w:r>
      <w:proofErr w:type="spellEnd"/>
      <w:r>
        <w:t xml:space="preserve"> op twee manieren berekend worden: door het verschil te nemen tussen de bedrijfswaarde en de </w:t>
      </w:r>
      <w:proofErr w:type="spellStart"/>
      <w:r>
        <w:t>WOZ-waarde</w:t>
      </w:r>
      <w:proofErr w:type="spellEnd"/>
      <w:r>
        <w:t xml:space="preserve"> of door het verschil tussen de bedrijfswaarde en de huuropbrengst te delen door de disconteringsvoet. De tweede methode geeft een betere indicatie van de stille reserves omdat het niet waarschijnlijk is dat bij overdracht van een woning in verhuurde staat de </w:t>
      </w:r>
      <w:proofErr w:type="spellStart"/>
      <w:r>
        <w:t>WOZ-waarde</w:t>
      </w:r>
      <w:proofErr w:type="spellEnd"/>
      <w:r>
        <w:t xml:space="preserve"> betaald zal worden. Commerciële woonbedrijven hanteren ook de tweede methode om de directe </w:t>
      </w:r>
      <w:proofErr w:type="spellStart"/>
      <w:r>
        <w:t>op</w:t>
      </w:r>
      <w:r w:rsidR="00B33DCB">
        <w:t>-</w:t>
      </w:r>
      <w:r>
        <w:t>brengstwaarde</w:t>
      </w:r>
      <w:proofErr w:type="spellEnd"/>
      <w:r>
        <w:t xml:space="preserve"> te berekenen. </w:t>
      </w:r>
    </w:p>
    <w:p w:rsidR="00B923B6" w:rsidRDefault="00B923B6" w:rsidP="00B33DCB">
      <w:pPr>
        <w:tabs>
          <w:tab w:val="left" w:pos="5895"/>
        </w:tabs>
        <w:jc w:val="both"/>
      </w:pPr>
      <w:r>
        <w:t xml:space="preserve">De belangrijkste redenen voor het financieringsprobleem zijn de lage waardering van het </w:t>
      </w:r>
      <w:proofErr w:type="spellStart"/>
      <w:r>
        <w:t>woning</w:t>
      </w:r>
      <w:r w:rsidR="00B33DCB">
        <w:t>-</w:t>
      </w:r>
      <w:r>
        <w:t>bezit</w:t>
      </w:r>
      <w:proofErr w:type="spellEnd"/>
      <w:r>
        <w:t xml:space="preserve"> en het stopzetten van nieuwe </w:t>
      </w:r>
      <w:r w:rsidR="0004078F">
        <w:t>waar</w:t>
      </w:r>
      <w:r w:rsidR="00BC5B45">
        <w:t>borging door</w:t>
      </w:r>
      <w:r>
        <w:t xml:space="preserve"> het WSW. Als oplossing voor het </w:t>
      </w:r>
      <w:proofErr w:type="spellStart"/>
      <w:r>
        <w:t>financi</w:t>
      </w:r>
      <w:r w:rsidR="00BC5B45">
        <w:t>erings</w:t>
      </w:r>
      <w:r w:rsidR="00B33DCB">
        <w:t>-</w:t>
      </w:r>
      <w:r w:rsidR="00BC5B45">
        <w:t>probleem</w:t>
      </w:r>
      <w:proofErr w:type="spellEnd"/>
      <w:r w:rsidR="00BC5B45">
        <w:t xml:space="preserve"> is genoemd</w:t>
      </w:r>
      <w:r>
        <w:t xml:space="preserve"> de opbrengst van de </w:t>
      </w:r>
      <w:proofErr w:type="spellStart"/>
      <w:r w:rsidR="00BC5B45">
        <w:t>ver</w:t>
      </w:r>
      <w:r>
        <w:t>huurdersheffin</w:t>
      </w:r>
      <w:r w:rsidR="00BC5B45">
        <w:t>g</w:t>
      </w:r>
      <w:proofErr w:type="spellEnd"/>
      <w:r w:rsidR="00BC5B45">
        <w:t xml:space="preserve"> in een fonds te stoppen en dat</w:t>
      </w:r>
      <w:r>
        <w:t xml:space="preserve"> te </w:t>
      </w:r>
      <w:proofErr w:type="spellStart"/>
      <w:r>
        <w:t>ge</w:t>
      </w:r>
      <w:r w:rsidR="00B33DCB">
        <w:t>-</w:t>
      </w:r>
      <w:r>
        <w:t>bruiken</w:t>
      </w:r>
      <w:proofErr w:type="spellEnd"/>
      <w:r>
        <w:t xml:space="preserve"> voor financiering van nieuwe investeringen. H</w:t>
      </w:r>
      <w:r w:rsidR="00BC5B45">
        <w:t>et rijk kan via belastingen zijn</w:t>
      </w:r>
      <w:r>
        <w:t xml:space="preserve"> geld ruimschoots terug verwachten. Vervolgens is de mogelijkheid besp</w:t>
      </w:r>
      <w:r w:rsidR="00BC5B45">
        <w:t>roken van</w:t>
      </w:r>
      <w:r>
        <w:t xml:space="preserve"> het uitgeven van obligaties door </w:t>
      </w:r>
      <w:proofErr w:type="spellStart"/>
      <w:r>
        <w:t>wo</w:t>
      </w:r>
      <w:r w:rsidR="00B33DCB">
        <w:t>-</w:t>
      </w:r>
      <w:r>
        <w:t>ningcorporaties</w:t>
      </w:r>
      <w:proofErr w:type="spellEnd"/>
      <w:r>
        <w:t xml:space="preserve">. Hier zitten echter veel voorwaarden aan vast en zal zonder </w:t>
      </w:r>
      <w:proofErr w:type="spellStart"/>
      <w:r>
        <w:t>WSW-borging</w:t>
      </w:r>
      <w:proofErr w:type="spellEnd"/>
      <w:r>
        <w:t xml:space="preserve"> leiden tot een hogere rente. Door minister Blok van Wonen werd geconstateerd dat er 600.000 sociale </w:t>
      </w:r>
      <w:proofErr w:type="spellStart"/>
      <w:r>
        <w:t>huur</w:t>
      </w:r>
      <w:r w:rsidR="00B33DCB">
        <w:t>-</w:t>
      </w:r>
      <w:r>
        <w:t>woningen</w:t>
      </w:r>
      <w:proofErr w:type="spellEnd"/>
      <w:r>
        <w:t xml:space="preserve"> ‘te veel’ zijn. Hiermee verdedigt hij dat het niet erg is dat woningcorporaties niet meer investeren. Wanneer woningcorporaties niet meer investeren heeft dat </w:t>
      </w:r>
      <w:r w:rsidR="00BC5B45">
        <w:t>echter ver</w:t>
      </w:r>
      <w:r>
        <w:t xml:space="preserve">strekkende </w:t>
      </w:r>
      <w:proofErr w:type="spellStart"/>
      <w:r>
        <w:t>gevol</w:t>
      </w:r>
      <w:r w:rsidR="00B33DCB">
        <w:t>-</w:t>
      </w:r>
      <w:r>
        <w:t>gen</w:t>
      </w:r>
      <w:proofErr w:type="spellEnd"/>
      <w:r>
        <w:t xml:space="preserve"> voor de Nederlandse economie, </w:t>
      </w:r>
      <w:proofErr w:type="gramStart"/>
      <w:r>
        <w:t>met name</w:t>
      </w:r>
      <w:proofErr w:type="gramEnd"/>
      <w:r>
        <w:t xml:space="preserve"> voor de bouwsector. Beter zou het zijn om die 600.000 woningen af te stoten en met de verkregen middelen toch te investeren in de kwaliteit van de rest van de corporatiewoningen. </w:t>
      </w:r>
      <w:r w:rsidR="00F87E54">
        <w:t xml:space="preserve">Dit is de meest effectieve oplossing en het maakt de weg vrij voor woningcorporaties om vastgoed tegen reële waarde/marktwaarde te waarderen. </w:t>
      </w:r>
      <w:r>
        <w:t xml:space="preserve">Als laatste kwam de het akkoord ter sprake van woningcorporaties en </w:t>
      </w:r>
      <w:r w:rsidR="00BC5B45">
        <w:t xml:space="preserve">gezamenlijke </w:t>
      </w:r>
      <w:r>
        <w:t xml:space="preserve">bouwbedrijven. Deze </w:t>
      </w:r>
      <w:proofErr w:type="spellStart"/>
      <w:r>
        <w:t>oplos</w:t>
      </w:r>
      <w:r w:rsidR="00B33DCB">
        <w:t>-</w:t>
      </w:r>
      <w:r>
        <w:t>sing</w:t>
      </w:r>
      <w:proofErr w:type="spellEnd"/>
      <w:r>
        <w:t xml:space="preserve"> lijkt</w:t>
      </w:r>
      <w:r w:rsidR="00BC5B45">
        <w:t xml:space="preserve"> met uitzondering van de energiebedrijven</w:t>
      </w:r>
      <w:r>
        <w:t xml:space="preserve"> </w:t>
      </w:r>
      <w:r w:rsidR="00BC5B45">
        <w:t>alleen winnaars te kennen.</w:t>
      </w:r>
    </w:p>
    <w:p w:rsidR="00B923B6" w:rsidRDefault="00B923B6"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467662" w:rsidRDefault="00467662" w:rsidP="00754475"/>
    <w:p w:rsidR="002E6F72" w:rsidRDefault="002E6F72" w:rsidP="00754475"/>
    <w:p w:rsidR="002E6F72" w:rsidRDefault="002E6F72" w:rsidP="00754475"/>
    <w:p w:rsidR="002E6F72" w:rsidRDefault="002E6F72" w:rsidP="00754475"/>
    <w:p w:rsidR="002E6F72" w:rsidRDefault="002E6F72" w:rsidP="00754475"/>
    <w:p w:rsidR="00467662" w:rsidRDefault="00467662" w:rsidP="00754475"/>
    <w:p w:rsidR="00467662" w:rsidRPr="002024B1" w:rsidRDefault="00467662" w:rsidP="00467662">
      <w:pPr>
        <w:pStyle w:val="Heading2"/>
        <w:rPr>
          <w:color w:val="auto"/>
        </w:rPr>
      </w:pPr>
      <w:r w:rsidRPr="002024B1">
        <w:rPr>
          <w:color w:val="auto"/>
        </w:rPr>
        <w:t>5: Inzicht in de financiële positie</w:t>
      </w:r>
      <w:r w:rsidR="00BC5B45" w:rsidRPr="002024B1">
        <w:rPr>
          <w:color w:val="auto"/>
        </w:rPr>
        <w:t xml:space="preserve"> van woningcorporaties</w:t>
      </w:r>
    </w:p>
    <w:p w:rsidR="00467662" w:rsidRPr="002024B1" w:rsidRDefault="00467662" w:rsidP="00467662"/>
    <w:p w:rsidR="00467662" w:rsidRPr="002024B1" w:rsidRDefault="00467662" w:rsidP="00467662">
      <w:pPr>
        <w:pStyle w:val="Heading3"/>
        <w:rPr>
          <w:color w:val="auto"/>
        </w:rPr>
      </w:pPr>
      <w:r w:rsidRPr="002024B1">
        <w:rPr>
          <w:color w:val="auto"/>
        </w:rPr>
        <w:t>5.1 Inleiding</w:t>
      </w:r>
    </w:p>
    <w:p w:rsidR="00467662" w:rsidRPr="002024B1" w:rsidRDefault="00467662" w:rsidP="00B33DCB">
      <w:pPr>
        <w:jc w:val="both"/>
      </w:pPr>
      <w:r w:rsidRPr="002024B1">
        <w:t xml:space="preserve">Tot nu toe is naar voren gekomen welke waarderingsmethoden van vastgoed </w:t>
      </w:r>
      <w:r w:rsidR="00BC5B45" w:rsidRPr="002024B1">
        <w:t xml:space="preserve">er </w:t>
      </w:r>
      <w:r w:rsidRPr="002024B1">
        <w:t xml:space="preserve">bestaan, hoe de financiële positie van woningcorporaties wordt bepaald, welke wet- en regelgeving er bestaat </w:t>
      </w:r>
      <w:proofErr w:type="spellStart"/>
      <w:r w:rsidRPr="002024B1">
        <w:t>aan</w:t>
      </w:r>
      <w:r w:rsidR="00B33DCB" w:rsidRPr="002024B1">
        <w:t>-</w:t>
      </w:r>
      <w:r w:rsidRPr="002024B1">
        <w:t>gaande</w:t>
      </w:r>
      <w:proofErr w:type="spellEnd"/>
      <w:r w:rsidRPr="002024B1">
        <w:t xml:space="preserve"> vastgoed van woningcorporaties en wat van belang is bij de keuze voor een </w:t>
      </w:r>
      <w:proofErr w:type="spellStart"/>
      <w:r w:rsidRPr="002024B1">
        <w:t>waarderings</w:t>
      </w:r>
      <w:r w:rsidR="00B33DCB" w:rsidRPr="002024B1">
        <w:t>-</w:t>
      </w:r>
      <w:r w:rsidRPr="002024B1">
        <w:t>methode</w:t>
      </w:r>
      <w:proofErr w:type="spellEnd"/>
      <w:r w:rsidRPr="002024B1">
        <w:t xml:space="preserve">. </w:t>
      </w:r>
      <w:proofErr w:type="gramStart"/>
      <w:r w:rsidRPr="002024B1">
        <w:t>In dit hoofdstuk wordt, naar aanleiding van de vorige hoofdstukken, geprob</w:t>
      </w:r>
      <w:r w:rsidR="00BC5B45" w:rsidRPr="002024B1">
        <w:t xml:space="preserve">eerd te </w:t>
      </w:r>
      <w:proofErr w:type="spellStart"/>
      <w:r w:rsidR="00BC5B45" w:rsidRPr="002024B1">
        <w:t>bepa</w:t>
      </w:r>
      <w:r w:rsidR="00B33DCB" w:rsidRPr="002024B1">
        <w:t>-</w:t>
      </w:r>
      <w:r w:rsidR="00BC5B45" w:rsidRPr="002024B1">
        <w:t>len</w:t>
      </w:r>
      <w:proofErr w:type="spellEnd"/>
      <w:r w:rsidR="00BC5B45" w:rsidRPr="002024B1">
        <w:t xml:space="preserve"> hoe het best</w:t>
      </w:r>
      <w:r w:rsidRPr="002024B1">
        <w:t xml:space="preserve"> inzicht in de financiële positie kan worden verschaft. </w:t>
      </w:r>
      <w:proofErr w:type="gramEnd"/>
      <w:r w:rsidRPr="002024B1">
        <w:t xml:space="preserve">In paragraaf 5.2 wordt </w:t>
      </w:r>
      <w:proofErr w:type="spellStart"/>
      <w:r w:rsidRPr="002024B1">
        <w:t>beoor</w:t>
      </w:r>
      <w:r w:rsidR="00B33DCB" w:rsidRPr="002024B1">
        <w:t>-</w:t>
      </w:r>
      <w:r w:rsidRPr="002024B1">
        <w:t>deeld</w:t>
      </w:r>
      <w:proofErr w:type="spellEnd"/>
      <w:r w:rsidRPr="002024B1">
        <w:t xml:space="preserve"> in welke mate er sprake is van subjectiviteit in de bedrijfswaarde. In paragraaf 5.3 komt de </w:t>
      </w:r>
      <w:proofErr w:type="spellStart"/>
      <w:r w:rsidRPr="002024B1">
        <w:t>sub</w:t>
      </w:r>
      <w:r w:rsidR="00B33DCB" w:rsidRPr="002024B1">
        <w:t>-</w:t>
      </w:r>
      <w:r w:rsidRPr="002024B1">
        <w:t>jectiviteit</w:t>
      </w:r>
      <w:proofErr w:type="spellEnd"/>
      <w:r w:rsidRPr="002024B1">
        <w:t xml:space="preserve"> naar aanleiding van de herziene RJ 645 aan de orde. In paragraaf 5.4 wo</w:t>
      </w:r>
      <w:r w:rsidR="00BC5B45" w:rsidRPr="002024B1">
        <w:t>rdt de mogelijkheid besproken</w:t>
      </w:r>
      <w:r w:rsidRPr="002024B1">
        <w:t xml:space="preserve"> al het vastgoed op </w:t>
      </w:r>
      <w:r w:rsidR="00BA409C" w:rsidRPr="002024B1">
        <w:t>een uniforme</w:t>
      </w:r>
      <w:r w:rsidRPr="002024B1">
        <w:t xml:space="preserve"> manier te waarderen. Ten slotte komt in paragraaf 5.5 een aanbeveli</w:t>
      </w:r>
      <w:r w:rsidR="00BC5B45" w:rsidRPr="002024B1">
        <w:t>ng naar voren over hoe het best</w:t>
      </w:r>
      <w:r w:rsidRPr="002024B1">
        <w:t xml:space="preserve"> inzicht in de financiële positie verschaft kan worden. </w:t>
      </w:r>
    </w:p>
    <w:p w:rsidR="00467662" w:rsidRPr="002024B1" w:rsidRDefault="00467662" w:rsidP="00467662">
      <w:pPr>
        <w:pStyle w:val="Heading3"/>
        <w:rPr>
          <w:color w:val="auto"/>
        </w:rPr>
      </w:pPr>
      <w:r w:rsidRPr="002024B1">
        <w:rPr>
          <w:color w:val="auto"/>
        </w:rPr>
        <w:t>5.2 Subjectiviteit in de bedrijfswaarde</w:t>
      </w:r>
    </w:p>
    <w:p w:rsidR="00467662" w:rsidRPr="002024B1" w:rsidRDefault="00467662" w:rsidP="00235076">
      <w:pPr>
        <w:jc w:val="both"/>
      </w:pPr>
      <w:r w:rsidRPr="002024B1">
        <w:t xml:space="preserve">De </w:t>
      </w:r>
      <w:proofErr w:type="spellStart"/>
      <w:r w:rsidRPr="002024B1">
        <w:t>bedrijfswaardemethode</w:t>
      </w:r>
      <w:proofErr w:type="spellEnd"/>
      <w:r w:rsidRPr="002024B1">
        <w:t xml:space="preserve"> geeft een goede afspiegeling van de financiële mogelijkheden van </w:t>
      </w:r>
      <w:proofErr w:type="spellStart"/>
      <w:r w:rsidRPr="002024B1">
        <w:t>wo</w:t>
      </w:r>
      <w:r w:rsidR="00B33DCB" w:rsidRPr="002024B1">
        <w:t>-</w:t>
      </w:r>
      <w:r w:rsidRPr="002024B1">
        <w:t>ningcorporaties</w:t>
      </w:r>
      <w:proofErr w:type="spellEnd"/>
      <w:r w:rsidRPr="002024B1">
        <w:t xml:space="preserve"> (Gruis, 2003). Toekomstige cashflows komen overeen met het economische </w:t>
      </w:r>
      <w:proofErr w:type="spellStart"/>
      <w:r w:rsidRPr="002024B1">
        <w:t>waarde</w:t>
      </w:r>
      <w:r w:rsidR="00235076" w:rsidRPr="002024B1">
        <w:t>-</w:t>
      </w:r>
      <w:r w:rsidRPr="002024B1">
        <w:t>begrip</w:t>
      </w:r>
      <w:proofErr w:type="spellEnd"/>
      <w:r w:rsidRPr="002024B1">
        <w:t xml:space="preserve">. Met de nieuwe afschrijvingsbepalingen voor de bedrijfswaarde (componentenbenadering, zie paragraaf 3.4) is de subjectiviteit in de berekening afgenomen. Vóór invoering van de </w:t>
      </w:r>
      <w:proofErr w:type="spellStart"/>
      <w:r w:rsidRPr="002024B1">
        <w:t>componenten</w:t>
      </w:r>
      <w:r w:rsidR="00235076" w:rsidRPr="002024B1">
        <w:t>-</w:t>
      </w:r>
      <w:r w:rsidRPr="002024B1">
        <w:t>benadering</w:t>
      </w:r>
      <w:proofErr w:type="spellEnd"/>
      <w:r w:rsidRPr="002024B1">
        <w:t xml:space="preserve"> kwam met de </w:t>
      </w:r>
      <w:proofErr w:type="spellStart"/>
      <w:r w:rsidRPr="002024B1">
        <w:t>annuïtaire</w:t>
      </w:r>
      <w:proofErr w:type="spellEnd"/>
      <w:r w:rsidRPr="002024B1">
        <w:t xml:space="preserve"> afschrijvingsmethode een meer arbitraire bedrijfswaarde tot stand. De verdiencapaciteit is goed zichtbaar bij de bedrijfswaarde. Bij gebruik van de historische kostprijs komen actuele marktontwikkelingen niet tot uitdrukking. </w:t>
      </w:r>
    </w:p>
    <w:p w:rsidR="00467662" w:rsidRPr="002024B1" w:rsidRDefault="00467662" w:rsidP="00235076">
      <w:pPr>
        <w:jc w:val="both"/>
      </w:pPr>
      <w:r w:rsidRPr="002024B1">
        <w:t xml:space="preserve">Een bron van subjectiviteit in het bedrijfswaarde model is de manier waarop overheadkosten worden toegekend aan woningen. Op basis van RJ 645.311 moeten uitgaven die nodig zijn om inkomsten te generen worden betrokken in de bedrijfswaarde. Er moet bepaald worden welke kosten toe te </w:t>
      </w:r>
      <w:proofErr w:type="spellStart"/>
      <w:r w:rsidRPr="002024B1">
        <w:t>schrij</w:t>
      </w:r>
      <w:r w:rsidR="00235076" w:rsidRPr="002024B1">
        <w:t>-</w:t>
      </w:r>
      <w:r w:rsidRPr="002024B1">
        <w:t>ven</w:t>
      </w:r>
      <w:proofErr w:type="spellEnd"/>
      <w:r w:rsidRPr="002024B1">
        <w:t xml:space="preserve"> zijn aan de exploitatie. Overheadkosten bestaan uit administratie, bestuur, automatisering en overig personeel. Via een verdeelsleutel als aantal vierkante meters of aantal verhuurde eenheden worden de </w:t>
      </w:r>
      <w:r w:rsidR="0053570D" w:rsidRPr="002024B1">
        <w:t>kosten toegerekend (CFV, 2012c</w:t>
      </w:r>
      <w:r w:rsidRPr="002024B1">
        <w:t xml:space="preserve">). Per woningcorporatie kan de toewijzing dus verschillen, wat subjectiviteit in de hand werkt. In de berekening van de </w:t>
      </w:r>
      <w:proofErr w:type="spellStart"/>
      <w:r w:rsidRPr="002024B1">
        <w:t>volkshuisvestelijke</w:t>
      </w:r>
      <w:proofErr w:type="spellEnd"/>
      <w:r w:rsidRPr="002024B1">
        <w:t xml:space="preserve"> exploitatiewaarde (paragraaf 1.5) worden de indirecte kosten aangepast bij een significante afwijking van het </w:t>
      </w:r>
      <w:proofErr w:type="spellStart"/>
      <w:r w:rsidRPr="002024B1">
        <w:t>sectorge</w:t>
      </w:r>
      <w:r w:rsidR="00235076" w:rsidRPr="002024B1">
        <w:t>-</w:t>
      </w:r>
      <w:r w:rsidRPr="002024B1">
        <w:t>middelde</w:t>
      </w:r>
      <w:proofErr w:type="spellEnd"/>
      <w:r w:rsidRPr="002024B1">
        <w:t xml:space="preserve">. Het CFV voorkomt subjectiviteit maar de overige </w:t>
      </w:r>
      <w:proofErr w:type="spellStart"/>
      <w:r w:rsidRPr="002024B1">
        <w:t>stakeholders</w:t>
      </w:r>
      <w:proofErr w:type="spellEnd"/>
      <w:r w:rsidRPr="002024B1">
        <w:t xml:space="preserve"> hebben bij het beoordelen van de jaarrekening hier wel mee te maken. De methode van toewijzing dient te worden toegelicht in de jaarrekening maar in de praktijk is dit een summiere opmerking in de vorm van: “de indeling naar kasstroomgenerende eenheid is gebaseerd op complexniveau” (Jaarverslag Rentree, 2012). Een </w:t>
      </w:r>
      <w:proofErr w:type="spellStart"/>
      <w:r w:rsidRPr="002024B1">
        <w:t>al</w:t>
      </w:r>
      <w:r w:rsidR="00235076" w:rsidRPr="002024B1">
        <w:t>-</w:t>
      </w:r>
      <w:r w:rsidRPr="002024B1">
        <w:t>ternatief</w:t>
      </w:r>
      <w:proofErr w:type="spellEnd"/>
      <w:r w:rsidRPr="002024B1">
        <w:t xml:space="preserve"> is dat overheadkosten inzichtelijk worden gemaakt op de balans door middel van een </w:t>
      </w:r>
      <w:proofErr w:type="spellStart"/>
      <w:r w:rsidRPr="002024B1">
        <w:t>voor</w:t>
      </w:r>
      <w:r w:rsidR="00235076" w:rsidRPr="002024B1">
        <w:t>-</w:t>
      </w:r>
      <w:r w:rsidRPr="002024B1">
        <w:t>ziening</w:t>
      </w:r>
      <w:proofErr w:type="spellEnd"/>
      <w:r w:rsidRPr="002024B1">
        <w:t xml:space="preserve"> (Gruis, 2003). Dit is niet toegestaan maar het heeft twee voordelen. Ten eerste zal er een objectievere bedrijfswaarde tot stand komen door moeilijk toe te rekenen kosten te verwijderen. Ten tweede kunnen de hoge overheadkosten tussen corporaties vergeleken worden in het kader van efficiëntie van beheerskosten. </w:t>
      </w:r>
    </w:p>
    <w:p w:rsidR="00467662" w:rsidRPr="002024B1" w:rsidRDefault="00467662" w:rsidP="00235076">
      <w:pPr>
        <w:jc w:val="both"/>
      </w:pPr>
      <w:r w:rsidRPr="002024B1">
        <w:t>De exploitatieduur van woningen in de berekening van de bedrijfswaarde behoort tussen de vijftien en vijftig jaar te liggen (</w:t>
      </w:r>
      <w:r w:rsidR="0053570D" w:rsidRPr="002024B1">
        <w:t>CFV, 2012c</w:t>
      </w:r>
      <w:r w:rsidRPr="002024B1">
        <w:t xml:space="preserve">). Eens in de drie tot vijf jaar kan de exploitatieduur worden </w:t>
      </w:r>
      <w:proofErr w:type="spellStart"/>
      <w:r w:rsidRPr="002024B1">
        <w:t>beoor</w:t>
      </w:r>
      <w:r w:rsidR="00235076" w:rsidRPr="002024B1">
        <w:t>-</w:t>
      </w:r>
      <w:r w:rsidRPr="002024B1">
        <w:t>deeld</w:t>
      </w:r>
      <w:proofErr w:type="spellEnd"/>
      <w:r w:rsidRPr="002024B1">
        <w:t xml:space="preserve"> en gewijzigd. Deze wijzigingen zijn arbitrair omdat bij een verlenging van de exploitatieduur de waarde kan stijgen, maar gezien de ontwikkeling van de bedrijfswaarde ook kan dalen. Een </w:t>
      </w:r>
      <w:proofErr w:type="spellStart"/>
      <w:r w:rsidRPr="002024B1">
        <w:t>levens</w:t>
      </w:r>
      <w:r w:rsidR="00235076" w:rsidRPr="002024B1">
        <w:t>-</w:t>
      </w:r>
      <w:r w:rsidRPr="002024B1">
        <w:t>duur</w:t>
      </w:r>
      <w:proofErr w:type="spellEnd"/>
      <w:r w:rsidRPr="002024B1">
        <w:t xml:space="preserve"> van vijftig jaar is niet in overeenstemming met de werkelijke levensduur van woningen. De werkelijke levensduur is pas bekend bij herontwikkeling maar de praktijk </w:t>
      </w:r>
      <w:r w:rsidR="00BC5B45" w:rsidRPr="002024B1">
        <w:t xml:space="preserve">wijst uit dat woningen uit de eerste helft van de twintigste eeuw </w:t>
      </w:r>
      <w:r w:rsidRPr="002024B1">
        <w:t xml:space="preserve">ook nog bewoond zijn. Een afschrijvingsduur van zeventig jaar zou ook moeten kunnen en gezien het </w:t>
      </w:r>
      <w:proofErr w:type="spellStart"/>
      <w:r w:rsidRPr="002024B1">
        <w:t>b</w:t>
      </w:r>
      <w:r w:rsidR="00BC5B45" w:rsidRPr="002024B1">
        <w:t>edrijfswaardemodel</w:t>
      </w:r>
      <w:proofErr w:type="spellEnd"/>
      <w:r w:rsidR="00BC5B45" w:rsidRPr="002024B1">
        <w:t xml:space="preserve"> heeft </w:t>
      </w:r>
      <w:proofErr w:type="gramStart"/>
      <w:r w:rsidR="00BC5B45" w:rsidRPr="002024B1">
        <w:t>dit</w:t>
      </w:r>
      <w:proofErr w:type="gramEnd"/>
      <w:r w:rsidR="00BC5B45" w:rsidRPr="002024B1">
        <w:t xml:space="preserve"> </w:t>
      </w:r>
      <w:r w:rsidRPr="002024B1">
        <w:t xml:space="preserve"> invloed op de financiële </w:t>
      </w:r>
      <w:proofErr w:type="spellStart"/>
      <w:r w:rsidRPr="002024B1">
        <w:t>posi</w:t>
      </w:r>
      <w:r w:rsidR="00235076" w:rsidRPr="002024B1">
        <w:t>-</w:t>
      </w:r>
      <w:r w:rsidRPr="002024B1">
        <w:t>tie</w:t>
      </w:r>
      <w:proofErr w:type="spellEnd"/>
      <w:r w:rsidRPr="002024B1">
        <w:t xml:space="preserve"> van de corporatie (Van der Toorn </w:t>
      </w:r>
      <w:proofErr w:type="spellStart"/>
      <w:r w:rsidRPr="002024B1">
        <w:t>Vrijthoff</w:t>
      </w:r>
      <w:proofErr w:type="spellEnd"/>
      <w:r w:rsidRPr="002024B1">
        <w:t>, 20</w:t>
      </w:r>
      <w:r w:rsidR="00704554" w:rsidRPr="002024B1">
        <w:t>13). Deze invloed is positief door</w:t>
      </w:r>
      <w:r w:rsidRPr="002024B1">
        <w:t xml:space="preserve">dat over een </w:t>
      </w:r>
      <w:proofErr w:type="spellStart"/>
      <w:r w:rsidRPr="002024B1">
        <w:t>lange</w:t>
      </w:r>
      <w:r w:rsidR="00235076" w:rsidRPr="002024B1">
        <w:t>-</w:t>
      </w:r>
      <w:r w:rsidRPr="002024B1">
        <w:t>re</w:t>
      </w:r>
      <w:proofErr w:type="spellEnd"/>
      <w:r w:rsidRPr="002024B1">
        <w:t xml:space="preserve"> periode kasstromen zullen worden berekend wat de balanswaarde doet stijgen. </w:t>
      </w:r>
    </w:p>
    <w:p w:rsidR="00467662" w:rsidRPr="002024B1" w:rsidRDefault="00467662" w:rsidP="00467662">
      <w:pPr>
        <w:pStyle w:val="Heading3"/>
        <w:rPr>
          <w:color w:val="auto"/>
        </w:rPr>
      </w:pPr>
      <w:r w:rsidRPr="002024B1">
        <w:rPr>
          <w:color w:val="auto"/>
        </w:rPr>
        <w:t>5.3 Subjectiviteit ten gevolge van de herziene RJ 645</w:t>
      </w:r>
    </w:p>
    <w:p w:rsidR="00467662" w:rsidRPr="002024B1" w:rsidRDefault="00467662" w:rsidP="00235076">
      <w:pPr>
        <w:jc w:val="both"/>
      </w:pPr>
      <w:proofErr w:type="gramStart"/>
      <w:r w:rsidRPr="002024B1">
        <w:t xml:space="preserve">Sinds de herziene RJ 645 van kracht is kunnen woningcorporaties hun sociaal vastgoed ook tegen </w:t>
      </w:r>
      <w:r w:rsidR="00BA409C" w:rsidRPr="002024B1">
        <w:t>reële waarde</w:t>
      </w:r>
      <w:r w:rsidRPr="002024B1">
        <w:t xml:space="preserve"> op de balans zetten. </w:t>
      </w:r>
      <w:proofErr w:type="gramEnd"/>
      <w:r w:rsidRPr="002024B1">
        <w:t>Voorwaarde is dat het vastgoed wordt gekwali</w:t>
      </w:r>
      <w:r w:rsidR="00704554" w:rsidRPr="002024B1">
        <w:t xml:space="preserve">ficeerd als </w:t>
      </w:r>
      <w:proofErr w:type="spellStart"/>
      <w:r w:rsidR="00704554" w:rsidRPr="002024B1">
        <w:t>vast</w:t>
      </w:r>
      <w:r w:rsidR="00235076" w:rsidRPr="002024B1">
        <w:t>-</w:t>
      </w:r>
      <w:r w:rsidR="00704554" w:rsidRPr="002024B1">
        <w:t>goedbelegging</w:t>
      </w:r>
      <w:proofErr w:type="spellEnd"/>
      <w:r w:rsidR="00704554" w:rsidRPr="002024B1">
        <w:t>, w</w:t>
      </w:r>
      <w:r w:rsidRPr="002024B1">
        <w:t xml:space="preserve">at wil zeggen dat er wordt gestreefd naar optimalisering van het rendement. Bij waardering tegen </w:t>
      </w:r>
      <w:r w:rsidR="00BA409C" w:rsidRPr="002024B1">
        <w:t>reële waarde</w:t>
      </w:r>
      <w:r w:rsidRPr="002024B1">
        <w:t xml:space="preserve"> wordt bij gebrek aan vergelijkingsmateriaal van woningen de </w:t>
      </w:r>
      <w:proofErr w:type="spellStart"/>
      <w:r w:rsidRPr="002024B1">
        <w:t>markt</w:t>
      </w:r>
      <w:r w:rsidR="00235076" w:rsidRPr="002024B1">
        <w:t>-</w:t>
      </w:r>
      <w:r w:rsidRPr="002024B1">
        <w:t>waarde</w:t>
      </w:r>
      <w:proofErr w:type="spellEnd"/>
      <w:r w:rsidRPr="002024B1">
        <w:t xml:space="preserve"> bepaald aan </w:t>
      </w:r>
      <w:r w:rsidR="00704554" w:rsidRPr="002024B1">
        <w:t>de hand van een contante waarde</w:t>
      </w:r>
      <w:r w:rsidRPr="002024B1">
        <w:t xml:space="preserve">berekening zoals uitgelegd in paragraaf 3.3. </w:t>
      </w:r>
      <w:r w:rsidR="00704554" w:rsidRPr="002024B1">
        <w:t>Het g</w:t>
      </w:r>
      <w:r w:rsidRPr="002024B1">
        <w:t xml:space="preserve">evolg is dat aan de hand van waardering tegen </w:t>
      </w:r>
      <w:r w:rsidR="00BA409C" w:rsidRPr="002024B1">
        <w:t>reële waarde</w:t>
      </w:r>
      <w:r w:rsidRPr="002024B1">
        <w:t xml:space="preserve"> bij woningcorporatie Stichting </w:t>
      </w:r>
      <w:proofErr w:type="spellStart"/>
      <w:r w:rsidRPr="002024B1">
        <w:t>Ymere</w:t>
      </w:r>
      <w:proofErr w:type="spellEnd"/>
      <w:r w:rsidRPr="002024B1">
        <w:t xml:space="preserve"> de </w:t>
      </w:r>
      <w:proofErr w:type="gramStart"/>
      <w:r w:rsidRPr="002024B1">
        <w:t>solvabiliteit</w:t>
      </w:r>
      <w:proofErr w:type="gramEnd"/>
      <w:r w:rsidRPr="002024B1">
        <w:t xml:space="preserve"> 0,56</w:t>
      </w:r>
      <w:r w:rsidRPr="002024B1">
        <w:rPr>
          <w:rStyle w:val="FootnoteReference"/>
        </w:rPr>
        <w:footnoteReference w:id="3"/>
      </w:r>
      <w:r w:rsidRPr="002024B1">
        <w:t xml:space="preserve"> is. Wanneer de bedrijfswaarde gebruikt zou worden zou de </w:t>
      </w:r>
      <w:proofErr w:type="gramStart"/>
      <w:r w:rsidRPr="002024B1">
        <w:t>solvabiliteit</w:t>
      </w:r>
      <w:proofErr w:type="gramEnd"/>
      <w:r w:rsidRPr="002024B1">
        <w:t xml:space="preserve"> 0,17</w:t>
      </w:r>
      <w:r w:rsidRPr="002024B1">
        <w:rPr>
          <w:rStyle w:val="FootnoteReference"/>
        </w:rPr>
        <w:footnoteReference w:id="4"/>
      </w:r>
      <w:r w:rsidRPr="002024B1">
        <w:t xml:space="preserve"> bedragen. Wederom dient rekening gehouden te worden met de andere belangrijke </w:t>
      </w:r>
      <w:proofErr w:type="spellStart"/>
      <w:r w:rsidRPr="002024B1">
        <w:t>finan</w:t>
      </w:r>
      <w:r w:rsidR="00235076" w:rsidRPr="002024B1">
        <w:t>-</w:t>
      </w:r>
      <w:r w:rsidRPr="002024B1">
        <w:t>cieringsvoo</w:t>
      </w:r>
      <w:r w:rsidR="00704554" w:rsidRPr="002024B1">
        <w:t>rwaarde</w:t>
      </w:r>
      <w:proofErr w:type="spellEnd"/>
      <w:r w:rsidR="00704554" w:rsidRPr="002024B1">
        <w:t xml:space="preserve"> van kredietverstrekkers:</w:t>
      </w:r>
      <w:r w:rsidRPr="002024B1">
        <w:t xml:space="preserve"> de </w:t>
      </w:r>
      <w:proofErr w:type="spellStart"/>
      <w:r w:rsidRPr="002024B1">
        <w:t>rentedekkingsgraad</w:t>
      </w:r>
      <w:proofErr w:type="spellEnd"/>
      <w:r w:rsidRPr="002024B1">
        <w:t xml:space="preserve">. Deze blijft gelijk bij beide </w:t>
      </w:r>
      <w:proofErr w:type="spellStart"/>
      <w:r w:rsidRPr="002024B1">
        <w:t>waar</w:t>
      </w:r>
      <w:r w:rsidR="00235076" w:rsidRPr="002024B1">
        <w:t>-</w:t>
      </w:r>
      <w:r w:rsidRPr="002024B1">
        <w:t>deringsmethoden</w:t>
      </w:r>
      <w:proofErr w:type="spellEnd"/>
      <w:r w:rsidRPr="002024B1">
        <w:t xml:space="preserve">. </w:t>
      </w:r>
    </w:p>
    <w:p w:rsidR="00467662" w:rsidRPr="002024B1" w:rsidRDefault="00467662" w:rsidP="00467662">
      <w:pPr>
        <w:pStyle w:val="Heading3"/>
        <w:rPr>
          <w:color w:val="auto"/>
        </w:rPr>
      </w:pPr>
      <w:r w:rsidRPr="002024B1">
        <w:rPr>
          <w:color w:val="auto"/>
        </w:rPr>
        <w:t>5.4 Eenduidige waardering van vastgoed</w:t>
      </w:r>
    </w:p>
    <w:p w:rsidR="00467662" w:rsidRPr="002024B1" w:rsidRDefault="00467662" w:rsidP="00235076">
      <w:pPr>
        <w:jc w:val="both"/>
      </w:pPr>
      <w:r w:rsidRPr="002024B1">
        <w:t xml:space="preserve">In het rapport van de Commissie Hoekstra over Kaderstelling en Toezicht Woningcorporaties (2012) wordt naast adviezen over toezicht geadviseerd dat de sector met een eenduidige waardering van het vastgoed zou moeten werken. Dit ten behoeve van de vergelijkbaarheid tussen </w:t>
      </w:r>
      <w:proofErr w:type="spellStart"/>
      <w:r w:rsidRPr="002024B1">
        <w:t>woningcorpora</w:t>
      </w:r>
      <w:r w:rsidR="00235076" w:rsidRPr="002024B1">
        <w:t>-</w:t>
      </w:r>
      <w:r w:rsidRPr="002024B1">
        <w:t>ties</w:t>
      </w:r>
      <w:proofErr w:type="spellEnd"/>
      <w:r w:rsidRPr="002024B1">
        <w:t xml:space="preserve">. De Minister voor Wonen wil dan ook de keuzevrijheid voor de waardering van sociaal vastgoed uit RJ 645 terugbrengen. Dit is echter niet van groot belang omdat woningcorporaties altijd de </w:t>
      </w:r>
      <w:proofErr w:type="spellStart"/>
      <w:r w:rsidRPr="002024B1">
        <w:t>be</w:t>
      </w:r>
      <w:r w:rsidR="00235076" w:rsidRPr="002024B1">
        <w:t>-</w:t>
      </w:r>
      <w:r w:rsidRPr="002024B1">
        <w:t>drijfswaarde</w:t>
      </w:r>
      <w:proofErr w:type="spellEnd"/>
      <w:r w:rsidRPr="002024B1">
        <w:t xml:space="preserve"> van hun bezit moeten noemen in de jaarrekening, ongeacht welke waarde op de balans staat. Toch komt dit tot uiting in de herziene Woningwet. Deze is door de ophef rond de </w:t>
      </w:r>
      <w:proofErr w:type="spellStart"/>
      <w:r w:rsidRPr="002024B1">
        <w:t>verhuur</w:t>
      </w:r>
      <w:r w:rsidR="00235076" w:rsidRPr="002024B1">
        <w:t>-</w:t>
      </w:r>
      <w:r w:rsidRPr="002024B1">
        <w:t>dersheffing</w:t>
      </w:r>
      <w:proofErr w:type="spellEnd"/>
      <w:r w:rsidRPr="002024B1">
        <w:t xml:space="preserve"> flink vertraagd en de precieze inhoud zal pas met Prinsjesdag naar buiten komen. Het CFV heeft wel bekend gemaakt dat de voorkeur van de Minister uitgaat naar waarder</w:t>
      </w:r>
      <w:r w:rsidR="0053570D" w:rsidRPr="002024B1">
        <w:t>ing tegen marktwaarde (CFV, 2013</w:t>
      </w:r>
      <w:r w:rsidRPr="002024B1">
        <w:t xml:space="preserve">). </w:t>
      </w:r>
    </w:p>
    <w:p w:rsidR="00467662" w:rsidRPr="002024B1" w:rsidRDefault="00467662" w:rsidP="00467662">
      <w:pPr>
        <w:pStyle w:val="Heading3"/>
        <w:rPr>
          <w:color w:val="auto"/>
        </w:rPr>
      </w:pPr>
      <w:proofErr w:type="gramStart"/>
      <w:r w:rsidRPr="002024B1">
        <w:rPr>
          <w:color w:val="auto"/>
        </w:rPr>
        <w:t xml:space="preserve">5.5Het  </w:t>
      </w:r>
      <w:proofErr w:type="gramEnd"/>
      <w:r w:rsidRPr="002024B1">
        <w:rPr>
          <w:color w:val="auto"/>
        </w:rPr>
        <w:t>beste inzicht in de financiële positie</w:t>
      </w:r>
    </w:p>
    <w:p w:rsidR="00467662" w:rsidRPr="002024B1" w:rsidRDefault="00467662" w:rsidP="00235076">
      <w:pPr>
        <w:jc w:val="both"/>
      </w:pPr>
      <w:r w:rsidRPr="002024B1">
        <w:t xml:space="preserve">Het inzicht in de financiële positie wordt kortweg bepaald door de accuraatheid van de </w:t>
      </w:r>
      <w:proofErr w:type="spellStart"/>
      <w:r w:rsidRPr="002024B1">
        <w:t>solvabiliteits</w:t>
      </w:r>
      <w:r w:rsidR="00235076" w:rsidRPr="002024B1">
        <w:t>-</w:t>
      </w:r>
      <w:r w:rsidRPr="002024B1">
        <w:t>waarde</w:t>
      </w:r>
      <w:proofErr w:type="spellEnd"/>
      <w:r w:rsidRPr="002024B1">
        <w:t xml:space="preserve"> en de </w:t>
      </w:r>
      <w:proofErr w:type="spellStart"/>
      <w:r w:rsidRPr="002024B1">
        <w:t>rentedekkingsgraad</w:t>
      </w:r>
      <w:proofErr w:type="spellEnd"/>
      <w:r w:rsidRPr="002024B1">
        <w:t xml:space="preserve">. De </w:t>
      </w:r>
      <w:proofErr w:type="gramStart"/>
      <w:r w:rsidRPr="002024B1">
        <w:t>solvabiliteit</w:t>
      </w:r>
      <w:proofErr w:type="gramEnd"/>
      <w:r w:rsidRPr="002024B1">
        <w:t xml:space="preserve"> </w:t>
      </w:r>
      <w:r w:rsidR="00704554" w:rsidRPr="002024B1">
        <w:t>wordt sterk beïnvloedt door</w:t>
      </w:r>
      <w:r w:rsidRPr="002024B1">
        <w:t xml:space="preserve"> de </w:t>
      </w:r>
      <w:proofErr w:type="spellStart"/>
      <w:r w:rsidRPr="002024B1">
        <w:t>waarderingsme</w:t>
      </w:r>
      <w:r w:rsidR="00235076" w:rsidRPr="002024B1">
        <w:t>-</w:t>
      </w:r>
      <w:r w:rsidRPr="002024B1">
        <w:t>thode</w:t>
      </w:r>
      <w:proofErr w:type="spellEnd"/>
      <w:r w:rsidRPr="002024B1">
        <w:t xml:space="preserve">. Vervolgens rijst de vraag: welke waarderingsmethode verschaft de </w:t>
      </w:r>
      <w:proofErr w:type="gramStart"/>
      <w:r w:rsidRPr="002024B1">
        <w:t>solvabiliteit</w:t>
      </w:r>
      <w:proofErr w:type="gramEnd"/>
      <w:r w:rsidRPr="002024B1">
        <w:t xml:space="preserve"> die het meest overeenkomt met de werkelijke financiële positie? Het kostprijsmodel negeert actuele </w:t>
      </w:r>
      <w:proofErr w:type="spellStart"/>
      <w:r w:rsidRPr="002024B1">
        <w:t>marktontwik</w:t>
      </w:r>
      <w:r w:rsidR="00235076" w:rsidRPr="002024B1">
        <w:t>-</w:t>
      </w:r>
      <w:r w:rsidRPr="002024B1">
        <w:t>kelingen</w:t>
      </w:r>
      <w:proofErr w:type="spellEnd"/>
      <w:r w:rsidRPr="002024B1">
        <w:t xml:space="preserve">, heeft een vaak onrealistische economische levensduur en er is sprake van stille reserves. De bedrijfswaarde staat onder invloed van moeilijk in te schatten verwachtingen over de toekomst en moeilijk toerekenbare indirecte kosten. Ook de economische levensduur is vaak niet realistisch. Bij waardering tegen marktwaarde wordt uitgegaan van maximaal rendement over een periode van vijftien jaar. Dit kan betekenen dat de woning moet worden </w:t>
      </w:r>
      <w:r w:rsidR="00704554" w:rsidRPr="002024B1">
        <w:t>verkocht na 15 jaar. Het is</w:t>
      </w:r>
      <w:r w:rsidRPr="002024B1">
        <w:t xml:space="preserve"> de vraag of woningcorporaties dit ook kunnen doen. Waardering tegen marktwaarde geeft dus alleen een goed inzicht in de financiële positie wanneer woningcorporaties ook handelen naar de uitgangspunten van hun waarderingsmethodiek. De eindwaarde van woningen is lastig te taxeren en </w:t>
      </w:r>
      <w:r w:rsidR="00704554" w:rsidRPr="002024B1">
        <w:t>wordt beïnvloed door</w:t>
      </w:r>
      <w:r w:rsidRPr="002024B1">
        <w:t xml:space="preserve"> </w:t>
      </w:r>
      <w:r w:rsidR="00704554" w:rsidRPr="002024B1">
        <w:t>het</w:t>
      </w:r>
      <w:r w:rsidRPr="002024B1">
        <w:t xml:space="preserve"> risico </w:t>
      </w:r>
      <w:r w:rsidR="00704554" w:rsidRPr="002024B1">
        <w:t>van</w:t>
      </w:r>
      <w:r w:rsidRPr="002024B1">
        <w:t xml:space="preserve"> dalende huizenprijzen. Voordelen van waardering tegen </w:t>
      </w:r>
      <w:r w:rsidR="00BA409C" w:rsidRPr="002024B1">
        <w:t>reële waarde/</w:t>
      </w:r>
      <w:proofErr w:type="spellStart"/>
      <w:r w:rsidRPr="002024B1">
        <w:t>markt</w:t>
      </w:r>
      <w:r w:rsidR="00235076" w:rsidRPr="002024B1">
        <w:t>-</w:t>
      </w:r>
      <w:r w:rsidRPr="002024B1">
        <w:t>waarde</w:t>
      </w:r>
      <w:proofErr w:type="spellEnd"/>
      <w:r w:rsidRPr="002024B1">
        <w:t xml:space="preserve"> zijn dat er geen sprake is van stille reserves en </w:t>
      </w:r>
      <w:r w:rsidR="00704554" w:rsidRPr="002024B1">
        <w:t xml:space="preserve">dat </w:t>
      </w:r>
      <w:r w:rsidRPr="002024B1">
        <w:t xml:space="preserve">marktontwikkelingen </w:t>
      </w:r>
      <w:r w:rsidR="00704554" w:rsidRPr="002024B1">
        <w:t xml:space="preserve">direct tot uiting </w:t>
      </w:r>
      <w:r w:rsidRPr="002024B1">
        <w:t xml:space="preserve">komen in de financiële positie (zie verder paragraaf 4.3). </w:t>
      </w:r>
    </w:p>
    <w:p w:rsidR="00467662" w:rsidRPr="002024B1" w:rsidRDefault="00467662" w:rsidP="00235076">
      <w:pPr>
        <w:jc w:val="both"/>
      </w:pPr>
      <w:r w:rsidRPr="002024B1">
        <w:t xml:space="preserve">In de </w:t>
      </w:r>
      <w:proofErr w:type="spellStart"/>
      <w:r w:rsidRPr="002024B1">
        <w:t>Governancecode</w:t>
      </w:r>
      <w:proofErr w:type="spellEnd"/>
      <w:r w:rsidRPr="002024B1">
        <w:t xml:space="preserve"> Woningcorporaties, gepubliceerd door </w:t>
      </w:r>
      <w:proofErr w:type="spellStart"/>
      <w:r w:rsidRPr="002024B1">
        <w:t>Aedes</w:t>
      </w:r>
      <w:proofErr w:type="spellEnd"/>
      <w:r w:rsidRPr="002024B1">
        <w:t xml:space="preserve"> en VTW, staan als </w:t>
      </w:r>
      <w:proofErr w:type="spellStart"/>
      <w:r w:rsidRPr="002024B1">
        <w:t>stakeholders</w:t>
      </w:r>
      <w:proofErr w:type="spellEnd"/>
      <w:r w:rsidRPr="002024B1">
        <w:t xml:space="preserve"> aangemerkt: werknemers, bewoners, financiers, toeleveranciers, afnemers, de overheid en </w:t>
      </w:r>
      <w:proofErr w:type="spellStart"/>
      <w:r w:rsidRPr="002024B1">
        <w:t>maat</w:t>
      </w:r>
      <w:r w:rsidR="00235076" w:rsidRPr="002024B1">
        <w:t>-</w:t>
      </w:r>
      <w:r w:rsidRPr="002024B1">
        <w:t>schappelijke</w:t>
      </w:r>
      <w:proofErr w:type="spellEnd"/>
      <w:r w:rsidRPr="002024B1">
        <w:t xml:space="preserve"> organisaties. In dit onderzoek ligt de focus op financiers en toezichthouders als </w:t>
      </w:r>
      <w:proofErr w:type="spellStart"/>
      <w:r w:rsidRPr="002024B1">
        <w:t>stake</w:t>
      </w:r>
      <w:r w:rsidR="00235076" w:rsidRPr="002024B1">
        <w:t>-</w:t>
      </w:r>
      <w:r w:rsidRPr="002024B1">
        <w:t>holders</w:t>
      </w:r>
      <w:proofErr w:type="spellEnd"/>
      <w:r w:rsidRPr="002024B1">
        <w:t xml:space="preserve">. De financiers bestaan uit het WSW, banken en beleggers. De toezichthouders zijn de </w:t>
      </w:r>
      <w:proofErr w:type="spellStart"/>
      <w:r w:rsidRPr="002024B1">
        <w:t>over</w:t>
      </w:r>
      <w:r w:rsidR="00235076" w:rsidRPr="002024B1">
        <w:t>-</w:t>
      </w:r>
      <w:r w:rsidRPr="002024B1">
        <w:t>heid</w:t>
      </w:r>
      <w:proofErr w:type="spellEnd"/>
      <w:r w:rsidRPr="002024B1">
        <w:t xml:space="preserve"> en het CFV. Het is voor deze </w:t>
      </w:r>
      <w:proofErr w:type="spellStart"/>
      <w:r w:rsidRPr="002024B1">
        <w:t>stakeholders</w:t>
      </w:r>
      <w:proofErr w:type="spellEnd"/>
      <w:r w:rsidRPr="002024B1">
        <w:t xml:space="preserve"> essentieel dat zij inzicht hebben in de financiële </w:t>
      </w:r>
      <w:proofErr w:type="spellStart"/>
      <w:r w:rsidRPr="002024B1">
        <w:t>posi</w:t>
      </w:r>
      <w:r w:rsidR="00235076" w:rsidRPr="002024B1">
        <w:t>-</w:t>
      </w:r>
      <w:r w:rsidRPr="002024B1">
        <w:t>tie</w:t>
      </w:r>
      <w:proofErr w:type="spellEnd"/>
      <w:r w:rsidRPr="002024B1">
        <w:t xml:space="preserve"> van woningcorporaties. </w:t>
      </w:r>
    </w:p>
    <w:p w:rsidR="00467662" w:rsidRPr="002024B1" w:rsidRDefault="00467662" w:rsidP="00235076">
      <w:pPr>
        <w:jc w:val="both"/>
      </w:pPr>
      <w:r w:rsidRPr="002024B1">
        <w:t xml:space="preserve">Voor financiers en toezichthouders zijn </w:t>
      </w:r>
      <w:proofErr w:type="gramStart"/>
      <w:r w:rsidRPr="002024B1">
        <w:t>solvabiliteit</w:t>
      </w:r>
      <w:proofErr w:type="gramEnd"/>
      <w:r w:rsidRPr="002024B1">
        <w:t xml:space="preserve"> en </w:t>
      </w:r>
      <w:proofErr w:type="spellStart"/>
      <w:r w:rsidRPr="002024B1">
        <w:t>rentedekkingsgraad</w:t>
      </w:r>
      <w:proofErr w:type="spellEnd"/>
      <w:r w:rsidRPr="002024B1">
        <w:t xml:space="preserve"> de belangrijkste </w:t>
      </w:r>
      <w:proofErr w:type="spellStart"/>
      <w:r w:rsidRPr="002024B1">
        <w:t>kengetal</w:t>
      </w:r>
      <w:r w:rsidR="00235076" w:rsidRPr="002024B1">
        <w:t>-</w:t>
      </w:r>
      <w:r w:rsidRPr="002024B1">
        <w:t>len</w:t>
      </w:r>
      <w:proofErr w:type="spellEnd"/>
      <w:r w:rsidRPr="002024B1">
        <w:t xml:space="preserve">. De </w:t>
      </w:r>
      <w:proofErr w:type="spellStart"/>
      <w:r w:rsidRPr="002024B1">
        <w:t>rentedekkingsgraad</w:t>
      </w:r>
      <w:proofErr w:type="spellEnd"/>
      <w:r w:rsidRPr="002024B1">
        <w:t xml:space="preserve"> staat niet onder invloed van de gekozen waarderingsmethode. </w:t>
      </w:r>
      <w:proofErr w:type="spellStart"/>
      <w:r w:rsidRPr="002024B1">
        <w:t>Solvabili</w:t>
      </w:r>
      <w:r w:rsidR="00235076" w:rsidRPr="002024B1">
        <w:t>-</w:t>
      </w:r>
      <w:r w:rsidRPr="002024B1">
        <w:t>teit</w:t>
      </w:r>
      <w:proofErr w:type="spellEnd"/>
      <w:r w:rsidRPr="002024B1">
        <w:t xml:space="preserve"> is een subjectief getal </w:t>
      </w:r>
      <w:r w:rsidR="00704554" w:rsidRPr="002024B1">
        <w:t>door</w:t>
      </w:r>
      <w:r w:rsidRPr="002024B1">
        <w:t xml:space="preserve">dat waarderingsmethoden leiden tot een verschillende </w:t>
      </w:r>
      <w:proofErr w:type="gramStart"/>
      <w:r w:rsidRPr="002024B1">
        <w:t>solvabiliteit</w:t>
      </w:r>
      <w:proofErr w:type="gramEnd"/>
      <w:r w:rsidRPr="002024B1">
        <w:t xml:space="preserve">. Wat in </w:t>
      </w:r>
      <w:r w:rsidR="00704554" w:rsidRPr="002024B1">
        <w:t>een dergelijk</w:t>
      </w:r>
      <w:r w:rsidRPr="002024B1">
        <w:t xml:space="preserve"> geval belangrijker is, is de ontwikkeling van </w:t>
      </w:r>
      <w:r w:rsidR="00704554" w:rsidRPr="002024B1">
        <w:t xml:space="preserve">de </w:t>
      </w:r>
      <w:proofErr w:type="gramStart"/>
      <w:r w:rsidRPr="002024B1">
        <w:t>solvabiliteit</w:t>
      </w:r>
      <w:proofErr w:type="gramEnd"/>
      <w:r w:rsidRPr="002024B1">
        <w:t xml:space="preserve"> over een langere periode. Om goed inzicht in de ontwikkeling van </w:t>
      </w:r>
      <w:r w:rsidR="00704554" w:rsidRPr="002024B1">
        <w:t xml:space="preserve">de </w:t>
      </w:r>
      <w:proofErr w:type="gramStart"/>
      <w:r w:rsidRPr="002024B1">
        <w:t>solvabiliteit</w:t>
      </w:r>
      <w:proofErr w:type="gramEnd"/>
      <w:r w:rsidRPr="002024B1">
        <w:t xml:space="preserve"> te krijgen is </w:t>
      </w:r>
      <w:r w:rsidR="00704554" w:rsidRPr="002024B1">
        <w:t xml:space="preserve">het </w:t>
      </w:r>
      <w:r w:rsidRPr="002024B1">
        <w:t xml:space="preserve">van belang dat </w:t>
      </w:r>
      <w:proofErr w:type="spellStart"/>
      <w:r w:rsidRPr="002024B1">
        <w:t>actu</w:t>
      </w:r>
      <w:r w:rsidR="00235076" w:rsidRPr="002024B1">
        <w:t>-</w:t>
      </w:r>
      <w:r w:rsidRPr="002024B1">
        <w:t>ele</w:t>
      </w:r>
      <w:proofErr w:type="spellEnd"/>
      <w:r w:rsidRPr="002024B1">
        <w:t xml:space="preserve"> ontwikkelingen tot uiting komen in de solvabiliteit. Uitgaande van wat hiervoor besproken is komen actuele ontwikkelingen het meest tot uiting in de </w:t>
      </w:r>
      <w:r w:rsidR="00BA409C" w:rsidRPr="002024B1">
        <w:t>reële waarde/</w:t>
      </w:r>
      <w:r w:rsidRPr="002024B1">
        <w:t xml:space="preserve">marktwaarde. Dit is de </w:t>
      </w:r>
      <w:proofErr w:type="spellStart"/>
      <w:r w:rsidRPr="002024B1">
        <w:t>waar</w:t>
      </w:r>
      <w:r w:rsidR="00235076" w:rsidRPr="002024B1">
        <w:t>-</w:t>
      </w:r>
      <w:r w:rsidRPr="002024B1">
        <w:t>deringsmethode</w:t>
      </w:r>
      <w:proofErr w:type="spellEnd"/>
      <w:r w:rsidRPr="002024B1">
        <w:t xml:space="preserve"> die het beste inzicht geeft in de financiële positie. De woningcorporatie zal wel </w:t>
      </w:r>
      <w:proofErr w:type="spellStart"/>
      <w:r w:rsidRPr="002024B1">
        <w:t>dui</w:t>
      </w:r>
      <w:r w:rsidR="00235076" w:rsidRPr="002024B1">
        <w:t>-</w:t>
      </w:r>
      <w:r w:rsidRPr="002024B1">
        <w:t>delijk</w:t>
      </w:r>
      <w:proofErr w:type="spellEnd"/>
      <w:r w:rsidRPr="002024B1">
        <w:t xml:space="preserve"> moeten maken wat haar beleid is qua doorexploiteren of uitponden. Per complex moet </w:t>
      </w:r>
      <w:proofErr w:type="spellStart"/>
      <w:r w:rsidRPr="002024B1">
        <w:t>dui</w:t>
      </w:r>
      <w:r w:rsidR="00235076" w:rsidRPr="002024B1">
        <w:t>-</w:t>
      </w:r>
      <w:r w:rsidRPr="002024B1">
        <w:t>delijk</w:t>
      </w:r>
      <w:proofErr w:type="spellEnd"/>
      <w:r w:rsidRPr="002024B1">
        <w:t xml:space="preserve"> worden gemaakt wat de mogelijkheden zijn </w:t>
      </w:r>
      <w:r w:rsidR="00704554" w:rsidRPr="002024B1">
        <w:t xml:space="preserve">voor wat </w:t>
      </w:r>
      <w:r w:rsidRPr="002024B1">
        <w:t>verkoop</w:t>
      </w:r>
      <w:r w:rsidR="00704554" w:rsidRPr="002024B1">
        <w:t xml:space="preserve"> betreft</w:t>
      </w:r>
      <w:r w:rsidRPr="002024B1">
        <w:t xml:space="preserve">. Alleen dan is </w:t>
      </w:r>
      <w:r w:rsidR="00704554" w:rsidRPr="002024B1">
        <w:t xml:space="preserve">het </w:t>
      </w:r>
      <w:r w:rsidRPr="002024B1">
        <w:t xml:space="preserve">voor </w:t>
      </w:r>
      <w:proofErr w:type="spellStart"/>
      <w:r w:rsidRPr="002024B1">
        <w:t>stakeholders</w:t>
      </w:r>
      <w:proofErr w:type="spellEnd"/>
      <w:r w:rsidRPr="002024B1">
        <w:t xml:space="preserve"> duidelijk wat de werkelijke waarde van het vastgoed is. </w:t>
      </w:r>
    </w:p>
    <w:p w:rsidR="00467662" w:rsidRPr="002024B1" w:rsidRDefault="00467662" w:rsidP="00467662">
      <w:pPr>
        <w:pStyle w:val="Heading3"/>
        <w:rPr>
          <w:color w:val="auto"/>
        </w:rPr>
      </w:pPr>
      <w:r w:rsidRPr="002024B1">
        <w:rPr>
          <w:color w:val="auto"/>
        </w:rPr>
        <w:t>5.6 Conclusie</w:t>
      </w:r>
    </w:p>
    <w:p w:rsidR="00467662" w:rsidRPr="002024B1" w:rsidRDefault="00467662" w:rsidP="00235076">
      <w:pPr>
        <w:jc w:val="both"/>
      </w:pPr>
      <w:r w:rsidRPr="002024B1">
        <w:t xml:space="preserve">Het kostprijsmodel kan een lage balanswaarde tot gevolg hebben. De economische levensduur is vaak lager dan de werkelijke levensduur en dit resulteert in grote stille reserves. </w:t>
      </w:r>
      <w:proofErr w:type="gramStart"/>
      <w:r w:rsidRPr="002024B1">
        <w:t>Actuele</w:t>
      </w:r>
      <w:proofErr w:type="gramEnd"/>
      <w:r w:rsidRPr="002024B1">
        <w:t xml:space="preserve"> </w:t>
      </w:r>
      <w:proofErr w:type="spellStart"/>
      <w:r w:rsidRPr="002024B1">
        <w:t>omstand</w:t>
      </w:r>
      <w:r w:rsidR="00235076" w:rsidRPr="002024B1">
        <w:t>-</w:t>
      </w:r>
      <w:r w:rsidRPr="002024B1">
        <w:t>igheden</w:t>
      </w:r>
      <w:proofErr w:type="spellEnd"/>
      <w:r w:rsidRPr="002024B1">
        <w:t xml:space="preserve"> komen niet tot uitdrukking omdat het kostprijsmodel een op het verleden gebaseerde </w:t>
      </w:r>
      <w:proofErr w:type="spellStart"/>
      <w:r w:rsidRPr="002024B1">
        <w:t>waar</w:t>
      </w:r>
      <w:r w:rsidR="00235076" w:rsidRPr="002024B1">
        <w:t>-</w:t>
      </w:r>
      <w:r w:rsidRPr="002024B1">
        <w:t>deringsmethode</w:t>
      </w:r>
      <w:proofErr w:type="spellEnd"/>
      <w:r w:rsidRPr="002024B1">
        <w:t xml:space="preserve"> is. </w:t>
      </w:r>
    </w:p>
    <w:p w:rsidR="00467662" w:rsidRPr="002024B1" w:rsidRDefault="00467662" w:rsidP="00235076">
      <w:pPr>
        <w:jc w:val="both"/>
      </w:pPr>
      <w:r w:rsidRPr="002024B1">
        <w:t xml:space="preserve">De bedrijfswaarde geeft een goede afspiegeling van de economische waarde van de </w:t>
      </w:r>
      <w:proofErr w:type="spellStart"/>
      <w:r w:rsidRPr="002024B1">
        <w:t>woningcorpo</w:t>
      </w:r>
      <w:r w:rsidR="00235076" w:rsidRPr="002024B1">
        <w:t>-</w:t>
      </w:r>
      <w:r w:rsidRPr="002024B1">
        <w:t>ratie</w:t>
      </w:r>
      <w:proofErr w:type="spellEnd"/>
      <w:r w:rsidRPr="002024B1">
        <w:t xml:space="preserve"> omdat de contante waarden van toekomstige cashflows tot uitdrukking komen. De berekening van die contante waarden is echter niet zonder meer objectief. Er is sprake van een discutabele </w:t>
      </w:r>
      <w:proofErr w:type="spellStart"/>
      <w:r w:rsidRPr="002024B1">
        <w:t>eco</w:t>
      </w:r>
      <w:r w:rsidR="00235076" w:rsidRPr="002024B1">
        <w:t>-</w:t>
      </w:r>
      <w:r w:rsidRPr="002024B1">
        <w:t>nomische</w:t>
      </w:r>
      <w:proofErr w:type="spellEnd"/>
      <w:r w:rsidRPr="002024B1">
        <w:t xml:space="preserve"> levensduur, een lastige toerekening van indirecte kosten en de berekening is gebaseerd op schattingen </w:t>
      </w:r>
      <w:r w:rsidR="00704554" w:rsidRPr="002024B1">
        <w:t>voor</w:t>
      </w:r>
      <w:r w:rsidRPr="002024B1">
        <w:t xml:space="preserve"> de toekomst. Actuele marktomstandigheden komen in </w:t>
      </w:r>
      <w:proofErr w:type="gramStart"/>
      <w:r w:rsidRPr="002024B1">
        <w:t>beperkte mate</w:t>
      </w:r>
      <w:proofErr w:type="gramEnd"/>
      <w:r w:rsidRPr="002024B1">
        <w:t xml:space="preserve"> tot </w:t>
      </w:r>
      <w:proofErr w:type="spellStart"/>
      <w:r w:rsidRPr="002024B1">
        <w:t>uitdruk</w:t>
      </w:r>
      <w:r w:rsidR="00235076" w:rsidRPr="002024B1">
        <w:t>-</w:t>
      </w:r>
      <w:r w:rsidRPr="002024B1">
        <w:t>king</w:t>
      </w:r>
      <w:proofErr w:type="spellEnd"/>
      <w:r w:rsidRPr="002024B1">
        <w:t xml:space="preserve"> vanwege de aanwezigheid van stille reserves.</w:t>
      </w:r>
    </w:p>
    <w:p w:rsidR="00467662" w:rsidRPr="002024B1" w:rsidRDefault="00467662" w:rsidP="00235076">
      <w:pPr>
        <w:jc w:val="both"/>
      </w:pPr>
      <w:r w:rsidRPr="002024B1">
        <w:t xml:space="preserve">Waardering van vastgoed tegen </w:t>
      </w:r>
      <w:r w:rsidR="00BA409C" w:rsidRPr="002024B1">
        <w:t>reële waarde/</w:t>
      </w:r>
      <w:r w:rsidRPr="002024B1">
        <w:t xml:space="preserve">marktwaarde levert een hogere balanswaarde op en er is geen sprake van stille reserves. De waarde komt meer overeen met de werkelijkheid </w:t>
      </w:r>
      <w:r w:rsidR="00704554" w:rsidRPr="002024B1">
        <w:t>door</w:t>
      </w:r>
      <w:r w:rsidRPr="002024B1">
        <w:t xml:space="preserve">dat corporaties in hun financiering afhankelijk zijn geworden van het afstoten van bezit. Moeilijkheden in de berekening van de </w:t>
      </w:r>
      <w:r w:rsidR="00BA409C" w:rsidRPr="002024B1">
        <w:t>reële waarde/</w:t>
      </w:r>
      <w:r w:rsidRPr="002024B1">
        <w:t xml:space="preserve">marktwaarde zijn schattingen van de eindwaarde, afweging </w:t>
      </w:r>
      <w:proofErr w:type="spellStart"/>
      <w:r w:rsidRPr="002024B1">
        <w:t>tus</w:t>
      </w:r>
      <w:r w:rsidR="00235076" w:rsidRPr="002024B1">
        <w:t>-</w:t>
      </w:r>
      <w:r w:rsidRPr="002024B1">
        <w:t>sen</w:t>
      </w:r>
      <w:proofErr w:type="spellEnd"/>
      <w:r w:rsidRPr="002024B1">
        <w:t xml:space="preserve"> doorexploiteren en uitponden en risico’s van de markt beïnvloeden het resultaat. </w:t>
      </w:r>
    </w:p>
    <w:p w:rsidR="00467662" w:rsidRPr="002024B1" w:rsidRDefault="00467662" w:rsidP="00235076">
      <w:pPr>
        <w:jc w:val="both"/>
      </w:pPr>
      <w:r w:rsidRPr="002024B1">
        <w:t xml:space="preserve">Toch komt bij waardering tegen </w:t>
      </w:r>
      <w:r w:rsidR="00BA409C" w:rsidRPr="002024B1">
        <w:t>reële waarde/</w:t>
      </w:r>
      <w:r w:rsidRPr="002024B1">
        <w:t xml:space="preserve">marktwaarde het beste inzicht in de financiële positie tot stand </w:t>
      </w:r>
      <w:r w:rsidR="00704554" w:rsidRPr="002024B1">
        <w:t>door</w:t>
      </w:r>
      <w:r w:rsidRPr="002024B1">
        <w:t xml:space="preserve">dat marktomstandigheden direct tot uiting komen in de </w:t>
      </w:r>
      <w:proofErr w:type="gramStart"/>
      <w:r w:rsidRPr="002024B1">
        <w:t>solvabiliteit</w:t>
      </w:r>
      <w:proofErr w:type="gramEnd"/>
      <w:r w:rsidRPr="002024B1">
        <w:t xml:space="preserve">. Hierdoor kan een oordeel gegeven worden door financiers en toezichthouders over de ontwikkeling van de financiële positie van woningcorporaties. </w:t>
      </w:r>
    </w:p>
    <w:p w:rsidR="00467662" w:rsidRPr="002024B1" w:rsidRDefault="00467662" w:rsidP="00467662">
      <w:pPr>
        <w:pStyle w:val="Heading2"/>
        <w:rPr>
          <w:color w:val="auto"/>
        </w:rPr>
      </w:pPr>
      <w:r w:rsidRPr="002024B1">
        <w:rPr>
          <w:color w:val="auto"/>
        </w:rPr>
        <w:t>Conclusie</w:t>
      </w:r>
    </w:p>
    <w:p w:rsidR="00467662" w:rsidRPr="002024B1" w:rsidRDefault="00467662" w:rsidP="00467662"/>
    <w:p w:rsidR="00467662" w:rsidRPr="002024B1" w:rsidRDefault="00467662" w:rsidP="00235076">
      <w:pPr>
        <w:jc w:val="both"/>
      </w:pPr>
      <w:r w:rsidRPr="002024B1">
        <w:t xml:space="preserve">Centraal in dit onderzoek staat de onderzoeksvraag: </w:t>
      </w:r>
      <w:r w:rsidRPr="002024B1">
        <w:rPr>
          <w:i/>
        </w:rPr>
        <w:t xml:space="preserve">‘Wat is de invloed van de waarderingsmethoden van vastgoed op het inzicht in de financiële positie van woningcorporaties?’ </w:t>
      </w:r>
      <w:r w:rsidRPr="002024B1">
        <w:t xml:space="preserve">De aanleiding voor dit onderzoek zijn de recente ontwikkelingen rond woningcorporaties </w:t>
      </w:r>
      <w:r w:rsidR="000B7E0C" w:rsidRPr="002024B1">
        <w:t>zo</w:t>
      </w:r>
      <w:r w:rsidRPr="002024B1">
        <w:t>als de invoering van de herziene RJ 645, de financieringsproblemen van woningcorporaties en het feit dat woningcorpora</w:t>
      </w:r>
      <w:r w:rsidR="000B7E0C" w:rsidRPr="002024B1">
        <w:t>ties een belangrijk onderwerp zijn</w:t>
      </w:r>
      <w:r w:rsidRPr="002024B1">
        <w:t xml:space="preserve"> geworden in de politiek.</w:t>
      </w:r>
    </w:p>
    <w:p w:rsidR="00467662" w:rsidRPr="002024B1" w:rsidRDefault="00467662" w:rsidP="00235076">
      <w:pPr>
        <w:jc w:val="both"/>
      </w:pPr>
      <w:r w:rsidRPr="002024B1">
        <w:t xml:space="preserve">De waardering vastgoed kan hetzij volgens het actuele waarde model, hetzij volgens de </w:t>
      </w:r>
      <w:proofErr w:type="spellStart"/>
      <w:r w:rsidRPr="002024B1">
        <w:t>kostprijs</w:t>
      </w:r>
      <w:r w:rsidR="00235076" w:rsidRPr="002024B1">
        <w:t>-</w:t>
      </w:r>
      <w:r w:rsidRPr="002024B1">
        <w:t>methode</w:t>
      </w:r>
      <w:proofErr w:type="spellEnd"/>
      <w:r w:rsidRPr="002024B1">
        <w:t xml:space="preserve">. Het actuele waarde model kan vervolgens nog resulteren in de bedrijfswaarde of de </w:t>
      </w:r>
      <w:r w:rsidR="00BA409C" w:rsidRPr="002024B1">
        <w:t>reële waarde/</w:t>
      </w:r>
      <w:r w:rsidRPr="002024B1">
        <w:t xml:space="preserve">marktwaarde. De financiële toezichthouder van woningcorporaties, het CFV, hanteert als waardering voor het vastgoed de </w:t>
      </w:r>
      <w:proofErr w:type="spellStart"/>
      <w:r w:rsidRPr="002024B1">
        <w:t>volkshuisvestelijke</w:t>
      </w:r>
      <w:proofErr w:type="spellEnd"/>
      <w:r w:rsidRPr="002024B1">
        <w:t xml:space="preserve"> exploitatiewaarde. De </w:t>
      </w:r>
      <w:proofErr w:type="spellStart"/>
      <w:r w:rsidRPr="002024B1">
        <w:t>volkshuisvestelijke</w:t>
      </w:r>
      <w:proofErr w:type="spellEnd"/>
      <w:r w:rsidRPr="002024B1">
        <w:t xml:space="preserve"> </w:t>
      </w:r>
      <w:proofErr w:type="spellStart"/>
      <w:r w:rsidRPr="002024B1">
        <w:t>exploi</w:t>
      </w:r>
      <w:r w:rsidR="00235076" w:rsidRPr="002024B1">
        <w:t>-</w:t>
      </w:r>
      <w:r w:rsidRPr="002024B1">
        <w:t>tatie</w:t>
      </w:r>
      <w:proofErr w:type="spellEnd"/>
      <w:r w:rsidRPr="002024B1">
        <w:t xml:space="preserve"> waarde is gelijk aan de bedrijfswaarde afgezien van een zesta</w:t>
      </w:r>
      <w:r w:rsidR="000B7E0C" w:rsidRPr="002024B1">
        <w:t xml:space="preserve">l </w:t>
      </w:r>
      <w:proofErr w:type="gramStart"/>
      <w:r w:rsidR="000B7E0C" w:rsidRPr="002024B1">
        <w:t>bestanddelen die</w:t>
      </w:r>
      <w:proofErr w:type="gramEnd"/>
      <w:r w:rsidR="000B7E0C" w:rsidRPr="002024B1">
        <w:t xml:space="preserve">, indien </w:t>
      </w:r>
      <w:proofErr w:type="spellStart"/>
      <w:r w:rsidR="000B7E0C" w:rsidRPr="002024B1">
        <w:t>nood</w:t>
      </w:r>
      <w:r w:rsidR="00235076" w:rsidRPr="002024B1">
        <w:t>-</w:t>
      </w:r>
      <w:r w:rsidR="000B7E0C" w:rsidRPr="002024B1">
        <w:t>zakelijk</w:t>
      </w:r>
      <w:proofErr w:type="spellEnd"/>
      <w:r w:rsidRPr="002024B1">
        <w:t>, worden aangepast aan het landelijk</w:t>
      </w:r>
      <w:r w:rsidR="000B7E0C" w:rsidRPr="002024B1">
        <w:t>e</w:t>
      </w:r>
      <w:r w:rsidRPr="002024B1">
        <w:t xml:space="preserve"> gemiddelde. De bestanddelen uit de bedrijfswaarde berekening die eventueel worden aangepast zijn: moment van disconteren, verkoopwaarde </w:t>
      </w:r>
      <w:proofErr w:type="spellStart"/>
      <w:r w:rsidRPr="002024B1">
        <w:t>aanpas</w:t>
      </w:r>
      <w:r w:rsidR="00235076" w:rsidRPr="002024B1">
        <w:t>-</w:t>
      </w:r>
      <w:r w:rsidRPr="002024B1">
        <w:t>sen</w:t>
      </w:r>
      <w:proofErr w:type="spellEnd"/>
      <w:r w:rsidRPr="002024B1">
        <w:t xml:space="preserve"> aan </w:t>
      </w:r>
      <w:proofErr w:type="spellStart"/>
      <w:r w:rsidRPr="002024B1">
        <w:t>doorexploitatiewaarde</w:t>
      </w:r>
      <w:proofErr w:type="spellEnd"/>
      <w:r w:rsidRPr="002024B1">
        <w:t xml:space="preserve">, huurstijging, economische levensduur, bepaling restwaarde en het opgenomen lastenniveau in de bedrijfswaarde. </w:t>
      </w:r>
    </w:p>
    <w:p w:rsidR="00467662" w:rsidRPr="002024B1" w:rsidRDefault="00467662" w:rsidP="00235076">
      <w:pPr>
        <w:jc w:val="both"/>
      </w:pPr>
      <w:r w:rsidRPr="002024B1">
        <w:t xml:space="preserve">De financiële positie van woningcorporaties wordt in grote mate bepaald door enerzijds de </w:t>
      </w:r>
      <w:proofErr w:type="spellStart"/>
      <w:r w:rsidRPr="002024B1">
        <w:t>solvabili</w:t>
      </w:r>
      <w:r w:rsidR="00235076" w:rsidRPr="002024B1">
        <w:t>-</w:t>
      </w:r>
      <w:r w:rsidRPr="002024B1">
        <w:t>teit</w:t>
      </w:r>
      <w:proofErr w:type="spellEnd"/>
      <w:r w:rsidRPr="002024B1">
        <w:t xml:space="preserve"> en anderzijds de </w:t>
      </w:r>
      <w:proofErr w:type="spellStart"/>
      <w:r w:rsidRPr="002024B1">
        <w:t>rentedekkingsgraad</w:t>
      </w:r>
      <w:proofErr w:type="spellEnd"/>
      <w:r w:rsidRPr="002024B1">
        <w:t xml:space="preserve">. De </w:t>
      </w:r>
      <w:proofErr w:type="gramStart"/>
      <w:r w:rsidRPr="002024B1">
        <w:t>solvabiliteit</w:t>
      </w:r>
      <w:proofErr w:type="gramEnd"/>
      <w:r w:rsidRPr="002024B1">
        <w:t xml:space="preserve"> geeft de financiële positie op balansdatum aan. De </w:t>
      </w:r>
      <w:proofErr w:type="spellStart"/>
      <w:r w:rsidRPr="002024B1">
        <w:t>rentedekkingsgraad</w:t>
      </w:r>
      <w:proofErr w:type="spellEnd"/>
      <w:r w:rsidRPr="002024B1">
        <w:t xml:space="preserve"> is een meer op te toekomst gericht kengetal; het geeft aan in hoeverre de woningcorporatie in staat is aan de toekomstige renteverplichtingen te voldoen. Andere </w:t>
      </w:r>
      <w:proofErr w:type="spellStart"/>
      <w:r w:rsidRPr="002024B1">
        <w:t>kengetal</w:t>
      </w:r>
      <w:r w:rsidR="00235076" w:rsidRPr="002024B1">
        <w:t>-</w:t>
      </w:r>
      <w:r w:rsidRPr="002024B1">
        <w:t>len</w:t>
      </w:r>
      <w:proofErr w:type="spellEnd"/>
      <w:r w:rsidRPr="002024B1">
        <w:t xml:space="preserve"> </w:t>
      </w:r>
      <w:proofErr w:type="gramStart"/>
      <w:r w:rsidRPr="002024B1">
        <w:t>zijn</w:t>
      </w:r>
      <w:proofErr w:type="gramEnd"/>
      <w:r w:rsidRPr="002024B1">
        <w:t xml:space="preserve"> liquiditeit en rentabiliteit. Het CFV deelt daarnaast nog een </w:t>
      </w:r>
      <w:proofErr w:type="spellStart"/>
      <w:r w:rsidRPr="002024B1">
        <w:t>solvabiliteits</w:t>
      </w:r>
      <w:proofErr w:type="spellEnd"/>
      <w:r w:rsidRPr="002024B1">
        <w:t xml:space="preserve">- en een </w:t>
      </w:r>
      <w:proofErr w:type="spellStart"/>
      <w:r w:rsidRPr="002024B1">
        <w:t>continuï</w:t>
      </w:r>
      <w:r w:rsidR="00235076" w:rsidRPr="002024B1">
        <w:t>-</w:t>
      </w:r>
      <w:r w:rsidRPr="002024B1">
        <w:t>teitsoordeel</w:t>
      </w:r>
      <w:proofErr w:type="spellEnd"/>
      <w:r w:rsidRPr="002024B1">
        <w:t xml:space="preserve"> uit. </w:t>
      </w:r>
    </w:p>
    <w:p w:rsidR="00467662" w:rsidRPr="002024B1" w:rsidRDefault="00467662" w:rsidP="00235076">
      <w:pPr>
        <w:jc w:val="both"/>
      </w:pPr>
      <w:r w:rsidRPr="002024B1">
        <w:t xml:space="preserve">In de herziene RJ 645 is uiteengezet hoe de vastgoedwaardering dient plaats te vinden. Zoals eerder vermeld moet er gekozen worden tussen het actuele waarde model of het kostprijs model. In eerste instantie is de kwalificatie van het vastgoed van belang. Vastgoed kan gekwalificeerd worden als sociaal vastgoed als bedrijfsmiddel, sociaal vastgoed als belegging of commercieel vastgoed. Het actuele waarde model schrijft bij kwalificatie van sociaal vastgoed als bedrijfsmiddel de </w:t>
      </w:r>
      <w:proofErr w:type="spellStart"/>
      <w:r w:rsidRPr="002024B1">
        <w:t>bedrijfswaar</w:t>
      </w:r>
      <w:r w:rsidR="00235076" w:rsidRPr="002024B1">
        <w:t>-</w:t>
      </w:r>
      <w:r w:rsidRPr="002024B1">
        <w:t>de</w:t>
      </w:r>
      <w:proofErr w:type="spellEnd"/>
      <w:r w:rsidRPr="002024B1">
        <w:t xml:space="preserve"> voor. Het actuele waarde model bij sociaal vastgoed als belegging en commercieel vastgoed leidt tot waardering tegen </w:t>
      </w:r>
      <w:r w:rsidR="00BA409C" w:rsidRPr="002024B1">
        <w:t>reële waarde/</w:t>
      </w:r>
      <w:r w:rsidRPr="002024B1">
        <w:t xml:space="preserve">marktwaarde. Dit onderscheid is een gevolg van een Besluit van de Europese Commissie om ongerechtvaardigde staatsteun tegen te gaan. Zodra woningcorporaties activiteiten ondernemen die niet puur en alleen met volkshuisvesting te maken hebben mogen zij niet meer gesteund worden door de overheid. Het onderscheid in DAEB en </w:t>
      </w:r>
      <w:proofErr w:type="spellStart"/>
      <w:r w:rsidRPr="002024B1">
        <w:t>niet-DAEB</w:t>
      </w:r>
      <w:proofErr w:type="spellEnd"/>
      <w:r w:rsidRPr="002024B1">
        <w:t xml:space="preserve"> maakt dit beter controleerbaar. </w:t>
      </w:r>
    </w:p>
    <w:p w:rsidR="00467662" w:rsidRPr="002024B1" w:rsidRDefault="00467662" w:rsidP="00235076">
      <w:pPr>
        <w:jc w:val="both"/>
      </w:pPr>
      <w:r w:rsidRPr="002024B1">
        <w:t xml:space="preserve">De bedrijfswaarde berekening bestaat uit een aantal </w:t>
      </w:r>
      <w:proofErr w:type="gramStart"/>
      <w:r w:rsidRPr="002024B1">
        <w:t>elementen die</w:t>
      </w:r>
      <w:proofErr w:type="gramEnd"/>
      <w:r w:rsidRPr="002024B1">
        <w:t xml:space="preserve"> subjectiviteit in de hand kunnen werken. Deze elementen zijn de bepaling van de economische levensduur, het toerekenen van indirecte kosten aan woningen en de bepaling van de verwachte huurstijging en lastenstijging. Een nadeel van de bedrijfswaarde is dat er sprake is van aanzienlijke stille reserves en dat wijzigingen hierin niet uit de balans naar voren komen. De stille reserves zijn echter relevant </w:t>
      </w:r>
      <w:r w:rsidR="000B7E0C" w:rsidRPr="002024B1">
        <w:t xml:space="preserve">voor de </w:t>
      </w:r>
      <w:proofErr w:type="spellStart"/>
      <w:r w:rsidR="000B7E0C" w:rsidRPr="002024B1">
        <w:t>bedrijfs</w:t>
      </w:r>
      <w:r w:rsidR="00235076" w:rsidRPr="002024B1">
        <w:t>-</w:t>
      </w:r>
      <w:r w:rsidR="000B7E0C" w:rsidRPr="002024B1">
        <w:t>voering</w:t>
      </w:r>
      <w:proofErr w:type="spellEnd"/>
      <w:r w:rsidR="000B7E0C" w:rsidRPr="002024B1">
        <w:t xml:space="preserve"> van woningcorporaties doordat</w:t>
      </w:r>
      <w:r w:rsidRPr="002024B1">
        <w:t xml:space="preserve"> bij het doen van investeringen</w:t>
      </w:r>
      <w:r w:rsidR="000B7E0C" w:rsidRPr="002024B1">
        <w:t xml:space="preserve"> woningcorporaties</w:t>
      </w:r>
      <w:r w:rsidRPr="002024B1">
        <w:t xml:space="preserve"> afhankelijk zijn van de opbrengstwaarde van vastgoed bij verkoop. Een voordeel van de bedrijfswaarde is dat de verdisconteerde cashflows overeenkomen met het economische waarde begrip. </w:t>
      </w:r>
    </w:p>
    <w:p w:rsidR="00467662" w:rsidRPr="002024B1" w:rsidRDefault="00467662" w:rsidP="00235076">
      <w:pPr>
        <w:jc w:val="both"/>
      </w:pPr>
      <w:r w:rsidRPr="002024B1">
        <w:t xml:space="preserve">Nu waardering tegen </w:t>
      </w:r>
      <w:r w:rsidR="00BA409C" w:rsidRPr="002024B1">
        <w:t>reële waarde/</w:t>
      </w:r>
      <w:r w:rsidRPr="002024B1">
        <w:t xml:space="preserve">marktwaarde ook mogelijk is geworden is de vergelijkbaarheid tussen woningcorporaties afgenomen. De </w:t>
      </w:r>
      <w:r w:rsidR="00BA409C" w:rsidRPr="002024B1">
        <w:t>reële waarde/</w:t>
      </w:r>
      <w:r w:rsidRPr="002024B1">
        <w:t xml:space="preserve">marktwaarde resulteert in hogere </w:t>
      </w:r>
      <w:proofErr w:type="spellStart"/>
      <w:r w:rsidRPr="002024B1">
        <w:t>balans</w:t>
      </w:r>
      <w:r w:rsidR="00235076" w:rsidRPr="002024B1">
        <w:t>-</w:t>
      </w:r>
      <w:r w:rsidRPr="002024B1">
        <w:t>waarde</w:t>
      </w:r>
      <w:proofErr w:type="spellEnd"/>
      <w:r w:rsidRPr="002024B1">
        <w:t xml:space="preserve"> en geeft een betere afspiegeling van de werkelijke financiële positie. </w:t>
      </w:r>
      <w:proofErr w:type="gramStart"/>
      <w:r w:rsidRPr="002024B1">
        <w:t>Actuele</w:t>
      </w:r>
      <w:proofErr w:type="gramEnd"/>
      <w:r w:rsidRPr="002024B1">
        <w:t xml:space="preserve"> </w:t>
      </w:r>
      <w:proofErr w:type="spellStart"/>
      <w:r w:rsidRPr="002024B1">
        <w:t>omstandig</w:t>
      </w:r>
      <w:r w:rsidR="00235076" w:rsidRPr="002024B1">
        <w:t>-</w:t>
      </w:r>
      <w:r w:rsidRPr="002024B1">
        <w:t>heden</w:t>
      </w:r>
      <w:proofErr w:type="spellEnd"/>
      <w:r w:rsidRPr="002024B1">
        <w:t xml:space="preserve"> komen direct tot uitdrukking in de balanswaarde. </w:t>
      </w:r>
      <w:proofErr w:type="gramStart"/>
      <w:r w:rsidRPr="002024B1">
        <w:t xml:space="preserve">Gezien het feit dat woningcorporaties op zichzelf zijn aangewezen bij het doen van investeringen geeft de </w:t>
      </w:r>
      <w:r w:rsidR="00BA409C" w:rsidRPr="002024B1">
        <w:t>reële waarde/</w:t>
      </w:r>
      <w:r w:rsidRPr="002024B1">
        <w:t xml:space="preserve">marktwaarde het beste inzicht in de financiële mogelijkheden. </w:t>
      </w:r>
      <w:proofErr w:type="gramEnd"/>
    </w:p>
    <w:p w:rsidR="00467662" w:rsidRPr="002024B1" w:rsidRDefault="00467662" w:rsidP="00467662">
      <w:r w:rsidRPr="002024B1">
        <w:t>De beantwoording van de onderzoeksvraag:</w:t>
      </w:r>
    </w:p>
    <w:p w:rsidR="00467662" w:rsidRPr="002024B1" w:rsidRDefault="00467662" w:rsidP="00235076">
      <w:pPr>
        <w:pStyle w:val="ListParagraph"/>
        <w:numPr>
          <w:ilvl w:val="0"/>
          <w:numId w:val="6"/>
        </w:numPr>
        <w:jc w:val="both"/>
      </w:pPr>
      <w:r w:rsidRPr="002024B1">
        <w:t xml:space="preserve">De uitgebreidere keuzemogelijkheid in de herziene RJ 645 heeft er in eerste instantie tot geleid dat de vergelijkbaarheid tussen woningcorporaties wat betreft hun financiële positie is afgenomen. Waardering tegen historische kostprijs, bedrijfswaarde of </w:t>
      </w:r>
      <w:r w:rsidR="00BA409C" w:rsidRPr="002024B1">
        <w:t>reële waarde/</w:t>
      </w:r>
      <w:proofErr w:type="spellStart"/>
      <w:r w:rsidRPr="002024B1">
        <w:t>markt</w:t>
      </w:r>
      <w:r w:rsidR="00235076" w:rsidRPr="002024B1">
        <w:t>-</w:t>
      </w:r>
      <w:r w:rsidRPr="002024B1">
        <w:t>waarde</w:t>
      </w:r>
      <w:proofErr w:type="spellEnd"/>
      <w:r w:rsidRPr="002024B1">
        <w:t xml:space="preserve"> geven verschillende beelden van de </w:t>
      </w:r>
      <w:proofErr w:type="gramStart"/>
      <w:r w:rsidRPr="002024B1">
        <w:t>solvabiliteit</w:t>
      </w:r>
      <w:proofErr w:type="gramEnd"/>
      <w:r w:rsidRPr="002024B1">
        <w:t>.</w:t>
      </w:r>
    </w:p>
    <w:p w:rsidR="00467662" w:rsidRPr="002024B1" w:rsidRDefault="00467662" w:rsidP="00775B27">
      <w:pPr>
        <w:pStyle w:val="ListParagraph"/>
        <w:numPr>
          <w:ilvl w:val="0"/>
          <w:numId w:val="6"/>
        </w:numPr>
        <w:jc w:val="both"/>
      </w:pPr>
      <w:r w:rsidRPr="002024B1">
        <w:t xml:space="preserve">Er is sprake van subjectiviteit bij het kostprijsmodel vanwege een discutabele economische levensduur. De subjectiviteit in de bedrijfswaarde bestaat uit de problematiek rond het </w:t>
      </w:r>
      <w:proofErr w:type="spellStart"/>
      <w:r w:rsidRPr="002024B1">
        <w:t>toe</w:t>
      </w:r>
      <w:r w:rsidR="00235076" w:rsidRPr="002024B1">
        <w:t>-</w:t>
      </w:r>
      <w:r w:rsidRPr="002024B1">
        <w:t>rekenen</w:t>
      </w:r>
      <w:proofErr w:type="spellEnd"/>
      <w:r w:rsidRPr="002024B1">
        <w:t xml:space="preserve"> van indirecte kosten aan woningen, discutabele economische levensduur en het feit dat de bedrijfswaarde is gebaseerd op geschatte waarden in de toekomst. De </w:t>
      </w:r>
      <w:r w:rsidR="00BA409C" w:rsidRPr="002024B1">
        <w:t xml:space="preserve">reële waarde is subjectief omdat deze </w:t>
      </w:r>
      <w:r w:rsidRPr="002024B1">
        <w:t xml:space="preserve">niet geschat kan worden en er alsnog een contante waarde </w:t>
      </w:r>
      <w:proofErr w:type="spellStart"/>
      <w:r w:rsidRPr="002024B1">
        <w:t>bereke</w:t>
      </w:r>
      <w:r w:rsidR="00775B27" w:rsidRPr="002024B1">
        <w:t>-</w:t>
      </w:r>
      <w:r w:rsidRPr="002024B1">
        <w:t>ning</w:t>
      </w:r>
      <w:proofErr w:type="spellEnd"/>
      <w:r w:rsidRPr="002024B1">
        <w:t xml:space="preserve"> moet plaatsvinden van een schatting van de eindwaarde.</w:t>
      </w:r>
    </w:p>
    <w:p w:rsidR="00467662" w:rsidRPr="002024B1" w:rsidRDefault="00467662" w:rsidP="00775B27">
      <w:pPr>
        <w:pStyle w:val="ListParagraph"/>
        <w:numPr>
          <w:ilvl w:val="0"/>
          <w:numId w:val="6"/>
        </w:numPr>
        <w:jc w:val="both"/>
      </w:pPr>
      <w:r w:rsidRPr="002024B1">
        <w:t>De afname in vergelijk</w:t>
      </w:r>
      <w:r w:rsidR="000B7E0C" w:rsidRPr="002024B1">
        <w:t>baarheid is maar betrekkelijk door</w:t>
      </w:r>
      <w:r w:rsidRPr="002024B1">
        <w:t>dat alle corporaties verplicht zijn de bedrijfswaarde te</w:t>
      </w:r>
      <w:r w:rsidR="000B7E0C" w:rsidRPr="002024B1">
        <w:t xml:space="preserve"> vermelden in de toelichting op</w:t>
      </w:r>
      <w:r w:rsidRPr="002024B1">
        <w:t xml:space="preserve"> de jaarrekening. Ongeacht welke </w:t>
      </w:r>
      <w:proofErr w:type="spellStart"/>
      <w:r w:rsidRPr="002024B1">
        <w:t>waarde</w:t>
      </w:r>
      <w:r w:rsidR="00775B27" w:rsidRPr="002024B1">
        <w:t>-</w:t>
      </w:r>
      <w:r w:rsidRPr="002024B1">
        <w:t>ringsmethode</w:t>
      </w:r>
      <w:proofErr w:type="spellEnd"/>
      <w:r w:rsidRPr="002024B1">
        <w:t xml:space="preserve"> is gehanteerd op de balans.</w:t>
      </w:r>
    </w:p>
    <w:p w:rsidR="00467662" w:rsidRPr="002024B1" w:rsidRDefault="00467662" w:rsidP="00775B27">
      <w:pPr>
        <w:pStyle w:val="ListParagraph"/>
        <w:numPr>
          <w:ilvl w:val="0"/>
          <w:numId w:val="6"/>
        </w:numPr>
        <w:jc w:val="both"/>
      </w:pPr>
      <w:r w:rsidRPr="002024B1">
        <w:t xml:space="preserve">Het CFV maakt vergelijking ook makkelijker door voor iedere corporatie de </w:t>
      </w:r>
      <w:proofErr w:type="spellStart"/>
      <w:r w:rsidRPr="002024B1">
        <w:t>volkshuisveste</w:t>
      </w:r>
      <w:r w:rsidR="00775B27" w:rsidRPr="002024B1">
        <w:t>-</w:t>
      </w:r>
      <w:r w:rsidRPr="002024B1">
        <w:t>lijke</w:t>
      </w:r>
      <w:proofErr w:type="spellEnd"/>
      <w:r w:rsidRPr="002024B1">
        <w:t xml:space="preserve"> exploitatiewaarde te berekenen. Vanwege de uniformering van elementen uit de </w:t>
      </w:r>
      <w:proofErr w:type="spellStart"/>
      <w:r w:rsidRPr="002024B1">
        <w:t>be</w:t>
      </w:r>
      <w:r w:rsidR="00775B27" w:rsidRPr="002024B1">
        <w:t>-</w:t>
      </w:r>
      <w:r w:rsidRPr="002024B1">
        <w:t>drijfswaarde</w:t>
      </w:r>
      <w:proofErr w:type="spellEnd"/>
      <w:r w:rsidRPr="002024B1">
        <w:t xml:space="preserve"> komt een meer eenduidige berekening van de waarde van het vastgoed tot stand.</w:t>
      </w:r>
    </w:p>
    <w:p w:rsidR="00467662" w:rsidRPr="002024B1" w:rsidRDefault="00467662" w:rsidP="00775B27">
      <w:pPr>
        <w:pStyle w:val="ListParagraph"/>
        <w:numPr>
          <w:ilvl w:val="0"/>
          <w:numId w:val="6"/>
        </w:numPr>
        <w:jc w:val="both"/>
      </w:pPr>
      <w:r w:rsidRPr="002024B1">
        <w:t xml:space="preserve">De </w:t>
      </w:r>
      <w:proofErr w:type="gramStart"/>
      <w:r w:rsidRPr="002024B1">
        <w:t>solvabiliteit</w:t>
      </w:r>
      <w:proofErr w:type="gramEnd"/>
      <w:r w:rsidRPr="002024B1">
        <w:t xml:space="preserve"> staat onder invloed van de gebruikte waarderingsmethode maar de </w:t>
      </w:r>
      <w:proofErr w:type="spellStart"/>
      <w:r w:rsidRPr="002024B1">
        <w:t>rentedek</w:t>
      </w:r>
      <w:r w:rsidR="00775B27" w:rsidRPr="002024B1">
        <w:t>-</w:t>
      </w:r>
      <w:r w:rsidRPr="002024B1">
        <w:t>kingsgraad</w:t>
      </w:r>
      <w:proofErr w:type="spellEnd"/>
      <w:r w:rsidRPr="002024B1">
        <w:t xml:space="preserve"> niet. Bij </w:t>
      </w:r>
      <w:proofErr w:type="gramStart"/>
      <w:r w:rsidRPr="002024B1">
        <w:t>sol</w:t>
      </w:r>
      <w:r w:rsidR="000B7E0C" w:rsidRPr="002024B1">
        <w:t>vabiliteit</w:t>
      </w:r>
      <w:proofErr w:type="gramEnd"/>
      <w:r w:rsidR="000B7E0C" w:rsidRPr="002024B1">
        <w:t xml:space="preserve"> is het belangrijker </w:t>
      </w:r>
      <w:r w:rsidRPr="002024B1">
        <w:t xml:space="preserve">te kijken naar de ontwikkeling over een langere periode. Bij hantering van </w:t>
      </w:r>
      <w:r w:rsidR="00BA409C" w:rsidRPr="002024B1">
        <w:t>reële waarde/</w:t>
      </w:r>
      <w:r w:rsidRPr="002024B1">
        <w:t xml:space="preserve">marktwaarde als waarderingsmethode is de ontwikkeling in </w:t>
      </w:r>
      <w:proofErr w:type="gramStart"/>
      <w:r w:rsidRPr="002024B1">
        <w:t>solvabiliteit</w:t>
      </w:r>
      <w:proofErr w:type="gramEnd"/>
      <w:r w:rsidRPr="002024B1">
        <w:t xml:space="preserve"> over een langere periode het meest in overeenstemming met de werkelijkheid.</w:t>
      </w:r>
    </w:p>
    <w:p w:rsidR="00467662" w:rsidRPr="002024B1" w:rsidRDefault="00B7656F" w:rsidP="00775B27">
      <w:pPr>
        <w:jc w:val="both"/>
      </w:pPr>
      <w:r w:rsidRPr="002024B1">
        <w:t xml:space="preserve">Kortom: De invloed van de </w:t>
      </w:r>
      <w:r w:rsidR="00467662" w:rsidRPr="002024B1">
        <w:t xml:space="preserve">waarderingsmethoden op het inzicht in de financiële positie van </w:t>
      </w:r>
      <w:proofErr w:type="spellStart"/>
      <w:r w:rsidR="00467662" w:rsidRPr="002024B1">
        <w:t>woning</w:t>
      </w:r>
      <w:r w:rsidRPr="002024B1">
        <w:t>-</w:t>
      </w:r>
      <w:r w:rsidR="00467662" w:rsidRPr="002024B1">
        <w:t>corporaties</w:t>
      </w:r>
      <w:proofErr w:type="spellEnd"/>
      <w:r w:rsidR="00467662" w:rsidRPr="002024B1">
        <w:t xml:space="preserve"> beperkt zich tot de </w:t>
      </w:r>
      <w:proofErr w:type="gramStart"/>
      <w:r w:rsidR="00467662" w:rsidRPr="002024B1">
        <w:t>solvabiliteit</w:t>
      </w:r>
      <w:proofErr w:type="gramEnd"/>
      <w:r w:rsidR="000B7E0C" w:rsidRPr="002024B1">
        <w:t xml:space="preserve"> van die ondernemingen</w:t>
      </w:r>
      <w:r w:rsidR="00467662" w:rsidRPr="002024B1">
        <w:t>. Het kostprijsmodel en bedrijfswaarde model geven een minder goed inz</w:t>
      </w:r>
      <w:r w:rsidR="000B7E0C" w:rsidRPr="002024B1">
        <w:t>icht in de financiële positie door</w:t>
      </w:r>
      <w:r w:rsidR="00467662" w:rsidRPr="002024B1">
        <w:t xml:space="preserve">dat de waarde van het vastgoed niet overeenkomt met de werkelijke waarde. In de </w:t>
      </w:r>
      <w:r w:rsidR="00BA409C" w:rsidRPr="002024B1">
        <w:t>reële waarde/</w:t>
      </w:r>
      <w:r w:rsidR="00467662" w:rsidRPr="002024B1">
        <w:t>marktwaarde komen actuele ontwikkelingen wel tot uitdrukking. Deze methode zou gebruikt moeten worden voor het verschaffen van een goed inzicht in de financiële positie</w:t>
      </w:r>
      <w:r w:rsidR="000B7E0C" w:rsidRPr="002024B1">
        <w:t xml:space="preserve"> van woningcorporaties</w:t>
      </w:r>
      <w:r w:rsidR="00467662" w:rsidRPr="002024B1">
        <w:t xml:space="preserve">. </w:t>
      </w:r>
    </w:p>
    <w:p w:rsidR="00467662" w:rsidRPr="002024B1" w:rsidRDefault="00467662" w:rsidP="00467662"/>
    <w:p w:rsidR="00467662" w:rsidRPr="002024B1" w:rsidRDefault="00467662" w:rsidP="00754475"/>
    <w:p w:rsidR="00D41980" w:rsidRPr="002024B1" w:rsidRDefault="00D41980" w:rsidP="00754475"/>
    <w:p w:rsidR="00D41980" w:rsidRPr="002024B1" w:rsidRDefault="00D41980" w:rsidP="00754475"/>
    <w:p w:rsidR="00D41980" w:rsidRPr="002024B1" w:rsidRDefault="00D41980" w:rsidP="00754475"/>
    <w:p w:rsidR="00D41980" w:rsidRPr="002024B1" w:rsidRDefault="00D41980" w:rsidP="00D41980">
      <w:pPr>
        <w:pStyle w:val="Heading2"/>
        <w:rPr>
          <w:color w:val="auto"/>
        </w:rPr>
      </w:pPr>
      <w:r w:rsidRPr="002024B1">
        <w:rPr>
          <w:color w:val="auto"/>
        </w:rPr>
        <w:t>Literatuur</w:t>
      </w:r>
    </w:p>
    <w:p w:rsidR="00D41980" w:rsidRDefault="00D41980" w:rsidP="00D41980"/>
    <w:p w:rsidR="00F807B2" w:rsidRDefault="00F807B2" w:rsidP="00D41980">
      <w:proofErr w:type="spellStart"/>
      <w:r>
        <w:t>Aedes</w:t>
      </w:r>
      <w:proofErr w:type="spellEnd"/>
      <w:r>
        <w:t xml:space="preserve"> (2012, 22 november). </w:t>
      </w:r>
      <w:r w:rsidRPr="00F807B2">
        <w:rPr>
          <w:i/>
        </w:rPr>
        <w:t>Waarborgfonds voorlopig niet garant voor nieuwe leningen</w:t>
      </w:r>
      <w:r>
        <w:t>.</w:t>
      </w:r>
    </w:p>
    <w:p w:rsidR="00D93025" w:rsidRPr="00D93025" w:rsidRDefault="00D93025" w:rsidP="00D41980">
      <w:pPr>
        <w:rPr>
          <w:i/>
        </w:rPr>
      </w:pPr>
      <w:proofErr w:type="spellStart"/>
      <w:r>
        <w:t>Aedes</w:t>
      </w:r>
      <w:proofErr w:type="spellEnd"/>
      <w:r>
        <w:t xml:space="preserve"> (2013). </w:t>
      </w:r>
      <w:proofErr w:type="spellStart"/>
      <w:r>
        <w:t>Aedes-website</w:t>
      </w:r>
      <w:proofErr w:type="spellEnd"/>
      <w:r>
        <w:t xml:space="preserve">: </w:t>
      </w:r>
      <w:r>
        <w:rPr>
          <w:i/>
        </w:rPr>
        <w:t xml:space="preserve">Feiten en cijfers. </w:t>
      </w:r>
    </w:p>
    <w:p w:rsidR="0053570D" w:rsidRDefault="0053570D" w:rsidP="00D41980">
      <w:proofErr w:type="spellStart"/>
      <w:r>
        <w:t>Aedes</w:t>
      </w:r>
      <w:proofErr w:type="spellEnd"/>
      <w:r>
        <w:t xml:space="preserve"> en VTW. </w:t>
      </w:r>
      <w:proofErr w:type="spellStart"/>
      <w:r w:rsidRPr="0053570D">
        <w:rPr>
          <w:i/>
        </w:rPr>
        <w:t>Governancecode</w:t>
      </w:r>
      <w:proofErr w:type="spellEnd"/>
      <w:r w:rsidRPr="0053570D">
        <w:rPr>
          <w:i/>
        </w:rPr>
        <w:t xml:space="preserve"> Woningcorporaties, 2011</w:t>
      </w:r>
      <w:r>
        <w:t xml:space="preserve">. </w:t>
      </w:r>
    </w:p>
    <w:p w:rsidR="00164AD9" w:rsidRDefault="00164AD9" w:rsidP="00D41980">
      <w:proofErr w:type="spellStart"/>
      <w:r>
        <w:t>Canoy</w:t>
      </w:r>
      <w:proofErr w:type="spellEnd"/>
      <w:r>
        <w:t xml:space="preserve">, M. (2013, 17 januari). </w:t>
      </w:r>
      <w:proofErr w:type="spellStart"/>
      <w:r>
        <w:rPr>
          <w:i/>
        </w:rPr>
        <w:t>Publiek-privaat</w:t>
      </w:r>
      <w:proofErr w:type="spellEnd"/>
      <w:r>
        <w:rPr>
          <w:i/>
        </w:rPr>
        <w:t xml:space="preserve"> fonds sleutel tot woningmarkt. </w:t>
      </w:r>
      <w:r>
        <w:t>Financiële Dagblad</w:t>
      </w:r>
      <w:r w:rsidR="0053570D">
        <w:t xml:space="preserve">, 17 januari 2013. </w:t>
      </w:r>
    </w:p>
    <w:p w:rsidR="0053570D" w:rsidRPr="00164AD9" w:rsidRDefault="0053570D" w:rsidP="00D41980">
      <w:r>
        <w:t xml:space="preserve">Commissie Hoekstra </w:t>
      </w:r>
      <w:proofErr w:type="gramStart"/>
      <w:r>
        <w:t xml:space="preserve">(2012).  </w:t>
      </w:r>
      <w:proofErr w:type="gramEnd"/>
      <w:r>
        <w:t xml:space="preserve">Commissie Kaderstelling en Toezicht Woningcorporaties, 17 december 2012. </w:t>
      </w:r>
    </w:p>
    <w:p w:rsidR="00F807B2" w:rsidRPr="00553672" w:rsidRDefault="00553672" w:rsidP="00D41980">
      <w:pPr>
        <w:rPr>
          <w:i/>
        </w:rPr>
      </w:pPr>
      <w:r>
        <w:t xml:space="preserve">CFV (2006, 21 november). </w:t>
      </w:r>
      <w:r>
        <w:rPr>
          <w:i/>
        </w:rPr>
        <w:t xml:space="preserve">Sectorbeeld woningcorporaties verslagjaar 2005. </w:t>
      </w:r>
    </w:p>
    <w:p w:rsidR="00F807B2" w:rsidRDefault="00F807B2" w:rsidP="00D41980">
      <w:pPr>
        <w:rPr>
          <w:i/>
        </w:rPr>
      </w:pPr>
      <w:r>
        <w:t xml:space="preserve">CFV (2008, 28 maart). </w:t>
      </w:r>
      <w:r>
        <w:rPr>
          <w:i/>
        </w:rPr>
        <w:t xml:space="preserve">De </w:t>
      </w:r>
      <w:proofErr w:type="spellStart"/>
      <w:r>
        <w:rPr>
          <w:i/>
        </w:rPr>
        <w:t>volkshuisvestelijke</w:t>
      </w:r>
      <w:proofErr w:type="spellEnd"/>
      <w:r>
        <w:rPr>
          <w:i/>
        </w:rPr>
        <w:t xml:space="preserve"> exploitatiewaarde. </w:t>
      </w:r>
    </w:p>
    <w:p w:rsidR="00553672" w:rsidRDefault="00987A3F" w:rsidP="00D41980">
      <w:pPr>
        <w:rPr>
          <w:i/>
        </w:rPr>
      </w:pPr>
      <w:r w:rsidRPr="00391C8C">
        <w:t xml:space="preserve">CFV (2012a, 20 december). </w:t>
      </w:r>
      <w:proofErr w:type="spellStart"/>
      <w:r w:rsidRPr="00391C8C">
        <w:rPr>
          <w:i/>
        </w:rPr>
        <w:t>Continuïteits</w:t>
      </w:r>
      <w:proofErr w:type="spellEnd"/>
      <w:r w:rsidRPr="00391C8C">
        <w:rPr>
          <w:i/>
        </w:rPr>
        <w:t xml:space="preserve">- en solvabiliteitsoordelen. </w:t>
      </w:r>
    </w:p>
    <w:p w:rsidR="00391C8C" w:rsidRDefault="00391C8C" w:rsidP="00D41980">
      <w:pPr>
        <w:rPr>
          <w:i/>
        </w:rPr>
      </w:pPr>
      <w:r w:rsidRPr="00391C8C">
        <w:t xml:space="preserve">CFV (2012b, 30 november). </w:t>
      </w:r>
      <w:r>
        <w:rPr>
          <w:i/>
        </w:rPr>
        <w:t xml:space="preserve">Toelichting Corporatie in Perspectief. </w:t>
      </w:r>
    </w:p>
    <w:p w:rsidR="00391C8C" w:rsidRPr="00391C8C" w:rsidRDefault="00391C8C" w:rsidP="00D41980">
      <w:r w:rsidRPr="00391C8C">
        <w:t xml:space="preserve">CFV (2012c, 31 januari). </w:t>
      </w:r>
      <w:r w:rsidRPr="00553672">
        <w:t>Handreiking voor het toepassen v</w:t>
      </w:r>
      <w:r>
        <w:t xml:space="preserve">an RJ 645 (2011). </w:t>
      </w:r>
    </w:p>
    <w:p w:rsidR="00391C8C" w:rsidRDefault="00391C8C" w:rsidP="00D41980">
      <w:pPr>
        <w:rPr>
          <w:i/>
        </w:rPr>
      </w:pPr>
      <w:r w:rsidRPr="00391C8C">
        <w:t>CFV (2012d</w:t>
      </w:r>
      <w:r>
        <w:t xml:space="preserve">, 18 december). </w:t>
      </w:r>
      <w:r w:rsidRPr="00391C8C">
        <w:rPr>
          <w:i/>
        </w:rPr>
        <w:t>Sectorbeeld realisaties woningcorporaties verslagjaar 2011</w:t>
      </w:r>
      <w:r>
        <w:rPr>
          <w:i/>
        </w:rPr>
        <w:t xml:space="preserve">. </w:t>
      </w:r>
    </w:p>
    <w:p w:rsidR="0053570D" w:rsidRPr="002721D7" w:rsidRDefault="0053570D" w:rsidP="00D41980">
      <w:pPr>
        <w:rPr>
          <w:i/>
        </w:rPr>
      </w:pPr>
      <w:r w:rsidRPr="002721D7">
        <w:t xml:space="preserve">CFV (2013, 7 juli). </w:t>
      </w:r>
      <w:r w:rsidRPr="002721D7">
        <w:rPr>
          <w:i/>
        </w:rPr>
        <w:t xml:space="preserve">Onjuistheden in artikel Parool. </w:t>
      </w:r>
    </w:p>
    <w:p w:rsidR="00164AD9" w:rsidRPr="00164AD9" w:rsidRDefault="00164AD9" w:rsidP="00D41980">
      <w:proofErr w:type="spellStart"/>
      <w:r w:rsidRPr="0053570D">
        <w:t>Eichholtz</w:t>
      </w:r>
      <w:proofErr w:type="spellEnd"/>
      <w:r w:rsidRPr="0053570D">
        <w:t xml:space="preserve">, P.M.A. (2003, 27 juni). </w:t>
      </w:r>
      <w:r>
        <w:rPr>
          <w:i/>
        </w:rPr>
        <w:t xml:space="preserve">Corporaties moeten verkopen. </w:t>
      </w:r>
      <w:r>
        <w:t>ESB, 27 juni 2003, p. 291.</w:t>
      </w:r>
    </w:p>
    <w:p w:rsidR="00D41980" w:rsidRDefault="00D41980" w:rsidP="00D41980">
      <w:r>
        <w:t xml:space="preserve">Gruis, V.H. (2001). </w:t>
      </w:r>
      <w:r>
        <w:rPr>
          <w:i/>
        </w:rPr>
        <w:t xml:space="preserve">Financieel-economische grondslagen voor woningcorporaties. </w:t>
      </w:r>
      <w:r>
        <w:t xml:space="preserve">Volkshuisvestingbeleid en woningmarkt nr. 30. </w:t>
      </w:r>
    </w:p>
    <w:p w:rsidR="0053570D" w:rsidRDefault="0053570D" w:rsidP="00D41980">
      <w:r>
        <w:t xml:space="preserve">Gruis, V.H. </w:t>
      </w:r>
      <w:proofErr w:type="gramStart"/>
      <w:r>
        <w:t xml:space="preserve">(2003).  </w:t>
      </w:r>
      <w:proofErr w:type="gramEnd"/>
      <w:r w:rsidRPr="0053570D">
        <w:rPr>
          <w:i/>
        </w:rPr>
        <w:t>Beter inzicht met de bedrijfswaarde</w:t>
      </w:r>
      <w:r>
        <w:t xml:space="preserve">. Maandblad voor Accountancy en Bedrijfseconomie. Oktober 2003. P. 430 – 437. </w:t>
      </w:r>
    </w:p>
    <w:p w:rsidR="00F807B2" w:rsidRDefault="00F807B2" w:rsidP="00D41980">
      <w:r>
        <w:t>Handboek Jaarrekening (2011). Uitgave van Ernst &amp; Young.</w:t>
      </w:r>
    </w:p>
    <w:p w:rsidR="00D41980" w:rsidRDefault="00D41980" w:rsidP="00D41980">
      <w:r>
        <w:t xml:space="preserve">Handboek Woningcorporaties (2012). </w:t>
      </w:r>
      <w:r w:rsidR="00F807B2">
        <w:t xml:space="preserve">Uitgave van Deloitte. </w:t>
      </w:r>
    </w:p>
    <w:p w:rsidR="00164AD9" w:rsidRPr="00164AD9" w:rsidRDefault="00164AD9" w:rsidP="00D41980">
      <w:pPr>
        <w:rPr>
          <w:i/>
        </w:rPr>
      </w:pPr>
      <w:proofErr w:type="spellStart"/>
      <w:r>
        <w:t>König</w:t>
      </w:r>
      <w:proofErr w:type="spellEnd"/>
      <w:r>
        <w:t xml:space="preserve">, E. (2013, 20 juni). </w:t>
      </w:r>
      <w:r>
        <w:rPr>
          <w:i/>
        </w:rPr>
        <w:t xml:space="preserve">De huurder betaalt voor gratis stroom. </w:t>
      </w:r>
      <w:r w:rsidR="0053570D" w:rsidRPr="0053570D">
        <w:t>NRC, 20 juni 2013.</w:t>
      </w:r>
      <w:r w:rsidR="0053570D">
        <w:rPr>
          <w:i/>
        </w:rPr>
        <w:t xml:space="preserve"> </w:t>
      </w:r>
    </w:p>
    <w:p w:rsidR="00F807B2" w:rsidRDefault="00F807B2" w:rsidP="00D41980">
      <w:pPr>
        <w:rPr>
          <w:i/>
        </w:rPr>
      </w:pPr>
      <w:proofErr w:type="spellStart"/>
      <w:r>
        <w:t>Ooghe</w:t>
      </w:r>
      <w:proofErr w:type="spellEnd"/>
      <w:r>
        <w:t xml:space="preserve">, H. &amp; Van </w:t>
      </w:r>
      <w:proofErr w:type="spellStart"/>
      <w:r>
        <w:t>Wymeersch</w:t>
      </w:r>
      <w:proofErr w:type="spellEnd"/>
      <w:r>
        <w:t xml:space="preserve">, C. (2008). </w:t>
      </w:r>
      <w:r>
        <w:rPr>
          <w:i/>
        </w:rPr>
        <w:t xml:space="preserve">Handboek financiële analyse van de onderneming. </w:t>
      </w:r>
    </w:p>
    <w:p w:rsidR="00164AD9" w:rsidRPr="00164AD9" w:rsidRDefault="00164AD9" w:rsidP="00D41980">
      <w:proofErr w:type="spellStart"/>
      <w:r>
        <w:t>Rötscheid</w:t>
      </w:r>
      <w:proofErr w:type="spellEnd"/>
      <w:r>
        <w:t xml:space="preserve">, R. (1996, 24 januari). </w:t>
      </w:r>
      <w:r>
        <w:rPr>
          <w:i/>
        </w:rPr>
        <w:t xml:space="preserve">Privatisering woningcorporaties en de sociale doelstelling. </w:t>
      </w:r>
      <w:r>
        <w:t xml:space="preserve">ESB, 24 januari 1996, p. 81. </w:t>
      </w:r>
    </w:p>
    <w:p w:rsidR="00553672" w:rsidRDefault="00391C8C" w:rsidP="00D41980">
      <w:r>
        <w:t xml:space="preserve">Stevens, L.G.M. (2013). </w:t>
      </w:r>
      <w:r>
        <w:rPr>
          <w:i/>
        </w:rPr>
        <w:t xml:space="preserve">Naar een hervormend en vereenvoudigd belastingsbeleid. </w:t>
      </w:r>
      <w:r>
        <w:t xml:space="preserve">Jaarboek Overheidsfinanciën (2013). P. 153 – 166. </w:t>
      </w:r>
    </w:p>
    <w:p w:rsidR="00164AD9" w:rsidRDefault="00164AD9" w:rsidP="00D41980">
      <w:r>
        <w:t xml:space="preserve">Van der </w:t>
      </w:r>
      <w:proofErr w:type="gramStart"/>
      <w:r>
        <w:t>Toorn</w:t>
      </w:r>
      <w:proofErr w:type="gramEnd"/>
      <w:r>
        <w:t xml:space="preserve"> </w:t>
      </w:r>
      <w:proofErr w:type="spellStart"/>
      <w:r>
        <w:t>Vrijthoff</w:t>
      </w:r>
      <w:proofErr w:type="spellEnd"/>
      <w:r>
        <w:t xml:space="preserve">, W. (2013, 13 mei). </w:t>
      </w:r>
      <w:r>
        <w:rPr>
          <w:i/>
        </w:rPr>
        <w:t xml:space="preserve">Woningen leven langer. </w:t>
      </w:r>
      <w:hyperlink r:id="rId20" w:history="1">
        <w:r w:rsidRPr="00164AD9">
          <w:rPr>
            <w:rStyle w:val="Hyperlink"/>
            <w:color w:val="auto"/>
            <w:u w:val="none"/>
          </w:rPr>
          <w:t>www.tudelft.nl</w:t>
        </w:r>
      </w:hyperlink>
      <w:proofErr w:type="gramStart"/>
      <w:r>
        <w:t xml:space="preserve">.  </w:t>
      </w:r>
      <w:proofErr w:type="gramEnd"/>
    </w:p>
    <w:p w:rsidR="00391C8C" w:rsidRDefault="00391C8C" w:rsidP="00D41980">
      <w:pPr>
        <w:rPr>
          <w:i/>
        </w:rPr>
      </w:pPr>
      <w:r w:rsidRPr="002721D7">
        <w:t xml:space="preserve">VTW (2011, 7 april). </w:t>
      </w:r>
      <w:r w:rsidRPr="00391C8C">
        <w:rPr>
          <w:i/>
        </w:rPr>
        <w:t>Onrendabele top sociale huurwoningen s</w:t>
      </w:r>
      <w:r>
        <w:rPr>
          <w:i/>
        </w:rPr>
        <w:t xml:space="preserve">terk gestegen. </w:t>
      </w:r>
    </w:p>
    <w:p w:rsidR="00164AD9" w:rsidRPr="00164AD9" w:rsidRDefault="00164AD9" w:rsidP="00D41980">
      <w:r>
        <w:t xml:space="preserve">De Wit, D.P.M. (1995, 21 juni). </w:t>
      </w:r>
      <w:r w:rsidRPr="00164AD9">
        <w:rPr>
          <w:i/>
        </w:rPr>
        <w:t>Privatisering van woningcorporaties.</w:t>
      </w:r>
      <w:r>
        <w:t xml:space="preserve"> </w:t>
      </w:r>
      <w:r w:rsidRPr="003E2A15">
        <w:t>ES</w:t>
      </w:r>
      <w:r>
        <w:t>B, 21 juni 1995, p</w:t>
      </w:r>
      <w:r w:rsidRPr="003E2A15">
        <w:t>. 581-584</w:t>
      </w:r>
      <w:r>
        <w:t>.</w:t>
      </w:r>
    </w:p>
    <w:p w:rsidR="00987A3F" w:rsidRDefault="00987A3F" w:rsidP="00D41980">
      <w:pPr>
        <w:rPr>
          <w:i/>
        </w:rPr>
      </w:pPr>
      <w:r w:rsidRPr="002721D7">
        <w:t xml:space="preserve">WSW (2009). </w:t>
      </w:r>
      <w:r>
        <w:rPr>
          <w:i/>
        </w:rPr>
        <w:t xml:space="preserve">Cijfermatig perspectief (2009). </w:t>
      </w:r>
    </w:p>
    <w:p w:rsidR="00164AD9" w:rsidRPr="00164AD9" w:rsidRDefault="00164AD9" w:rsidP="00D41980">
      <w:r>
        <w:t xml:space="preserve">WSW (2012, 22 november). </w:t>
      </w:r>
      <w:r>
        <w:rPr>
          <w:i/>
        </w:rPr>
        <w:t xml:space="preserve">Brief beperking borging WSW. </w:t>
      </w:r>
    </w:p>
    <w:p w:rsidR="00987A3F" w:rsidRDefault="00987A3F" w:rsidP="00D41980">
      <w:pPr>
        <w:rPr>
          <w:i/>
        </w:rPr>
      </w:pPr>
      <w:r>
        <w:t xml:space="preserve">WSW (2013, 27 mei). </w:t>
      </w:r>
      <w:r w:rsidRPr="00987A3F">
        <w:rPr>
          <w:i/>
        </w:rPr>
        <w:t xml:space="preserve">Voorgenomen beleidswijziging </w:t>
      </w:r>
      <w:proofErr w:type="gramStart"/>
      <w:r w:rsidRPr="00987A3F">
        <w:rPr>
          <w:i/>
        </w:rPr>
        <w:t>inzake</w:t>
      </w:r>
      <w:proofErr w:type="gramEnd"/>
      <w:r w:rsidRPr="00987A3F">
        <w:rPr>
          <w:i/>
        </w:rPr>
        <w:t xml:space="preserve"> leningsvorme</w:t>
      </w:r>
      <w:r>
        <w:rPr>
          <w:i/>
        </w:rPr>
        <w:t xml:space="preserve">n. </w:t>
      </w:r>
    </w:p>
    <w:p w:rsidR="00987A3F" w:rsidRPr="00987A3F" w:rsidRDefault="00987A3F" w:rsidP="00D41980"/>
    <w:p w:rsidR="00987A3F" w:rsidRPr="00987A3F" w:rsidRDefault="00987A3F" w:rsidP="00D41980"/>
    <w:p w:rsidR="00D41980" w:rsidRDefault="00D41980"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Default="00405661" w:rsidP="00D41980"/>
    <w:p w:rsidR="00405661" w:rsidRPr="002024B1" w:rsidRDefault="00405661" w:rsidP="00405661">
      <w:pPr>
        <w:pStyle w:val="Heading2"/>
        <w:rPr>
          <w:color w:val="auto"/>
        </w:rPr>
      </w:pPr>
      <w:r w:rsidRPr="002024B1">
        <w:rPr>
          <w:color w:val="auto"/>
        </w:rPr>
        <w:t>Appendix A</w:t>
      </w:r>
      <w:r w:rsidR="00404E77" w:rsidRPr="002024B1">
        <w:rPr>
          <w:color w:val="auto"/>
        </w:rPr>
        <w:t>: Kengetallen</w:t>
      </w:r>
    </w:p>
    <w:tbl>
      <w:tblPr>
        <w:tblStyle w:val="Lichtearcering1"/>
        <w:tblW w:w="0" w:type="auto"/>
        <w:tblLook w:val="04A0"/>
      </w:tblPr>
      <w:tblGrid>
        <w:gridCol w:w="4606"/>
        <w:gridCol w:w="4606"/>
      </w:tblGrid>
      <w:tr w:rsidR="00405661" w:rsidTr="00405661">
        <w:trPr>
          <w:cnfStyle w:val="100000000000"/>
        </w:trPr>
        <w:tc>
          <w:tcPr>
            <w:cnfStyle w:val="001000000000"/>
            <w:tcW w:w="4606" w:type="dxa"/>
          </w:tcPr>
          <w:p w:rsidR="00405661" w:rsidRDefault="00405661" w:rsidP="00405661">
            <w:r>
              <w:t>Woningcorporatie</w:t>
            </w:r>
          </w:p>
        </w:tc>
        <w:tc>
          <w:tcPr>
            <w:tcW w:w="4606" w:type="dxa"/>
          </w:tcPr>
          <w:p w:rsidR="00405661" w:rsidRDefault="00405661" w:rsidP="00405661">
            <w:pPr>
              <w:cnfStyle w:val="100000000000"/>
            </w:pPr>
            <w:proofErr w:type="spellStart"/>
            <w:r>
              <w:t>Current</w:t>
            </w:r>
            <w:proofErr w:type="spellEnd"/>
            <w:r>
              <w:t xml:space="preserve"> Ratio</w:t>
            </w:r>
          </w:p>
        </w:tc>
      </w:tr>
      <w:tr w:rsidR="00405661" w:rsidTr="00405661">
        <w:trPr>
          <w:cnfStyle w:val="000000100000"/>
        </w:trPr>
        <w:tc>
          <w:tcPr>
            <w:cnfStyle w:val="001000000000"/>
            <w:tcW w:w="4606" w:type="dxa"/>
          </w:tcPr>
          <w:p w:rsidR="00405661" w:rsidRDefault="00405661" w:rsidP="00405661">
            <w:r>
              <w:t>Mozaïek Wonen Gouda</w:t>
            </w:r>
          </w:p>
        </w:tc>
        <w:tc>
          <w:tcPr>
            <w:tcW w:w="4606" w:type="dxa"/>
          </w:tcPr>
          <w:p w:rsidR="00405661" w:rsidRDefault="00405661" w:rsidP="00405661">
            <w:pPr>
              <w:cnfStyle w:val="000000100000"/>
            </w:pPr>
            <w:r>
              <w:t>0,50</w:t>
            </w:r>
          </w:p>
        </w:tc>
      </w:tr>
      <w:tr w:rsidR="00405661" w:rsidTr="00405661">
        <w:tc>
          <w:tcPr>
            <w:cnfStyle w:val="001000000000"/>
            <w:tcW w:w="4606" w:type="dxa"/>
          </w:tcPr>
          <w:p w:rsidR="00405661" w:rsidRDefault="00405661" w:rsidP="00405661">
            <w:r>
              <w:t>Woonstad Rotterdam</w:t>
            </w:r>
          </w:p>
        </w:tc>
        <w:tc>
          <w:tcPr>
            <w:tcW w:w="4606" w:type="dxa"/>
          </w:tcPr>
          <w:p w:rsidR="00405661" w:rsidRDefault="00405661" w:rsidP="00405661">
            <w:pPr>
              <w:cnfStyle w:val="000000000000"/>
            </w:pPr>
            <w:r>
              <w:t>0,54</w:t>
            </w:r>
          </w:p>
        </w:tc>
      </w:tr>
      <w:tr w:rsidR="00405661" w:rsidTr="00405661">
        <w:trPr>
          <w:cnfStyle w:val="000000100000"/>
        </w:trPr>
        <w:tc>
          <w:tcPr>
            <w:cnfStyle w:val="001000000000"/>
            <w:tcW w:w="4606" w:type="dxa"/>
          </w:tcPr>
          <w:p w:rsidR="00405661" w:rsidRDefault="00405661" w:rsidP="00405661">
            <w:proofErr w:type="spellStart"/>
            <w:r>
              <w:t>Ymere</w:t>
            </w:r>
            <w:proofErr w:type="spellEnd"/>
            <w:r>
              <w:t xml:space="preserve"> Amsterdam</w:t>
            </w:r>
          </w:p>
        </w:tc>
        <w:tc>
          <w:tcPr>
            <w:tcW w:w="4606" w:type="dxa"/>
          </w:tcPr>
          <w:p w:rsidR="00405661" w:rsidRDefault="00405661" w:rsidP="00405661">
            <w:pPr>
              <w:cnfStyle w:val="000000100000"/>
            </w:pPr>
            <w:r>
              <w:t>0,17</w:t>
            </w:r>
          </w:p>
        </w:tc>
      </w:tr>
      <w:tr w:rsidR="00405661" w:rsidTr="00405661">
        <w:tc>
          <w:tcPr>
            <w:cnfStyle w:val="001000000000"/>
            <w:tcW w:w="4606" w:type="dxa"/>
          </w:tcPr>
          <w:p w:rsidR="00405661" w:rsidRDefault="00405661" w:rsidP="00405661">
            <w:r>
              <w:t xml:space="preserve">De Goede Woning - </w:t>
            </w:r>
            <w:proofErr w:type="spellStart"/>
            <w:r>
              <w:t>Neerijnen</w:t>
            </w:r>
            <w:proofErr w:type="spellEnd"/>
          </w:p>
        </w:tc>
        <w:tc>
          <w:tcPr>
            <w:tcW w:w="4606" w:type="dxa"/>
          </w:tcPr>
          <w:p w:rsidR="00405661" w:rsidRDefault="00405661" w:rsidP="00405661">
            <w:pPr>
              <w:cnfStyle w:val="000000000000"/>
            </w:pPr>
            <w:r>
              <w:t>1,07</w:t>
            </w:r>
          </w:p>
        </w:tc>
      </w:tr>
      <w:tr w:rsidR="00405661" w:rsidTr="00405661">
        <w:trPr>
          <w:cnfStyle w:val="000000100000"/>
        </w:trPr>
        <w:tc>
          <w:tcPr>
            <w:cnfStyle w:val="001000000000"/>
            <w:tcW w:w="4606" w:type="dxa"/>
          </w:tcPr>
          <w:p w:rsidR="00405661" w:rsidRDefault="00405661" w:rsidP="00405661">
            <w:r>
              <w:t>Portaal Baarn</w:t>
            </w:r>
          </w:p>
        </w:tc>
        <w:tc>
          <w:tcPr>
            <w:tcW w:w="4606" w:type="dxa"/>
          </w:tcPr>
          <w:p w:rsidR="00405661" w:rsidRDefault="00405661" w:rsidP="00405661">
            <w:pPr>
              <w:cnfStyle w:val="000000100000"/>
            </w:pPr>
            <w:r>
              <w:t>1,92</w:t>
            </w:r>
          </w:p>
        </w:tc>
      </w:tr>
    </w:tbl>
    <w:p w:rsidR="00405661" w:rsidRDefault="00405661" w:rsidP="00405661"/>
    <w:p w:rsidR="00405661" w:rsidRDefault="00405661" w:rsidP="00405661">
      <w:r>
        <w:t xml:space="preserve">Berekening </w:t>
      </w:r>
      <w:proofErr w:type="spellStart"/>
      <w:r>
        <w:t>current</w:t>
      </w:r>
      <w:proofErr w:type="spellEnd"/>
      <w:r>
        <w:t xml:space="preserve"> ratio: vlottende activa/ korte termijn vreemd vermogen.</w:t>
      </w:r>
    </w:p>
    <w:p w:rsidR="00405661" w:rsidRDefault="00405661" w:rsidP="00405661">
      <w:r>
        <w:t>Mozaïek: 11.120.000/22.351.000=0,50</w:t>
      </w:r>
    </w:p>
    <w:p w:rsidR="00405661" w:rsidRDefault="00405661" w:rsidP="00405661">
      <w:r>
        <w:t>Woonstad: 78.977.000/146.658.000=0,54</w:t>
      </w:r>
    </w:p>
    <w:p w:rsidR="00405661" w:rsidRDefault="00405661" w:rsidP="00405661">
      <w:proofErr w:type="spellStart"/>
      <w:r>
        <w:t>Ymere</w:t>
      </w:r>
      <w:proofErr w:type="spellEnd"/>
      <w:r>
        <w:t>: 195.000.000/ 1.175.000.000=0,10</w:t>
      </w:r>
    </w:p>
    <w:p w:rsidR="00405661" w:rsidRDefault="00405661" w:rsidP="00405661">
      <w:proofErr w:type="spellStart"/>
      <w:r>
        <w:t>Neerijnen</w:t>
      </w:r>
      <w:proofErr w:type="spellEnd"/>
      <w:r>
        <w:t>: 467.277/437.381=1,07</w:t>
      </w:r>
    </w:p>
    <w:p w:rsidR="00405661" w:rsidRDefault="00405661" w:rsidP="00405661">
      <w:r>
        <w:t>Baarn: 295.515.000/ 154.255.000=1,92</w:t>
      </w:r>
    </w:p>
    <w:p w:rsidR="00405661" w:rsidRDefault="00405661" w:rsidP="00405661"/>
    <w:tbl>
      <w:tblPr>
        <w:tblStyle w:val="Lichtearcering1"/>
        <w:tblW w:w="0" w:type="auto"/>
        <w:tblLook w:val="04A0"/>
      </w:tblPr>
      <w:tblGrid>
        <w:gridCol w:w="4606"/>
        <w:gridCol w:w="4606"/>
      </w:tblGrid>
      <w:tr w:rsidR="00405661" w:rsidTr="00405661">
        <w:trPr>
          <w:cnfStyle w:val="100000000000"/>
        </w:trPr>
        <w:tc>
          <w:tcPr>
            <w:cnfStyle w:val="001000000000"/>
            <w:tcW w:w="4606" w:type="dxa"/>
          </w:tcPr>
          <w:p w:rsidR="00405661" w:rsidRDefault="00405661" w:rsidP="00405661">
            <w:r>
              <w:t>Woningcorporatie</w:t>
            </w:r>
          </w:p>
        </w:tc>
        <w:tc>
          <w:tcPr>
            <w:tcW w:w="4606" w:type="dxa"/>
          </w:tcPr>
          <w:p w:rsidR="00405661" w:rsidRDefault="00405661" w:rsidP="00405661">
            <w:pPr>
              <w:cnfStyle w:val="100000000000"/>
            </w:pPr>
            <w:proofErr w:type="gramStart"/>
            <w:r>
              <w:t>Solvabiliteit</w:t>
            </w:r>
            <w:proofErr w:type="gramEnd"/>
          </w:p>
        </w:tc>
      </w:tr>
      <w:tr w:rsidR="00405661" w:rsidTr="00405661">
        <w:trPr>
          <w:cnfStyle w:val="000000100000"/>
        </w:trPr>
        <w:tc>
          <w:tcPr>
            <w:cnfStyle w:val="001000000000"/>
            <w:tcW w:w="4606" w:type="dxa"/>
          </w:tcPr>
          <w:p w:rsidR="00405661" w:rsidRDefault="00405661" w:rsidP="00405661">
            <w:r>
              <w:t>Mozaïek Wonen Gouda</w:t>
            </w:r>
          </w:p>
        </w:tc>
        <w:tc>
          <w:tcPr>
            <w:tcW w:w="4606" w:type="dxa"/>
          </w:tcPr>
          <w:p w:rsidR="00405661" w:rsidRDefault="00405661" w:rsidP="00405661">
            <w:pPr>
              <w:cnfStyle w:val="000000100000"/>
            </w:pPr>
            <w:r>
              <w:t>0,35</w:t>
            </w:r>
          </w:p>
        </w:tc>
      </w:tr>
      <w:tr w:rsidR="00405661" w:rsidTr="00405661">
        <w:tc>
          <w:tcPr>
            <w:cnfStyle w:val="001000000000"/>
            <w:tcW w:w="4606" w:type="dxa"/>
          </w:tcPr>
          <w:p w:rsidR="00405661" w:rsidRDefault="00405661" w:rsidP="00405661">
            <w:r>
              <w:t>Woonstad Rotterdam</w:t>
            </w:r>
          </w:p>
        </w:tc>
        <w:tc>
          <w:tcPr>
            <w:tcW w:w="4606" w:type="dxa"/>
          </w:tcPr>
          <w:p w:rsidR="00405661" w:rsidRDefault="00405661" w:rsidP="00405661">
            <w:pPr>
              <w:cnfStyle w:val="000000000000"/>
            </w:pPr>
            <w:r>
              <w:t>0,50</w:t>
            </w:r>
          </w:p>
        </w:tc>
      </w:tr>
      <w:tr w:rsidR="00405661" w:rsidTr="00405661">
        <w:trPr>
          <w:cnfStyle w:val="000000100000"/>
        </w:trPr>
        <w:tc>
          <w:tcPr>
            <w:cnfStyle w:val="001000000000"/>
            <w:tcW w:w="4606" w:type="dxa"/>
          </w:tcPr>
          <w:p w:rsidR="00405661" w:rsidRDefault="00405661" w:rsidP="00405661">
            <w:proofErr w:type="spellStart"/>
            <w:r>
              <w:t>Ymere</w:t>
            </w:r>
            <w:proofErr w:type="spellEnd"/>
            <w:r>
              <w:t xml:space="preserve"> Amsterdam</w:t>
            </w:r>
          </w:p>
        </w:tc>
        <w:tc>
          <w:tcPr>
            <w:tcW w:w="4606" w:type="dxa"/>
          </w:tcPr>
          <w:p w:rsidR="00405661" w:rsidRDefault="00405661" w:rsidP="00405661">
            <w:pPr>
              <w:cnfStyle w:val="000000100000"/>
            </w:pPr>
            <w:r>
              <w:t>0,56</w:t>
            </w:r>
          </w:p>
        </w:tc>
      </w:tr>
      <w:tr w:rsidR="00405661" w:rsidTr="00405661">
        <w:tc>
          <w:tcPr>
            <w:cnfStyle w:val="001000000000"/>
            <w:tcW w:w="4606" w:type="dxa"/>
          </w:tcPr>
          <w:p w:rsidR="00405661" w:rsidRDefault="00405661" w:rsidP="00405661">
            <w:r>
              <w:t xml:space="preserve">De Goede Woning - </w:t>
            </w:r>
            <w:proofErr w:type="spellStart"/>
            <w:r>
              <w:t>Neerijnen</w:t>
            </w:r>
            <w:proofErr w:type="spellEnd"/>
          </w:p>
        </w:tc>
        <w:tc>
          <w:tcPr>
            <w:tcW w:w="4606" w:type="dxa"/>
          </w:tcPr>
          <w:p w:rsidR="00405661" w:rsidRDefault="00405661" w:rsidP="00405661">
            <w:pPr>
              <w:cnfStyle w:val="000000000000"/>
            </w:pPr>
            <w:r>
              <w:t>0,58</w:t>
            </w:r>
          </w:p>
        </w:tc>
      </w:tr>
      <w:tr w:rsidR="00405661" w:rsidTr="00405661">
        <w:trPr>
          <w:cnfStyle w:val="000000100000"/>
        </w:trPr>
        <w:tc>
          <w:tcPr>
            <w:cnfStyle w:val="001000000000"/>
            <w:tcW w:w="4606" w:type="dxa"/>
          </w:tcPr>
          <w:p w:rsidR="00405661" w:rsidRDefault="00405661" w:rsidP="00405661">
            <w:r>
              <w:t>Portaal Baarn</w:t>
            </w:r>
          </w:p>
        </w:tc>
        <w:tc>
          <w:tcPr>
            <w:tcW w:w="4606" w:type="dxa"/>
          </w:tcPr>
          <w:p w:rsidR="00405661" w:rsidRDefault="00405661" w:rsidP="00405661">
            <w:pPr>
              <w:cnfStyle w:val="000000100000"/>
            </w:pPr>
            <w:r>
              <w:t>0,24</w:t>
            </w:r>
          </w:p>
        </w:tc>
      </w:tr>
    </w:tbl>
    <w:p w:rsidR="00405661" w:rsidRDefault="00405661" w:rsidP="00405661"/>
    <w:p w:rsidR="00405661" w:rsidRDefault="00405661" w:rsidP="00405661">
      <w:r>
        <w:t xml:space="preserve">Berekening </w:t>
      </w:r>
      <w:proofErr w:type="gramStart"/>
      <w:r>
        <w:t>solvabiliteit</w:t>
      </w:r>
      <w:proofErr w:type="gramEnd"/>
      <w:r>
        <w:t>: Eigen Vermogen / Totaal vermogen</w:t>
      </w:r>
    </w:p>
    <w:p w:rsidR="00405661" w:rsidRDefault="00405661" w:rsidP="00405661">
      <w:r>
        <w:t>Mozaïek: 201.731.000 / 576.279.000 = 0,35</w:t>
      </w:r>
    </w:p>
    <w:p w:rsidR="00405661" w:rsidRDefault="00405661" w:rsidP="00405661">
      <w:r>
        <w:t>Woonstad: 1.919.910.000/3.842.062.000=0,50</w:t>
      </w:r>
    </w:p>
    <w:p w:rsidR="00405661" w:rsidRDefault="00405661" w:rsidP="00405661">
      <w:proofErr w:type="spellStart"/>
      <w:r>
        <w:t>Ymere</w:t>
      </w:r>
      <w:proofErr w:type="spellEnd"/>
      <w:r>
        <w:t>: 5.570.000.000/10.007.000.000=0,56</w:t>
      </w:r>
    </w:p>
    <w:p w:rsidR="00405661" w:rsidRDefault="00405661" w:rsidP="00405661">
      <w:proofErr w:type="spellStart"/>
      <w:r>
        <w:t>Neerijnen</w:t>
      </w:r>
      <w:proofErr w:type="spellEnd"/>
      <w:r>
        <w:t>: 7.359.881/12.700.153=0,58</w:t>
      </w:r>
    </w:p>
    <w:p w:rsidR="00405661" w:rsidRDefault="00405661" w:rsidP="00405661">
      <w:r>
        <w:t>Portaal: 676.068.000/2.818.785.000=0,24</w:t>
      </w:r>
    </w:p>
    <w:tbl>
      <w:tblPr>
        <w:tblStyle w:val="Lichtearcering1"/>
        <w:tblW w:w="0" w:type="auto"/>
        <w:tblLook w:val="04A0"/>
      </w:tblPr>
      <w:tblGrid>
        <w:gridCol w:w="2580"/>
        <w:gridCol w:w="2297"/>
        <w:gridCol w:w="2442"/>
        <w:gridCol w:w="1969"/>
      </w:tblGrid>
      <w:tr w:rsidR="00405661" w:rsidTr="00405661">
        <w:trPr>
          <w:cnfStyle w:val="100000000000"/>
        </w:trPr>
        <w:tc>
          <w:tcPr>
            <w:cnfStyle w:val="001000000000"/>
            <w:tcW w:w="2580" w:type="dxa"/>
          </w:tcPr>
          <w:p w:rsidR="00405661" w:rsidRDefault="00405661" w:rsidP="00405661">
            <w:r>
              <w:t>Woningcorporatie</w:t>
            </w:r>
          </w:p>
        </w:tc>
        <w:tc>
          <w:tcPr>
            <w:tcW w:w="2297" w:type="dxa"/>
          </w:tcPr>
          <w:p w:rsidR="00405661" w:rsidRDefault="00405661" w:rsidP="00405661">
            <w:pPr>
              <w:cnfStyle w:val="100000000000"/>
            </w:pPr>
            <w:r>
              <w:t>Rentabiliteit Eigen vermogen</w:t>
            </w:r>
          </w:p>
        </w:tc>
        <w:tc>
          <w:tcPr>
            <w:tcW w:w="2442" w:type="dxa"/>
          </w:tcPr>
          <w:p w:rsidR="00405661" w:rsidRDefault="00405661" w:rsidP="00405661">
            <w:pPr>
              <w:cnfStyle w:val="100000000000"/>
            </w:pPr>
            <w:r>
              <w:t>Rentabiliteit Totaal Vermogen</w:t>
            </w:r>
          </w:p>
        </w:tc>
        <w:tc>
          <w:tcPr>
            <w:tcW w:w="1969" w:type="dxa"/>
          </w:tcPr>
          <w:p w:rsidR="00405661" w:rsidRDefault="00405661" w:rsidP="00405661">
            <w:pPr>
              <w:cnfStyle w:val="100000000000"/>
            </w:pPr>
            <w:r>
              <w:t>Rentabiliteit Vreemd Vermogen</w:t>
            </w:r>
          </w:p>
        </w:tc>
      </w:tr>
      <w:tr w:rsidR="00405661" w:rsidTr="00405661">
        <w:trPr>
          <w:cnfStyle w:val="000000100000"/>
        </w:trPr>
        <w:tc>
          <w:tcPr>
            <w:cnfStyle w:val="001000000000"/>
            <w:tcW w:w="2580" w:type="dxa"/>
          </w:tcPr>
          <w:p w:rsidR="00405661" w:rsidRDefault="00405661" w:rsidP="00405661">
            <w:r>
              <w:t>Mozaïek Wonen Gouda</w:t>
            </w:r>
          </w:p>
        </w:tc>
        <w:tc>
          <w:tcPr>
            <w:tcW w:w="2297" w:type="dxa"/>
          </w:tcPr>
          <w:p w:rsidR="00405661" w:rsidRDefault="00405661" w:rsidP="00405661">
            <w:pPr>
              <w:cnfStyle w:val="000000100000"/>
            </w:pPr>
            <w:r>
              <w:t>-0,037</w:t>
            </w:r>
          </w:p>
        </w:tc>
        <w:tc>
          <w:tcPr>
            <w:tcW w:w="2442" w:type="dxa"/>
          </w:tcPr>
          <w:p w:rsidR="00405661" w:rsidRDefault="00405661" w:rsidP="00405661">
            <w:pPr>
              <w:cnfStyle w:val="000000100000"/>
            </w:pPr>
            <w:r>
              <w:t>0,0058</w:t>
            </w:r>
          </w:p>
        </w:tc>
        <w:tc>
          <w:tcPr>
            <w:tcW w:w="1969" w:type="dxa"/>
          </w:tcPr>
          <w:p w:rsidR="00405661" w:rsidRDefault="00405661" w:rsidP="00405661">
            <w:pPr>
              <w:cnfStyle w:val="000000100000"/>
            </w:pPr>
            <w:r>
              <w:t>0,0414</w:t>
            </w:r>
          </w:p>
        </w:tc>
      </w:tr>
      <w:tr w:rsidR="00405661" w:rsidTr="00405661">
        <w:tc>
          <w:tcPr>
            <w:cnfStyle w:val="001000000000"/>
            <w:tcW w:w="2580" w:type="dxa"/>
          </w:tcPr>
          <w:p w:rsidR="00405661" w:rsidRDefault="00405661" w:rsidP="00405661">
            <w:r>
              <w:t>Woonstad Rotterdam</w:t>
            </w:r>
          </w:p>
        </w:tc>
        <w:tc>
          <w:tcPr>
            <w:tcW w:w="2297" w:type="dxa"/>
          </w:tcPr>
          <w:p w:rsidR="00405661" w:rsidRDefault="00405661" w:rsidP="00405661">
            <w:pPr>
              <w:cnfStyle w:val="000000000000"/>
            </w:pPr>
            <w:r>
              <w:t>-0,076</w:t>
            </w:r>
          </w:p>
        </w:tc>
        <w:tc>
          <w:tcPr>
            <w:tcW w:w="2442" w:type="dxa"/>
          </w:tcPr>
          <w:p w:rsidR="00405661" w:rsidRDefault="00405661" w:rsidP="00405661">
            <w:pPr>
              <w:cnfStyle w:val="000000000000"/>
            </w:pPr>
            <w:r>
              <w:t>-0,0231</w:t>
            </w:r>
          </w:p>
        </w:tc>
        <w:tc>
          <w:tcPr>
            <w:tcW w:w="1969" w:type="dxa"/>
          </w:tcPr>
          <w:p w:rsidR="00405661" w:rsidRDefault="00405661" w:rsidP="00405661">
            <w:pPr>
              <w:cnfStyle w:val="000000000000"/>
            </w:pPr>
            <w:r>
              <w:t>0,0312</w:t>
            </w:r>
          </w:p>
        </w:tc>
      </w:tr>
      <w:tr w:rsidR="00405661" w:rsidTr="00405661">
        <w:trPr>
          <w:cnfStyle w:val="000000100000"/>
        </w:trPr>
        <w:tc>
          <w:tcPr>
            <w:cnfStyle w:val="001000000000"/>
            <w:tcW w:w="2580" w:type="dxa"/>
          </w:tcPr>
          <w:p w:rsidR="00405661" w:rsidRDefault="00405661" w:rsidP="00405661">
            <w:proofErr w:type="spellStart"/>
            <w:r>
              <w:t>Ymere</w:t>
            </w:r>
            <w:proofErr w:type="spellEnd"/>
            <w:r>
              <w:t xml:space="preserve"> Amsterdam</w:t>
            </w:r>
          </w:p>
        </w:tc>
        <w:tc>
          <w:tcPr>
            <w:tcW w:w="2297" w:type="dxa"/>
          </w:tcPr>
          <w:p w:rsidR="00405661" w:rsidRDefault="00405661" w:rsidP="00405661">
            <w:pPr>
              <w:cnfStyle w:val="000000100000"/>
            </w:pPr>
            <w:r>
              <w:t>-0,041</w:t>
            </w:r>
          </w:p>
        </w:tc>
        <w:tc>
          <w:tcPr>
            <w:tcW w:w="2442" w:type="dxa"/>
          </w:tcPr>
          <w:p w:rsidR="00405661" w:rsidRDefault="00405661" w:rsidP="00405661">
            <w:pPr>
              <w:cnfStyle w:val="000000100000"/>
            </w:pPr>
            <w:r>
              <w:t>-0,0057</w:t>
            </w:r>
          </w:p>
        </w:tc>
        <w:tc>
          <w:tcPr>
            <w:tcW w:w="1969" w:type="dxa"/>
          </w:tcPr>
          <w:p w:rsidR="00405661" w:rsidRDefault="00405661" w:rsidP="00405661">
            <w:pPr>
              <w:cnfStyle w:val="000000100000"/>
            </w:pPr>
            <w:r>
              <w:t>0,0367</w:t>
            </w:r>
          </w:p>
        </w:tc>
      </w:tr>
      <w:tr w:rsidR="00405661" w:rsidTr="00405661">
        <w:tc>
          <w:tcPr>
            <w:cnfStyle w:val="001000000000"/>
            <w:tcW w:w="2580" w:type="dxa"/>
          </w:tcPr>
          <w:p w:rsidR="00405661" w:rsidRDefault="00405661" w:rsidP="00405661">
            <w:r>
              <w:t xml:space="preserve">De Goede Woning - </w:t>
            </w:r>
            <w:proofErr w:type="spellStart"/>
            <w:r>
              <w:t>Neerijnen</w:t>
            </w:r>
            <w:proofErr w:type="spellEnd"/>
          </w:p>
        </w:tc>
        <w:tc>
          <w:tcPr>
            <w:tcW w:w="2297" w:type="dxa"/>
          </w:tcPr>
          <w:p w:rsidR="00405661" w:rsidRDefault="00405661" w:rsidP="00405661">
            <w:pPr>
              <w:cnfStyle w:val="000000000000"/>
            </w:pPr>
            <w:r>
              <w:t>0,067</w:t>
            </w:r>
          </w:p>
        </w:tc>
        <w:tc>
          <w:tcPr>
            <w:tcW w:w="2442" w:type="dxa"/>
          </w:tcPr>
          <w:p w:rsidR="00405661" w:rsidRDefault="00405661" w:rsidP="00405661">
            <w:pPr>
              <w:cnfStyle w:val="000000000000"/>
            </w:pPr>
            <w:r>
              <w:t>0,0583</w:t>
            </w:r>
          </w:p>
        </w:tc>
        <w:tc>
          <w:tcPr>
            <w:tcW w:w="1969" w:type="dxa"/>
          </w:tcPr>
          <w:p w:rsidR="00405661" w:rsidRDefault="00405661" w:rsidP="00405661">
            <w:pPr>
              <w:cnfStyle w:val="000000000000"/>
            </w:pPr>
            <w:r>
              <w:t>0,0452</w:t>
            </w:r>
          </w:p>
        </w:tc>
      </w:tr>
      <w:tr w:rsidR="00405661" w:rsidTr="00405661">
        <w:trPr>
          <w:cnfStyle w:val="000000100000"/>
        </w:trPr>
        <w:tc>
          <w:tcPr>
            <w:cnfStyle w:val="001000000000"/>
            <w:tcW w:w="2580" w:type="dxa"/>
          </w:tcPr>
          <w:p w:rsidR="00405661" w:rsidRDefault="00405661" w:rsidP="00405661">
            <w:r>
              <w:t>Portaal Baarn</w:t>
            </w:r>
          </w:p>
        </w:tc>
        <w:tc>
          <w:tcPr>
            <w:tcW w:w="2297" w:type="dxa"/>
          </w:tcPr>
          <w:p w:rsidR="00405661" w:rsidRDefault="00405661" w:rsidP="00405661">
            <w:pPr>
              <w:cnfStyle w:val="000000100000"/>
            </w:pPr>
            <w:r>
              <w:t>-0,034</w:t>
            </w:r>
          </w:p>
        </w:tc>
        <w:tc>
          <w:tcPr>
            <w:tcW w:w="2442" w:type="dxa"/>
          </w:tcPr>
          <w:p w:rsidR="00405661" w:rsidRDefault="00405661" w:rsidP="00405661">
            <w:pPr>
              <w:cnfStyle w:val="000000100000"/>
            </w:pPr>
            <w:r>
              <w:t>0,0323</w:t>
            </w:r>
          </w:p>
        </w:tc>
        <w:tc>
          <w:tcPr>
            <w:tcW w:w="1969" w:type="dxa"/>
          </w:tcPr>
          <w:p w:rsidR="00405661" w:rsidRDefault="00405661" w:rsidP="00405661">
            <w:pPr>
              <w:cnfStyle w:val="000000100000"/>
            </w:pPr>
            <w:r>
              <w:t>0,0357</w:t>
            </w:r>
          </w:p>
        </w:tc>
      </w:tr>
    </w:tbl>
    <w:p w:rsidR="00405661" w:rsidRDefault="00405661" w:rsidP="00405661"/>
    <w:p w:rsidR="00405661" w:rsidRDefault="00405661" w:rsidP="00405661">
      <w:r>
        <w:t>Berekening rentabiliteit: Nettowinst/ gem. EV</w:t>
      </w:r>
    </w:p>
    <w:p w:rsidR="00405661" w:rsidRDefault="00405661" w:rsidP="00405661">
      <w:r>
        <w:t>Mozaïek: -7.532.000/ 201.731.000 = -0,0373</w:t>
      </w:r>
    </w:p>
    <w:p w:rsidR="00405661" w:rsidRDefault="00405661" w:rsidP="00405661">
      <w:r>
        <w:t>Woonstad: -145.519.000/ 1.919.910.000= -0,076</w:t>
      </w:r>
    </w:p>
    <w:p w:rsidR="00405661" w:rsidRDefault="00405661" w:rsidP="00405661">
      <w:proofErr w:type="spellStart"/>
      <w:r>
        <w:t>Ymere</w:t>
      </w:r>
      <w:proofErr w:type="spellEnd"/>
      <w:r>
        <w:t>: -230.000.000/ 5570.000.000= -0,041</w:t>
      </w:r>
    </w:p>
    <w:p w:rsidR="00405661" w:rsidRDefault="00405661" w:rsidP="00405661">
      <w:proofErr w:type="spellStart"/>
      <w:r>
        <w:t>Neerijnen</w:t>
      </w:r>
      <w:proofErr w:type="spellEnd"/>
      <w:r>
        <w:t>: 489.776/7.359.881=0,067</w:t>
      </w:r>
    </w:p>
    <w:p w:rsidR="00405661" w:rsidRDefault="00405661" w:rsidP="00405661">
      <w:r>
        <w:t>Portaal: -22.805.000/676.068.000= -0,034</w:t>
      </w:r>
    </w:p>
    <w:p w:rsidR="00405661" w:rsidRPr="00836C21" w:rsidRDefault="00405661" w:rsidP="00405661">
      <w:pPr>
        <w:rPr>
          <w:b/>
        </w:rPr>
      </w:pPr>
      <w:r w:rsidRPr="00836C21">
        <w:rPr>
          <w:b/>
        </w:rPr>
        <w:t>Rentabiliteit totaal vermogen:</w:t>
      </w:r>
    </w:p>
    <w:p w:rsidR="00405661" w:rsidRDefault="00405661" w:rsidP="00405661">
      <w:r>
        <w:t>Woonstad: (-145.519.000+56.931.000+0)/3.842.062.000=-0,023</w:t>
      </w:r>
    </w:p>
    <w:p w:rsidR="00405661" w:rsidRDefault="00405661" w:rsidP="00405661">
      <w:proofErr w:type="spellStart"/>
      <w:r>
        <w:t>Ymere</w:t>
      </w:r>
      <w:proofErr w:type="spellEnd"/>
      <w:r>
        <w:t>: (-230.000.000 + 173.000.000)/10.007.000.000= -0,006</w:t>
      </w:r>
    </w:p>
    <w:p w:rsidR="00405661" w:rsidRDefault="00405661" w:rsidP="00405661">
      <w:r>
        <w:t>Portaal: (-22.805.000+77.138.000+37.265.000)/2.818.785.000=0,0323</w:t>
      </w:r>
    </w:p>
    <w:p w:rsidR="00405661" w:rsidRPr="00D17C76" w:rsidRDefault="00405661" w:rsidP="00405661">
      <w:pPr>
        <w:rPr>
          <w:b/>
        </w:rPr>
      </w:pPr>
      <w:r w:rsidRPr="00D17C76">
        <w:rPr>
          <w:b/>
        </w:rPr>
        <w:t>Rentabiliteit vreemd vermogen:</w:t>
      </w:r>
    </w:p>
    <w:p w:rsidR="00405661" w:rsidRDefault="00405661" w:rsidP="00405661">
      <w:r>
        <w:t>Woonstad: 59.978.000/1.922.152.000=0,0312</w:t>
      </w:r>
    </w:p>
    <w:p w:rsidR="00405661" w:rsidRDefault="00405661" w:rsidP="00405661">
      <w:proofErr w:type="spellStart"/>
      <w:r>
        <w:t>Ymere</w:t>
      </w:r>
      <w:proofErr w:type="spellEnd"/>
      <w:r>
        <w:t>: 163.000.000 / 4.437.000.000=0,0367</w:t>
      </w:r>
    </w:p>
    <w:p w:rsidR="00405661" w:rsidRDefault="00405661" w:rsidP="00405661">
      <w:r>
        <w:t>Portaal: 76.503.000/2.142.717.000=0,0357</w:t>
      </w:r>
    </w:p>
    <w:tbl>
      <w:tblPr>
        <w:tblStyle w:val="Lichtearcering1"/>
        <w:tblW w:w="0" w:type="auto"/>
        <w:tblLook w:val="04A0"/>
      </w:tblPr>
      <w:tblGrid>
        <w:gridCol w:w="4606"/>
        <w:gridCol w:w="4606"/>
      </w:tblGrid>
      <w:tr w:rsidR="00405661" w:rsidTr="00405661">
        <w:trPr>
          <w:cnfStyle w:val="100000000000"/>
        </w:trPr>
        <w:tc>
          <w:tcPr>
            <w:cnfStyle w:val="001000000000"/>
            <w:tcW w:w="4606" w:type="dxa"/>
          </w:tcPr>
          <w:p w:rsidR="00405661" w:rsidRDefault="00405661" w:rsidP="00405661">
            <w:r>
              <w:t>Woningcorporatie</w:t>
            </w:r>
          </w:p>
        </w:tc>
        <w:tc>
          <w:tcPr>
            <w:tcW w:w="4606" w:type="dxa"/>
          </w:tcPr>
          <w:p w:rsidR="00405661" w:rsidRDefault="00405661" w:rsidP="00405661">
            <w:pPr>
              <w:cnfStyle w:val="100000000000"/>
            </w:pPr>
            <w:proofErr w:type="spellStart"/>
            <w:r>
              <w:t>Rentedekkingsgraad</w:t>
            </w:r>
            <w:proofErr w:type="spellEnd"/>
          </w:p>
        </w:tc>
      </w:tr>
      <w:tr w:rsidR="00405661" w:rsidTr="00405661">
        <w:trPr>
          <w:cnfStyle w:val="000000100000"/>
        </w:trPr>
        <w:tc>
          <w:tcPr>
            <w:cnfStyle w:val="001000000000"/>
            <w:tcW w:w="4606" w:type="dxa"/>
          </w:tcPr>
          <w:p w:rsidR="00405661" w:rsidRDefault="00405661" w:rsidP="00405661">
            <w:r>
              <w:t>Mozaïek Wonen Gouda</w:t>
            </w:r>
          </w:p>
        </w:tc>
        <w:tc>
          <w:tcPr>
            <w:tcW w:w="4606" w:type="dxa"/>
          </w:tcPr>
          <w:p w:rsidR="00405661" w:rsidRDefault="00405661" w:rsidP="00405661">
            <w:pPr>
              <w:cnfStyle w:val="000000100000"/>
            </w:pPr>
            <w:r>
              <w:t>1,3</w:t>
            </w:r>
          </w:p>
        </w:tc>
      </w:tr>
      <w:tr w:rsidR="00405661" w:rsidTr="00405661">
        <w:tc>
          <w:tcPr>
            <w:cnfStyle w:val="001000000000"/>
            <w:tcW w:w="4606" w:type="dxa"/>
          </w:tcPr>
          <w:p w:rsidR="00405661" w:rsidRDefault="00405661" w:rsidP="00405661">
            <w:r>
              <w:t>Woonstad Rotterdam</w:t>
            </w:r>
          </w:p>
        </w:tc>
        <w:tc>
          <w:tcPr>
            <w:tcW w:w="4606" w:type="dxa"/>
          </w:tcPr>
          <w:p w:rsidR="00405661" w:rsidRDefault="00405661" w:rsidP="00405661">
            <w:pPr>
              <w:cnfStyle w:val="000000000000"/>
            </w:pPr>
            <w:r>
              <w:t>1,8</w:t>
            </w:r>
          </w:p>
        </w:tc>
      </w:tr>
      <w:tr w:rsidR="00405661" w:rsidTr="00405661">
        <w:trPr>
          <w:cnfStyle w:val="000000100000"/>
        </w:trPr>
        <w:tc>
          <w:tcPr>
            <w:cnfStyle w:val="001000000000"/>
            <w:tcW w:w="4606" w:type="dxa"/>
          </w:tcPr>
          <w:p w:rsidR="00405661" w:rsidRDefault="00405661" w:rsidP="00405661">
            <w:proofErr w:type="spellStart"/>
            <w:r>
              <w:t>Ymere</w:t>
            </w:r>
            <w:proofErr w:type="spellEnd"/>
            <w:r>
              <w:t xml:space="preserve"> Amsterdam</w:t>
            </w:r>
          </w:p>
        </w:tc>
        <w:tc>
          <w:tcPr>
            <w:tcW w:w="4606" w:type="dxa"/>
          </w:tcPr>
          <w:p w:rsidR="00405661" w:rsidRDefault="00405661" w:rsidP="00405661">
            <w:pPr>
              <w:cnfStyle w:val="000000100000"/>
            </w:pPr>
            <w:r>
              <w:t>1,6</w:t>
            </w:r>
          </w:p>
        </w:tc>
      </w:tr>
      <w:tr w:rsidR="00405661" w:rsidTr="00405661">
        <w:tc>
          <w:tcPr>
            <w:cnfStyle w:val="001000000000"/>
            <w:tcW w:w="4606" w:type="dxa"/>
          </w:tcPr>
          <w:p w:rsidR="00405661" w:rsidRDefault="00405661" w:rsidP="00405661">
            <w:r>
              <w:t xml:space="preserve">De Goede Woning - </w:t>
            </w:r>
            <w:proofErr w:type="spellStart"/>
            <w:r>
              <w:t>Neerijnen</w:t>
            </w:r>
            <w:proofErr w:type="spellEnd"/>
          </w:p>
        </w:tc>
        <w:tc>
          <w:tcPr>
            <w:tcW w:w="4606" w:type="dxa"/>
          </w:tcPr>
          <w:p w:rsidR="00405661" w:rsidRDefault="00405661" w:rsidP="00405661">
            <w:pPr>
              <w:cnfStyle w:val="000000000000"/>
            </w:pPr>
            <w:r>
              <w:t>1,9</w:t>
            </w:r>
          </w:p>
        </w:tc>
      </w:tr>
      <w:tr w:rsidR="00405661" w:rsidTr="00405661">
        <w:trPr>
          <w:cnfStyle w:val="000000100000"/>
        </w:trPr>
        <w:tc>
          <w:tcPr>
            <w:cnfStyle w:val="001000000000"/>
            <w:tcW w:w="4606" w:type="dxa"/>
          </w:tcPr>
          <w:p w:rsidR="00405661" w:rsidRDefault="00405661" w:rsidP="00405661">
            <w:r>
              <w:t>Portaal Baarn</w:t>
            </w:r>
          </w:p>
        </w:tc>
        <w:tc>
          <w:tcPr>
            <w:tcW w:w="4606" w:type="dxa"/>
          </w:tcPr>
          <w:p w:rsidR="00405661" w:rsidRDefault="00405661" w:rsidP="00405661">
            <w:pPr>
              <w:cnfStyle w:val="000000100000"/>
            </w:pPr>
            <w:r>
              <w:t>1,4</w:t>
            </w:r>
          </w:p>
        </w:tc>
      </w:tr>
    </w:tbl>
    <w:p w:rsidR="00405661" w:rsidRDefault="00405661" w:rsidP="00405661"/>
    <w:p w:rsidR="00405661" w:rsidRDefault="00405661" w:rsidP="00405661">
      <w:r>
        <w:t xml:space="preserve">Berekening </w:t>
      </w:r>
      <w:proofErr w:type="spellStart"/>
      <w:r>
        <w:t>rentedekkingsgraad</w:t>
      </w:r>
      <w:proofErr w:type="spellEnd"/>
      <w:r>
        <w:t>: Kasstromen/ rente</w:t>
      </w:r>
    </w:p>
    <w:p w:rsidR="00405661" w:rsidRDefault="00405661" w:rsidP="00405661">
      <w:proofErr w:type="spellStart"/>
      <w:r>
        <w:t>Rentedekkingsgraad</w:t>
      </w:r>
      <w:proofErr w:type="spellEnd"/>
      <w:r>
        <w:t xml:space="preserve"> afkomstig van CFV verslagen.</w:t>
      </w:r>
    </w:p>
    <w:tbl>
      <w:tblPr>
        <w:tblStyle w:val="Lichtearcering1"/>
        <w:tblW w:w="0" w:type="auto"/>
        <w:tblLook w:val="04A0"/>
      </w:tblPr>
      <w:tblGrid>
        <w:gridCol w:w="4606"/>
        <w:gridCol w:w="4606"/>
      </w:tblGrid>
      <w:tr w:rsidR="00405661" w:rsidTr="00405661">
        <w:trPr>
          <w:cnfStyle w:val="100000000000"/>
        </w:trPr>
        <w:tc>
          <w:tcPr>
            <w:cnfStyle w:val="001000000000"/>
            <w:tcW w:w="4606" w:type="dxa"/>
          </w:tcPr>
          <w:p w:rsidR="00405661" w:rsidRDefault="00405661" w:rsidP="00405661">
            <w:r>
              <w:t>Woningcorporatie</w:t>
            </w:r>
          </w:p>
        </w:tc>
        <w:tc>
          <w:tcPr>
            <w:tcW w:w="4606" w:type="dxa"/>
          </w:tcPr>
          <w:p w:rsidR="00405661" w:rsidRDefault="00405661" w:rsidP="00405661">
            <w:pPr>
              <w:cnfStyle w:val="100000000000"/>
            </w:pPr>
            <w:r>
              <w:t>Percentage door WSW ge</w:t>
            </w:r>
            <w:r w:rsidR="0004078F">
              <w:t>waar</w:t>
            </w:r>
            <w:r>
              <w:t>borgde leningen</w:t>
            </w:r>
          </w:p>
        </w:tc>
      </w:tr>
      <w:tr w:rsidR="00405661" w:rsidTr="00405661">
        <w:trPr>
          <w:cnfStyle w:val="000000100000"/>
        </w:trPr>
        <w:tc>
          <w:tcPr>
            <w:cnfStyle w:val="001000000000"/>
            <w:tcW w:w="4606" w:type="dxa"/>
          </w:tcPr>
          <w:p w:rsidR="00405661" w:rsidRDefault="00405661" w:rsidP="00405661">
            <w:r>
              <w:t>Mozaïek Wonen Gouda</w:t>
            </w:r>
          </w:p>
        </w:tc>
        <w:tc>
          <w:tcPr>
            <w:tcW w:w="4606" w:type="dxa"/>
          </w:tcPr>
          <w:p w:rsidR="00405661" w:rsidRDefault="00405661" w:rsidP="00405661">
            <w:pPr>
              <w:cnfStyle w:val="000000100000"/>
            </w:pPr>
            <w:r>
              <w:t>100%</w:t>
            </w:r>
          </w:p>
        </w:tc>
      </w:tr>
      <w:tr w:rsidR="00405661" w:rsidTr="00405661">
        <w:tc>
          <w:tcPr>
            <w:cnfStyle w:val="001000000000"/>
            <w:tcW w:w="4606" w:type="dxa"/>
          </w:tcPr>
          <w:p w:rsidR="00405661" w:rsidRDefault="00405661" w:rsidP="00405661">
            <w:r>
              <w:t>Woonstad Rotterdam</w:t>
            </w:r>
          </w:p>
        </w:tc>
        <w:tc>
          <w:tcPr>
            <w:tcW w:w="4606" w:type="dxa"/>
          </w:tcPr>
          <w:p w:rsidR="00405661" w:rsidRDefault="00405661" w:rsidP="00405661">
            <w:pPr>
              <w:cnfStyle w:val="000000000000"/>
            </w:pPr>
          </w:p>
        </w:tc>
      </w:tr>
      <w:tr w:rsidR="00405661" w:rsidRPr="0080395A" w:rsidTr="00405661">
        <w:trPr>
          <w:cnfStyle w:val="000000100000"/>
        </w:trPr>
        <w:tc>
          <w:tcPr>
            <w:cnfStyle w:val="001000000000"/>
            <w:tcW w:w="4606" w:type="dxa"/>
          </w:tcPr>
          <w:p w:rsidR="00405661" w:rsidRPr="0080395A" w:rsidRDefault="00405661" w:rsidP="00405661">
            <w:proofErr w:type="spellStart"/>
            <w:r>
              <w:t>Ymere</w:t>
            </w:r>
            <w:proofErr w:type="spellEnd"/>
            <w:r>
              <w:t xml:space="preserve"> Amsterdam</w:t>
            </w:r>
          </w:p>
        </w:tc>
        <w:tc>
          <w:tcPr>
            <w:tcW w:w="4606" w:type="dxa"/>
          </w:tcPr>
          <w:p w:rsidR="00405661" w:rsidRPr="0080395A" w:rsidRDefault="00405661" w:rsidP="00405661">
            <w:pPr>
              <w:cnfStyle w:val="000000100000"/>
            </w:pPr>
            <w:r>
              <w:t>98%</w:t>
            </w:r>
          </w:p>
        </w:tc>
      </w:tr>
      <w:tr w:rsidR="00405661" w:rsidRPr="0080395A" w:rsidTr="00405661">
        <w:tc>
          <w:tcPr>
            <w:cnfStyle w:val="001000000000"/>
            <w:tcW w:w="4606" w:type="dxa"/>
          </w:tcPr>
          <w:p w:rsidR="00405661" w:rsidRPr="00676068" w:rsidRDefault="00405661" w:rsidP="00405661">
            <w:r>
              <w:t xml:space="preserve">De Goede Woning - </w:t>
            </w:r>
            <w:proofErr w:type="spellStart"/>
            <w:r>
              <w:t>Neerijnen</w:t>
            </w:r>
            <w:proofErr w:type="spellEnd"/>
          </w:p>
        </w:tc>
        <w:tc>
          <w:tcPr>
            <w:tcW w:w="4606" w:type="dxa"/>
          </w:tcPr>
          <w:p w:rsidR="00405661" w:rsidRPr="0080395A" w:rsidRDefault="00405661" w:rsidP="00405661">
            <w:pPr>
              <w:cnfStyle w:val="000000000000"/>
            </w:pPr>
            <w:r>
              <w:t>100%</w:t>
            </w:r>
          </w:p>
        </w:tc>
      </w:tr>
      <w:tr w:rsidR="00405661" w:rsidRPr="0080395A" w:rsidTr="00405661">
        <w:trPr>
          <w:cnfStyle w:val="000000100000"/>
        </w:trPr>
        <w:tc>
          <w:tcPr>
            <w:cnfStyle w:val="001000000000"/>
            <w:tcW w:w="4606" w:type="dxa"/>
          </w:tcPr>
          <w:p w:rsidR="00405661" w:rsidRPr="00676068" w:rsidRDefault="00405661" w:rsidP="00405661">
            <w:r>
              <w:t>Portaal Baarn</w:t>
            </w:r>
          </w:p>
        </w:tc>
        <w:tc>
          <w:tcPr>
            <w:tcW w:w="4606" w:type="dxa"/>
          </w:tcPr>
          <w:p w:rsidR="00405661" w:rsidRPr="0080395A" w:rsidRDefault="00405661" w:rsidP="00405661">
            <w:pPr>
              <w:cnfStyle w:val="000000100000"/>
            </w:pPr>
          </w:p>
        </w:tc>
      </w:tr>
    </w:tbl>
    <w:p w:rsidR="00405661" w:rsidRDefault="00405661" w:rsidP="00405661"/>
    <w:p w:rsidR="00405661" w:rsidRDefault="00405661" w:rsidP="00405661">
      <w:r>
        <w:t xml:space="preserve">Percentages, indien vermeld, afkomstig van CFV verslagen. </w:t>
      </w:r>
    </w:p>
    <w:p w:rsidR="00372DF6" w:rsidRDefault="00372DF6" w:rsidP="00405661"/>
    <w:p w:rsidR="00405661" w:rsidRPr="002024B1" w:rsidRDefault="00405661" w:rsidP="00405661">
      <w:pPr>
        <w:pStyle w:val="Heading2"/>
        <w:rPr>
          <w:color w:val="auto"/>
        </w:rPr>
      </w:pPr>
      <w:r w:rsidRPr="002024B1">
        <w:rPr>
          <w:color w:val="auto"/>
        </w:rPr>
        <w:t>Appendix B</w:t>
      </w:r>
      <w:r w:rsidR="00404E77" w:rsidRPr="002024B1">
        <w:rPr>
          <w:color w:val="auto"/>
        </w:rPr>
        <w:t>: Bedrijfswaarde berekening</w:t>
      </w:r>
    </w:p>
    <w:p w:rsidR="00405661" w:rsidRDefault="00405661" w:rsidP="00405661"/>
    <w:tbl>
      <w:tblPr>
        <w:tblW w:w="9360" w:type="dxa"/>
        <w:tblInd w:w="53" w:type="dxa"/>
        <w:tblCellMar>
          <w:left w:w="70" w:type="dxa"/>
          <w:right w:w="70" w:type="dxa"/>
        </w:tblCellMar>
        <w:tblLook w:val="04A0"/>
      </w:tblPr>
      <w:tblGrid>
        <w:gridCol w:w="960"/>
        <w:gridCol w:w="1270"/>
        <w:gridCol w:w="1180"/>
        <w:gridCol w:w="1380"/>
        <w:gridCol w:w="1720"/>
        <w:gridCol w:w="2920"/>
      </w:tblGrid>
      <w:tr w:rsidR="00EB1B2D" w:rsidRPr="00EB1B2D" w:rsidTr="00EB1B2D">
        <w:trPr>
          <w:trHeight w:val="33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jaar</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discontering</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jaarhuur</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lasten</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netto kasstromen</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contante waarde kasstromen</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1,0525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5164,00</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2667,00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2497,00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2372,45</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1,1078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5267,28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2747,01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2520,27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2275,11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1,1659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5372,63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2829,42</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2543,21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2181,30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1,2271</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5480,08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2914,30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2565,78</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2090,89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1,2915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5589,68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3001,73</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2587,95</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2003,76</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1,3594</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5701,47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3091,78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2609,69</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1919,80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1,4307</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5815,50</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3184,54</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2630,97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1838,91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1,5058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5931,81</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3280,07</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2651,74</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1760,98</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1,5849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6050,45</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3378,48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2671,97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1685,91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1,6681</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6171,46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3479,83</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2691,63</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1613,59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1,7557</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6294,89</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3584,22</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2710,66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1543,95</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1,8478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6420,78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3691,75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2729,03</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1476,87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1,9449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6549,20</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3802,50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2746,70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1412,29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14</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2,0470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6680,18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3916,58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2763,61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1350,10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15</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2,1544</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6813,79</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4034,08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2779,71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1290,23</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16</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2,2675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6950,06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4155,10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2794,96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1232,60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17</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2,3866</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7089,07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4279,75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2809,31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1177,13</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18</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2,5119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7230,85</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4408,14</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2822,70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1123,74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19</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2,6437</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7375,46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4540,39</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2835,07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1072,37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20</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2,7825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7522,97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4676,60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2846,37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1022,94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21</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2,9286</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7673,43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4816,90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2856,53</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975,38</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22</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3,0824</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7826,90</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4961,41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2865,50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929,64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3,2442</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7983,44</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5110,25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2873,19</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885,64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24</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3,4145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8143,11</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5263,56</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2879,55</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843,32</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3,5938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8305,97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5421,46</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2884,51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802,64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3,7825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8472,09</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5584,11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2887,98</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763,52</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3,9810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8641,53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5751,63</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2889,90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725,92</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4,1900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8814,36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5924,18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2890,18</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689,77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29</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4,4100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8990,65</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6101,90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2888,75</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655,04</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30</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4,6416</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9170,46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6284,96</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2885,50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621,67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31</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4,8852</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9353,87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6473,51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2880,36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589,61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32</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5,1417</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9540,95</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6667,71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2873,23</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558,81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33</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5,4116</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9731,77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6867,75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2864,02</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529,23</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34</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5,6958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9926,40</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7073,78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2852,62</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500,83</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35</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5,9948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10124,93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7285,99</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2838,94</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473,57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36</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6,3095</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10327,43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7504,57</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2822,86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447,40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37</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6,6408</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10533,98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7729,71</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2804,27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422,28</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38</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6,9894</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10744,66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7961,60</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2783,06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398,18</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39</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7,3563</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10959,55</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8200,45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2759,10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375,06</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40</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7,7426</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11178,74</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8446,46</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2732,28</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352,89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41</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8,1490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11402,32</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8699,85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2702,46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331,63</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42</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8,5769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11630,36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8960,85</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2669,51</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311,25</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43</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9,0271</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11862,97</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9229,68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2633,29</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291,71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44</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9,5011</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12100,23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9506,57</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2593,66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272,99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45</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9,9999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12342,23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9791,76</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2550,47</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255,05</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46</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10,5249</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12589,08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10085,52</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2503,56</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237,87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47</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11,0774</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12840,86</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10388,08</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2452,78</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221,42</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48</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11,6590</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13097,68</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10699,72</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2397,95</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205,67</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49</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12,2711</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13359,63</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11020,72</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2338,92</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190,60</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50</w:t>
            </w: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12,9153</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13626,82</w:t>
            </w: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11351,34</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2275,49</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176,19</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Restwaarde:</w:t>
            </w: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30000</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3760" w:type="dxa"/>
            <w:gridSpan w:val="3"/>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 xml:space="preserve">Contante waarde restwaarde: </w:t>
            </w: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2322,82</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5480" w:type="dxa"/>
            <w:gridSpan w:val="4"/>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b/>
                <w:bCs/>
                <w:color w:val="000000"/>
                <w:lang w:eastAsia="nl-NL"/>
              </w:rPr>
            </w:pPr>
            <w:r w:rsidRPr="00EB1B2D">
              <w:rPr>
                <w:rFonts w:ascii="Calibri" w:eastAsia="Times New Roman" w:hAnsi="Calibri" w:cs="Times New Roman"/>
                <w:b/>
                <w:bCs/>
                <w:color w:val="000000"/>
                <w:lang w:eastAsia="nl-NL"/>
              </w:rPr>
              <w:t>Totaal contante waarde kasstromen en restwaarde</w:t>
            </w:r>
            <w:r w:rsidR="00404E77">
              <w:rPr>
                <w:rFonts w:ascii="Calibri" w:eastAsia="Times New Roman" w:hAnsi="Calibri" w:cs="Times New Roman"/>
                <w:b/>
                <w:bCs/>
                <w:color w:val="000000"/>
                <w:lang w:eastAsia="nl-NL"/>
              </w:rPr>
              <w:t xml:space="preserve"> (bedrijfswaarde)</w:t>
            </w:r>
            <w:r w:rsidRPr="00EB1B2D">
              <w:rPr>
                <w:rFonts w:ascii="Calibri" w:eastAsia="Times New Roman" w:hAnsi="Calibri" w:cs="Times New Roman"/>
                <w:b/>
                <w:bCs/>
                <w:color w:val="000000"/>
                <w:lang w:eastAsia="nl-NL"/>
              </w:rPr>
              <w:t xml:space="preserve">: </w:t>
            </w: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jc w:val="right"/>
              <w:rPr>
                <w:rFonts w:ascii="Calibri" w:eastAsia="Times New Roman" w:hAnsi="Calibri" w:cs="Times New Roman"/>
                <w:color w:val="000000"/>
                <w:lang w:eastAsia="nl-NL"/>
              </w:rPr>
            </w:pPr>
            <w:r w:rsidRPr="00EB1B2D">
              <w:rPr>
                <w:rFonts w:ascii="Calibri" w:eastAsia="Times New Roman" w:hAnsi="Calibri" w:cs="Times New Roman"/>
                <w:color w:val="000000"/>
                <w:lang w:eastAsia="nl-NL"/>
              </w:rPr>
              <w:t>49802,51</w:t>
            </w: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r w:rsidR="00EB1B2D" w:rsidRPr="00EB1B2D" w:rsidTr="00EB1B2D">
        <w:trPr>
          <w:trHeight w:val="300"/>
        </w:trPr>
        <w:tc>
          <w:tcPr>
            <w:tcW w:w="96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20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1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38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17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c>
          <w:tcPr>
            <w:tcW w:w="2920" w:type="dxa"/>
            <w:tcBorders>
              <w:top w:val="nil"/>
              <w:left w:val="nil"/>
              <w:bottom w:val="nil"/>
              <w:right w:val="nil"/>
            </w:tcBorders>
            <w:shd w:val="clear" w:color="auto" w:fill="auto"/>
            <w:noWrap/>
            <w:vAlign w:val="bottom"/>
            <w:hideMark/>
          </w:tcPr>
          <w:p w:rsidR="00EB1B2D" w:rsidRPr="00EB1B2D" w:rsidRDefault="00EB1B2D" w:rsidP="00EB1B2D">
            <w:pPr>
              <w:spacing w:after="0" w:line="240" w:lineRule="auto"/>
              <w:rPr>
                <w:rFonts w:ascii="Calibri" w:eastAsia="Times New Roman" w:hAnsi="Calibri" w:cs="Times New Roman"/>
                <w:color w:val="000000"/>
                <w:lang w:eastAsia="nl-NL"/>
              </w:rPr>
            </w:pPr>
          </w:p>
        </w:tc>
      </w:tr>
    </w:tbl>
    <w:p w:rsidR="00405661" w:rsidRPr="00405661" w:rsidRDefault="00405661" w:rsidP="00405661"/>
    <w:sectPr w:rsidR="00405661" w:rsidRPr="00405661" w:rsidSect="00F961C2">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99F" w:rsidRDefault="005C399F" w:rsidP="00F961C2">
      <w:pPr>
        <w:spacing w:after="0" w:line="240" w:lineRule="auto"/>
      </w:pPr>
      <w:r>
        <w:separator/>
      </w:r>
    </w:p>
  </w:endnote>
  <w:endnote w:type="continuationSeparator" w:id="0">
    <w:p w:rsidR="005C399F" w:rsidRDefault="005C399F" w:rsidP="00F96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2375"/>
      <w:docPartObj>
        <w:docPartGallery w:val="Page Numbers (Bottom of Page)"/>
        <w:docPartUnique/>
      </w:docPartObj>
    </w:sdtPr>
    <w:sdtContent>
      <w:p w:rsidR="00533CD7" w:rsidRDefault="009C0EF1">
        <w:pPr>
          <w:pStyle w:val="Footer"/>
          <w:jc w:val="right"/>
        </w:pPr>
        <w:fldSimple w:instr=" PAGE   \* MERGEFORMAT ">
          <w:r w:rsidR="006060B6">
            <w:rPr>
              <w:noProof/>
            </w:rPr>
            <w:t>7</w:t>
          </w:r>
        </w:fldSimple>
      </w:p>
    </w:sdtContent>
  </w:sdt>
  <w:p w:rsidR="00533CD7" w:rsidRDefault="00533C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99F" w:rsidRDefault="005C399F" w:rsidP="00F961C2">
      <w:pPr>
        <w:spacing w:after="0" w:line="240" w:lineRule="auto"/>
      </w:pPr>
      <w:r>
        <w:separator/>
      </w:r>
    </w:p>
  </w:footnote>
  <w:footnote w:type="continuationSeparator" w:id="0">
    <w:p w:rsidR="005C399F" w:rsidRDefault="005C399F" w:rsidP="00F961C2">
      <w:pPr>
        <w:spacing w:after="0" w:line="240" w:lineRule="auto"/>
      </w:pPr>
      <w:r>
        <w:continuationSeparator/>
      </w:r>
    </w:p>
  </w:footnote>
  <w:footnote w:id="1">
    <w:p w:rsidR="00533CD7" w:rsidRDefault="00533CD7" w:rsidP="00F961C2">
      <w:pPr>
        <w:pStyle w:val="FootnoteText"/>
      </w:pPr>
      <w:r>
        <w:rPr>
          <w:rStyle w:val="FootnoteReference"/>
        </w:rPr>
        <w:footnoteRef/>
      </w:r>
      <w:r>
        <w:t xml:space="preserve"> 10-jaars rente onderhandse leningen publieke sector bij WSW garantie. Bron: </w:t>
      </w:r>
      <w:hyperlink r:id="rId1" w:history="1">
        <w:r w:rsidRPr="00034E09">
          <w:rPr>
            <w:rStyle w:val="Hyperlink"/>
          </w:rPr>
          <w:t>www.wallich.eu</w:t>
        </w:r>
      </w:hyperlink>
      <w:r w:rsidRPr="00034E09">
        <w:t>,</w:t>
      </w:r>
      <w:r>
        <w:t xml:space="preserve"> 13-6-2016. </w:t>
      </w:r>
    </w:p>
  </w:footnote>
  <w:footnote w:id="2">
    <w:p w:rsidR="00533CD7" w:rsidRDefault="00533CD7" w:rsidP="00B923B6">
      <w:pPr>
        <w:pStyle w:val="FootnoteText"/>
      </w:pPr>
      <w:r>
        <w:rPr>
          <w:rStyle w:val="FootnoteReference"/>
        </w:rPr>
        <w:footnoteRef/>
      </w:r>
      <w:r>
        <w:t xml:space="preserve"> (bruto huuropbrengst</w:t>
      </w:r>
      <w:proofErr w:type="gramStart"/>
      <w:r>
        <w:t xml:space="preserve"> -/-</w:t>
      </w:r>
      <w:proofErr w:type="gramEnd"/>
      <w:r>
        <w:t xml:space="preserve"> onderhoudskosten)/disconteringsvoet</w:t>
      </w:r>
    </w:p>
    <w:p w:rsidR="00533CD7" w:rsidRDefault="00533CD7" w:rsidP="00B923B6">
      <w:pPr>
        <w:pStyle w:val="FootnoteText"/>
      </w:pPr>
      <w:r>
        <w:t>(47.460.000</w:t>
      </w:r>
      <w:proofErr w:type="gramStart"/>
      <w:r>
        <w:t xml:space="preserve"> -/-</w:t>
      </w:r>
      <w:proofErr w:type="gramEnd"/>
      <w:r>
        <w:t xml:space="preserve"> 9.654.000)/5,25% = 720.114.259</w:t>
      </w:r>
    </w:p>
    <w:p w:rsidR="00533CD7" w:rsidRDefault="00533CD7" w:rsidP="00B923B6">
      <w:pPr>
        <w:pStyle w:val="FootnoteText"/>
      </w:pPr>
      <w:r>
        <w:t xml:space="preserve">Bedrijfswaarde op de balans: 497.841.000 </w:t>
      </w:r>
    </w:p>
    <w:p w:rsidR="00533CD7" w:rsidRDefault="00533CD7" w:rsidP="00B923B6">
      <w:pPr>
        <w:pStyle w:val="FootnoteText"/>
      </w:pPr>
      <w:r>
        <w:t>(720.114.259</w:t>
      </w:r>
      <w:proofErr w:type="gramStart"/>
      <w:r>
        <w:t xml:space="preserve"> -/-</w:t>
      </w:r>
      <w:proofErr w:type="gramEnd"/>
      <w:r>
        <w:t xml:space="preserve"> 497.841.000) / 497.841.000 = 44% (Gegevens afkomstig van Jaarverslag Mozaïek Wonen, 2012).</w:t>
      </w:r>
    </w:p>
  </w:footnote>
  <w:footnote w:id="3">
    <w:p w:rsidR="00533CD7" w:rsidRDefault="00533CD7" w:rsidP="00467662">
      <w:pPr>
        <w:pStyle w:val="FootnoteText"/>
      </w:pPr>
      <w:r>
        <w:rPr>
          <w:rStyle w:val="FootnoteReference"/>
        </w:rPr>
        <w:footnoteRef/>
      </w:r>
      <w:r>
        <w:t xml:space="preserve"> (Eigen vermogen / totaal vermogen) = </w:t>
      </w:r>
      <w:proofErr w:type="gramStart"/>
      <w:r>
        <w:t>solvabiliteit</w:t>
      </w:r>
      <w:proofErr w:type="gramEnd"/>
    </w:p>
    <w:p w:rsidR="00533CD7" w:rsidRDefault="00533CD7" w:rsidP="00467662">
      <w:pPr>
        <w:pStyle w:val="FootnoteText"/>
      </w:pPr>
      <w:r>
        <w:t xml:space="preserve">5.570.000.000/10.007.000.000 = 0,56 (Jaarrekening </w:t>
      </w:r>
      <w:proofErr w:type="spellStart"/>
      <w:r>
        <w:t>Ymere</w:t>
      </w:r>
      <w:proofErr w:type="spellEnd"/>
      <w:r>
        <w:t>, 2012).</w:t>
      </w:r>
    </w:p>
  </w:footnote>
  <w:footnote w:id="4">
    <w:p w:rsidR="00533CD7" w:rsidRDefault="00533CD7" w:rsidP="00467662">
      <w:pPr>
        <w:pStyle w:val="FootnoteText"/>
      </w:pPr>
      <w:r>
        <w:rPr>
          <w:rStyle w:val="FootnoteReference"/>
        </w:rPr>
        <w:footnoteRef/>
      </w:r>
      <w:r>
        <w:t xml:space="preserve"> (Eigen vermogen + bedrijfswaarde vastgoed – marktwaarde vastgoed) / totaal vermogen = </w:t>
      </w:r>
      <w:proofErr w:type="gramStart"/>
      <w:r>
        <w:t>solvabiliteit</w:t>
      </w:r>
      <w:proofErr w:type="gramEnd"/>
    </w:p>
    <w:p w:rsidR="00533CD7" w:rsidRDefault="00533CD7" w:rsidP="00467662">
      <w:pPr>
        <w:pStyle w:val="FootnoteText"/>
      </w:pPr>
      <w:r>
        <w:t xml:space="preserve">(5.570.000.000 + 5.475.000.000 – 9.373.000.000) / 10.007.000.000 = 0,17 (Jaarrekening </w:t>
      </w:r>
      <w:proofErr w:type="spellStart"/>
      <w:r>
        <w:t>Ymere</w:t>
      </w:r>
      <w:proofErr w:type="spellEnd"/>
      <w:r>
        <w:t xml:space="preserve">, 2012).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71830"/>
    <w:multiLevelType w:val="hybridMultilevel"/>
    <w:tmpl w:val="1E085E08"/>
    <w:lvl w:ilvl="0" w:tplc="CD26D6C0">
      <w:start w:val="1"/>
      <w:numFmt w:val="decimal"/>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
    <w:nsid w:val="25CB232D"/>
    <w:multiLevelType w:val="hybridMultilevel"/>
    <w:tmpl w:val="58A2D8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EA94814"/>
    <w:multiLevelType w:val="multilevel"/>
    <w:tmpl w:val="4A2CF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3FD8098F"/>
    <w:multiLevelType w:val="hybridMultilevel"/>
    <w:tmpl w:val="CA269676"/>
    <w:lvl w:ilvl="0" w:tplc="D3ACE44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6B166F13"/>
    <w:multiLevelType w:val="hybridMultilevel"/>
    <w:tmpl w:val="6E063C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70D0F04"/>
    <w:multiLevelType w:val="multilevel"/>
    <w:tmpl w:val="7E8C3F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54475"/>
    <w:rsid w:val="0004078F"/>
    <w:rsid w:val="000B7E0C"/>
    <w:rsid w:val="00114324"/>
    <w:rsid w:val="00164AD9"/>
    <w:rsid w:val="001763B7"/>
    <w:rsid w:val="00193EE6"/>
    <w:rsid w:val="001F13CB"/>
    <w:rsid w:val="002024B1"/>
    <w:rsid w:val="00235076"/>
    <w:rsid w:val="002721D7"/>
    <w:rsid w:val="002E6F72"/>
    <w:rsid w:val="002F07E1"/>
    <w:rsid w:val="00372DF6"/>
    <w:rsid w:val="0037711E"/>
    <w:rsid w:val="00391C8C"/>
    <w:rsid w:val="00404E77"/>
    <w:rsid w:val="004052A7"/>
    <w:rsid w:val="00405661"/>
    <w:rsid w:val="0042375C"/>
    <w:rsid w:val="00467662"/>
    <w:rsid w:val="004965C8"/>
    <w:rsid w:val="004B6B56"/>
    <w:rsid w:val="00533CD7"/>
    <w:rsid w:val="0053570D"/>
    <w:rsid w:val="00550EEC"/>
    <w:rsid w:val="00553672"/>
    <w:rsid w:val="005C399F"/>
    <w:rsid w:val="005E0DB9"/>
    <w:rsid w:val="005F4BAD"/>
    <w:rsid w:val="006060B6"/>
    <w:rsid w:val="0064776E"/>
    <w:rsid w:val="00665D02"/>
    <w:rsid w:val="006900CE"/>
    <w:rsid w:val="006C5B92"/>
    <w:rsid w:val="00704554"/>
    <w:rsid w:val="0073397F"/>
    <w:rsid w:val="00733B71"/>
    <w:rsid w:val="007505FF"/>
    <w:rsid w:val="00754475"/>
    <w:rsid w:val="00775B27"/>
    <w:rsid w:val="007E0453"/>
    <w:rsid w:val="008165B2"/>
    <w:rsid w:val="00841C78"/>
    <w:rsid w:val="00851909"/>
    <w:rsid w:val="008A2A8D"/>
    <w:rsid w:val="008D5872"/>
    <w:rsid w:val="00935AFA"/>
    <w:rsid w:val="009540ED"/>
    <w:rsid w:val="00981255"/>
    <w:rsid w:val="00987A3F"/>
    <w:rsid w:val="009A3714"/>
    <w:rsid w:val="009A47D3"/>
    <w:rsid w:val="009C0EF1"/>
    <w:rsid w:val="009D6944"/>
    <w:rsid w:val="009F3F38"/>
    <w:rsid w:val="00A56AF3"/>
    <w:rsid w:val="00B33DCB"/>
    <w:rsid w:val="00B34903"/>
    <w:rsid w:val="00B7656F"/>
    <w:rsid w:val="00B923B6"/>
    <w:rsid w:val="00BA409C"/>
    <w:rsid w:val="00BC5B45"/>
    <w:rsid w:val="00C16B0C"/>
    <w:rsid w:val="00C90753"/>
    <w:rsid w:val="00CB2B5C"/>
    <w:rsid w:val="00D21EF5"/>
    <w:rsid w:val="00D41980"/>
    <w:rsid w:val="00D93025"/>
    <w:rsid w:val="00D95436"/>
    <w:rsid w:val="00DC0500"/>
    <w:rsid w:val="00DF7960"/>
    <w:rsid w:val="00E46122"/>
    <w:rsid w:val="00E7288A"/>
    <w:rsid w:val="00EB1B2D"/>
    <w:rsid w:val="00EE6DAA"/>
    <w:rsid w:val="00F807B2"/>
    <w:rsid w:val="00F87E54"/>
    <w:rsid w:val="00F961C2"/>
    <w:rsid w:val="00FC01B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475"/>
  </w:style>
  <w:style w:type="paragraph" w:styleId="Heading1">
    <w:name w:val="heading 1"/>
    <w:basedOn w:val="Normal"/>
    <w:next w:val="Normal"/>
    <w:link w:val="Heading1Char"/>
    <w:uiPriority w:val="9"/>
    <w:qFormat/>
    <w:rsid w:val="007544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44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61C2"/>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961C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4475"/>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5447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961C2"/>
    <w:pPr>
      <w:outlineLvl w:val="9"/>
    </w:pPr>
  </w:style>
  <w:style w:type="paragraph" w:styleId="TOC2">
    <w:name w:val="toc 2"/>
    <w:basedOn w:val="Normal"/>
    <w:next w:val="Normal"/>
    <w:autoRedefine/>
    <w:uiPriority w:val="39"/>
    <w:semiHidden/>
    <w:unhideWhenUsed/>
    <w:qFormat/>
    <w:rsid w:val="00F961C2"/>
    <w:pPr>
      <w:spacing w:after="100"/>
      <w:ind w:left="220"/>
    </w:pPr>
    <w:rPr>
      <w:rFonts w:eastAsiaTheme="minorEastAsia"/>
    </w:rPr>
  </w:style>
  <w:style w:type="paragraph" w:styleId="TOC1">
    <w:name w:val="toc 1"/>
    <w:basedOn w:val="Normal"/>
    <w:next w:val="Normal"/>
    <w:autoRedefine/>
    <w:uiPriority w:val="39"/>
    <w:unhideWhenUsed/>
    <w:qFormat/>
    <w:rsid w:val="00F961C2"/>
    <w:pPr>
      <w:spacing w:after="100"/>
    </w:pPr>
    <w:rPr>
      <w:rFonts w:eastAsiaTheme="minorEastAsia"/>
    </w:rPr>
  </w:style>
  <w:style w:type="paragraph" w:styleId="TOC3">
    <w:name w:val="toc 3"/>
    <w:basedOn w:val="Normal"/>
    <w:next w:val="Normal"/>
    <w:autoRedefine/>
    <w:uiPriority w:val="39"/>
    <w:semiHidden/>
    <w:unhideWhenUsed/>
    <w:qFormat/>
    <w:rsid w:val="00F961C2"/>
    <w:pPr>
      <w:spacing w:after="100"/>
      <w:ind w:left="440"/>
    </w:pPr>
    <w:rPr>
      <w:rFonts w:eastAsiaTheme="minorEastAsia"/>
    </w:rPr>
  </w:style>
  <w:style w:type="paragraph" w:styleId="BalloonText">
    <w:name w:val="Balloon Text"/>
    <w:basedOn w:val="Normal"/>
    <w:link w:val="BalloonTextChar"/>
    <w:uiPriority w:val="99"/>
    <w:semiHidden/>
    <w:unhideWhenUsed/>
    <w:rsid w:val="00F961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1C2"/>
    <w:rPr>
      <w:rFonts w:ascii="Tahoma" w:hAnsi="Tahoma" w:cs="Tahoma"/>
      <w:sz w:val="16"/>
      <w:szCs w:val="16"/>
    </w:rPr>
  </w:style>
  <w:style w:type="character" w:customStyle="1" w:styleId="Heading3Char">
    <w:name w:val="Heading 3 Char"/>
    <w:basedOn w:val="DefaultParagraphFont"/>
    <w:link w:val="Heading3"/>
    <w:uiPriority w:val="9"/>
    <w:rsid w:val="00F961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961C2"/>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F961C2"/>
    <w:pPr>
      <w:ind w:left="720"/>
      <w:contextualSpacing/>
    </w:pPr>
  </w:style>
  <w:style w:type="character" w:styleId="Hyperlink">
    <w:name w:val="Hyperlink"/>
    <w:basedOn w:val="DefaultParagraphFont"/>
    <w:uiPriority w:val="99"/>
    <w:unhideWhenUsed/>
    <w:rsid w:val="00F961C2"/>
    <w:rPr>
      <w:color w:val="0000FF" w:themeColor="hyperlink"/>
      <w:u w:val="single"/>
    </w:rPr>
  </w:style>
  <w:style w:type="table" w:customStyle="1" w:styleId="Lichtearcering1">
    <w:name w:val="Lichte arcering1"/>
    <w:basedOn w:val="TableNormal"/>
    <w:uiPriority w:val="60"/>
    <w:rsid w:val="00F961C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F961C2"/>
    <w:pPr>
      <w:spacing w:after="0" w:line="240" w:lineRule="auto"/>
    </w:pPr>
  </w:style>
  <w:style w:type="paragraph" w:styleId="FootnoteText">
    <w:name w:val="footnote text"/>
    <w:basedOn w:val="Normal"/>
    <w:link w:val="FootnoteTextChar"/>
    <w:uiPriority w:val="99"/>
    <w:semiHidden/>
    <w:unhideWhenUsed/>
    <w:rsid w:val="00F961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61C2"/>
    <w:rPr>
      <w:sz w:val="20"/>
      <w:szCs w:val="20"/>
    </w:rPr>
  </w:style>
  <w:style w:type="character" w:styleId="FootnoteReference">
    <w:name w:val="footnote reference"/>
    <w:basedOn w:val="DefaultParagraphFont"/>
    <w:uiPriority w:val="99"/>
    <w:semiHidden/>
    <w:unhideWhenUsed/>
    <w:rsid w:val="00F961C2"/>
    <w:rPr>
      <w:vertAlign w:val="superscript"/>
    </w:rPr>
  </w:style>
  <w:style w:type="paragraph" w:styleId="Header">
    <w:name w:val="header"/>
    <w:basedOn w:val="Normal"/>
    <w:link w:val="HeaderChar"/>
    <w:uiPriority w:val="99"/>
    <w:semiHidden/>
    <w:unhideWhenUsed/>
    <w:rsid w:val="00F961C2"/>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F961C2"/>
  </w:style>
  <w:style w:type="paragraph" w:styleId="Footer">
    <w:name w:val="footer"/>
    <w:basedOn w:val="Normal"/>
    <w:link w:val="FooterChar"/>
    <w:uiPriority w:val="99"/>
    <w:unhideWhenUsed/>
    <w:rsid w:val="00F961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61C2"/>
  </w:style>
  <w:style w:type="table" w:styleId="TableGrid">
    <w:name w:val="Table Grid"/>
    <w:basedOn w:val="TableNormal"/>
    <w:uiPriority w:val="59"/>
    <w:rsid w:val="00405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02959083">
      <w:bodyDiv w:val="1"/>
      <w:marLeft w:val="0"/>
      <w:marRight w:val="0"/>
      <w:marTop w:val="0"/>
      <w:marBottom w:val="0"/>
      <w:divBdr>
        <w:top w:val="none" w:sz="0" w:space="0" w:color="auto"/>
        <w:left w:val="none" w:sz="0" w:space="0" w:color="auto"/>
        <w:bottom w:val="none" w:sz="0" w:space="0" w:color="auto"/>
        <w:right w:val="none" w:sz="0" w:space="0" w:color="auto"/>
      </w:divBdr>
    </w:div>
    <w:div w:id="615252624">
      <w:bodyDiv w:val="1"/>
      <w:marLeft w:val="0"/>
      <w:marRight w:val="0"/>
      <w:marTop w:val="0"/>
      <w:marBottom w:val="0"/>
      <w:divBdr>
        <w:top w:val="none" w:sz="0" w:space="0" w:color="auto"/>
        <w:left w:val="none" w:sz="0" w:space="0" w:color="auto"/>
        <w:bottom w:val="none" w:sz="0" w:space="0" w:color="auto"/>
        <w:right w:val="none" w:sz="0" w:space="0" w:color="auto"/>
      </w:divBdr>
    </w:div>
    <w:div w:id="885798977">
      <w:bodyDiv w:val="1"/>
      <w:marLeft w:val="0"/>
      <w:marRight w:val="0"/>
      <w:marTop w:val="0"/>
      <w:marBottom w:val="0"/>
      <w:divBdr>
        <w:top w:val="none" w:sz="0" w:space="0" w:color="auto"/>
        <w:left w:val="none" w:sz="0" w:space="0" w:color="auto"/>
        <w:bottom w:val="none" w:sz="0" w:space="0" w:color="auto"/>
        <w:right w:val="none" w:sz="0" w:space="0" w:color="auto"/>
      </w:divBdr>
    </w:div>
    <w:div w:id="908534742">
      <w:bodyDiv w:val="1"/>
      <w:marLeft w:val="0"/>
      <w:marRight w:val="0"/>
      <w:marTop w:val="0"/>
      <w:marBottom w:val="0"/>
      <w:divBdr>
        <w:top w:val="none" w:sz="0" w:space="0" w:color="auto"/>
        <w:left w:val="none" w:sz="0" w:space="0" w:color="auto"/>
        <w:bottom w:val="none" w:sz="0" w:space="0" w:color="auto"/>
        <w:right w:val="none" w:sz="0" w:space="0" w:color="auto"/>
      </w:divBdr>
    </w:div>
    <w:div w:id="144804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sw.nl"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http://www.tudelft.n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wallich.e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arten\Documents\scriptie\Bijlag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27592776446422707"/>
          <c:y val="4.8741738607975205E-2"/>
          <c:w val="0.68992240100422253"/>
          <c:h val="0.67744531933509311"/>
        </c:manualLayout>
      </c:layout>
      <c:lineChart>
        <c:grouping val="standard"/>
        <c:ser>
          <c:idx val="0"/>
          <c:order val="0"/>
          <c:tx>
            <c:strRef>
              <c:f>Blad1!$L$5</c:f>
              <c:strCache>
                <c:ptCount val="1"/>
                <c:pt idx="0">
                  <c:v>bedrijfswaarde</c:v>
                </c:pt>
              </c:strCache>
            </c:strRef>
          </c:tx>
          <c:marker>
            <c:symbol val="none"/>
          </c:marker>
          <c:val>
            <c:numRef>
              <c:f>Blad1!$L$6:$L$41</c:f>
              <c:numCache>
                <c:formatCode>_ "€"\ * #,##0.00_ ;_ "€"\ * \-#,##0.00_ ;_ "€"\ * "-"??_ ;_ @_ </c:formatCode>
                <c:ptCount val="36"/>
                <c:pt idx="0">
                  <c:v>49802.51</c:v>
                </c:pt>
                <c:pt idx="1">
                  <c:v>49920.15</c:v>
                </c:pt>
                <c:pt idx="2">
                  <c:v>50020.68</c:v>
                </c:pt>
                <c:pt idx="3">
                  <c:v>50103.57</c:v>
                </c:pt>
                <c:pt idx="4">
                  <c:v>50168.229999999996</c:v>
                </c:pt>
                <c:pt idx="5">
                  <c:v>50214.11</c:v>
                </c:pt>
                <c:pt idx="6">
                  <c:v>50240.66</c:v>
                </c:pt>
                <c:pt idx="7">
                  <c:v>50247.33</c:v>
                </c:pt>
                <c:pt idx="8">
                  <c:v>50233.58</c:v>
                </c:pt>
                <c:pt idx="9">
                  <c:v>50198.87</c:v>
                </c:pt>
                <c:pt idx="10">
                  <c:v>50142.68</c:v>
                </c:pt>
                <c:pt idx="11">
                  <c:v>50064.51</c:v>
                </c:pt>
                <c:pt idx="12">
                  <c:v>49963.86</c:v>
                </c:pt>
                <c:pt idx="13">
                  <c:v>49840.27</c:v>
                </c:pt>
                <c:pt idx="14">
                  <c:v>49693.279999999999</c:v>
                </c:pt>
                <c:pt idx="15">
                  <c:v>49522.46</c:v>
                </c:pt>
                <c:pt idx="16">
                  <c:v>49327.43</c:v>
                </c:pt>
                <c:pt idx="17">
                  <c:v>49107.8</c:v>
                </c:pt>
                <c:pt idx="18">
                  <c:v>48863.26</c:v>
                </c:pt>
                <c:pt idx="19">
                  <c:v>48593.51</c:v>
                </c:pt>
                <c:pt idx="20">
                  <c:v>48298.3</c:v>
                </c:pt>
                <c:pt idx="21">
                  <c:v>47977.42</c:v>
                </c:pt>
                <c:pt idx="22">
                  <c:v>47630.74</c:v>
                </c:pt>
                <c:pt idx="23">
                  <c:v>47258.16</c:v>
                </c:pt>
                <c:pt idx="24">
                  <c:v>46859.67</c:v>
                </c:pt>
                <c:pt idx="25">
                  <c:v>46435.29</c:v>
                </c:pt>
                <c:pt idx="26">
                  <c:v>45985.16</c:v>
                </c:pt>
                <c:pt idx="27">
                  <c:v>45509.48</c:v>
                </c:pt>
                <c:pt idx="28">
                  <c:v>45008.54</c:v>
                </c:pt>
                <c:pt idx="29">
                  <c:v>44482.74</c:v>
                </c:pt>
                <c:pt idx="30">
                  <c:v>43932.59</c:v>
                </c:pt>
                <c:pt idx="31">
                  <c:v>43358.68</c:v>
                </c:pt>
                <c:pt idx="32">
                  <c:v>42761.78</c:v>
                </c:pt>
                <c:pt idx="33">
                  <c:v>42142.75</c:v>
                </c:pt>
                <c:pt idx="34">
                  <c:v>41502.620000000003</c:v>
                </c:pt>
                <c:pt idx="35">
                  <c:v>40842.57</c:v>
                </c:pt>
              </c:numCache>
            </c:numRef>
          </c:val>
        </c:ser>
        <c:ser>
          <c:idx val="1"/>
          <c:order val="1"/>
          <c:tx>
            <c:strRef>
              <c:f>Blad1!$M$5</c:f>
              <c:strCache>
                <c:ptCount val="1"/>
                <c:pt idx="0">
                  <c:v>Historische kostprijs - afschrijving</c:v>
                </c:pt>
              </c:strCache>
            </c:strRef>
          </c:tx>
          <c:marker>
            <c:symbol val="none"/>
          </c:marker>
          <c:val>
            <c:numRef>
              <c:f>Blad1!$M$6:$M$41</c:f>
              <c:numCache>
                <c:formatCode>_ "€"\ * #,##0.00_ ;_ "€"\ * \-#,##0.00_ ;_ "€"\ * "-"??_ ;_ @_ </c:formatCode>
                <c:ptCount val="36"/>
                <c:pt idx="0">
                  <c:v>150000</c:v>
                </c:pt>
                <c:pt idx="1">
                  <c:v>147600</c:v>
                </c:pt>
                <c:pt idx="2">
                  <c:v>145200</c:v>
                </c:pt>
                <c:pt idx="3">
                  <c:v>142800</c:v>
                </c:pt>
                <c:pt idx="4">
                  <c:v>140400</c:v>
                </c:pt>
                <c:pt idx="5">
                  <c:v>138000</c:v>
                </c:pt>
                <c:pt idx="6">
                  <c:v>135600</c:v>
                </c:pt>
                <c:pt idx="7">
                  <c:v>133200</c:v>
                </c:pt>
                <c:pt idx="8">
                  <c:v>130800</c:v>
                </c:pt>
                <c:pt idx="9">
                  <c:v>128400</c:v>
                </c:pt>
                <c:pt idx="10">
                  <c:v>126000</c:v>
                </c:pt>
                <c:pt idx="11">
                  <c:v>123600</c:v>
                </c:pt>
                <c:pt idx="12">
                  <c:v>121200</c:v>
                </c:pt>
                <c:pt idx="13">
                  <c:v>118800</c:v>
                </c:pt>
                <c:pt idx="14">
                  <c:v>116400</c:v>
                </c:pt>
                <c:pt idx="15">
                  <c:v>114000</c:v>
                </c:pt>
                <c:pt idx="16">
                  <c:v>111600</c:v>
                </c:pt>
                <c:pt idx="17">
                  <c:v>109200</c:v>
                </c:pt>
                <c:pt idx="18">
                  <c:v>106800</c:v>
                </c:pt>
                <c:pt idx="19">
                  <c:v>104400</c:v>
                </c:pt>
                <c:pt idx="20">
                  <c:v>102000</c:v>
                </c:pt>
                <c:pt idx="21">
                  <c:v>99600</c:v>
                </c:pt>
                <c:pt idx="22">
                  <c:v>97200</c:v>
                </c:pt>
                <c:pt idx="23">
                  <c:v>94800</c:v>
                </c:pt>
                <c:pt idx="24">
                  <c:v>92400</c:v>
                </c:pt>
                <c:pt idx="25">
                  <c:v>90000</c:v>
                </c:pt>
                <c:pt idx="26">
                  <c:v>87600</c:v>
                </c:pt>
                <c:pt idx="27">
                  <c:v>85200</c:v>
                </c:pt>
                <c:pt idx="28">
                  <c:v>82800</c:v>
                </c:pt>
                <c:pt idx="29">
                  <c:v>80400</c:v>
                </c:pt>
                <c:pt idx="30">
                  <c:v>78000</c:v>
                </c:pt>
                <c:pt idx="31">
                  <c:v>75600</c:v>
                </c:pt>
                <c:pt idx="32">
                  <c:v>73200</c:v>
                </c:pt>
                <c:pt idx="33">
                  <c:v>70800</c:v>
                </c:pt>
                <c:pt idx="34">
                  <c:v>68400</c:v>
                </c:pt>
                <c:pt idx="35">
                  <c:v>66000</c:v>
                </c:pt>
              </c:numCache>
            </c:numRef>
          </c:val>
        </c:ser>
        <c:marker val="1"/>
        <c:axId val="68559616"/>
        <c:axId val="68561152"/>
      </c:lineChart>
      <c:catAx>
        <c:axId val="68559616"/>
        <c:scaling>
          <c:orientation val="minMax"/>
        </c:scaling>
        <c:axPos val="b"/>
        <c:numFmt formatCode="Standaard" sourceLinked="0"/>
        <c:tickLblPos val="nextTo"/>
        <c:crossAx val="68561152"/>
        <c:crossesAt val="0"/>
        <c:auto val="1"/>
        <c:lblAlgn val="ctr"/>
        <c:lblOffset val="100"/>
        <c:tickLblSkip val="7"/>
      </c:catAx>
      <c:valAx>
        <c:axId val="68561152"/>
        <c:scaling>
          <c:orientation val="minMax"/>
          <c:max val="150000"/>
          <c:min val="10000"/>
        </c:scaling>
        <c:axPos val="l"/>
        <c:majorGridlines/>
        <c:numFmt formatCode="_ &quot;€&quot;\ * #,##0.00_ ;_ &quot;€&quot;\ * \-#,##0.00_ ;_ &quot;€&quot;\ * &quot;-&quot;??_ ;_ @_ " sourceLinked="1"/>
        <c:tickLblPos val="nextTo"/>
        <c:crossAx val="68559616"/>
        <c:crossesAt val="1"/>
        <c:crossBetween val="between"/>
      </c:valAx>
    </c:plotArea>
    <c:legend>
      <c:legendPos val="b"/>
    </c:legend>
    <c:plotVisOnly val="1"/>
  </c:chart>
  <c:externalData r:id="rId1"/>
</c:chartSpace>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Can13</b:Tag>
    <b:SourceType>ArticleInAPeriodical</b:SourceType>
    <b:Guid>{37805E38-36D2-4FA1-A6E9-60D1E326A346}</b:Guid>
    <b:LCID>0</b:LCID>
    <b:Author>
      <b:Author>
        <b:NameList>
          <b:Person>
            <b:Last>Canoy</b:Last>
          </b:Person>
        </b:NameList>
      </b:Author>
    </b:Author>
    <b:Title>Publiek-privaat fonds sleutel tot de woningmarkt</b:Title>
    <b:Year>2013</b:Year>
    <b:PeriodicalTitle>Financiële Dagblad</b:PeriodicalTitle>
    <b:Month>januari</b:Month>
    <b:Day>17</b:Day>
    <b:RefOrder>1</b:RefOrder>
  </b:Source>
</b:Sources>
</file>

<file path=customXml/itemProps1.xml><?xml version="1.0" encoding="utf-8"?>
<ds:datastoreItem xmlns:ds="http://schemas.openxmlformats.org/officeDocument/2006/customXml" ds:itemID="{F304D675-920F-44DD-81FE-43261A82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14693</Words>
  <Characters>83753</Characters>
  <Application>Microsoft Office Word</Application>
  <DocSecurity>0</DocSecurity>
  <Lines>697</Lines>
  <Paragraphs>196</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Maarten</dc:creator>
  <cp:lastModifiedBy>Roy Achaibersing</cp:lastModifiedBy>
  <cp:revision>2</cp:revision>
  <dcterms:created xsi:type="dcterms:W3CDTF">2013-07-30T09:40:00Z</dcterms:created>
  <dcterms:modified xsi:type="dcterms:W3CDTF">2013-07-30T09:40:00Z</dcterms:modified>
</cp:coreProperties>
</file>