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5457576"/>
        <w:docPartObj>
          <w:docPartGallery w:val="Cover Pages"/>
          <w:docPartUnique/>
        </w:docPartObj>
      </w:sdtPr>
      <w:sdtEndPr>
        <w:rPr>
          <w:rFonts w:asciiTheme="minorHAnsi" w:eastAsiaTheme="minorHAnsi" w:hAnsiTheme="minorHAnsi" w:cstheme="minorBidi"/>
          <w:caps w:val="0"/>
        </w:rPr>
      </w:sdtEndPr>
      <w:sdtContent>
        <w:tbl>
          <w:tblPr>
            <w:tblW w:w="5000" w:type="pct"/>
            <w:jc w:val="center"/>
            <w:tblLook w:val="04A0"/>
          </w:tblPr>
          <w:tblGrid>
            <w:gridCol w:w="9288"/>
          </w:tblGrid>
          <w:tr w:rsidR="00DD3630">
            <w:trPr>
              <w:trHeight w:val="2880"/>
              <w:jc w:val="center"/>
            </w:trPr>
            <w:sdt>
              <w:sdtPr>
                <w:rPr>
                  <w:rFonts w:asciiTheme="majorHAnsi" w:eastAsiaTheme="majorEastAsia" w:hAnsiTheme="majorHAnsi" w:cstheme="majorBidi"/>
                  <w:caps/>
                </w:rPr>
                <w:alias w:val="Bedrijf"/>
                <w:id w:val="15524243"/>
                <w:dataBinding w:prefixMappings="xmlns:ns0='http://schemas.openxmlformats.org/officeDocument/2006/extended-properties'" w:xpath="/ns0:Properties[1]/ns0:Company[1]" w:storeItemID="{6668398D-A668-4E3E-A5EB-62B293D839F1}"/>
                <w:text/>
              </w:sdtPr>
              <w:sdtContent>
                <w:tc>
                  <w:tcPr>
                    <w:tcW w:w="5000" w:type="pct"/>
                  </w:tcPr>
                  <w:p w:rsidR="00DD3630" w:rsidRDefault="0011623F" w:rsidP="0011623F">
                    <w:pPr>
                      <w:pStyle w:val="NoSpacing"/>
                      <w:jc w:val="center"/>
                      <w:rPr>
                        <w:rFonts w:asciiTheme="majorHAnsi" w:eastAsiaTheme="majorEastAsia" w:hAnsiTheme="majorHAnsi" w:cstheme="majorBidi"/>
                        <w:caps/>
                      </w:rPr>
                    </w:pPr>
                    <w:r>
                      <w:rPr>
                        <w:rFonts w:asciiTheme="majorHAnsi" w:eastAsiaTheme="majorEastAsia" w:hAnsiTheme="majorHAnsi" w:cstheme="majorBidi"/>
                        <w:caps/>
                      </w:rPr>
                      <w:t>Erasmus Universiteit rotterdam</w:t>
                    </w:r>
                  </w:p>
                </w:tc>
              </w:sdtContent>
            </w:sdt>
          </w:tr>
          <w:tr w:rsidR="00DD3630">
            <w:trPr>
              <w:trHeight w:val="1440"/>
              <w:jc w:val="center"/>
            </w:trPr>
            <w:sdt>
              <w:sdtPr>
                <w:rPr>
                  <w:rFonts w:asciiTheme="majorHAnsi" w:eastAsiaTheme="majorEastAsia" w:hAnsiTheme="majorHAnsi" w:cstheme="majorBidi"/>
                  <w:sz w:val="80"/>
                  <w:szCs w:val="80"/>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DD3630" w:rsidRDefault="00DB6FBA" w:rsidP="00DB6FBA">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De invloed van de </w:t>
                    </w:r>
                    <w:r w:rsidRPr="00120B0A">
                      <w:rPr>
                        <w:rFonts w:asciiTheme="majorHAnsi" w:eastAsiaTheme="majorEastAsia" w:hAnsiTheme="majorHAnsi" w:cstheme="majorBidi"/>
                        <w:sz w:val="80"/>
                        <w:szCs w:val="80"/>
                      </w:rPr>
                      <w:t xml:space="preserve">financiële </w:t>
                    </w:r>
                    <w:r w:rsidRPr="002C0E74">
                      <w:rPr>
                        <w:rFonts w:asciiTheme="majorHAnsi" w:eastAsiaTheme="majorEastAsia" w:hAnsiTheme="majorHAnsi" w:cstheme="majorBidi"/>
                        <w:sz w:val="80"/>
                        <w:szCs w:val="80"/>
                      </w:rPr>
                      <w:t>ontwikkeling</w:t>
                    </w:r>
                    <w:r>
                      <w:rPr>
                        <w:rFonts w:asciiTheme="majorHAnsi" w:eastAsiaTheme="majorEastAsia" w:hAnsiTheme="majorHAnsi" w:cstheme="majorBidi"/>
                        <w:sz w:val="80"/>
                        <w:szCs w:val="80"/>
                      </w:rPr>
                      <w:t xml:space="preserve"> van een land op het januari effect in de aandelenmarkt van </w:t>
                    </w:r>
                    <w:r w:rsidRPr="00DA296E">
                      <w:rPr>
                        <w:rFonts w:asciiTheme="majorHAnsi" w:eastAsiaTheme="majorEastAsia" w:hAnsiTheme="majorHAnsi" w:cstheme="majorBidi"/>
                        <w:sz w:val="80"/>
                        <w:szCs w:val="80"/>
                      </w:rPr>
                      <w:t>Brazilië</w:t>
                    </w:r>
                    <w:r>
                      <w:rPr>
                        <w:rFonts w:asciiTheme="majorHAnsi" w:eastAsiaTheme="majorEastAsia" w:hAnsiTheme="majorHAnsi" w:cstheme="majorBidi"/>
                        <w:sz w:val="80"/>
                        <w:szCs w:val="80"/>
                      </w:rPr>
                      <w:t>,</w:t>
                    </w:r>
                    <w:r w:rsidRPr="00DA296E">
                      <w:rPr>
                        <w:rFonts w:asciiTheme="majorHAnsi" w:eastAsiaTheme="majorEastAsia" w:hAnsiTheme="majorHAnsi" w:cstheme="majorBidi"/>
                        <w:sz w:val="80"/>
                        <w:szCs w:val="80"/>
                      </w:rPr>
                      <w:t xml:space="preserve"> </w:t>
                    </w:r>
                    <w:r>
                      <w:rPr>
                        <w:rFonts w:asciiTheme="majorHAnsi" w:eastAsiaTheme="majorEastAsia" w:hAnsiTheme="majorHAnsi" w:cstheme="majorBidi"/>
                        <w:sz w:val="80"/>
                        <w:szCs w:val="80"/>
                      </w:rPr>
                      <w:t>India en China</w:t>
                    </w:r>
                  </w:p>
                </w:tc>
              </w:sdtContent>
            </w:sdt>
          </w:tr>
          <w:tr w:rsidR="00DD3630" w:rsidRPr="002A68DA">
            <w:trPr>
              <w:trHeight w:val="720"/>
              <w:jc w:val="center"/>
            </w:trPr>
            <w:tc>
              <w:tcPr>
                <w:tcW w:w="5000" w:type="pct"/>
                <w:tcBorders>
                  <w:top w:val="single" w:sz="4" w:space="0" w:color="4F81BD" w:themeColor="accent1"/>
                </w:tcBorders>
                <w:vAlign w:val="center"/>
              </w:tcPr>
              <w:tbl>
                <w:tblPr>
                  <w:tblpPr w:leftFromText="187" w:rightFromText="187" w:vertAnchor="page" w:horzAnchor="margin" w:tblpY="174"/>
                  <w:tblOverlap w:val="never"/>
                  <w:tblW w:w="9288" w:type="dxa"/>
                  <w:tblLook w:val="04A0"/>
                </w:tblPr>
                <w:tblGrid>
                  <w:gridCol w:w="9288"/>
                </w:tblGrid>
                <w:tr w:rsidR="00F22A8B" w:rsidRPr="002A68DA" w:rsidTr="00F22A8B">
                  <w:sdt>
                    <w:sdtPr>
                      <w:rPr>
                        <w:rFonts w:eastAsiaTheme="minorHAnsi"/>
                      </w:rPr>
                      <w:alias w:val="Samenvatting"/>
                      <w:id w:val="8276291"/>
                      <w:dataBinding w:prefixMappings="xmlns:ns0='http://schemas.microsoft.com/office/2006/coverPageProps'" w:xpath="/ns0:CoverPageProperties[1]/ns0:Abstract[1]" w:storeItemID="{55AF091B-3C7A-41E3-B477-F2FDAA23CFDA}"/>
                      <w:text/>
                    </w:sdtPr>
                    <w:sdtContent>
                      <w:tc>
                        <w:tcPr>
                          <w:tcW w:w="5000" w:type="pct"/>
                        </w:tcPr>
                        <w:p w:rsidR="00F22A8B" w:rsidRPr="008C346B" w:rsidRDefault="00F22A8B" w:rsidP="00F22A8B">
                          <w:pPr>
                            <w:pStyle w:val="NoSpacing"/>
                            <w:rPr>
                              <w:lang w:val="en-GB"/>
                            </w:rPr>
                          </w:pPr>
                          <w:r w:rsidRPr="003D0826">
                            <w:rPr>
                              <w:rFonts w:eastAsiaTheme="minorHAnsi"/>
                            </w:rPr>
                            <w:t xml:space="preserve">In deze bachelor scriptie wordt onderzocht of de ontwikkeling van de financiële markten van invloed is op de uitkomsten van het januari effect. Om dit te onderzoeken worden drie landen, </w:t>
                          </w:r>
                          <w:r w:rsidR="0054671E" w:rsidRPr="003D0826">
                            <w:rPr>
                              <w:rFonts w:eastAsiaTheme="minorHAnsi"/>
                            </w:rPr>
                            <w:t>Brazilië</w:t>
                          </w:r>
                          <w:r w:rsidRPr="003D0826">
                            <w:rPr>
                              <w:rFonts w:eastAsiaTheme="minorHAnsi"/>
                            </w:rPr>
                            <w:t>, India en China,gebruikt. De periode voor dit onderzoek is 1995-2013. Uit het onderzoek blijkt dat er voor geen van de onderzochte landen een januari effect wordt gevonden tijdens de periode 1995-2013. Dit is in overeenstemming met andere onderzoeken, waaruit blijkt dat het januari effect aan het verdwijnen is.</w:t>
                          </w:r>
                          <w:r w:rsidR="008C346B" w:rsidRPr="003D0826">
                            <w:rPr>
                              <w:rFonts w:eastAsiaTheme="minorHAnsi"/>
                            </w:rPr>
                            <w:t xml:space="preserve">                                                                                                                                                       </w:t>
                          </w:r>
                          <w:r w:rsidRPr="003D0826">
                            <w:rPr>
                              <w:rFonts w:eastAsiaTheme="minorHAnsi"/>
                            </w:rPr>
                            <w:t>G14 Event Studies, G15 international Financial markets, G17 Financial forecasting and simulation, G19 Other</w:t>
                          </w:r>
                          <w:r w:rsidR="00C83273" w:rsidRPr="003D0826">
                            <w:rPr>
                              <w:rFonts w:eastAsiaTheme="minorHAnsi"/>
                            </w:rPr>
                            <w:t>.</w:t>
                          </w:r>
                        </w:p>
                      </w:tc>
                    </w:sdtContent>
                  </w:sdt>
                </w:tr>
              </w:tbl>
              <w:p w:rsidR="00DD3630" w:rsidRPr="008C346B" w:rsidRDefault="00DD3630" w:rsidP="003C4D7D">
                <w:pPr>
                  <w:pStyle w:val="NoSpacing"/>
                  <w:jc w:val="center"/>
                  <w:rPr>
                    <w:rFonts w:asciiTheme="majorHAnsi" w:eastAsiaTheme="majorEastAsia" w:hAnsiTheme="majorHAnsi" w:cstheme="majorBidi"/>
                    <w:sz w:val="44"/>
                    <w:szCs w:val="44"/>
                    <w:lang w:val="en-GB"/>
                  </w:rPr>
                </w:pPr>
              </w:p>
            </w:tc>
          </w:tr>
          <w:tr w:rsidR="00DD3630" w:rsidRPr="002A68DA">
            <w:trPr>
              <w:trHeight w:val="360"/>
              <w:jc w:val="center"/>
            </w:trPr>
            <w:tc>
              <w:tcPr>
                <w:tcW w:w="5000" w:type="pct"/>
                <w:vAlign w:val="center"/>
              </w:tcPr>
              <w:p w:rsidR="00DD3630" w:rsidRPr="008C346B" w:rsidRDefault="00DD3630">
                <w:pPr>
                  <w:pStyle w:val="NoSpacing"/>
                  <w:jc w:val="center"/>
                  <w:rPr>
                    <w:lang w:val="en-GB"/>
                  </w:rPr>
                </w:pPr>
              </w:p>
            </w:tc>
          </w:tr>
          <w:tr w:rsidR="00DD3630" w:rsidRPr="002A68DA">
            <w:trPr>
              <w:trHeight w:val="360"/>
              <w:jc w:val="center"/>
            </w:trPr>
            <w:tc>
              <w:tcPr>
                <w:tcW w:w="5000" w:type="pct"/>
                <w:vAlign w:val="center"/>
              </w:tcPr>
              <w:p w:rsidR="00DD3630" w:rsidRPr="008C346B" w:rsidRDefault="00DD3630">
                <w:pPr>
                  <w:pStyle w:val="NoSpacing"/>
                  <w:jc w:val="center"/>
                  <w:rPr>
                    <w:b/>
                    <w:bCs/>
                    <w:lang w:val="en-GB"/>
                  </w:rPr>
                </w:pPr>
              </w:p>
            </w:tc>
          </w:tr>
          <w:tr w:rsidR="00DD3630" w:rsidRPr="002A68DA">
            <w:trPr>
              <w:trHeight w:val="360"/>
              <w:jc w:val="center"/>
            </w:trPr>
            <w:tc>
              <w:tcPr>
                <w:tcW w:w="5000" w:type="pct"/>
                <w:vAlign w:val="center"/>
              </w:tcPr>
              <w:p w:rsidR="00DD3630" w:rsidRPr="008C346B" w:rsidRDefault="00DD3630">
                <w:pPr>
                  <w:pStyle w:val="NoSpacing"/>
                  <w:jc w:val="center"/>
                  <w:rPr>
                    <w:b/>
                    <w:bCs/>
                    <w:lang w:val="en-GB"/>
                  </w:rPr>
                </w:pPr>
              </w:p>
            </w:tc>
          </w:tr>
        </w:tbl>
        <w:p w:rsidR="00DD3630" w:rsidRPr="008C346B" w:rsidRDefault="00DD3630">
          <w:pPr>
            <w:rPr>
              <w:lang w:val="en-GB"/>
            </w:rPr>
          </w:pPr>
        </w:p>
        <w:p w:rsidR="003C4D7D" w:rsidRDefault="00841592" w:rsidP="003C4D7D">
          <w:r>
            <w:t>S</w:t>
          </w:r>
          <w:r w:rsidR="003C4D7D">
            <w:t>chrijver:</w:t>
          </w:r>
          <w:r w:rsidR="003C4D7D">
            <w:tab/>
          </w:r>
          <w:r w:rsidR="003C4D7D">
            <w:tab/>
            <w:t>C.G. Haarman</w:t>
          </w:r>
        </w:p>
        <w:p w:rsidR="003C4D7D" w:rsidRDefault="003C4D7D" w:rsidP="003C4D7D">
          <w:r>
            <w:t>Studentnummer:</w:t>
          </w:r>
          <w:r>
            <w:tab/>
            <w:t>341600</w:t>
          </w:r>
        </w:p>
        <w:p w:rsidR="003C4D7D" w:rsidRDefault="003C4D7D" w:rsidP="003C4D7D">
          <w:r>
            <w:t>Begeleider:</w:t>
          </w:r>
          <w:r>
            <w:tab/>
          </w:r>
          <w:r>
            <w:tab/>
            <w:t>Jan Lemmen</w:t>
          </w:r>
        </w:p>
        <w:p w:rsidR="003C4D7D" w:rsidRDefault="003C4D7D" w:rsidP="003C4D7D">
          <w:r>
            <w:t>Datum:</w:t>
          </w:r>
          <w:r>
            <w:tab/>
          </w:r>
          <w:r>
            <w:tab/>
          </w:r>
          <w:r>
            <w:tab/>
            <w:t>24 november 2013</w:t>
          </w:r>
        </w:p>
      </w:sdtContent>
    </w:sdt>
    <w:sdt>
      <w:sdtPr>
        <w:rPr>
          <w:rFonts w:asciiTheme="minorHAnsi" w:eastAsiaTheme="minorHAnsi" w:hAnsiTheme="minorHAnsi" w:cstheme="minorBidi"/>
          <w:b w:val="0"/>
          <w:bCs w:val="0"/>
          <w:color w:val="auto"/>
          <w:sz w:val="22"/>
          <w:szCs w:val="22"/>
        </w:rPr>
        <w:id w:val="6443744"/>
        <w:docPartObj>
          <w:docPartGallery w:val="Table of Contents"/>
          <w:docPartUnique/>
        </w:docPartObj>
      </w:sdtPr>
      <w:sdtContent>
        <w:p w:rsidR="00035D3F" w:rsidRDefault="00035D3F">
          <w:pPr>
            <w:pStyle w:val="TOCHeading"/>
          </w:pPr>
          <w:r>
            <w:t>Inhoud</w:t>
          </w:r>
        </w:p>
        <w:p w:rsidR="00ED23D5" w:rsidRPr="00ED23D5" w:rsidRDefault="00ED23D5" w:rsidP="00ED23D5"/>
        <w:p w:rsidR="001858C3" w:rsidRDefault="00505FFB">
          <w:pPr>
            <w:pStyle w:val="TOC1"/>
            <w:tabs>
              <w:tab w:val="right" w:leader="dot" w:pos="9062"/>
            </w:tabs>
            <w:rPr>
              <w:rFonts w:eastAsiaTheme="minorEastAsia"/>
              <w:noProof/>
              <w:lang w:eastAsia="nl-NL"/>
            </w:rPr>
          </w:pPr>
          <w:r>
            <w:fldChar w:fldCharType="begin"/>
          </w:r>
          <w:r w:rsidR="00035D3F">
            <w:instrText xml:space="preserve"> TOC \o "1-3" \h \z \u </w:instrText>
          </w:r>
          <w:r>
            <w:fldChar w:fldCharType="separate"/>
          </w:r>
          <w:hyperlink w:anchor="_Toc380522425" w:history="1">
            <w:r w:rsidR="001858C3" w:rsidRPr="00AB307C">
              <w:rPr>
                <w:rStyle w:val="Hyperlink"/>
                <w:noProof/>
              </w:rPr>
              <w:t>Hoofdstuk 1 – Inleiding</w:t>
            </w:r>
            <w:r w:rsidR="001858C3">
              <w:rPr>
                <w:noProof/>
                <w:webHidden/>
              </w:rPr>
              <w:tab/>
            </w:r>
            <w:r>
              <w:rPr>
                <w:noProof/>
                <w:webHidden/>
              </w:rPr>
              <w:fldChar w:fldCharType="begin"/>
            </w:r>
            <w:r w:rsidR="001858C3">
              <w:rPr>
                <w:noProof/>
                <w:webHidden/>
              </w:rPr>
              <w:instrText xml:space="preserve"> PAGEREF _Toc380522425 \h </w:instrText>
            </w:r>
            <w:r>
              <w:rPr>
                <w:noProof/>
                <w:webHidden/>
              </w:rPr>
            </w:r>
            <w:r>
              <w:rPr>
                <w:noProof/>
                <w:webHidden/>
              </w:rPr>
              <w:fldChar w:fldCharType="separate"/>
            </w:r>
            <w:r w:rsidR="001858C3">
              <w:rPr>
                <w:noProof/>
                <w:webHidden/>
              </w:rPr>
              <w:t>3</w:t>
            </w:r>
            <w:r>
              <w:rPr>
                <w:noProof/>
                <w:webHidden/>
              </w:rPr>
              <w:fldChar w:fldCharType="end"/>
            </w:r>
          </w:hyperlink>
        </w:p>
        <w:p w:rsidR="001858C3" w:rsidRDefault="00505FFB">
          <w:pPr>
            <w:pStyle w:val="TOC1"/>
            <w:tabs>
              <w:tab w:val="right" w:leader="dot" w:pos="9062"/>
            </w:tabs>
            <w:rPr>
              <w:rFonts w:eastAsiaTheme="minorEastAsia"/>
              <w:noProof/>
              <w:lang w:eastAsia="nl-NL"/>
            </w:rPr>
          </w:pPr>
          <w:hyperlink w:anchor="_Toc380522426" w:history="1">
            <w:r w:rsidR="001858C3" w:rsidRPr="00AB307C">
              <w:rPr>
                <w:rStyle w:val="Hyperlink"/>
                <w:noProof/>
              </w:rPr>
              <w:t>Hoofdstuk 2 – Theorie</w:t>
            </w:r>
            <w:r w:rsidR="001858C3">
              <w:rPr>
                <w:noProof/>
                <w:webHidden/>
              </w:rPr>
              <w:tab/>
            </w:r>
            <w:r>
              <w:rPr>
                <w:noProof/>
                <w:webHidden/>
              </w:rPr>
              <w:fldChar w:fldCharType="begin"/>
            </w:r>
            <w:r w:rsidR="001858C3">
              <w:rPr>
                <w:noProof/>
                <w:webHidden/>
              </w:rPr>
              <w:instrText xml:space="preserve"> PAGEREF _Toc380522426 \h </w:instrText>
            </w:r>
            <w:r>
              <w:rPr>
                <w:noProof/>
                <w:webHidden/>
              </w:rPr>
            </w:r>
            <w:r>
              <w:rPr>
                <w:noProof/>
                <w:webHidden/>
              </w:rPr>
              <w:fldChar w:fldCharType="separate"/>
            </w:r>
            <w:r w:rsidR="001858C3">
              <w:rPr>
                <w:noProof/>
                <w:webHidden/>
              </w:rPr>
              <w:t>5</w:t>
            </w:r>
            <w:r>
              <w:rPr>
                <w:noProof/>
                <w:webHidden/>
              </w:rPr>
              <w:fldChar w:fldCharType="end"/>
            </w:r>
          </w:hyperlink>
        </w:p>
        <w:p w:rsidR="001858C3" w:rsidRDefault="00505FFB">
          <w:pPr>
            <w:pStyle w:val="TOC2"/>
            <w:tabs>
              <w:tab w:val="right" w:leader="dot" w:pos="9062"/>
            </w:tabs>
            <w:rPr>
              <w:rFonts w:eastAsiaTheme="minorEastAsia"/>
              <w:noProof/>
              <w:lang w:eastAsia="nl-NL"/>
            </w:rPr>
          </w:pPr>
          <w:hyperlink w:anchor="_Toc380522427" w:history="1">
            <w:r w:rsidR="001858C3" w:rsidRPr="00AB307C">
              <w:rPr>
                <w:rStyle w:val="Hyperlink"/>
                <w:noProof/>
              </w:rPr>
              <w:t>2.1 De Efficiënte Markt Hypothese</w:t>
            </w:r>
            <w:r w:rsidR="001858C3">
              <w:rPr>
                <w:noProof/>
                <w:webHidden/>
              </w:rPr>
              <w:tab/>
            </w:r>
            <w:r>
              <w:rPr>
                <w:noProof/>
                <w:webHidden/>
              </w:rPr>
              <w:fldChar w:fldCharType="begin"/>
            </w:r>
            <w:r w:rsidR="001858C3">
              <w:rPr>
                <w:noProof/>
                <w:webHidden/>
              </w:rPr>
              <w:instrText xml:space="preserve"> PAGEREF _Toc380522427 \h </w:instrText>
            </w:r>
            <w:r>
              <w:rPr>
                <w:noProof/>
                <w:webHidden/>
              </w:rPr>
            </w:r>
            <w:r>
              <w:rPr>
                <w:noProof/>
                <w:webHidden/>
              </w:rPr>
              <w:fldChar w:fldCharType="separate"/>
            </w:r>
            <w:r w:rsidR="001858C3">
              <w:rPr>
                <w:noProof/>
                <w:webHidden/>
              </w:rPr>
              <w:t>5</w:t>
            </w:r>
            <w:r>
              <w:rPr>
                <w:noProof/>
                <w:webHidden/>
              </w:rPr>
              <w:fldChar w:fldCharType="end"/>
            </w:r>
          </w:hyperlink>
        </w:p>
        <w:p w:rsidR="001858C3" w:rsidRDefault="00505FFB">
          <w:pPr>
            <w:pStyle w:val="TOC2"/>
            <w:tabs>
              <w:tab w:val="right" w:leader="dot" w:pos="9062"/>
            </w:tabs>
            <w:rPr>
              <w:rFonts w:eastAsiaTheme="minorEastAsia"/>
              <w:noProof/>
              <w:lang w:eastAsia="nl-NL"/>
            </w:rPr>
          </w:pPr>
          <w:hyperlink w:anchor="_Toc380522428" w:history="1">
            <w:r w:rsidR="001858C3" w:rsidRPr="00AB307C">
              <w:rPr>
                <w:rStyle w:val="Hyperlink"/>
                <w:noProof/>
              </w:rPr>
              <w:t>2.2 Behavioral Finance</w:t>
            </w:r>
            <w:r w:rsidR="001858C3">
              <w:rPr>
                <w:noProof/>
                <w:webHidden/>
              </w:rPr>
              <w:tab/>
            </w:r>
            <w:r>
              <w:rPr>
                <w:noProof/>
                <w:webHidden/>
              </w:rPr>
              <w:fldChar w:fldCharType="begin"/>
            </w:r>
            <w:r w:rsidR="001858C3">
              <w:rPr>
                <w:noProof/>
                <w:webHidden/>
              </w:rPr>
              <w:instrText xml:space="preserve"> PAGEREF _Toc380522428 \h </w:instrText>
            </w:r>
            <w:r>
              <w:rPr>
                <w:noProof/>
                <w:webHidden/>
              </w:rPr>
            </w:r>
            <w:r>
              <w:rPr>
                <w:noProof/>
                <w:webHidden/>
              </w:rPr>
              <w:fldChar w:fldCharType="separate"/>
            </w:r>
            <w:r w:rsidR="001858C3">
              <w:rPr>
                <w:noProof/>
                <w:webHidden/>
              </w:rPr>
              <w:t>6</w:t>
            </w:r>
            <w:r>
              <w:rPr>
                <w:noProof/>
                <w:webHidden/>
              </w:rPr>
              <w:fldChar w:fldCharType="end"/>
            </w:r>
          </w:hyperlink>
        </w:p>
        <w:p w:rsidR="001858C3" w:rsidRDefault="00505FFB">
          <w:pPr>
            <w:pStyle w:val="TOC2"/>
            <w:tabs>
              <w:tab w:val="right" w:leader="dot" w:pos="9062"/>
            </w:tabs>
            <w:rPr>
              <w:rFonts w:eastAsiaTheme="minorEastAsia"/>
              <w:noProof/>
              <w:lang w:eastAsia="nl-NL"/>
            </w:rPr>
          </w:pPr>
          <w:hyperlink w:anchor="_Toc380522429" w:history="1">
            <w:r w:rsidR="001858C3" w:rsidRPr="00AB307C">
              <w:rPr>
                <w:rStyle w:val="Hyperlink"/>
                <w:noProof/>
              </w:rPr>
              <w:t>2.3 Anomalieën</w:t>
            </w:r>
            <w:r w:rsidR="001858C3">
              <w:rPr>
                <w:noProof/>
                <w:webHidden/>
              </w:rPr>
              <w:tab/>
            </w:r>
            <w:r>
              <w:rPr>
                <w:noProof/>
                <w:webHidden/>
              </w:rPr>
              <w:fldChar w:fldCharType="begin"/>
            </w:r>
            <w:r w:rsidR="001858C3">
              <w:rPr>
                <w:noProof/>
                <w:webHidden/>
              </w:rPr>
              <w:instrText xml:space="preserve"> PAGEREF _Toc380522429 \h </w:instrText>
            </w:r>
            <w:r>
              <w:rPr>
                <w:noProof/>
                <w:webHidden/>
              </w:rPr>
            </w:r>
            <w:r>
              <w:rPr>
                <w:noProof/>
                <w:webHidden/>
              </w:rPr>
              <w:fldChar w:fldCharType="separate"/>
            </w:r>
            <w:r w:rsidR="001858C3">
              <w:rPr>
                <w:noProof/>
                <w:webHidden/>
              </w:rPr>
              <w:t>7</w:t>
            </w:r>
            <w:r>
              <w:rPr>
                <w:noProof/>
                <w:webHidden/>
              </w:rPr>
              <w:fldChar w:fldCharType="end"/>
            </w:r>
          </w:hyperlink>
        </w:p>
        <w:p w:rsidR="001858C3" w:rsidRDefault="00505FFB">
          <w:pPr>
            <w:pStyle w:val="TOC3"/>
            <w:tabs>
              <w:tab w:val="right" w:leader="dot" w:pos="9062"/>
            </w:tabs>
            <w:rPr>
              <w:rFonts w:eastAsiaTheme="minorEastAsia"/>
              <w:noProof/>
              <w:lang w:eastAsia="nl-NL"/>
            </w:rPr>
          </w:pPr>
          <w:hyperlink w:anchor="_Toc380522430" w:history="1">
            <w:r w:rsidR="001858C3" w:rsidRPr="00AB307C">
              <w:rPr>
                <w:rStyle w:val="Hyperlink"/>
                <w:noProof/>
              </w:rPr>
              <w:t>2.3.1 Januari Effect</w:t>
            </w:r>
            <w:r w:rsidR="001858C3">
              <w:rPr>
                <w:noProof/>
                <w:webHidden/>
              </w:rPr>
              <w:tab/>
            </w:r>
            <w:r>
              <w:rPr>
                <w:noProof/>
                <w:webHidden/>
              </w:rPr>
              <w:fldChar w:fldCharType="begin"/>
            </w:r>
            <w:r w:rsidR="001858C3">
              <w:rPr>
                <w:noProof/>
                <w:webHidden/>
              </w:rPr>
              <w:instrText xml:space="preserve"> PAGEREF _Toc380522430 \h </w:instrText>
            </w:r>
            <w:r>
              <w:rPr>
                <w:noProof/>
                <w:webHidden/>
              </w:rPr>
            </w:r>
            <w:r>
              <w:rPr>
                <w:noProof/>
                <w:webHidden/>
              </w:rPr>
              <w:fldChar w:fldCharType="separate"/>
            </w:r>
            <w:r w:rsidR="001858C3">
              <w:rPr>
                <w:noProof/>
                <w:webHidden/>
              </w:rPr>
              <w:t>7</w:t>
            </w:r>
            <w:r>
              <w:rPr>
                <w:noProof/>
                <w:webHidden/>
              </w:rPr>
              <w:fldChar w:fldCharType="end"/>
            </w:r>
          </w:hyperlink>
        </w:p>
        <w:p w:rsidR="001858C3" w:rsidRDefault="00505FFB">
          <w:pPr>
            <w:pStyle w:val="TOC3"/>
            <w:tabs>
              <w:tab w:val="right" w:leader="dot" w:pos="9062"/>
            </w:tabs>
            <w:rPr>
              <w:rFonts w:eastAsiaTheme="minorEastAsia"/>
              <w:noProof/>
              <w:lang w:eastAsia="nl-NL"/>
            </w:rPr>
          </w:pPr>
          <w:hyperlink w:anchor="_Toc380522431" w:history="1">
            <w:r w:rsidR="001858C3" w:rsidRPr="00AB307C">
              <w:rPr>
                <w:rStyle w:val="Hyperlink"/>
                <w:noProof/>
              </w:rPr>
              <w:t>2.3.2 Verklaringen voor het januari Effect</w:t>
            </w:r>
            <w:r w:rsidR="001858C3">
              <w:rPr>
                <w:noProof/>
                <w:webHidden/>
              </w:rPr>
              <w:tab/>
            </w:r>
            <w:r>
              <w:rPr>
                <w:noProof/>
                <w:webHidden/>
              </w:rPr>
              <w:fldChar w:fldCharType="begin"/>
            </w:r>
            <w:r w:rsidR="001858C3">
              <w:rPr>
                <w:noProof/>
                <w:webHidden/>
              </w:rPr>
              <w:instrText xml:space="preserve"> PAGEREF _Toc380522431 \h </w:instrText>
            </w:r>
            <w:r>
              <w:rPr>
                <w:noProof/>
                <w:webHidden/>
              </w:rPr>
            </w:r>
            <w:r>
              <w:rPr>
                <w:noProof/>
                <w:webHidden/>
              </w:rPr>
              <w:fldChar w:fldCharType="separate"/>
            </w:r>
            <w:r w:rsidR="001858C3">
              <w:rPr>
                <w:noProof/>
                <w:webHidden/>
              </w:rPr>
              <w:t>7</w:t>
            </w:r>
            <w:r>
              <w:rPr>
                <w:noProof/>
                <w:webHidden/>
              </w:rPr>
              <w:fldChar w:fldCharType="end"/>
            </w:r>
          </w:hyperlink>
        </w:p>
        <w:p w:rsidR="001858C3" w:rsidRDefault="00505FFB">
          <w:pPr>
            <w:pStyle w:val="TOC3"/>
            <w:tabs>
              <w:tab w:val="right" w:leader="dot" w:pos="9062"/>
            </w:tabs>
            <w:rPr>
              <w:rFonts w:eastAsiaTheme="minorEastAsia"/>
              <w:noProof/>
              <w:lang w:eastAsia="nl-NL"/>
            </w:rPr>
          </w:pPr>
          <w:hyperlink w:anchor="_Toc380522432" w:history="1">
            <w:r w:rsidR="001858C3" w:rsidRPr="00AB307C">
              <w:rPr>
                <w:rStyle w:val="Hyperlink"/>
                <w:noProof/>
              </w:rPr>
              <w:t>2.3.3 De verdwijning van het januari Effect</w:t>
            </w:r>
            <w:r w:rsidR="001858C3">
              <w:rPr>
                <w:noProof/>
                <w:webHidden/>
              </w:rPr>
              <w:tab/>
            </w:r>
            <w:r>
              <w:rPr>
                <w:noProof/>
                <w:webHidden/>
              </w:rPr>
              <w:fldChar w:fldCharType="begin"/>
            </w:r>
            <w:r w:rsidR="001858C3">
              <w:rPr>
                <w:noProof/>
                <w:webHidden/>
              </w:rPr>
              <w:instrText xml:space="preserve"> PAGEREF _Toc380522432 \h </w:instrText>
            </w:r>
            <w:r>
              <w:rPr>
                <w:noProof/>
                <w:webHidden/>
              </w:rPr>
            </w:r>
            <w:r>
              <w:rPr>
                <w:noProof/>
                <w:webHidden/>
              </w:rPr>
              <w:fldChar w:fldCharType="separate"/>
            </w:r>
            <w:r w:rsidR="001858C3">
              <w:rPr>
                <w:noProof/>
                <w:webHidden/>
              </w:rPr>
              <w:t>8</w:t>
            </w:r>
            <w:r>
              <w:rPr>
                <w:noProof/>
                <w:webHidden/>
              </w:rPr>
              <w:fldChar w:fldCharType="end"/>
            </w:r>
          </w:hyperlink>
        </w:p>
        <w:p w:rsidR="001858C3" w:rsidRDefault="00505FFB">
          <w:pPr>
            <w:pStyle w:val="TOC3"/>
            <w:tabs>
              <w:tab w:val="right" w:leader="dot" w:pos="9062"/>
            </w:tabs>
            <w:rPr>
              <w:rFonts w:eastAsiaTheme="minorEastAsia"/>
              <w:noProof/>
              <w:lang w:eastAsia="nl-NL"/>
            </w:rPr>
          </w:pPr>
          <w:hyperlink w:anchor="_Toc380522433" w:history="1">
            <w:r w:rsidR="001858C3" w:rsidRPr="00AB307C">
              <w:rPr>
                <w:rStyle w:val="Hyperlink"/>
                <w:noProof/>
              </w:rPr>
              <w:t>2.3.4 Overige studies van het januari effect</w:t>
            </w:r>
            <w:r w:rsidR="001858C3">
              <w:rPr>
                <w:noProof/>
                <w:webHidden/>
              </w:rPr>
              <w:tab/>
            </w:r>
            <w:r>
              <w:rPr>
                <w:noProof/>
                <w:webHidden/>
              </w:rPr>
              <w:fldChar w:fldCharType="begin"/>
            </w:r>
            <w:r w:rsidR="001858C3">
              <w:rPr>
                <w:noProof/>
                <w:webHidden/>
              </w:rPr>
              <w:instrText xml:space="preserve"> PAGEREF _Toc380522433 \h </w:instrText>
            </w:r>
            <w:r>
              <w:rPr>
                <w:noProof/>
                <w:webHidden/>
              </w:rPr>
            </w:r>
            <w:r>
              <w:rPr>
                <w:noProof/>
                <w:webHidden/>
              </w:rPr>
              <w:fldChar w:fldCharType="separate"/>
            </w:r>
            <w:r w:rsidR="001858C3">
              <w:rPr>
                <w:noProof/>
                <w:webHidden/>
              </w:rPr>
              <w:t>9</w:t>
            </w:r>
            <w:r>
              <w:rPr>
                <w:noProof/>
                <w:webHidden/>
              </w:rPr>
              <w:fldChar w:fldCharType="end"/>
            </w:r>
          </w:hyperlink>
        </w:p>
        <w:p w:rsidR="001858C3" w:rsidRDefault="00505FFB">
          <w:pPr>
            <w:pStyle w:val="TOC2"/>
            <w:tabs>
              <w:tab w:val="right" w:leader="dot" w:pos="9062"/>
            </w:tabs>
            <w:rPr>
              <w:rFonts w:eastAsiaTheme="minorEastAsia"/>
              <w:noProof/>
              <w:lang w:eastAsia="nl-NL"/>
            </w:rPr>
          </w:pPr>
          <w:hyperlink w:anchor="_Toc380522434" w:history="1">
            <w:r w:rsidR="001858C3" w:rsidRPr="00AB307C">
              <w:rPr>
                <w:rStyle w:val="Hyperlink"/>
                <w:noProof/>
              </w:rPr>
              <w:t>2.4 De ontwikkeling van financiële markten</w:t>
            </w:r>
            <w:r w:rsidR="001858C3">
              <w:rPr>
                <w:noProof/>
                <w:webHidden/>
              </w:rPr>
              <w:tab/>
            </w:r>
            <w:r>
              <w:rPr>
                <w:noProof/>
                <w:webHidden/>
              </w:rPr>
              <w:fldChar w:fldCharType="begin"/>
            </w:r>
            <w:r w:rsidR="001858C3">
              <w:rPr>
                <w:noProof/>
                <w:webHidden/>
              </w:rPr>
              <w:instrText xml:space="preserve"> PAGEREF _Toc380522434 \h </w:instrText>
            </w:r>
            <w:r>
              <w:rPr>
                <w:noProof/>
                <w:webHidden/>
              </w:rPr>
            </w:r>
            <w:r>
              <w:rPr>
                <w:noProof/>
                <w:webHidden/>
              </w:rPr>
              <w:fldChar w:fldCharType="separate"/>
            </w:r>
            <w:r w:rsidR="001858C3">
              <w:rPr>
                <w:noProof/>
                <w:webHidden/>
              </w:rPr>
              <w:t>11</w:t>
            </w:r>
            <w:r>
              <w:rPr>
                <w:noProof/>
                <w:webHidden/>
              </w:rPr>
              <w:fldChar w:fldCharType="end"/>
            </w:r>
          </w:hyperlink>
        </w:p>
        <w:p w:rsidR="001858C3" w:rsidRDefault="00505FFB">
          <w:pPr>
            <w:pStyle w:val="TOC3"/>
            <w:tabs>
              <w:tab w:val="right" w:leader="dot" w:pos="9062"/>
            </w:tabs>
            <w:rPr>
              <w:rFonts w:eastAsiaTheme="minorEastAsia"/>
              <w:noProof/>
              <w:lang w:eastAsia="nl-NL"/>
            </w:rPr>
          </w:pPr>
          <w:hyperlink w:anchor="_Toc380522435" w:history="1">
            <w:r w:rsidR="001858C3" w:rsidRPr="00AB307C">
              <w:rPr>
                <w:rStyle w:val="Hyperlink"/>
                <w:noProof/>
              </w:rPr>
              <w:t>2.4.1 Financiële markten</w:t>
            </w:r>
            <w:r w:rsidR="001858C3">
              <w:rPr>
                <w:noProof/>
                <w:webHidden/>
              </w:rPr>
              <w:tab/>
            </w:r>
            <w:r>
              <w:rPr>
                <w:noProof/>
                <w:webHidden/>
              </w:rPr>
              <w:fldChar w:fldCharType="begin"/>
            </w:r>
            <w:r w:rsidR="001858C3">
              <w:rPr>
                <w:noProof/>
                <w:webHidden/>
              </w:rPr>
              <w:instrText xml:space="preserve"> PAGEREF _Toc380522435 \h </w:instrText>
            </w:r>
            <w:r>
              <w:rPr>
                <w:noProof/>
                <w:webHidden/>
              </w:rPr>
            </w:r>
            <w:r>
              <w:rPr>
                <w:noProof/>
                <w:webHidden/>
              </w:rPr>
              <w:fldChar w:fldCharType="separate"/>
            </w:r>
            <w:r w:rsidR="001858C3">
              <w:rPr>
                <w:noProof/>
                <w:webHidden/>
              </w:rPr>
              <w:t>11</w:t>
            </w:r>
            <w:r>
              <w:rPr>
                <w:noProof/>
                <w:webHidden/>
              </w:rPr>
              <w:fldChar w:fldCharType="end"/>
            </w:r>
          </w:hyperlink>
        </w:p>
        <w:p w:rsidR="001858C3" w:rsidRDefault="00505FFB">
          <w:pPr>
            <w:pStyle w:val="TOC3"/>
            <w:tabs>
              <w:tab w:val="right" w:leader="dot" w:pos="9062"/>
            </w:tabs>
            <w:rPr>
              <w:rFonts w:eastAsiaTheme="minorEastAsia"/>
              <w:noProof/>
              <w:lang w:eastAsia="nl-NL"/>
            </w:rPr>
          </w:pPr>
          <w:hyperlink w:anchor="_Toc380522436" w:history="1">
            <w:r w:rsidR="001858C3" w:rsidRPr="00AB307C">
              <w:rPr>
                <w:rStyle w:val="Hyperlink"/>
                <w:noProof/>
              </w:rPr>
              <w:t>2.4.2 Indicatoren van de ontwikkeling van de financiële markt</w:t>
            </w:r>
            <w:r w:rsidR="001858C3">
              <w:rPr>
                <w:noProof/>
                <w:webHidden/>
              </w:rPr>
              <w:tab/>
            </w:r>
            <w:r>
              <w:rPr>
                <w:noProof/>
                <w:webHidden/>
              </w:rPr>
              <w:fldChar w:fldCharType="begin"/>
            </w:r>
            <w:r w:rsidR="001858C3">
              <w:rPr>
                <w:noProof/>
                <w:webHidden/>
              </w:rPr>
              <w:instrText xml:space="preserve"> PAGEREF _Toc380522436 \h </w:instrText>
            </w:r>
            <w:r>
              <w:rPr>
                <w:noProof/>
                <w:webHidden/>
              </w:rPr>
            </w:r>
            <w:r>
              <w:rPr>
                <w:noProof/>
                <w:webHidden/>
              </w:rPr>
              <w:fldChar w:fldCharType="separate"/>
            </w:r>
            <w:r w:rsidR="001858C3">
              <w:rPr>
                <w:noProof/>
                <w:webHidden/>
              </w:rPr>
              <w:t>11</w:t>
            </w:r>
            <w:r>
              <w:rPr>
                <w:noProof/>
                <w:webHidden/>
              </w:rPr>
              <w:fldChar w:fldCharType="end"/>
            </w:r>
          </w:hyperlink>
        </w:p>
        <w:p w:rsidR="001858C3" w:rsidRDefault="00505FFB">
          <w:pPr>
            <w:pStyle w:val="TOC1"/>
            <w:tabs>
              <w:tab w:val="right" w:leader="dot" w:pos="9062"/>
            </w:tabs>
            <w:rPr>
              <w:rFonts w:eastAsiaTheme="minorEastAsia"/>
              <w:noProof/>
              <w:lang w:eastAsia="nl-NL"/>
            </w:rPr>
          </w:pPr>
          <w:hyperlink w:anchor="_Toc380522437" w:history="1">
            <w:r w:rsidR="001858C3" w:rsidRPr="00AB307C">
              <w:rPr>
                <w:rStyle w:val="Hyperlink"/>
                <w:noProof/>
              </w:rPr>
              <w:t>Hoofdstuk 3 – Data en Methodologie</w:t>
            </w:r>
            <w:r w:rsidR="001858C3">
              <w:rPr>
                <w:noProof/>
                <w:webHidden/>
              </w:rPr>
              <w:tab/>
            </w:r>
            <w:r>
              <w:rPr>
                <w:noProof/>
                <w:webHidden/>
              </w:rPr>
              <w:fldChar w:fldCharType="begin"/>
            </w:r>
            <w:r w:rsidR="001858C3">
              <w:rPr>
                <w:noProof/>
                <w:webHidden/>
              </w:rPr>
              <w:instrText xml:space="preserve"> PAGEREF _Toc380522437 \h </w:instrText>
            </w:r>
            <w:r>
              <w:rPr>
                <w:noProof/>
                <w:webHidden/>
              </w:rPr>
            </w:r>
            <w:r>
              <w:rPr>
                <w:noProof/>
                <w:webHidden/>
              </w:rPr>
              <w:fldChar w:fldCharType="separate"/>
            </w:r>
            <w:r w:rsidR="001858C3">
              <w:rPr>
                <w:noProof/>
                <w:webHidden/>
              </w:rPr>
              <w:t>13</w:t>
            </w:r>
            <w:r>
              <w:rPr>
                <w:noProof/>
                <w:webHidden/>
              </w:rPr>
              <w:fldChar w:fldCharType="end"/>
            </w:r>
          </w:hyperlink>
        </w:p>
        <w:p w:rsidR="001858C3" w:rsidRDefault="00505FFB">
          <w:pPr>
            <w:pStyle w:val="TOC2"/>
            <w:tabs>
              <w:tab w:val="right" w:leader="dot" w:pos="9062"/>
            </w:tabs>
            <w:rPr>
              <w:rFonts w:eastAsiaTheme="minorEastAsia"/>
              <w:noProof/>
              <w:lang w:eastAsia="nl-NL"/>
            </w:rPr>
          </w:pPr>
          <w:hyperlink w:anchor="_Toc380522438" w:history="1">
            <w:r w:rsidR="001858C3" w:rsidRPr="00AB307C">
              <w:rPr>
                <w:rStyle w:val="Hyperlink"/>
                <w:noProof/>
              </w:rPr>
              <w:t>3.1 Data</w:t>
            </w:r>
            <w:r w:rsidR="001858C3">
              <w:rPr>
                <w:noProof/>
                <w:webHidden/>
              </w:rPr>
              <w:tab/>
            </w:r>
            <w:r>
              <w:rPr>
                <w:noProof/>
                <w:webHidden/>
              </w:rPr>
              <w:fldChar w:fldCharType="begin"/>
            </w:r>
            <w:r w:rsidR="001858C3">
              <w:rPr>
                <w:noProof/>
                <w:webHidden/>
              </w:rPr>
              <w:instrText xml:space="preserve"> PAGEREF _Toc380522438 \h </w:instrText>
            </w:r>
            <w:r>
              <w:rPr>
                <w:noProof/>
                <w:webHidden/>
              </w:rPr>
            </w:r>
            <w:r>
              <w:rPr>
                <w:noProof/>
                <w:webHidden/>
              </w:rPr>
              <w:fldChar w:fldCharType="separate"/>
            </w:r>
            <w:r w:rsidR="001858C3">
              <w:rPr>
                <w:noProof/>
                <w:webHidden/>
              </w:rPr>
              <w:t>13</w:t>
            </w:r>
            <w:r>
              <w:rPr>
                <w:noProof/>
                <w:webHidden/>
              </w:rPr>
              <w:fldChar w:fldCharType="end"/>
            </w:r>
          </w:hyperlink>
        </w:p>
        <w:p w:rsidR="001858C3" w:rsidRDefault="00505FFB">
          <w:pPr>
            <w:pStyle w:val="TOC2"/>
            <w:tabs>
              <w:tab w:val="right" w:leader="dot" w:pos="9062"/>
            </w:tabs>
            <w:rPr>
              <w:rFonts w:eastAsiaTheme="minorEastAsia"/>
              <w:noProof/>
              <w:lang w:eastAsia="nl-NL"/>
            </w:rPr>
          </w:pPr>
          <w:hyperlink w:anchor="_Toc380522439" w:history="1">
            <w:r w:rsidR="001858C3" w:rsidRPr="00AB307C">
              <w:rPr>
                <w:rStyle w:val="Hyperlink"/>
                <w:noProof/>
              </w:rPr>
              <w:t>3.2 Methodologie</w:t>
            </w:r>
            <w:r w:rsidR="001858C3">
              <w:rPr>
                <w:noProof/>
                <w:webHidden/>
              </w:rPr>
              <w:tab/>
            </w:r>
            <w:r>
              <w:rPr>
                <w:noProof/>
                <w:webHidden/>
              </w:rPr>
              <w:fldChar w:fldCharType="begin"/>
            </w:r>
            <w:r w:rsidR="001858C3">
              <w:rPr>
                <w:noProof/>
                <w:webHidden/>
              </w:rPr>
              <w:instrText xml:space="preserve"> PAGEREF _Toc380522439 \h </w:instrText>
            </w:r>
            <w:r>
              <w:rPr>
                <w:noProof/>
                <w:webHidden/>
              </w:rPr>
            </w:r>
            <w:r>
              <w:rPr>
                <w:noProof/>
                <w:webHidden/>
              </w:rPr>
              <w:fldChar w:fldCharType="separate"/>
            </w:r>
            <w:r w:rsidR="001858C3">
              <w:rPr>
                <w:noProof/>
                <w:webHidden/>
              </w:rPr>
              <w:t>14</w:t>
            </w:r>
            <w:r>
              <w:rPr>
                <w:noProof/>
                <w:webHidden/>
              </w:rPr>
              <w:fldChar w:fldCharType="end"/>
            </w:r>
          </w:hyperlink>
        </w:p>
        <w:p w:rsidR="001858C3" w:rsidRDefault="00505FFB">
          <w:pPr>
            <w:pStyle w:val="TOC1"/>
            <w:tabs>
              <w:tab w:val="right" w:leader="dot" w:pos="9062"/>
            </w:tabs>
            <w:rPr>
              <w:rFonts w:eastAsiaTheme="minorEastAsia"/>
              <w:noProof/>
              <w:lang w:eastAsia="nl-NL"/>
            </w:rPr>
          </w:pPr>
          <w:hyperlink w:anchor="_Toc380522440" w:history="1">
            <w:r w:rsidR="001858C3" w:rsidRPr="00AB307C">
              <w:rPr>
                <w:rStyle w:val="Hyperlink"/>
                <w:noProof/>
              </w:rPr>
              <w:t>Hoofdstuk 4 – Empirische resultaten</w:t>
            </w:r>
            <w:r w:rsidR="001858C3">
              <w:rPr>
                <w:noProof/>
                <w:webHidden/>
              </w:rPr>
              <w:tab/>
            </w:r>
            <w:r>
              <w:rPr>
                <w:noProof/>
                <w:webHidden/>
              </w:rPr>
              <w:fldChar w:fldCharType="begin"/>
            </w:r>
            <w:r w:rsidR="001858C3">
              <w:rPr>
                <w:noProof/>
                <w:webHidden/>
              </w:rPr>
              <w:instrText xml:space="preserve"> PAGEREF _Toc380522440 \h </w:instrText>
            </w:r>
            <w:r>
              <w:rPr>
                <w:noProof/>
                <w:webHidden/>
              </w:rPr>
            </w:r>
            <w:r>
              <w:rPr>
                <w:noProof/>
                <w:webHidden/>
              </w:rPr>
              <w:fldChar w:fldCharType="separate"/>
            </w:r>
            <w:r w:rsidR="001858C3">
              <w:rPr>
                <w:noProof/>
                <w:webHidden/>
              </w:rPr>
              <w:t>17</w:t>
            </w:r>
            <w:r>
              <w:rPr>
                <w:noProof/>
                <w:webHidden/>
              </w:rPr>
              <w:fldChar w:fldCharType="end"/>
            </w:r>
          </w:hyperlink>
        </w:p>
        <w:p w:rsidR="001858C3" w:rsidRDefault="00505FFB">
          <w:pPr>
            <w:pStyle w:val="TOC1"/>
            <w:tabs>
              <w:tab w:val="right" w:leader="dot" w:pos="9062"/>
            </w:tabs>
            <w:rPr>
              <w:rFonts w:eastAsiaTheme="minorEastAsia"/>
              <w:noProof/>
              <w:lang w:eastAsia="nl-NL"/>
            </w:rPr>
          </w:pPr>
          <w:hyperlink w:anchor="_Toc380522441" w:history="1">
            <w:r w:rsidR="001858C3" w:rsidRPr="00AB307C">
              <w:rPr>
                <w:rStyle w:val="Hyperlink"/>
                <w:noProof/>
              </w:rPr>
              <w:t>Hoofdstuk 5 – Conclusies en beperkingen</w:t>
            </w:r>
            <w:r w:rsidR="001858C3">
              <w:rPr>
                <w:noProof/>
                <w:webHidden/>
              </w:rPr>
              <w:tab/>
            </w:r>
            <w:r>
              <w:rPr>
                <w:noProof/>
                <w:webHidden/>
              </w:rPr>
              <w:fldChar w:fldCharType="begin"/>
            </w:r>
            <w:r w:rsidR="001858C3">
              <w:rPr>
                <w:noProof/>
                <w:webHidden/>
              </w:rPr>
              <w:instrText xml:space="preserve"> PAGEREF _Toc380522441 \h </w:instrText>
            </w:r>
            <w:r>
              <w:rPr>
                <w:noProof/>
                <w:webHidden/>
              </w:rPr>
            </w:r>
            <w:r>
              <w:rPr>
                <w:noProof/>
                <w:webHidden/>
              </w:rPr>
              <w:fldChar w:fldCharType="separate"/>
            </w:r>
            <w:r w:rsidR="001858C3">
              <w:rPr>
                <w:noProof/>
                <w:webHidden/>
              </w:rPr>
              <w:t>20</w:t>
            </w:r>
            <w:r>
              <w:rPr>
                <w:noProof/>
                <w:webHidden/>
              </w:rPr>
              <w:fldChar w:fldCharType="end"/>
            </w:r>
          </w:hyperlink>
        </w:p>
        <w:p w:rsidR="001858C3" w:rsidRDefault="00505FFB">
          <w:pPr>
            <w:pStyle w:val="TOC1"/>
            <w:tabs>
              <w:tab w:val="right" w:leader="dot" w:pos="9062"/>
            </w:tabs>
            <w:rPr>
              <w:rFonts w:eastAsiaTheme="minorEastAsia"/>
              <w:noProof/>
              <w:lang w:eastAsia="nl-NL"/>
            </w:rPr>
          </w:pPr>
          <w:hyperlink w:anchor="_Toc380522442" w:history="1">
            <w:r w:rsidR="001858C3" w:rsidRPr="00AB307C">
              <w:rPr>
                <w:rStyle w:val="Hyperlink"/>
                <w:noProof/>
              </w:rPr>
              <w:t>Bronnenlijst</w:t>
            </w:r>
            <w:r w:rsidR="001858C3">
              <w:rPr>
                <w:noProof/>
                <w:webHidden/>
              </w:rPr>
              <w:tab/>
            </w:r>
            <w:r>
              <w:rPr>
                <w:noProof/>
                <w:webHidden/>
              </w:rPr>
              <w:fldChar w:fldCharType="begin"/>
            </w:r>
            <w:r w:rsidR="001858C3">
              <w:rPr>
                <w:noProof/>
                <w:webHidden/>
              </w:rPr>
              <w:instrText xml:space="preserve"> PAGEREF _Toc380522442 \h </w:instrText>
            </w:r>
            <w:r>
              <w:rPr>
                <w:noProof/>
                <w:webHidden/>
              </w:rPr>
            </w:r>
            <w:r>
              <w:rPr>
                <w:noProof/>
                <w:webHidden/>
              </w:rPr>
              <w:fldChar w:fldCharType="separate"/>
            </w:r>
            <w:r w:rsidR="001858C3">
              <w:rPr>
                <w:noProof/>
                <w:webHidden/>
              </w:rPr>
              <w:t>22</w:t>
            </w:r>
            <w:r>
              <w:rPr>
                <w:noProof/>
                <w:webHidden/>
              </w:rPr>
              <w:fldChar w:fldCharType="end"/>
            </w:r>
          </w:hyperlink>
        </w:p>
        <w:p w:rsidR="001858C3" w:rsidRDefault="00505FFB">
          <w:pPr>
            <w:pStyle w:val="TOC1"/>
            <w:tabs>
              <w:tab w:val="right" w:leader="dot" w:pos="9062"/>
            </w:tabs>
            <w:rPr>
              <w:rFonts w:eastAsiaTheme="minorEastAsia"/>
              <w:noProof/>
              <w:lang w:eastAsia="nl-NL"/>
            </w:rPr>
          </w:pPr>
          <w:hyperlink w:anchor="_Toc380522443" w:history="1">
            <w:r w:rsidR="001858C3" w:rsidRPr="00AB307C">
              <w:rPr>
                <w:rStyle w:val="Hyperlink"/>
                <w:noProof/>
              </w:rPr>
              <w:t>Hoofdstuk 6 – Eviews output</w:t>
            </w:r>
            <w:r w:rsidR="001858C3">
              <w:rPr>
                <w:noProof/>
                <w:webHidden/>
              </w:rPr>
              <w:tab/>
            </w:r>
            <w:r>
              <w:rPr>
                <w:noProof/>
                <w:webHidden/>
              </w:rPr>
              <w:fldChar w:fldCharType="begin"/>
            </w:r>
            <w:r w:rsidR="001858C3">
              <w:rPr>
                <w:noProof/>
                <w:webHidden/>
              </w:rPr>
              <w:instrText xml:space="preserve"> PAGEREF _Toc380522443 \h </w:instrText>
            </w:r>
            <w:r>
              <w:rPr>
                <w:noProof/>
                <w:webHidden/>
              </w:rPr>
            </w:r>
            <w:r>
              <w:rPr>
                <w:noProof/>
                <w:webHidden/>
              </w:rPr>
              <w:fldChar w:fldCharType="separate"/>
            </w:r>
            <w:r w:rsidR="001858C3">
              <w:rPr>
                <w:noProof/>
                <w:webHidden/>
              </w:rPr>
              <w:t>25</w:t>
            </w:r>
            <w:r>
              <w:rPr>
                <w:noProof/>
                <w:webHidden/>
              </w:rPr>
              <w:fldChar w:fldCharType="end"/>
            </w:r>
          </w:hyperlink>
        </w:p>
        <w:p w:rsidR="001858C3" w:rsidRDefault="00505FFB">
          <w:pPr>
            <w:pStyle w:val="TOC2"/>
            <w:tabs>
              <w:tab w:val="right" w:leader="dot" w:pos="9062"/>
            </w:tabs>
            <w:rPr>
              <w:rFonts w:eastAsiaTheme="minorEastAsia"/>
              <w:noProof/>
              <w:lang w:eastAsia="nl-NL"/>
            </w:rPr>
          </w:pPr>
          <w:hyperlink w:anchor="_Toc380522444" w:history="1">
            <w:r w:rsidR="001858C3" w:rsidRPr="00AB307C">
              <w:rPr>
                <w:rStyle w:val="Hyperlink"/>
                <w:noProof/>
              </w:rPr>
              <w:t>Beschrijvende tabellen</w:t>
            </w:r>
            <w:r w:rsidR="001858C3">
              <w:rPr>
                <w:noProof/>
                <w:webHidden/>
              </w:rPr>
              <w:tab/>
            </w:r>
            <w:r>
              <w:rPr>
                <w:noProof/>
                <w:webHidden/>
              </w:rPr>
              <w:fldChar w:fldCharType="begin"/>
            </w:r>
            <w:r w:rsidR="001858C3">
              <w:rPr>
                <w:noProof/>
                <w:webHidden/>
              </w:rPr>
              <w:instrText xml:space="preserve"> PAGEREF _Toc380522444 \h </w:instrText>
            </w:r>
            <w:r>
              <w:rPr>
                <w:noProof/>
                <w:webHidden/>
              </w:rPr>
            </w:r>
            <w:r>
              <w:rPr>
                <w:noProof/>
                <w:webHidden/>
              </w:rPr>
              <w:fldChar w:fldCharType="separate"/>
            </w:r>
            <w:r w:rsidR="001858C3">
              <w:rPr>
                <w:noProof/>
                <w:webHidden/>
              </w:rPr>
              <w:t>25</w:t>
            </w:r>
            <w:r>
              <w:rPr>
                <w:noProof/>
                <w:webHidden/>
              </w:rPr>
              <w:fldChar w:fldCharType="end"/>
            </w:r>
          </w:hyperlink>
        </w:p>
        <w:p w:rsidR="001858C3" w:rsidRDefault="00505FFB">
          <w:pPr>
            <w:pStyle w:val="TOC2"/>
            <w:tabs>
              <w:tab w:val="right" w:leader="dot" w:pos="9062"/>
            </w:tabs>
            <w:rPr>
              <w:rFonts w:eastAsiaTheme="minorEastAsia"/>
              <w:noProof/>
              <w:lang w:eastAsia="nl-NL"/>
            </w:rPr>
          </w:pPr>
          <w:hyperlink w:anchor="_Toc380522445" w:history="1">
            <w:r w:rsidR="001858C3" w:rsidRPr="00AB307C">
              <w:rPr>
                <w:rStyle w:val="Hyperlink"/>
                <w:noProof/>
              </w:rPr>
              <w:t>januari Effect</w:t>
            </w:r>
            <w:r w:rsidR="001858C3">
              <w:rPr>
                <w:noProof/>
                <w:webHidden/>
              </w:rPr>
              <w:tab/>
            </w:r>
            <w:r>
              <w:rPr>
                <w:noProof/>
                <w:webHidden/>
              </w:rPr>
              <w:fldChar w:fldCharType="begin"/>
            </w:r>
            <w:r w:rsidR="001858C3">
              <w:rPr>
                <w:noProof/>
                <w:webHidden/>
              </w:rPr>
              <w:instrText xml:space="preserve"> PAGEREF _Toc380522445 \h </w:instrText>
            </w:r>
            <w:r>
              <w:rPr>
                <w:noProof/>
                <w:webHidden/>
              </w:rPr>
            </w:r>
            <w:r>
              <w:rPr>
                <w:noProof/>
                <w:webHidden/>
              </w:rPr>
              <w:fldChar w:fldCharType="separate"/>
            </w:r>
            <w:r w:rsidR="001858C3">
              <w:rPr>
                <w:noProof/>
                <w:webHidden/>
              </w:rPr>
              <w:t>31</w:t>
            </w:r>
            <w:r>
              <w:rPr>
                <w:noProof/>
                <w:webHidden/>
              </w:rPr>
              <w:fldChar w:fldCharType="end"/>
            </w:r>
          </w:hyperlink>
        </w:p>
        <w:p w:rsidR="001858C3" w:rsidRDefault="00505FFB">
          <w:pPr>
            <w:pStyle w:val="TOC3"/>
            <w:tabs>
              <w:tab w:val="right" w:leader="dot" w:pos="9062"/>
            </w:tabs>
            <w:rPr>
              <w:rFonts w:eastAsiaTheme="minorEastAsia"/>
              <w:noProof/>
              <w:lang w:eastAsia="nl-NL"/>
            </w:rPr>
          </w:pPr>
          <w:hyperlink w:anchor="_Toc380522446" w:history="1">
            <w:r w:rsidR="001858C3" w:rsidRPr="00AB307C">
              <w:rPr>
                <w:rStyle w:val="Hyperlink"/>
                <w:noProof/>
              </w:rPr>
              <w:t>Subperiode 1995-2003</w:t>
            </w:r>
            <w:r w:rsidR="001858C3">
              <w:rPr>
                <w:noProof/>
                <w:webHidden/>
              </w:rPr>
              <w:tab/>
            </w:r>
            <w:r>
              <w:rPr>
                <w:noProof/>
                <w:webHidden/>
              </w:rPr>
              <w:fldChar w:fldCharType="begin"/>
            </w:r>
            <w:r w:rsidR="001858C3">
              <w:rPr>
                <w:noProof/>
                <w:webHidden/>
              </w:rPr>
              <w:instrText xml:space="preserve"> PAGEREF _Toc380522446 \h </w:instrText>
            </w:r>
            <w:r>
              <w:rPr>
                <w:noProof/>
                <w:webHidden/>
              </w:rPr>
            </w:r>
            <w:r>
              <w:rPr>
                <w:noProof/>
                <w:webHidden/>
              </w:rPr>
              <w:fldChar w:fldCharType="separate"/>
            </w:r>
            <w:r w:rsidR="001858C3">
              <w:rPr>
                <w:noProof/>
                <w:webHidden/>
              </w:rPr>
              <w:t>31</w:t>
            </w:r>
            <w:r>
              <w:rPr>
                <w:noProof/>
                <w:webHidden/>
              </w:rPr>
              <w:fldChar w:fldCharType="end"/>
            </w:r>
          </w:hyperlink>
        </w:p>
        <w:p w:rsidR="001858C3" w:rsidRDefault="00505FFB">
          <w:pPr>
            <w:pStyle w:val="TOC3"/>
            <w:tabs>
              <w:tab w:val="right" w:leader="dot" w:pos="9062"/>
            </w:tabs>
            <w:rPr>
              <w:rFonts w:eastAsiaTheme="minorEastAsia"/>
              <w:noProof/>
              <w:lang w:eastAsia="nl-NL"/>
            </w:rPr>
          </w:pPr>
          <w:hyperlink w:anchor="_Toc380522447" w:history="1">
            <w:r w:rsidR="001858C3" w:rsidRPr="00AB307C">
              <w:rPr>
                <w:rStyle w:val="Hyperlink"/>
                <w:noProof/>
              </w:rPr>
              <w:t>Subperiode 2004-2013</w:t>
            </w:r>
            <w:r w:rsidR="001858C3">
              <w:rPr>
                <w:noProof/>
                <w:webHidden/>
              </w:rPr>
              <w:tab/>
            </w:r>
            <w:r>
              <w:rPr>
                <w:noProof/>
                <w:webHidden/>
              </w:rPr>
              <w:fldChar w:fldCharType="begin"/>
            </w:r>
            <w:r w:rsidR="001858C3">
              <w:rPr>
                <w:noProof/>
                <w:webHidden/>
              </w:rPr>
              <w:instrText xml:space="preserve"> PAGEREF _Toc380522447 \h </w:instrText>
            </w:r>
            <w:r>
              <w:rPr>
                <w:noProof/>
                <w:webHidden/>
              </w:rPr>
            </w:r>
            <w:r>
              <w:rPr>
                <w:noProof/>
                <w:webHidden/>
              </w:rPr>
              <w:fldChar w:fldCharType="separate"/>
            </w:r>
            <w:r w:rsidR="001858C3">
              <w:rPr>
                <w:noProof/>
                <w:webHidden/>
              </w:rPr>
              <w:t>39</w:t>
            </w:r>
            <w:r>
              <w:rPr>
                <w:noProof/>
                <w:webHidden/>
              </w:rPr>
              <w:fldChar w:fldCharType="end"/>
            </w:r>
          </w:hyperlink>
        </w:p>
        <w:p w:rsidR="001858C3" w:rsidRDefault="00505FFB">
          <w:pPr>
            <w:pStyle w:val="TOC3"/>
            <w:tabs>
              <w:tab w:val="right" w:leader="dot" w:pos="9062"/>
            </w:tabs>
            <w:rPr>
              <w:rFonts w:eastAsiaTheme="minorEastAsia"/>
              <w:noProof/>
              <w:lang w:eastAsia="nl-NL"/>
            </w:rPr>
          </w:pPr>
          <w:hyperlink w:anchor="_Toc380522448" w:history="1">
            <w:r w:rsidR="001858C3" w:rsidRPr="00AB307C">
              <w:rPr>
                <w:rStyle w:val="Hyperlink"/>
                <w:noProof/>
              </w:rPr>
              <w:t>Hele periode</w:t>
            </w:r>
            <w:r w:rsidR="001858C3">
              <w:rPr>
                <w:noProof/>
                <w:webHidden/>
              </w:rPr>
              <w:tab/>
            </w:r>
            <w:r>
              <w:rPr>
                <w:noProof/>
                <w:webHidden/>
              </w:rPr>
              <w:fldChar w:fldCharType="begin"/>
            </w:r>
            <w:r w:rsidR="001858C3">
              <w:rPr>
                <w:noProof/>
                <w:webHidden/>
              </w:rPr>
              <w:instrText xml:space="preserve"> PAGEREF _Toc380522448 \h </w:instrText>
            </w:r>
            <w:r>
              <w:rPr>
                <w:noProof/>
                <w:webHidden/>
              </w:rPr>
            </w:r>
            <w:r>
              <w:rPr>
                <w:noProof/>
                <w:webHidden/>
              </w:rPr>
              <w:fldChar w:fldCharType="separate"/>
            </w:r>
            <w:r w:rsidR="001858C3">
              <w:rPr>
                <w:noProof/>
                <w:webHidden/>
              </w:rPr>
              <w:t>48</w:t>
            </w:r>
            <w:r>
              <w:rPr>
                <w:noProof/>
                <w:webHidden/>
              </w:rPr>
              <w:fldChar w:fldCharType="end"/>
            </w:r>
          </w:hyperlink>
        </w:p>
        <w:p w:rsidR="00035D3F" w:rsidRDefault="00505FFB">
          <w:r>
            <w:fldChar w:fldCharType="end"/>
          </w:r>
        </w:p>
      </w:sdtContent>
    </w:sdt>
    <w:p w:rsidR="002D223F" w:rsidRDefault="002D223F" w:rsidP="002D223F">
      <w:pPr>
        <w:rPr>
          <w:rFonts w:asciiTheme="majorHAnsi" w:eastAsiaTheme="majorEastAsia" w:hAnsiTheme="majorHAnsi" w:cstheme="majorBidi"/>
          <w:color w:val="365F91" w:themeColor="accent1" w:themeShade="BF"/>
          <w:sz w:val="28"/>
          <w:szCs w:val="28"/>
        </w:rPr>
      </w:pPr>
      <w:r>
        <w:br w:type="page"/>
      </w:r>
    </w:p>
    <w:p w:rsidR="002D223F" w:rsidRDefault="002D223F" w:rsidP="002D223F">
      <w:pPr>
        <w:pStyle w:val="Heading1"/>
      </w:pPr>
      <w:bookmarkStart w:id="0" w:name="_Toc380522425"/>
      <w:r>
        <w:lastRenderedPageBreak/>
        <w:t>Hoofdstuk 1 – Inleiding</w:t>
      </w:r>
      <w:bookmarkEnd w:id="0"/>
    </w:p>
    <w:p w:rsidR="002D223F" w:rsidRDefault="002D223F" w:rsidP="002D223F"/>
    <w:p w:rsidR="002D223F" w:rsidRDefault="002D223F" w:rsidP="002D223F">
      <w:r>
        <w:t>Een van de belangrijkste theorieën in de economie is de Efficient Market Hypothesis (EMH). Deze theorie stelt dat als nieuwe informatie naar buiten wordt</w:t>
      </w:r>
      <w:r w:rsidR="006A0911">
        <w:t xml:space="preserve"> gebracht, dat de daaraan geli</w:t>
      </w:r>
      <w:r>
        <w:t>eerde prijs direc</w:t>
      </w:r>
      <w:r w:rsidR="006A0911">
        <w:t>t en volledig wordt aangepast.</w:t>
      </w:r>
      <w:r>
        <w:t xml:space="preserve"> Het is volgens de EMH</w:t>
      </w:r>
      <w:r w:rsidR="006A0911">
        <w:t xml:space="preserve"> </w:t>
      </w:r>
      <w:r>
        <w:t xml:space="preserve">onmogelijk om, aangepast aan risico, buitengewone rendementen te behalen </w:t>
      </w:r>
      <w:sdt>
        <w:sdtPr>
          <w:id w:val="6443729"/>
          <w:citation/>
        </w:sdtPr>
        <w:sdtContent>
          <w:fldSimple w:instr=" CITATION Fam70 \l 1043  ">
            <w:r w:rsidR="00735B39">
              <w:rPr>
                <w:noProof/>
              </w:rPr>
              <w:t>(Fama, Efficient capital markets: A review of theory and empirical work, 1970)</w:t>
            </w:r>
          </w:fldSimple>
        </w:sdtContent>
      </w:sdt>
      <w:r w:rsidR="0014011F">
        <w:t>.</w:t>
      </w:r>
    </w:p>
    <w:p w:rsidR="002D223F" w:rsidRDefault="002D223F" w:rsidP="002D223F"/>
    <w:p w:rsidR="002D223F" w:rsidRDefault="002D223F" w:rsidP="002D223F">
      <w:r>
        <w:t>Echter, de laatste decennia is er veel onderzoek gedaan naar mogelijke on</w:t>
      </w:r>
      <w:r w:rsidR="006A0911">
        <w:t>effenheden in de aandelenmarkt.</w:t>
      </w:r>
      <w:r>
        <w:t xml:space="preserve"> Bewegen de aandelen correct of is er een patroon in de aandelen te vinden waarmee abnormaal hoge rendementen gehaald kunnen worden? Uit deze onderzoeken bleek</w:t>
      </w:r>
      <w:r w:rsidR="006A0911">
        <w:t>,</w:t>
      </w:r>
      <w:r>
        <w:t xml:space="preserve"> dat de markt niet altijd efficiënt is en </w:t>
      </w:r>
      <w:r w:rsidR="00453F1D">
        <w:t xml:space="preserve">dat </w:t>
      </w:r>
      <w:r>
        <w:t>prijzen of rendementen de efficiënte markt kunnen verstoren. Deze effecte</w:t>
      </w:r>
      <w:r w:rsidR="004B598E">
        <w:t>n staan bekend als  k</w:t>
      </w:r>
      <w:r>
        <w:t>alender</w:t>
      </w:r>
      <w:r w:rsidR="004B598E">
        <w:t>a</w:t>
      </w:r>
      <w:r>
        <w:t>nomalieën of markt inefficiënties.  Volgens deze theorie zijn de a</w:t>
      </w:r>
      <w:r w:rsidR="006A0911">
        <w:t>andelenkoersen in bepaalde tijd</w:t>
      </w:r>
      <w:r>
        <w:t>p</w:t>
      </w:r>
      <w:r w:rsidR="006A0911">
        <w:t xml:space="preserve">eriodes zoals januari, december en op maandag </w:t>
      </w:r>
      <w:r w:rsidR="004B598E">
        <w:t>significant anders. Bij deze k</w:t>
      </w:r>
      <w:r>
        <w:t>alender</w:t>
      </w:r>
      <w:r w:rsidR="004B598E">
        <w:t>a</w:t>
      </w:r>
      <w:r>
        <w:t>no</w:t>
      </w:r>
      <w:r w:rsidR="00366F82">
        <w:t>malieën is risico niet het enig</w:t>
      </w:r>
      <w:r>
        <w:t xml:space="preserve">e wat bijdraagt aan verschillen in rendement. Bij het </w:t>
      </w:r>
      <w:r w:rsidR="00596961">
        <w:rPr>
          <w:i/>
        </w:rPr>
        <w:t>d</w:t>
      </w:r>
      <w:r>
        <w:rPr>
          <w:i/>
        </w:rPr>
        <w:t>ecember effect</w:t>
      </w:r>
      <w:r>
        <w:t xml:space="preserve"> zijn de rendementen in de tweede helft van december significant hoger, vooral vanaf de l</w:t>
      </w:r>
      <w:r w:rsidR="00366F82">
        <w:t>aatste dag voor Kerst tot Nieuwjaar: dit</w:t>
      </w:r>
      <w:r>
        <w:t xml:space="preserve"> is onderzocht door Lakonishok en Smidt in 1988 </w:t>
      </w:r>
      <w:sdt>
        <w:sdtPr>
          <w:id w:val="6443731"/>
          <w:citation/>
        </w:sdtPr>
        <w:sdtContent>
          <w:fldSimple w:instr=" CITATION Lak88 \l 1043  ">
            <w:r w:rsidR="00735B39">
              <w:rPr>
                <w:noProof/>
              </w:rPr>
              <w:t>(Lakonishok &amp; Smidt, 1988)</w:t>
            </w:r>
          </w:fldSimple>
        </w:sdtContent>
      </w:sdt>
      <w:r w:rsidR="0014011F">
        <w:t>.</w:t>
      </w:r>
      <w:r>
        <w:t xml:space="preserve"> Bij het </w:t>
      </w:r>
      <w:r w:rsidR="000616C9">
        <w:rPr>
          <w:i/>
        </w:rPr>
        <w:t>j</w:t>
      </w:r>
      <w:r>
        <w:rPr>
          <w:i/>
        </w:rPr>
        <w:t>anuari effect</w:t>
      </w:r>
      <w:r>
        <w:t xml:space="preserve"> zijn de rendementen in januari significant hoger dan in de andere maanden </w:t>
      </w:r>
      <w:sdt>
        <w:sdtPr>
          <w:id w:val="6443730"/>
          <w:citation/>
        </w:sdtPr>
        <w:sdtContent>
          <w:fldSimple w:instr=" CITATION Roz76 \l 1043  ">
            <w:r w:rsidR="00735B39">
              <w:rPr>
                <w:noProof/>
              </w:rPr>
              <w:t>(Rozeff &amp; Kinney, 1976)</w:t>
            </w:r>
          </w:fldSimple>
        </w:sdtContent>
      </w:sdt>
      <w:r w:rsidR="0014011F">
        <w:t>.</w:t>
      </w:r>
    </w:p>
    <w:p w:rsidR="002D223F" w:rsidRDefault="002D223F" w:rsidP="002D223F"/>
    <w:p w:rsidR="00F02ED7" w:rsidRDefault="00F02ED7" w:rsidP="002D223F">
      <w:pPr>
        <w:rPr>
          <w:color w:val="000000" w:themeColor="text1"/>
        </w:rPr>
      </w:pPr>
      <w:r>
        <w:t xml:space="preserve">In deze scriptie </w:t>
      </w:r>
      <w:r w:rsidR="00C22FB0">
        <w:t>onderzoekt</w:t>
      </w:r>
      <w:r>
        <w:t xml:space="preserve"> de data</w:t>
      </w:r>
      <w:r w:rsidR="00366F82">
        <w:t>sets van</w:t>
      </w:r>
      <w:r>
        <w:t xml:space="preserve"> </w:t>
      </w:r>
      <w:r w:rsidR="00820DB6">
        <w:t>Brazilië</w:t>
      </w:r>
      <w:r>
        <w:t>, India en China.</w:t>
      </w:r>
      <w:r>
        <w:rPr>
          <w:color w:val="FF0000"/>
        </w:rPr>
        <w:t xml:space="preserve"> </w:t>
      </w:r>
      <w:r>
        <w:rPr>
          <w:color w:val="000000" w:themeColor="text1"/>
        </w:rPr>
        <w:t xml:space="preserve">Deze landen zijn </w:t>
      </w:r>
      <w:r w:rsidR="00F60B22">
        <w:rPr>
          <w:color w:val="000000" w:themeColor="text1"/>
        </w:rPr>
        <w:t>drie van de vier BRIC landen.</w:t>
      </w:r>
    </w:p>
    <w:p w:rsidR="004B598E" w:rsidRDefault="004B598E" w:rsidP="002D223F"/>
    <w:p w:rsidR="00DA4BA0" w:rsidRDefault="002D223F" w:rsidP="002D223F">
      <w:r>
        <w:t xml:space="preserve">In deze scriptie staat het </w:t>
      </w:r>
      <w:r w:rsidR="00596961">
        <w:t>j</w:t>
      </w:r>
      <w:r>
        <w:t xml:space="preserve">anuari effect centraal. </w:t>
      </w:r>
      <w:r w:rsidR="00C22FB0">
        <w:t>V</w:t>
      </w:r>
      <w:r>
        <w:t xml:space="preserve">eel </w:t>
      </w:r>
      <w:r w:rsidR="002F7583">
        <w:t>artikelen</w:t>
      </w:r>
      <w:r>
        <w:t xml:space="preserve"> </w:t>
      </w:r>
      <w:r w:rsidR="00C22FB0">
        <w:t>kijken</w:t>
      </w:r>
      <w:r>
        <w:t xml:space="preserve"> naar mogelijke oorzaken van de anomalie, maar er is weinig geschreven over de invloed van de ontwikkeling van </w:t>
      </w:r>
      <w:r w:rsidR="00F02ED7">
        <w:t xml:space="preserve">de financiële markt van </w:t>
      </w:r>
      <w:r w:rsidR="00596961">
        <w:t>een land op de kalendera</w:t>
      </w:r>
      <w:r>
        <w:t xml:space="preserve">nomalieën. Is dit van invloed? De hoofdvraag van het onderzoek luidt dan ook: </w:t>
      </w:r>
    </w:p>
    <w:p w:rsidR="00DA4BA0" w:rsidRDefault="00DA4BA0" w:rsidP="002D223F">
      <w:pPr>
        <w:rPr>
          <w:i/>
        </w:rPr>
      </w:pPr>
    </w:p>
    <w:p w:rsidR="00596961" w:rsidRDefault="00DA4BA0" w:rsidP="002D223F">
      <w:pPr>
        <w:rPr>
          <w:i/>
        </w:rPr>
      </w:pPr>
      <w:r>
        <w:rPr>
          <w:i/>
        </w:rPr>
        <w:t xml:space="preserve">“Is de ontwikkeling van de financiële markten van invloed </w:t>
      </w:r>
      <w:r w:rsidR="00366F82">
        <w:rPr>
          <w:i/>
        </w:rPr>
        <w:t>op de</w:t>
      </w:r>
      <w:r>
        <w:rPr>
          <w:i/>
        </w:rPr>
        <w:t xml:space="preserve"> uitkomsten van het januari effect?”</w:t>
      </w:r>
    </w:p>
    <w:p w:rsidR="00596961" w:rsidRDefault="00596961" w:rsidP="002D223F">
      <w:pPr>
        <w:rPr>
          <w:i/>
        </w:rPr>
      </w:pPr>
    </w:p>
    <w:p w:rsidR="002F7583" w:rsidRDefault="00596961" w:rsidP="002D223F">
      <w:r>
        <w:t xml:space="preserve">Allereerst zal in hoofdstuk 2 de achterliggende theorie besproken worden die in deze scriptie van belang is. </w:t>
      </w:r>
      <w:r w:rsidR="00C22FB0">
        <w:t xml:space="preserve">Als eerste legt hoofdstuk 2 </w:t>
      </w:r>
      <w:r>
        <w:t xml:space="preserve">de </w:t>
      </w:r>
      <w:r w:rsidR="00F141C5">
        <w:t>E</w:t>
      </w:r>
      <w:r>
        <w:t>fficiënte</w:t>
      </w:r>
      <w:r w:rsidR="00F141C5">
        <w:t xml:space="preserve"> M</w:t>
      </w:r>
      <w:r>
        <w:t>arkt</w:t>
      </w:r>
      <w:r w:rsidR="00F141C5">
        <w:t xml:space="preserve"> H</w:t>
      </w:r>
      <w:r>
        <w:t xml:space="preserve">ypothese </w:t>
      </w:r>
      <w:r w:rsidR="00C22FB0">
        <w:t>uit</w:t>
      </w:r>
      <w:r>
        <w:t xml:space="preserve">. Vervolgens </w:t>
      </w:r>
      <w:r w:rsidR="002F7583">
        <w:t>bespreekt hoofdstuk 2.2</w:t>
      </w:r>
      <w:r>
        <w:t xml:space="preserve"> </w:t>
      </w:r>
      <w:r w:rsidR="003D1865">
        <w:t>‘</w:t>
      </w:r>
      <w:r>
        <w:t>behavioral finance</w:t>
      </w:r>
      <w:r w:rsidR="003D1865">
        <w:t>’</w:t>
      </w:r>
      <w:r w:rsidR="002F7583">
        <w:t xml:space="preserve"> en</w:t>
      </w:r>
      <w:r>
        <w:t xml:space="preserve"> </w:t>
      </w:r>
      <w:r w:rsidR="002F7583">
        <w:t>vervolgens</w:t>
      </w:r>
      <w:r>
        <w:t xml:space="preserve"> de kalenderanomalieën. Als laatste </w:t>
      </w:r>
      <w:r w:rsidR="002F7583">
        <w:t>staat</w:t>
      </w:r>
      <w:r>
        <w:t xml:space="preserve"> in dit hoofdstuk de achterliggende theorie over de ontwikkeling van financiële markten </w:t>
      </w:r>
      <w:r w:rsidR="002F7583">
        <w:t>centraal.</w:t>
      </w:r>
    </w:p>
    <w:p w:rsidR="002F7583" w:rsidRDefault="002F7583" w:rsidP="002F7583">
      <w:r>
        <w:lastRenderedPageBreak/>
        <w:t>Hoofdstuk 3 bespreekt de data en methodologie. In hoofdstuk 4 zijn de resultaten uitgewerkt. Als laatste bespreekt hoofdstuk 5 de conclusies en beantwoordt de hoofdvraag.</w:t>
      </w:r>
      <w:r w:rsidRPr="002F7583">
        <w:t xml:space="preserve"> </w:t>
      </w:r>
    </w:p>
    <w:p w:rsidR="002F7583" w:rsidRDefault="002F7583" w:rsidP="002F7583"/>
    <w:p w:rsidR="002D223F" w:rsidRDefault="002D223F" w:rsidP="002D223F">
      <w:pPr>
        <w:rPr>
          <w:i/>
        </w:rPr>
      </w:pPr>
      <w:r>
        <w:rPr>
          <w:i/>
        </w:rPr>
        <w:br w:type="page"/>
      </w:r>
    </w:p>
    <w:p w:rsidR="002D223F" w:rsidRDefault="002D223F" w:rsidP="002D223F">
      <w:pPr>
        <w:pStyle w:val="Heading1"/>
      </w:pPr>
      <w:bookmarkStart w:id="1" w:name="_Toc380522426"/>
      <w:r>
        <w:lastRenderedPageBreak/>
        <w:t>Hoofdstuk 2 – Theorie</w:t>
      </w:r>
      <w:bookmarkEnd w:id="1"/>
    </w:p>
    <w:p w:rsidR="002D223F" w:rsidRDefault="002D223F" w:rsidP="002D223F"/>
    <w:p w:rsidR="002D223F" w:rsidRDefault="002D223F" w:rsidP="002D223F">
      <w:r>
        <w:t xml:space="preserve">Allereerst </w:t>
      </w:r>
      <w:r w:rsidR="00596961">
        <w:t xml:space="preserve">worden de </w:t>
      </w:r>
      <w:r>
        <w:t>onder</w:t>
      </w:r>
      <w:r w:rsidR="00366F82">
        <w:t>liggende theorieën duidelijk uit</w:t>
      </w:r>
      <w:r>
        <w:t xml:space="preserve">gelegd die van belang zijn voor het onderzoek. In paragraaf 2.1 </w:t>
      </w:r>
      <w:r w:rsidR="00154215">
        <w:t>zal</w:t>
      </w:r>
      <w:r>
        <w:t xml:space="preserve"> de efficiënte markt hypothese </w:t>
      </w:r>
      <w:r w:rsidR="00154215">
        <w:t>bespreken</w:t>
      </w:r>
      <w:r>
        <w:t xml:space="preserve">. Vervolgens </w:t>
      </w:r>
      <w:r w:rsidR="00154215">
        <w:t xml:space="preserve">legt </w:t>
      </w:r>
      <w:r>
        <w:t xml:space="preserve">paragraaf 2.2 </w:t>
      </w:r>
      <w:r w:rsidR="003D1865">
        <w:t>‘</w:t>
      </w:r>
      <w:r>
        <w:t>behavioral finance</w:t>
      </w:r>
      <w:r w:rsidR="003D1865">
        <w:t>’</w:t>
      </w:r>
      <w:r>
        <w:t xml:space="preserve"> </w:t>
      </w:r>
      <w:r w:rsidR="00154215">
        <w:t>uit</w:t>
      </w:r>
      <w:r>
        <w:t xml:space="preserve">. In paragraaf 2.3 gaat </w:t>
      </w:r>
      <w:r w:rsidR="00366F82">
        <w:t xml:space="preserve">het </w:t>
      </w:r>
      <w:r>
        <w:t>over de kalend</w:t>
      </w:r>
      <w:r w:rsidR="00366F82">
        <w:t>eranomalieën en in het bijzonder het januari effect, d</w:t>
      </w:r>
      <w:r>
        <w:t xml:space="preserve">at centraal staat in deze scriptie. Als laatste </w:t>
      </w:r>
      <w:r w:rsidR="00154215">
        <w:t>staat</w:t>
      </w:r>
      <w:r>
        <w:t xml:space="preserve"> in paragraaf 2.4 de ontwikkeling van financiële markten </w:t>
      </w:r>
      <w:r w:rsidR="00154215">
        <w:t>centraal.</w:t>
      </w:r>
    </w:p>
    <w:p w:rsidR="002D223F" w:rsidRDefault="002D223F" w:rsidP="002D223F"/>
    <w:p w:rsidR="002D223F" w:rsidRDefault="002D223F" w:rsidP="002D223F">
      <w:pPr>
        <w:pStyle w:val="Heading2"/>
      </w:pPr>
      <w:bookmarkStart w:id="2" w:name="_Toc380522427"/>
      <w:r>
        <w:t>2.1 De Efficiënte Markt Hypothese</w:t>
      </w:r>
      <w:bookmarkEnd w:id="2"/>
    </w:p>
    <w:p w:rsidR="002D223F" w:rsidRDefault="002D223F" w:rsidP="002D223F"/>
    <w:p w:rsidR="002D223F" w:rsidRPr="00F22A8B" w:rsidRDefault="002D223F" w:rsidP="002D223F">
      <w:r>
        <w:t>De Efficiënte Markt Hypothese beschrijft dat alle beschikbare informatie al verwerkt is in de markt op elk moment. Hierdoor is het onmogelijk om structureel hogere rendementen te behalen dan gemiddeld. Doordat alle beschikbare informatie al verwerkt is in de markt</w:t>
      </w:r>
      <w:r w:rsidR="00366F82">
        <w:t>,</w:t>
      </w:r>
      <w:r>
        <w:t xml:space="preserve"> is het ook onmogelijk om op basis van resultaten uit het verleden toekomstige ontwikkelingen te voorspellen. De gedachte van de hypothese is de aanwezigheid van competitie. De nauwkeurigheid van de hypothese hangt af van </w:t>
      </w:r>
      <w:r w:rsidR="00F141C5">
        <w:t>de informatie die beleggers hebben</w:t>
      </w:r>
      <w:r w:rsidR="00FD7ABD">
        <w:t>.</w:t>
      </w:r>
      <w:r w:rsidR="00453F1D">
        <w:t xml:space="preserve"> </w:t>
      </w:r>
      <w:r w:rsidR="00F141C5">
        <w:t>De Efficiënte M</w:t>
      </w:r>
      <w:r>
        <w:t xml:space="preserve">arkt Hypothese bestaat uit 3 vormen: de markefficiëntie in zwakke vorm, de marktefficiëntie in semisterke vorm en de marktefficiëntie in sterke vorm. </w:t>
      </w:r>
      <w:sdt>
        <w:sdtPr>
          <w:id w:val="11130300"/>
          <w:citation/>
        </w:sdtPr>
        <w:sdtContent>
          <w:fldSimple w:instr=" CITATION Fam70 \l 1043  ">
            <w:r w:rsidR="00735B39" w:rsidRPr="00735B39">
              <w:rPr>
                <w:noProof/>
                <w:lang w:val="en-GB"/>
              </w:rPr>
              <w:t>(Fama, Efficient capital markets: A review of theory and empirical work, 1970)</w:t>
            </w:r>
          </w:fldSimple>
        </w:sdtContent>
      </w:sdt>
      <w:r w:rsidR="004F1CBD" w:rsidRPr="00F630D7">
        <w:rPr>
          <w:lang w:val="en-GB"/>
        </w:rPr>
        <w:t xml:space="preserve">. </w:t>
      </w:r>
      <w:sdt>
        <w:sdtPr>
          <w:id w:val="11130301"/>
          <w:citation/>
        </w:sdtPr>
        <w:sdtContent>
          <w:r w:rsidR="00505FFB">
            <w:fldChar w:fldCharType="begin"/>
          </w:r>
          <w:r w:rsidR="00E10139" w:rsidRPr="00E10139">
            <w:rPr>
              <w:lang w:val="en-GB"/>
            </w:rPr>
            <w:instrText xml:space="preserve"> CITATION Fam69 \l 1043  </w:instrText>
          </w:r>
          <w:r w:rsidR="00505FFB">
            <w:fldChar w:fldCharType="separate"/>
          </w:r>
          <w:r w:rsidR="00735B39" w:rsidRPr="00C2187A">
            <w:rPr>
              <w:noProof/>
            </w:rPr>
            <w:t>(Fama, Fisher, Jensen, &amp; Roll, 1969)</w:t>
          </w:r>
          <w:r w:rsidR="00505FFB">
            <w:fldChar w:fldCharType="end"/>
          </w:r>
        </w:sdtContent>
      </w:sdt>
      <w:r w:rsidR="00FD7ABD">
        <w:t>.</w:t>
      </w:r>
    </w:p>
    <w:p w:rsidR="002D223F" w:rsidRPr="00F22A8B" w:rsidRDefault="002D223F" w:rsidP="002D223F"/>
    <w:p w:rsidR="002D223F" w:rsidRDefault="0073216C" w:rsidP="002D223F">
      <w:r>
        <w:t xml:space="preserve">Bij de markefficiëntie in zwakke vorm </w:t>
      </w:r>
      <w:r w:rsidR="00D026EF">
        <w:t>draait het om de aanwezigheid van</w:t>
      </w:r>
      <w:r w:rsidR="00EB3332">
        <w:t xml:space="preserve"> historische </w:t>
      </w:r>
      <w:r w:rsidR="00453F1D">
        <w:t>info</w:t>
      </w:r>
      <w:r w:rsidR="00D026EF">
        <w:t>.</w:t>
      </w:r>
      <w:r>
        <w:t xml:space="preserve"> Hierdoor is het onmogelijk om abnormaal hoge rendementen te behalen op basis van deze historische info </w:t>
      </w:r>
      <w:r w:rsidR="00FD7ABD">
        <w:t>(Fama, 1970),</w:t>
      </w:r>
      <w:r w:rsidR="004F1CBD">
        <w:t xml:space="preserve"> </w:t>
      </w:r>
      <w:sdt>
        <w:sdtPr>
          <w:id w:val="11130299"/>
          <w:citation/>
        </w:sdtPr>
        <w:sdtContent>
          <w:fldSimple w:instr=" CITATION Fam69 \l 1043  ">
            <w:r w:rsidR="00735B39">
              <w:rPr>
                <w:noProof/>
              </w:rPr>
              <w:t>(Fama, Fisher, Jensen, &amp; Roll, 1969)</w:t>
            </w:r>
          </w:fldSimple>
        </w:sdtContent>
      </w:sdt>
      <w:r w:rsidR="00FD7ABD">
        <w:t>.</w:t>
      </w:r>
    </w:p>
    <w:p w:rsidR="0073216C" w:rsidRDefault="0073216C" w:rsidP="002D223F"/>
    <w:p w:rsidR="002D223F" w:rsidRPr="00FD7ABD" w:rsidRDefault="002D223F" w:rsidP="002D223F">
      <w:r>
        <w:t xml:space="preserve">Bij de </w:t>
      </w:r>
      <w:r w:rsidR="0073216C">
        <w:t xml:space="preserve">marktefficiëntie in </w:t>
      </w:r>
      <w:r>
        <w:t xml:space="preserve">semisterke vorm zijn abnormale rendementen alleen te realiseren door inside information. </w:t>
      </w:r>
      <w:r w:rsidR="00D026EF">
        <w:t>D</w:t>
      </w:r>
      <w:r w:rsidR="00EB3332">
        <w:t>e semisterke vor</w:t>
      </w:r>
      <w:r w:rsidR="00D026EF">
        <w:t>m gaat verder dan de zwakke vorm. Het gaat niet alleen om de aanwezigheid van historische info, maar ook om de aanwezigheid van publieke informatie. De snelheid van prijsveranderingen komt mede door de aanwezigheid van publieke informatie (zoals jaarcijfers, de mededeling van dividend, etc.).</w:t>
      </w:r>
      <w:r w:rsidR="0073216C" w:rsidRPr="0073216C">
        <w:t xml:space="preserve"> </w:t>
      </w:r>
      <w:r w:rsidR="00FD7ABD">
        <w:t>(Fama, 1970)</w:t>
      </w:r>
      <w:r w:rsidR="0073216C" w:rsidRPr="00FD7ABD">
        <w:t xml:space="preserve"> </w:t>
      </w:r>
      <w:sdt>
        <w:sdtPr>
          <w:id w:val="17689704"/>
          <w:citation/>
        </w:sdtPr>
        <w:sdtContent>
          <w:r w:rsidR="00505FFB">
            <w:fldChar w:fldCharType="begin"/>
          </w:r>
          <w:r w:rsidR="00E10139" w:rsidRPr="00FD7ABD">
            <w:instrText xml:space="preserve"> CITATION Fam69 \l 1043  </w:instrText>
          </w:r>
          <w:r w:rsidR="00505FFB">
            <w:fldChar w:fldCharType="separate"/>
          </w:r>
          <w:r w:rsidR="00735B39">
            <w:rPr>
              <w:noProof/>
            </w:rPr>
            <w:t>(Fama, Fisher, Jensen, &amp; Roll, 1969)</w:t>
          </w:r>
          <w:r w:rsidR="00505FFB">
            <w:fldChar w:fldCharType="end"/>
          </w:r>
        </w:sdtContent>
      </w:sdt>
      <w:r w:rsidR="00FD7ABD" w:rsidRPr="00FD7ABD">
        <w:t>.</w:t>
      </w:r>
    </w:p>
    <w:p w:rsidR="002D223F" w:rsidRPr="00FD7ABD" w:rsidRDefault="002D223F" w:rsidP="002D223F"/>
    <w:p w:rsidR="002D223F" w:rsidRPr="00064F35" w:rsidRDefault="002D223F" w:rsidP="002D223F">
      <w:r>
        <w:t>Bij de laatste vorm, de marktefficiëntie in sterke vorm, is het op geen enkele manier mogelijk abnormale rendementen te realiseren. Waar bij de marktefficiëntie in semisterke vorm door middel van voorkennis abnormale rendementen te realiseren waren, is dat bij de semisterke vorm ni</w:t>
      </w:r>
      <w:r w:rsidR="00366F82">
        <w:t>et meer het geval. Oorzaak hier</w:t>
      </w:r>
      <w:r>
        <w:t>van is</w:t>
      </w:r>
      <w:r w:rsidR="00366F82">
        <w:t>,</w:t>
      </w:r>
      <w:r>
        <w:t xml:space="preserve"> dat wanneer mensen voorkennis hebben, ze meteen handelen </w:t>
      </w:r>
      <w:r>
        <w:lastRenderedPageBreak/>
        <w:t>waardoor de prijs zich direct aanpast en de prijs weer correct is.</w:t>
      </w:r>
      <w:r w:rsidR="00D026EF">
        <w:t xml:space="preserve"> D</w:t>
      </w:r>
      <w:r w:rsidR="00EB3332">
        <w:t xml:space="preserve">e sterke vorm gaat </w:t>
      </w:r>
      <w:r w:rsidR="00D026EF">
        <w:t xml:space="preserve">nog verder dan de semisterke vorm, waar </w:t>
      </w:r>
      <w:r w:rsidR="00EB3332">
        <w:t>historische</w:t>
      </w:r>
      <w:r w:rsidR="00D026EF">
        <w:t xml:space="preserve"> informatie en</w:t>
      </w:r>
      <w:r w:rsidR="00EB3332">
        <w:t xml:space="preserve"> publieke </w:t>
      </w:r>
      <w:r w:rsidR="00D026EF">
        <w:t xml:space="preserve">informatie aanwezig was. Bij de sterke vorm is ook voorkennis informatie aanwezig. </w:t>
      </w:r>
      <w:r w:rsidR="00EB3332">
        <w:t>Als de belegger beschikt over deze info, dan kan hij daarmee geen winst behalen</w:t>
      </w:r>
      <w:r w:rsidRPr="00FD7ABD">
        <w:t xml:space="preserve"> </w:t>
      </w:r>
      <w:r w:rsidR="00FD7ABD" w:rsidRPr="00111BF0">
        <w:t>(Fama, 1970)</w:t>
      </w:r>
      <w:r w:rsidR="004F1CBD" w:rsidRPr="00111BF0">
        <w:t xml:space="preserve">. </w:t>
      </w:r>
      <w:sdt>
        <w:sdtPr>
          <w:id w:val="11130297"/>
          <w:citation/>
        </w:sdtPr>
        <w:sdtContent>
          <w:r w:rsidR="00505FFB">
            <w:fldChar w:fldCharType="begin"/>
          </w:r>
          <w:r w:rsidR="00E10139" w:rsidRPr="00111BF0">
            <w:instrText xml:space="preserve"> CITATION Fam69 \l 1043  </w:instrText>
          </w:r>
          <w:r w:rsidR="00505FFB">
            <w:fldChar w:fldCharType="separate"/>
          </w:r>
          <w:r w:rsidR="00735B39">
            <w:rPr>
              <w:noProof/>
            </w:rPr>
            <w:t>(Fama, Fisher, Jensen, &amp; Roll, 1969)</w:t>
          </w:r>
          <w:r w:rsidR="00505FFB">
            <w:fldChar w:fldCharType="end"/>
          </w:r>
        </w:sdtContent>
      </w:sdt>
      <w:r w:rsidR="00FD7ABD" w:rsidRPr="00064F35">
        <w:t>.</w:t>
      </w:r>
    </w:p>
    <w:p w:rsidR="002D223F" w:rsidRPr="00064F35" w:rsidRDefault="002D223F" w:rsidP="002D223F"/>
    <w:p w:rsidR="002D223F" w:rsidRDefault="002D223F" w:rsidP="002D223F">
      <w:pPr>
        <w:pStyle w:val="Heading2"/>
      </w:pPr>
      <w:bookmarkStart w:id="3" w:name="_Toc380522428"/>
      <w:r>
        <w:t>2.2 Behavioral Finance</w:t>
      </w:r>
      <w:bookmarkEnd w:id="3"/>
    </w:p>
    <w:p w:rsidR="002D223F" w:rsidRDefault="002D223F" w:rsidP="002D223F"/>
    <w:p w:rsidR="002D223F" w:rsidRDefault="002D223F" w:rsidP="002D223F">
      <w:r>
        <w:t xml:space="preserve">Een alternatief voor de Efficiënte markthypothese is </w:t>
      </w:r>
      <w:r w:rsidR="003D1865">
        <w:t>‘</w:t>
      </w:r>
      <w:r>
        <w:t>behavioral finance</w:t>
      </w:r>
      <w:r w:rsidR="003D1865">
        <w:t>’</w:t>
      </w:r>
      <w:r>
        <w:t xml:space="preserve">. Bij de Efficiënte markthypothese </w:t>
      </w:r>
      <w:r w:rsidR="00A6091C">
        <w:t>is</w:t>
      </w:r>
      <w:r>
        <w:t xml:space="preserve"> verondersteld dat mensen rationeel reageren en altijd de beste keuze </w:t>
      </w:r>
      <w:r w:rsidR="00366F82">
        <w:t>maken</w:t>
      </w:r>
      <w:r>
        <w:t>. Indien mensen niet helemaal rationeel zijn</w:t>
      </w:r>
      <w:r w:rsidR="00366F82">
        <w:t xml:space="preserve">, worden deze mensen door de markt eruit </w:t>
      </w:r>
      <w:r>
        <w:t>geconcurreerd.</w:t>
      </w:r>
      <w:r w:rsidR="00365B4B">
        <w:t xml:space="preserve"> </w:t>
      </w:r>
      <w:r>
        <w:t xml:space="preserve">Echter, wat </w:t>
      </w:r>
      <w:r w:rsidR="003D1865">
        <w:t>‘</w:t>
      </w:r>
      <w:r>
        <w:t>behavioral finance</w:t>
      </w:r>
      <w:r w:rsidR="003D1865">
        <w:t>’</w:t>
      </w:r>
      <w:r>
        <w:t xml:space="preserve"> laat zien is</w:t>
      </w:r>
      <w:r w:rsidR="00366F82">
        <w:t>,</w:t>
      </w:r>
      <w:r>
        <w:t xml:space="preserve"> dat mensen anders reageren in bepaalde situaties. </w:t>
      </w:r>
    </w:p>
    <w:p w:rsidR="002D223F" w:rsidRDefault="002D223F" w:rsidP="002D223F"/>
    <w:p w:rsidR="002D223F" w:rsidRDefault="002D223F" w:rsidP="002D223F">
      <w:r>
        <w:t>Allereerst lieten Shefrin en Statman</w:t>
      </w:r>
      <w:r w:rsidR="003D1865">
        <w:t xml:space="preserve"> in 1985</w:t>
      </w:r>
      <w:r>
        <w:t xml:space="preserve"> zien</w:t>
      </w:r>
      <w:r w:rsidR="00366F82">
        <w:t>,</w:t>
      </w:r>
      <w:r>
        <w:t xml:space="preserve"> dat beleggers meer waarde hechten aan w</w:t>
      </w:r>
      <w:r w:rsidR="00055CF5">
        <w:t>insten of verliezen op papier dan aan</w:t>
      </w:r>
      <w:r>
        <w:t xml:space="preserve"> winsten of verliezen in werkelijkheid. Dit wordt het zogenaamde internal consistency genoemd. Beleggers zouden koerswin</w:t>
      </w:r>
      <w:r w:rsidR="00055CF5">
        <w:t>sten en dividend in geld volgen</w:t>
      </w:r>
      <w:r>
        <w:t>s de normale theorie als substituten moeten zien, maar Shefrin en Statman lieten zien</w:t>
      </w:r>
      <w:r w:rsidR="00055CF5">
        <w:t>,</w:t>
      </w:r>
      <w:r>
        <w:t xml:space="preserve"> dat dit in werkelijkheid niet zo is.</w:t>
      </w:r>
      <w:r w:rsidR="00055CF5">
        <w:t xml:space="preserve"> </w:t>
      </w:r>
      <w:r>
        <w:t>Beleggers verkiezen de cashdividend boven de koerswinst</w:t>
      </w:r>
      <w:sdt>
        <w:sdtPr>
          <w:id w:val="39282191"/>
          <w:citation/>
        </w:sdtPr>
        <w:sdtContent>
          <w:fldSimple w:instr=" CITATION She84 \l 1043  ">
            <w:r w:rsidR="00735B39">
              <w:rPr>
                <w:noProof/>
              </w:rPr>
              <w:t xml:space="preserve"> (Shefrin &amp; Statman, 1984)</w:t>
            </w:r>
          </w:fldSimple>
        </w:sdtContent>
      </w:sdt>
      <w:r w:rsidR="00111BF0">
        <w:t>.</w:t>
      </w:r>
    </w:p>
    <w:p w:rsidR="002D223F" w:rsidRDefault="002D223F" w:rsidP="002D223F"/>
    <w:p w:rsidR="002D223F" w:rsidRDefault="002D223F" w:rsidP="002D223F">
      <w:r>
        <w:t>Als tweede lieten Shefrin en Statman zien</w:t>
      </w:r>
      <w:r w:rsidR="00AA45D9">
        <w:t xml:space="preserve"> (1985)</w:t>
      </w:r>
      <w:r w:rsidR="00055CF5">
        <w:t>,</w:t>
      </w:r>
      <w:r>
        <w:t xml:space="preserve"> dat beleggers bereid zijn meer risico te nemen bij verliezen dan bij winsten.</w:t>
      </w:r>
      <w:r w:rsidR="00111BF0">
        <w:t xml:space="preserve"> Men noemt dit ook wel self-interest.</w:t>
      </w:r>
      <w:r w:rsidR="00453F1D">
        <w:t xml:space="preserve"> </w:t>
      </w:r>
      <w:r>
        <w:t>Kahneman en Tversky laten dit zien in een voorbeeld in hun artikel. In het artikel worden mensen gevraagd naar hun voorkeuren in verschillende situaties. In de eerste situatie hebben de mensen de keuze tussen een zeker bedrag van $1000 en 50% kans op $2500 winst en 50% kans op niks. De meeste respondenten kiezen voor de zekere winst van $1000. De verwachte waarde van de tweede keuze is echter hoger: 50% * $</w:t>
      </w:r>
      <w:r w:rsidR="00055CF5">
        <w:t>2500= $1250. Dit is hoger dan het</w:t>
      </w:r>
      <w:r>
        <w:t xml:space="preserve"> zeker</w:t>
      </w:r>
      <w:r w:rsidR="00055CF5">
        <w:t>e</w:t>
      </w:r>
      <w:r>
        <w:t xml:space="preserve"> bedrag van $1000. Vervolgens mocht men opnieuw kiezen: een zeker verlies van $1000 of 50% kans een zeker verlies van $2500 en 50% kans op geen verlies. Nu koos men voor wel voor de tweede optie.</w:t>
      </w:r>
      <w:sdt>
        <w:sdtPr>
          <w:id w:val="28619055"/>
          <w:citation/>
        </w:sdtPr>
        <w:sdtContent>
          <w:fldSimple w:instr=" CITATION Kah79 \l 1043  ">
            <w:r w:rsidR="00735B39">
              <w:rPr>
                <w:noProof/>
              </w:rPr>
              <w:t xml:space="preserve"> (Kahneman &amp; Tversky, 1979)</w:t>
            </w:r>
          </w:fldSimple>
        </w:sdtContent>
      </w:sdt>
      <w:r w:rsidR="00111BF0">
        <w:t>.</w:t>
      </w:r>
    </w:p>
    <w:p w:rsidR="00A51956" w:rsidRDefault="00A51956" w:rsidP="002D223F"/>
    <w:p w:rsidR="00111BF0" w:rsidRDefault="00111BF0">
      <w:pPr>
        <w:rPr>
          <w:rFonts w:asciiTheme="majorHAnsi" w:eastAsiaTheme="majorEastAsia" w:hAnsiTheme="majorHAnsi" w:cstheme="majorBidi"/>
          <w:b/>
          <w:bCs/>
          <w:color w:val="4F81BD" w:themeColor="accent1"/>
          <w:sz w:val="26"/>
          <w:szCs w:val="26"/>
        </w:rPr>
      </w:pPr>
      <w:r>
        <w:br w:type="page"/>
      </w:r>
    </w:p>
    <w:p w:rsidR="002D223F" w:rsidRDefault="002D223F" w:rsidP="002D223F">
      <w:pPr>
        <w:pStyle w:val="Heading2"/>
      </w:pPr>
      <w:bookmarkStart w:id="4" w:name="_Toc380522429"/>
      <w:r>
        <w:lastRenderedPageBreak/>
        <w:t>2.3 Anomalieën</w:t>
      </w:r>
      <w:bookmarkEnd w:id="4"/>
    </w:p>
    <w:p w:rsidR="00A51956" w:rsidRPr="00A51956" w:rsidRDefault="00A51956" w:rsidP="00A51956"/>
    <w:p w:rsidR="002D223F" w:rsidRDefault="002D223F" w:rsidP="002D223F">
      <w:r>
        <w:t>Een anomalie of markt inefficiëntie is juist het moment</w:t>
      </w:r>
      <w:r w:rsidR="00055CF5">
        <w:t>,</w:t>
      </w:r>
      <w:r>
        <w:t xml:space="preserve"> dat de random walk hypothese en de efficiënte markt hypothese niet opgaan: door de storing is de prijs incorrect en er kunnen significant hogere </w:t>
      </w:r>
      <w:r w:rsidR="001D6E28">
        <w:t>rendementen</w:t>
      </w:r>
      <w:r>
        <w:t xml:space="preserve"> behaald word</w:t>
      </w:r>
      <w:r w:rsidR="00055CF5">
        <w:t>en. Een van deze anomalieën is</w:t>
      </w:r>
      <w:r>
        <w:t xml:space="preserve"> de kalenderan</w:t>
      </w:r>
      <w:r w:rsidR="00055CF5">
        <w:t>omalie</w:t>
      </w:r>
      <w:r>
        <w:t xml:space="preserve">. In deze scriptie zal het januari effect </w:t>
      </w:r>
      <w:r w:rsidR="00055CF5">
        <w:t xml:space="preserve">worden </w:t>
      </w:r>
      <w:r>
        <w:t>onderzocht</w:t>
      </w:r>
      <w:bookmarkStart w:id="5" w:name="_GoBack"/>
      <w:bookmarkEnd w:id="5"/>
      <w:r w:rsidR="00055CF5">
        <w:t>.</w:t>
      </w:r>
    </w:p>
    <w:p w:rsidR="002D223F" w:rsidRDefault="002D223F" w:rsidP="002D223F"/>
    <w:p w:rsidR="002D223F" w:rsidRDefault="00875F03" w:rsidP="002D223F">
      <w:pPr>
        <w:pStyle w:val="Heading3"/>
      </w:pPr>
      <w:bookmarkStart w:id="6" w:name="_Toc380522430"/>
      <w:r>
        <w:t xml:space="preserve">2.3.1 </w:t>
      </w:r>
      <w:r w:rsidR="002D223F">
        <w:t>Januari Effect</w:t>
      </w:r>
      <w:bookmarkEnd w:id="6"/>
    </w:p>
    <w:p w:rsidR="00A51956" w:rsidRPr="00A51956" w:rsidRDefault="00A51956" w:rsidP="00A51956"/>
    <w:p w:rsidR="002D223F" w:rsidRDefault="002D223F" w:rsidP="002D223F">
      <w:r>
        <w:t>Een van de bekendste anomalieën in de aandelenmarkt is het januari effect. Dit effect houdt in</w:t>
      </w:r>
      <w:r w:rsidR="00055CF5">
        <w:t>,</w:t>
      </w:r>
      <w:r>
        <w:t xml:space="preserve"> dat de </w:t>
      </w:r>
      <w:r w:rsidR="001D6E28">
        <w:t>rendementen</w:t>
      </w:r>
      <w:r>
        <w:t xml:space="preserve"> van de aandelen in januari significant</w:t>
      </w:r>
      <w:r w:rsidR="00055CF5">
        <w:t xml:space="preserve"> hoger zijn</w:t>
      </w:r>
      <w:r>
        <w:t xml:space="preserve"> in vergelijking met de andere maa</w:t>
      </w:r>
      <w:r w:rsidR="00055CF5">
        <w:t>nden van het jaar. In 1942 is</w:t>
      </w:r>
      <w:r>
        <w:t xml:space="preserve"> voor het eerst de aanwezigheid van het januari effect ontdekt. In 1942 onderzocht Wachtel de Dow – Jones Industrial Average tussen 1927 en 1942. Hij ontdekte</w:t>
      </w:r>
      <w:r w:rsidR="00055CF5">
        <w:t>,</w:t>
      </w:r>
      <w:r>
        <w:t xml:space="preserve"> dat de </w:t>
      </w:r>
      <w:r w:rsidR="001D6E28">
        <w:t>rendementen</w:t>
      </w:r>
      <w:r>
        <w:t xml:space="preserve"> in de periode december – januari hoger waren dan in de andere maanden. </w:t>
      </w:r>
    </w:p>
    <w:p w:rsidR="002D223F" w:rsidRDefault="002D223F" w:rsidP="002D223F"/>
    <w:p w:rsidR="00875F03" w:rsidRDefault="00875F03" w:rsidP="00875F03">
      <w:pPr>
        <w:pStyle w:val="Heading3"/>
      </w:pPr>
      <w:bookmarkStart w:id="7" w:name="_Toc380522431"/>
      <w:r>
        <w:t xml:space="preserve">2.3.2 Verklaringen voor het </w:t>
      </w:r>
      <w:r w:rsidR="000616C9">
        <w:t>j</w:t>
      </w:r>
      <w:r>
        <w:t>anuari Effect</w:t>
      </w:r>
      <w:bookmarkEnd w:id="7"/>
    </w:p>
    <w:p w:rsidR="00A51956" w:rsidRPr="00A51956" w:rsidRDefault="00A51956" w:rsidP="00A51956"/>
    <w:p w:rsidR="00F60B22" w:rsidRDefault="002D223F" w:rsidP="002D223F">
      <w:r>
        <w:t>Een duidelijke oorzaak voor het bestaan van het januari effect ontbreekt, al worden er verscheidene redenen genoemd. Zo noemt</w:t>
      </w:r>
      <w:r w:rsidR="00111BF0">
        <w:t xml:space="preserve"> Keim (1989)</w:t>
      </w:r>
      <w:r>
        <w:t xml:space="preserve"> als argument de belangrijkheid van systematische shifts in </w:t>
      </w:r>
      <w:r w:rsidR="00F60B22">
        <w:t>de bid-ask spread</w:t>
      </w:r>
      <w:r w:rsidR="00055CF5">
        <w:t>, in het bijzo</w:t>
      </w:r>
      <w:r>
        <w:t xml:space="preserve">nder rond het einde van het jaar. </w:t>
      </w:r>
    </w:p>
    <w:p w:rsidR="00F60B22" w:rsidRDefault="00F60B22" w:rsidP="002D223F"/>
    <w:p w:rsidR="00F60B22" w:rsidRDefault="00F60B22" w:rsidP="002D223F">
      <w:pPr>
        <w:rPr>
          <w:i/>
        </w:rPr>
      </w:pPr>
      <w:r>
        <w:rPr>
          <w:i/>
        </w:rPr>
        <w:t>Window dressing</w:t>
      </w:r>
    </w:p>
    <w:p w:rsidR="002D223F" w:rsidRDefault="002D223F" w:rsidP="002D223F">
      <w:r>
        <w:t>Haugen en Lakonoishok ontdekten</w:t>
      </w:r>
      <w:r w:rsidR="00055CF5">
        <w:t>,</w:t>
      </w:r>
      <w:r>
        <w:t xml:space="preserve"> dat institutionele investeerders doen aan het zogenaamde “window dressing’ aan het einde van het jaar. Aan het einde van het jaar </w:t>
      </w:r>
      <w:r w:rsidR="00111BF0">
        <w:t xml:space="preserve">bekijkt men </w:t>
      </w:r>
      <w:r>
        <w:t xml:space="preserve">de portfolio’s opnieuw en </w:t>
      </w:r>
      <w:r w:rsidR="00111BF0">
        <w:t>maakt men de portfolio</w:t>
      </w:r>
      <w:r w:rsidR="00453F1D">
        <w:t>’</w:t>
      </w:r>
      <w:r w:rsidR="00111BF0">
        <w:t xml:space="preserve">s </w:t>
      </w:r>
      <w:r>
        <w:t>eventueel opnieuw</w:t>
      </w:r>
      <w:r w:rsidR="00111BF0">
        <w:t>.</w:t>
      </w:r>
      <w:r>
        <w:t xml:space="preserve"> Aandelen met verliezen worden verkocht</w:t>
      </w:r>
      <w:r w:rsidR="00055CF5">
        <w:t>,</w:t>
      </w:r>
      <w:r>
        <w:t xml:space="preserve"> zodat deze bij de jaarverslagen niet meer in het portfolio staan. In januari, als het finan</w:t>
      </w:r>
      <w:r w:rsidR="00055CF5">
        <w:t xml:space="preserve">ciële boekjaar opnieuw begint, </w:t>
      </w:r>
      <w:r w:rsidR="00111BF0">
        <w:t>bekijkt men</w:t>
      </w:r>
      <w:r>
        <w:t xml:space="preserve"> de portfolio’s opnieuw en </w:t>
      </w:r>
      <w:r w:rsidR="00111BF0">
        <w:t xml:space="preserve">neemt men </w:t>
      </w:r>
      <w:r>
        <w:t>wee</w:t>
      </w:r>
      <w:r w:rsidR="00111BF0">
        <w:t>r risicovolle posities</w:t>
      </w:r>
      <w:r>
        <w:t xml:space="preserve"> </w:t>
      </w:r>
      <w:sdt>
        <w:sdtPr>
          <w:id w:val="6443738"/>
          <w:citation/>
        </w:sdtPr>
        <w:sdtContent>
          <w:fldSimple w:instr=" CITATION Hau88 \l 1043  ">
            <w:r w:rsidR="00735B39">
              <w:rPr>
                <w:noProof/>
              </w:rPr>
              <w:t>(Haugen &amp; Lakonishok, 1988)</w:t>
            </w:r>
          </w:fldSimple>
        </w:sdtContent>
      </w:sdt>
      <w:r w:rsidR="00111BF0">
        <w:t xml:space="preserve">. Merk hierbij op, </w:t>
      </w:r>
      <w:r>
        <w:t>dat aandelen van grote, bekende bedrijven minder snel worden verkocht dan kleinere,</w:t>
      </w:r>
      <w:r w:rsidR="00055CF5">
        <w:t xml:space="preserve"> minder bekende bedrijven. Bij v</w:t>
      </w:r>
      <w:r>
        <w:t xml:space="preserve">erliezen in aandelen bij grote bedrijven kan </w:t>
      </w:r>
      <w:r w:rsidR="00111BF0">
        <w:t>men zeggen</w:t>
      </w:r>
      <w:r w:rsidR="00055CF5">
        <w:t>,</w:t>
      </w:r>
      <w:r>
        <w:t xml:space="preserve"> dat het slechts pech is, wat iedereen kan overkomen. V</w:t>
      </w:r>
      <w:r w:rsidR="003C6B70">
        <w:t>erliezen in kleine bedrijven kunnen</w:t>
      </w:r>
      <w:r>
        <w:t xml:space="preserve"> worden beargumenteerd als roekeloze aankopen </w:t>
      </w:r>
      <w:sdt>
        <w:sdtPr>
          <w:id w:val="6443734"/>
          <w:citation/>
        </w:sdtPr>
        <w:sdtContent>
          <w:fldSimple w:instr=" CITATION Lak91 \l 1043  ">
            <w:r w:rsidR="00735B39">
              <w:rPr>
                <w:noProof/>
              </w:rPr>
              <w:t>(Lakonoishok, Schleifer, Thaler, &amp; Vishny, 1991)</w:t>
            </w:r>
          </w:fldSimple>
        </w:sdtContent>
      </w:sdt>
      <w:r w:rsidR="00111BF0">
        <w:t>.</w:t>
      </w:r>
    </w:p>
    <w:p w:rsidR="002D223F" w:rsidRDefault="002D223F" w:rsidP="002D223F"/>
    <w:p w:rsidR="00397D1D" w:rsidRDefault="00397D1D" w:rsidP="002D223F"/>
    <w:p w:rsidR="00F60B22" w:rsidRPr="00F60B22" w:rsidRDefault="00F60B22" w:rsidP="002D223F">
      <w:pPr>
        <w:rPr>
          <w:i/>
        </w:rPr>
      </w:pPr>
      <w:r>
        <w:rPr>
          <w:i/>
        </w:rPr>
        <w:lastRenderedPageBreak/>
        <w:t>Tax Loss Selling</w:t>
      </w:r>
    </w:p>
    <w:p w:rsidR="00FA681A" w:rsidRDefault="002D223F" w:rsidP="002D223F">
      <w:r>
        <w:t xml:space="preserve">Een andere reden voor het bestaan van het januari effect is tax-loss selling. Individuele beleggers verkopen aandelen die slecht </w:t>
      </w:r>
      <w:r w:rsidR="00453F1D">
        <w:t>presteren aan het einde van het</w:t>
      </w:r>
      <w:r>
        <w:t xml:space="preserve"> (fiscale) jaar. In het nieuwe jaar in januari worden er weer aandelen gekocht, omdat januari het begin is van het fiscale jaar</w:t>
      </w:r>
      <w:sdt>
        <w:sdtPr>
          <w:id w:val="6443735"/>
          <w:citation/>
        </w:sdtPr>
        <w:sdtContent>
          <w:fldSimple w:instr=" CITATION Rei83 \l 1043  ">
            <w:r w:rsidR="00735B39">
              <w:rPr>
                <w:noProof/>
              </w:rPr>
              <w:t xml:space="preserve"> (Reinganum, 1983)</w:t>
            </w:r>
          </w:fldSimple>
        </w:sdtContent>
      </w:sdt>
      <w:r w:rsidR="00FA681A">
        <w:t xml:space="preserve"> </w:t>
      </w:r>
      <w:sdt>
        <w:sdtPr>
          <w:id w:val="6443736"/>
          <w:citation/>
        </w:sdtPr>
        <w:sdtContent>
          <w:fldSimple w:instr=" CITATION Rol83 \l 1043  ">
            <w:r w:rsidR="00735B39">
              <w:rPr>
                <w:noProof/>
              </w:rPr>
              <w:t>(Roll, 1983)</w:t>
            </w:r>
          </w:fldSimple>
        </w:sdtContent>
      </w:sdt>
      <w:sdt>
        <w:sdtPr>
          <w:id w:val="6443737"/>
          <w:citation/>
        </w:sdtPr>
        <w:sdtContent>
          <w:fldSimple w:instr=" CITATION Pot01 \l 1043  ">
            <w:r w:rsidR="00735B39">
              <w:rPr>
                <w:noProof/>
              </w:rPr>
              <w:t xml:space="preserve"> (Poterba &amp; Weisbenner, 2001)</w:t>
            </w:r>
          </w:fldSimple>
        </w:sdtContent>
      </w:sdt>
      <w:r w:rsidR="00111BF0">
        <w:t>.</w:t>
      </w:r>
    </w:p>
    <w:p w:rsidR="00CD590E" w:rsidRDefault="00FB0AF9" w:rsidP="00CD590E">
      <w:pPr>
        <w:pStyle w:val="Heading3"/>
      </w:pPr>
      <w:r>
        <w:t xml:space="preserve"> </w:t>
      </w:r>
      <w:bookmarkStart w:id="8" w:name="_Toc380522432"/>
      <w:r w:rsidR="000616C9">
        <w:t>2.3.3 De verdwijning van het j</w:t>
      </w:r>
      <w:r w:rsidR="00CD590E">
        <w:t>anuari Effect</w:t>
      </w:r>
      <w:bookmarkEnd w:id="8"/>
    </w:p>
    <w:p w:rsidR="00064F35" w:rsidRDefault="00064F35" w:rsidP="00064F35"/>
    <w:p w:rsidR="00B452C1" w:rsidRDefault="00064F35" w:rsidP="00064F35">
      <w:r>
        <w:t xml:space="preserve">In de jaren nadat Wachtel het januari effect ontdekte is er verscheidene keren onderzoek gedaan naar het verschijnsel. In verscheidene studies </w:t>
      </w:r>
      <w:r w:rsidR="00C83273">
        <w:t>is</w:t>
      </w:r>
      <w:r>
        <w:t xml:space="preserve"> het januari effect</w:t>
      </w:r>
      <w:r w:rsidR="00453F1D">
        <w:t xml:space="preserve"> onderzocht voor diverse landen</w:t>
      </w:r>
      <w:r>
        <w:t xml:space="preserve"> en periodes. In tabel 1 staat een overzicht van diverse studies</w:t>
      </w:r>
      <w:r w:rsidR="00B452C1">
        <w:t>.</w:t>
      </w:r>
    </w:p>
    <w:p w:rsidR="004400D4" w:rsidRDefault="004400D4" w:rsidP="00064F35"/>
    <w:p w:rsidR="00276084" w:rsidRDefault="00064F35" w:rsidP="00064F35">
      <w:r>
        <w:t xml:space="preserve"> </w:t>
      </w:r>
      <w:r w:rsidR="004400D4">
        <w:t xml:space="preserve">Tabel 1: overzicht januari effect </w:t>
      </w:r>
      <w:r w:rsidR="004400D4">
        <w:tab/>
      </w:r>
      <w:r w:rsidR="004400D4">
        <w:tab/>
      </w:r>
      <w:r w:rsidR="004400D4">
        <w:tab/>
      </w:r>
      <w:r w:rsidR="004400D4">
        <w:tab/>
      </w:r>
    </w:p>
    <w:tbl>
      <w:tblPr>
        <w:tblW w:w="9360" w:type="dxa"/>
        <w:tblInd w:w="49" w:type="dxa"/>
        <w:tblCellMar>
          <w:left w:w="70" w:type="dxa"/>
          <w:right w:w="70" w:type="dxa"/>
        </w:tblCellMar>
        <w:tblLook w:val="04A0"/>
      </w:tblPr>
      <w:tblGrid>
        <w:gridCol w:w="3360"/>
        <w:gridCol w:w="1360"/>
        <w:gridCol w:w="1200"/>
        <w:gridCol w:w="1980"/>
        <w:gridCol w:w="1460"/>
      </w:tblGrid>
      <w:tr w:rsidR="00276084" w:rsidRPr="00276084" w:rsidTr="00276084">
        <w:trPr>
          <w:trHeight w:val="330"/>
        </w:trPr>
        <w:tc>
          <w:tcPr>
            <w:tcW w:w="3360"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b/>
                <w:bCs/>
                <w:color w:val="000000"/>
                <w:lang w:eastAsia="nl-NL"/>
              </w:rPr>
            </w:pPr>
            <w:r w:rsidRPr="00276084">
              <w:rPr>
                <w:rFonts w:ascii="Calibri" w:eastAsia="Times New Roman" w:hAnsi="Calibri" w:cs="Times New Roman"/>
                <w:b/>
                <w:bCs/>
                <w:color w:val="000000"/>
                <w:lang w:eastAsia="nl-NL"/>
              </w:rPr>
              <w:t>Auteur(s)</w:t>
            </w:r>
          </w:p>
        </w:tc>
        <w:tc>
          <w:tcPr>
            <w:tcW w:w="1360" w:type="dxa"/>
            <w:tcBorders>
              <w:top w:val="single" w:sz="12" w:space="0" w:color="auto"/>
              <w:left w:val="nil"/>
              <w:bottom w:val="single" w:sz="12" w:space="0" w:color="auto"/>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b/>
                <w:bCs/>
                <w:color w:val="000000"/>
                <w:lang w:eastAsia="nl-NL"/>
              </w:rPr>
            </w:pPr>
            <w:r w:rsidRPr="00276084">
              <w:rPr>
                <w:rFonts w:ascii="Calibri" w:eastAsia="Times New Roman" w:hAnsi="Calibri" w:cs="Times New Roman"/>
                <w:b/>
                <w:bCs/>
                <w:color w:val="000000"/>
                <w:lang w:eastAsia="nl-NL"/>
              </w:rPr>
              <w:t>Januari effect</w:t>
            </w:r>
          </w:p>
        </w:tc>
        <w:tc>
          <w:tcPr>
            <w:tcW w:w="1200" w:type="dxa"/>
            <w:tcBorders>
              <w:top w:val="single" w:sz="12" w:space="0" w:color="auto"/>
              <w:left w:val="nil"/>
              <w:bottom w:val="single" w:sz="12" w:space="0" w:color="auto"/>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b/>
                <w:bCs/>
                <w:color w:val="000000"/>
                <w:lang w:eastAsia="nl-NL"/>
              </w:rPr>
            </w:pPr>
            <w:r w:rsidRPr="00276084">
              <w:rPr>
                <w:rFonts w:ascii="Calibri" w:eastAsia="Times New Roman" w:hAnsi="Calibri" w:cs="Times New Roman"/>
                <w:b/>
                <w:bCs/>
                <w:color w:val="000000"/>
                <w:lang w:eastAsia="nl-NL"/>
              </w:rPr>
              <w:t>Periode</w:t>
            </w:r>
          </w:p>
        </w:tc>
        <w:tc>
          <w:tcPr>
            <w:tcW w:w="1980" w:type="dxa"/>
            <w:tcBorders>
              <w:top w:val="single" w:sz="12" w:space="0" w:color="auto"/>
              <w:left w:val="nil"/>
              <w:bottom w:val="single" w:sz="12" w:space="0" w:color="auto"/>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b/>
                <w:bCs/>
                <w:color w:val="000000"/>
                <w:lang w:eastAsia="nl-NL"/>
              </w:rPr>
            </w:pPr>
            <w:r w:rsidRPr="00276084">
              <w:rPr>
                <w:rFonts w:ascii="Calibri" w:eastAsia="Times New Roman" w:hAnsi="Calibri" w:cs="Times New Roman"/>
                <w:b/>
                <w:bCs/>
                <w:color w:val="000000"/>
                <w:lang w:eastAsia="nl-NL"/>
              </w:rPr>
              <w:t>Land</w:t>
            </w:r>
          </w:p>
        </w:tc>
        <w:tc>
          <w:tcPr>
            <w:tcW w:w="1460" w:type="dxa"/>
            <w:tcBorders>
              <w:top w:val="single" w:sz="12" w:space="0" w:color="auto"/>
              <w:left w:val="nil"/>
              <w:bottom w:val="single" w:sz="12" w:space="0" w:color="auto"/>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b/>
                <w:bCs/>
                <w:color w:val="000000"/>
                <w:lang w:eastAsia="nl-NL"/>
              </w:rPr>
            </w:pPr>
            <w:r w:rsidRPr="00276084">
              <w:rPr>
                <w:rFonts w:ascii="Calibri" w:eastAsia="Times New Roman" w:hAnsi="Calibri" w:cs="Times New Roman"/>
                <w:b/>
                <w:bCs/>
                <w:color w:val="000000"/>
                <w:lang w:eastAsia="nl-NL"/>
              </w:rPr>
              <w:t>Beurs</w:t>
            </w:r>
          </w:p>
        </w:tc>
      </w:tr>
      <w:tr w:rsidR="00276084" w:rsidRPr="00276084" w:rsidTr="00276084">
        <w:trPr>
          <w:trHeight w:val="315"/>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Rozeff en Kinney (1976)</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3,500%</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1904-1974</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VS</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NYSE</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Kato en Shallheim (1985)</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4,48%</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1952-1980</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Japan</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TSE</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Keim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15,00%</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1963-1979</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VS</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 xml:space="preserve">NYSE </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2,649%</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Australie</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ASX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Oostenrijk</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ATX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3,215%</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Belgie</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BSE</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2,90%</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Canada</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TSX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3,041%</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Denemarken</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OMX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Frankrijk</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CAC</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3,099%</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Duitsland</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DAX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Italie</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FTSEMIB</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3,529%</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Japan</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NKY</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3,762%</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Nederland</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AEX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4,336%</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Noorwegen</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OSEBX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Singapore</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SGX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2,241%</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Spanje</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MADX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3,996%</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Zweden</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OMX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4,585%</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Zwitserland</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SIX</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3,406%</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Verenigd Koninkrijk</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LSE</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Gultekin en Gultekin (1983)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1959-1972</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VS</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NYSE</w:t>
            </w:r>
          </w:p>
        </w:tc>
      </w:tr>
      <w:tr w:rsidR="00276084" w:rsidRPr="00276084" w:rsidTr="00276084">
        <w:trPr>
          <w:trHeight w:val="300"/>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Marquering, Nisser en Valla (2006)</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1960-2003</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VS</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NYSE</w:t>
            </w:r>
          </w:p>
        </w:tc>
      </w:tr>
      <w:tr w:rsidR="00276084" w:rsidRPr="00276084" w:rsidTr="00276084">
        <w:trPr>
          <w:trHeight w:val="315"/>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Van de Sar (2003)</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1981-1998</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NL</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AEX</w:t>
            </w:r>
          </w:p>
        </w:tc>
      </w:tr>
      <w:tr w:rsidR="00276084" w:rsidRPr="00276084" w:rsidTr="00276084">
        <w:trPr>
          <w:trHeight w:val="315"/>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Asteriou en Kavestor (2006)</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1991-2003</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Tsjechië</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PSE</w:t>
            </w:r>
          </w:p>
        </w:tc>
      </w:tr>
      <w:tr w:rsidR="00276084" w:rsidRPr="00276084" w:rsidTr="00276084">
        <w:trPr>
          <w:trHeight w:val="315"/>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Asteriou en Kavestor (2006)</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7,20%</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1991-2003</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Hongarije</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BSE</w:t>
            </w:r>
          </w:p>
        </w:tc>
      </w:tr>
      <w:tr w:rsidR="00276084" w:rsidRPr="00276084" w:rsidTr="00276084">
        <w:trPr>
          <w:trHeight w:val="315"/>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Asteriou en Kavestor (2006)</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1991-2003</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Litouwen</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OMXV</w:t>
            </w:r>
          </w:p>
        </w:tc>
      </w:tr>
      <w:tr w:rsidR="00276084" w:rsidRPr="00276084" w:rsidTr="00276084">
        <w:trPr>
          <w:trHeight w:val="315"/>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Asteriou en Kavestor (2006)</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7,20%</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1991-2003</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Polen</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WSE</w:t>
            </w:r>
          </w:p>
        </w:tc>
      </w:tr>
      <w:tr w:rsidR="00276084" w:rsidRPr="00276084" w:rsidTr="00276084">
        <w:trPr>
          <w:trHeight w:val="315"/>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Asteriou en Kavestor (2006)</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8,80%</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1991-2003</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Roemenië</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BVB</w:t>
            </w:r>
          </w:p>
        </w:tc>
      </w:tr>
      <w:tr w:rsidR="00276084" w:rsidRPr="00276084" w:rsidTr="00276084">
        <w:trPr>
          <w:trHeight w:val="315"/>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lastRenderedPageBreak/>
              <w:t>Asteriou en Kavestor (2006)</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1991-2003</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Rusland</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RTS</w:t>
            </w:r>
          </w:p>
        </w:tc>
      </w:tr>
      <w:tr w:rsidR="00276084" w:rsidRPr="00276084" w:rsidTr="00276084">
        <w:trPr>
          <w:trHeight w:val="315"/>
        </w:trPr>
        <w:tc>
          <w:tcPr>
            <w:tcW w:w="3360" w:type="dxa"/>
            <w:tcBorders>
              <w:top w:val="nil"/>
              <w:left w:val="single" w:sz="12" w:space="0" w:color="auto"/>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Asteriou en Kavestor (2006)</w:t>
            </w:r>
          </w:p>
        </w:tc>
        <w:tc>
          <w:tcPr>
            <w:tcW w:w="136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center"/>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geen</w:t>
            </w:r>
          </w:p>
        </w:tc>
        <w:tc>
          <w:tcPr>
            <w:tcW w:w="1200" w:type="dxa"/>
            <w:tcBorders>
              <w:top w:val="nil"/>
              <w:left w:val="nil"/>
              <w:bottom w:val="nil"/>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1991-2003</w:t>
            </w:r>
          </w:p>
        </w:tc>
        <w:tc>
          <w:tcPr>
            <w:tcW w:w="1980" w:type="dxa"/>
            <w:tcBorders>
              <w:top w:val="nil"/>
              <w:left w:val="single" w:sz="8" w:space="0" w:color="auto"/>
              <w:bottom w:val="nil"/>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Slowakije</w:t>
            </w:r>
          </w:p>
        </w:tc>
        <w:tc>
          <w:tcPr>
            <w:tcW w:w="1460" w:type="dxa"/>
            <w:tcBorders>
              <w:top w:val="nil"/>
              <w:left w:val="nil"/>
              <w:bottom w:val="nil"/>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BSSE</w:t>
            </w:r>
          </w:p>
        </w:tc>
      </w:tr>
      <w:tr w:rsidR="00276084" w:rsidRPr="00276084" w:rsidTr="00276084">
        <w:trPr>
          <w:trHeight w:val="330"/>
        </w:trPr>
        <w:tc>
          <w:tcPr>
            <w:tcW w:w="3360" w:type="dxa"/>
            <w:tcBorders>
              <w:top w:val="nil"/>
              <w:left w:val="single" w:sz="12" w:space="0" w:color="auto"/>
              <w:bottom w:val="single" w:sz="12" w:space="0" w:color="auto"/>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Asteriou en Kavestor (2006)</w:t>
            </w:r>
          </w:p>
        </w:tc>
        <w:tc>
          <w:tcPr>
            <w:tcW w:w="1360" w:type="dxa"/>
            <w:tcBorders>
              <w:top w:val="nil"/>
              <w:left w:val="single" w:sz="8" w:space="0" w:color="auto"/>
              <w:bottom w:val="single" w:sz="12" w:space="0" w:color="auto"/>
              <w:right w:val="single" w:sz="8" w:space="0" w:color="auto"/>
            </w:tcBorders>
            <w:shd w:val="clear" w:color="auto" w:fill="auto"/>
            <w:noWrap/>
            <w:vAlign w:val="bottom"/>
            <w:hideMark/>
          </w:tcPr>
          <w:p w:rsidR="00276084" w:rsidRPr="00276084" w:rsidRDefault="00276084" w:rsidP="00276084">
            <w:pPr>
              <w:spacing w:line="240" w:lineRule="auto"/>
              <w:jc w:val="righ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6,10%</w:t>
            </w:r>
          </w:p>
        </w:tc>
        <w:tc>
          <w:tcPr>
            <w:tcW w:w="1200" w:type="dxa"/>
            <w:tcBorders>
              <w:top w:val="nil"/>
              <w:left w:val="nil"/>
              <w:bottom w:val="single" w:sz="12" w:space="0" w:color="auto"/>
              <w:right w:val="nil"/>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1991-2003</w:t>
            </w:r>
          </w:p>
        </w:tc>
        <w:tc>
          <w:tcPr>
            <w:tcW w:w="1980" w:type="dxa"/>
            <w:tcBorders>
              <w:top w:val="nil"/>
              <w:left w:val="single" w:sz="8" w:space="0" w:color="auto"/>
              <w:bottom w:val="single" w:sz="12" w:space="0" w:color="auto"/>
              <w:right w:val="single" w:sz="8"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Slovenie</w:t>
            </w:r>
          </w:p>
        </w:tc>
        <w:tc>
          <w:tcPr>
            <w:tcW w:w="1460" w:type="dxa"/>
            <w:tcBorders>
              <w:top w:val="nil"/>
              <w:left w:val="nil"/>
              <w:bottom w:val="single" w:sz="12" w:space="0" w:color="auto"/>
              <w:right w:val="single" w:sz="12" w:space="0" w:color="auto"/>
            </w:tcBorders>
            <w:shd w:val="clear" w:color="auto" w:fill="auto"/>
            <w:noWrap/>
            <w:vAlign w:val="bottom"/>
            <w:hideMark/>
          </w:tcPr>
          <w:p w:rsidR="00276084" w:rsidRPr="00276084" w:rsidRDefault="00276084" w:rsidP="00276084">
            <w:pPr>
              <w:spacing w:line="240" w:lineRule="auto"/>
              <w:jc w:val="left"/>
              <w:rPr>
                <w:rFonts w:ascii="Calibri" w:eastAsia="Times New Roman" w:hAnsi="Calibri" w:cs="Times New Roman"/>
                <w:color w:val="000000"/>
                <w:lang w:eastAsia="nl-NL"/>
              </w:rPr>
            </w:pPr>
            <w:r w:rsidRPr="00276084">
              <w:rPr>
                <w:rFonts w:ascii="Calibri" w:eastAsia="Times New Roman" w:hAnsi="Calibri" w:cs="Times New Roman"/>
                <w:color w:val="000000"/>
                <w:lang w:eastAsia="nl-NL"/>
              </w:rPr>
              <w:t>LJSE</w:t>
            </w:r>
          </w:p>
        </w:tc>
      </w:tr>
    </w:tbl>
    <w:p w:rsidR="00064F35" w:rsidRDefault="00064F35" w:rsidP="00064F35"/>
    <w:p w:rsidR="00CD590E" w:rsidRDefault="00CD590E" w:rsidP="00CD590E">
      <w:r>
        <w:t xml:space="preserve">in 1976 onderzochten Rozeff en Kinney (1976) de NYSE over de periode 1904-1974 en ontdekten, dat de rendementen in januari significant hoger zijn dan in de andere maanden. De rendementen in januari waren gemiddeld 3,5% en in de andere maanden van het jaar gemiddeld 0,5%. </w:t>
      </w:r>
    </w:p>
    <w:p w:rsidR="00FA681A" w:rsidRDefault="00FA681A" w:rsidP="002D223F"/>
    <w:p w:rsidR="00CD590E" w:rsidRDefault="00CD590E" w:rsidP="002D223F">
      <w:r>
        <w:t>Ook in andere landen, zoals Japan werd het</w:t>
      </w:r>
      <w:r w:rsidR="00FB0AF9">
        <w:t xml:space="preserve"> januari</w:t>
      </w:r>
      <w:r>
        <w:t xml:space="preserve"> effect waargenomen </w:t>
      </w:r>
      <w:sdt>
        <w:sdtPr>
          <w:id w:val="21880732"/>
          <w:citation/>
        </w:sdtPr>
        <w:sdtContent>
          <w:fldSimple w:instr=" CITATION Kat85 \l 1043  ">
            <w:r w:rsidR="00735B39">
              <w:rPr>
                <w:noProof/>
              </w:rPr>
              <w:t>(Kato &amp; Shallheim, 1985)</w:t>
            </w:r>
          </w:fldSimple>
        </w:sdtContent>
      </w:sdt>
      <w:r>
        <w:t xml:space="preserve">. </w:t>
      </w:r>
      <w:r w:rsidR="00276084">
        <w:t>Asteriou en Kavetsos publiceerden in 2006 een onderzoek naar het januari efffect voor verschillende landen uit de voormalige Sovjet-Unie voor de periode 1991-2003. Voor vier van de 8 onderzochte landen,Hongarije, Polen, Roemeni</w:t>
      </w:r>
      <w:r w:rsidR="00276084" w:rsidRPr="00276084">
        <w:t>ë</w:t>
      </w:r>
      <w:r w:rsidR="00276084">
        <w:t xml:space="preserve"> en Slovenie, was er een significant january effect waar te nemen.</w:t>
      </w:r>
    </w:p>
    <w:p w:rsidR="00FB0AF9" w:rsidRDefault="00FB0AF9" w:rsidP="002D223F">
      <w:r>
        <w:t>Gultekin</w:t>
      </w:r>
      <w:r w:rsidR="00395A8D">
        <w:t xml:space="preserve"> </w:t>
      </w:r>
      <w:r>
        <w:t>en Gultekin deden in 1983 onderzoek naar het januari effect over de periode 1959-1972 voor 17 landen. Bij 12 landen was er een significant januari ef</w:t>
      </w:r>
      <w:r w:rsidR="00395A8D">
        <w:t>fect aanwezig. Bij onder andere</w:t>
      </w:r>
      <w:r>
        <w:t xml:space="preserve"> Oostenrijk, Frankrijk, Singapore en de VS was geen effect waargenomen. </w:t>
      </w:r>
      <w:r w:rsidR="00CD590E">
        <w:t xml:space="preserve">Echter, de laatste jaren is dit effect sterk afgenomen. Zo bleek uit het onderzoek van Van der Sar (2003) dat er in Nederland over de periode 1971-1998 geen januari effect waar te nemen </w:t>
      </w:r>
      <w:r w:rsidR="00395A8D">
        <w:t>was.</w:t>
      </w:r>
      <w:r w:rsidR="00CD590E">
        <w:t xml:space="preserve"> Ook in de VS is het januari effect </w:t>
      </w:r>
      <w:r w:rsidR="00FD297D">
        <w:t xml:space="preserve">al decennia aan het afnemen totdat het niet meer bestaat </w:t>
      </w:r>
      <w:sdt>
        <w:sdtPr>
          <w:id w:val="21880733"/>
          <w:citation/>
        </w:sdtPr>
        <w:sdtContent>
          <w:fldSimple w:instr=" CITATION GuY03 \l 1043  ">
            <w:r w:rsidR="00735B39">
              <w:rPr>
                <w:noProof/>
              </w:rPr>
              <w:t>(Gu, 2003)</w:t>
            </w:r>
          </w:fldSimple>
        </w:sdtContent>
      </w:sdt>
      <w:r w:rsidR="006B5AEF">
        <w:t xml:space="preserve">. </w:t>
      </w:r>
      <w:r>
        <w:t>Marquering, Nisser en Valla deden onderzoek naar het januari effect tijdens de periode 1960-2003 en vonden ook geen significant januari effect.</w:t>
      </w:r>
    </w:p>
    <w:p w:rsidR="00FB0AF9" w:rsidRDefault="00FB0AF9" w:rsidP="002D223F"/>
    <w:p w:rsidR="008C6AA7" w:rsidRDefault="008C6AA7" w:rsidP="008C6AA7">
      <w:pPr>
        <w:pStyle w:val="Heading3"/>
      </w:pPr>
      <w:bookmarkStart w:id="9" w:name="_Toc380522433"/>
      <w:r>
        <w:t>2.3.4 Overige studies van het januari effect</w:t>
      </w:r>
      <w:bookmarkEnd w:id="9"/>
    </w:p>
    <w:p w:rsidR="008C6AA7" w:rsidRDefault="008C6AA7" w:rsidP="008C6AA7"/>
    <w:p w:rsidR="008C6AA7" w:rsidRDefault="008C6AA7" w:rsidP="008C6AA7">
      <w:r>
        <w:t xml:space="preserve">Er is de afgelopen decennia veel onderzoek gedaan naar het januari effect in verschillende landen. </w:t>
      </w:r>
      <w:r w:rsidR="00C2187A">
        <w:t>In d</w:t>
      </w:r>
      <w:r w:rsidR="00ED68DD">
        <w:t xml:space="preserve">eze paragraaf is een overzicht gegeven van andere studies naar het januari effect. </w:t>
      </w:r>
    </w:p>
    <w:p w:rsidR="00ED68DD" w:rsidRDefault="00ED68DD" w:rsidP="008C6AA7"/>
    <w:p w:rsidR="008C6AA7" w:rsidRDefault="00C2187A" w:rsidP="008C6AA7">
      <w:r>
        <w:t>Uit</w:t>
      </w:r>
      <w:r w:rsidR="00FD00CA">
        <w:t xml:space="preserve"> het onderzoek van</w:t>
      </w:r>
      <w:r w:rsidR="008C6AA7">
        <w:t xml:space="preserve"> Molller en Zilca</w:t>
      </w:r>
      <w:r w:rsidR="00FD00CA">
        <w:t xml:space="preserve"> uit 2008 naar het januari effect </w:t>
      </w:r>
      <w:r w:rsidR="00B520F8">
        <w:t xml:space="preserve">voor de VS </w:t>
      </w:r>
      <w:r w:rsidR="00FD00CA">
        <w:t xml:space="preserve">bleek </w:t>
      </w:r>
      <w:r w:rsidR="006574F9">
        <w:t xml:space="preserve">dat </w:t>
      </w:r>
      <w:r w:rsidR="006B0346">
        <w:t xml:space="preserve">de dag waarop het hoogste abnormale rendementen behaald is, vervroegd is. Tijdens hun eerste subperiode (1965-1994) was de “piek” op dag 74, maar tijdens de tweede subperiode (1995-2004) was deze piek op dag 16. Ondanks de lagere abnormale rendementen tijdens de tweede helft van januari, zorgen de hogere abnormale rendementen in de eerste helft van januari dat de omvang van het januari effect intact blijft. </w:t>
      </w:r>
      <w:sdt>
        <w:sdtPr>
          <w:id w:val="6201742"/>
          <w:citation/>
        </w:sdtPr>
        <w:sdtContent>
          <w:fldSimple w:instr=" CITATION Mol08 \l 1043 ">
            <w:r w:rsidR="00735B39">
              <w:rPr>
                <w:noProof/>
              </w:rPr>
              <w:t>(Moller &amp; Zilca, 2008)</w:t>
            </w:r>
          </w:fldSimple>
        </w:sdtContent>
      </w:sdt>
      <w:r w:rsidR="006B0346">
        <w:t>.</w:t>
      </w:r>
    </w:p>
    <w:p w:rsidR="006B0346" w:rsidRDefault="006B0346" w:rsidP="008C6AA7"/>
    <w:p w:rsidR="008C6AA7" w:rsidRDefault="000D1BEE" w:rsidP="002D223F">
      <w:r>
        <w:t xml:space="preserve">Haug en Hirschey (2006) ontdekten een januari effect voor de periode 1802-2004 en 1927-2004. </w:t>
      </w:r>
      <w:r w:rsidR="000E06E5">
        <w:t xml:space="preserve">Echter, in dit onderzoek werden de zogenaamde ‘small-cap aandelen’ gebruikt. </w:t>
      </w:r>
      <w:r w:rsidR="0019751C">
        <w:t xml:space="preserve">Dit zijn goedkopere, </w:t>
      </w:r>
      <w:r w:rsidR="0019751C">
        <w:lastRenderedPageBreak/>
        <w:t xml:space="preserve">kleinere bedrijven. </w:t>
      </w:r>
      <w:r w:rsidR="000E06E5">
        <w:t>Voor dit soort aandelen was er tijdens deze periode een januari effect waar te nemen.</w:t>
      </w:r>
    </w:p>
    <w:p w:rsidR="000E06E5" w:rsidRDefault="000E06E5" w:rsidP="002D223F"/>
    <w:p w:rsidR="00436BAD" w:rsidRDefault="009C51F0" w:rsidP="002D223F">
      <w:r>
        <w:t xml:space="preserve">Ook naar </w:t>
      </w:r>
      <w:r w:rsidR="00B82D42">
        <w:t xml:space="preserve">de Braziliaanse aandelenmarkt is onderzoek gedaan. Madureira en Leal (2001) deden onderzoek naar het ‘twist-of-the-Monday effect’. Voor de eerste subperiodes was nog wel een effect te </w:t>
      </w:r>
      <w:r w:rsidR="00744AB9">
        <w:t xml:space="preserve">ontdekken, maar over tijd liep dit terug. </w:t>
      </w:r>
      <w:r w:rsidR="00B82D42">
        <w:t>Voor hun laatste subperiode, 1986-1998, was er geen effect.</w:t>
      </w:r>
      <w:sdt>
        <w:sdtPr>
          <w:id w:val="10057651"/>
          <w:citation/>
        </w:sdtPr>
        <w:sdtContent>
          <w:fldSimple w:instr=" CITATION Mad01 \l 1043 ">
            <w:r w:rsidR="00735B39">
              <w:rPr>
                <w:noProof/>
              </w:rPr>
              <w:t xml:space="preserve"> (Madureira &amp; Leal, 2001)</w:t>
            </w:r>
          </w:fldSimple>
        </w:sdtContent>
      </w:sdt>
      <w:r w:rsidR="00744AB9">
        <w:t>.</w:t>
      </w:r>
      <w:r w:rsidR="001D1A99">
        <w:t xml:space="preserve"> </w:t>
      </w:r>
    </w:p>
    <w:p w:rsidR="00436BAD" w:rsidRDefault="00436BAD" w:rsidP="002D223F"/>
    <w:p w:rsidR="009C51F0" w:rsidRDefault="001D1A99" w:rsidP="002D223F">
      <w:r>
        <w:t xml:space="preserve">In het onderzoek van Agrawal en Tandon (1994) waren verscheidene landen onderzocht, waar onder ook Brazilië. </w:t>
      </w:r>
      <w:r w:rsidR="00436BAD">
        <w:t>Er werden vijf verschillende anomalieën onderzocht: het weekend – effect, het vrijdag-de-dertiende effect, het ‘turn of the month’ effect, het (einde van) december effect en het januari effect. Uit dit onderzoek bleek dat in Brazilië het weekend effect, het december effect</w:t>
      </w:r>
      <w:r w:rsidR="003B14C4">
        <w:t xml:space="preserve">, het vrijdag-de-dertiende effect en het januari effect. De onderzochte periode is 1971-1987. </w:t>
      </w:r>
    </w:p>
    <w:p w:rsidR="0034397B" w:rsidRDefault="0034397B" w:rsidP="002D223F"/>
    <w:p w:rsidR="0034397B" w:rsidRDefault="0034397B" w:rsidP="0034397B">
      <w:r>
        <w:t>Heeft een financi</w:t>
      </w:r>
      <w:r w:rsidRPr="0034397B">
        <w:t>ë</w:t>
      </w:r>
      <w:r>
        <w:t xml:space="preserve">le crisis </w:t>
      </w:r>
      <w:r w:rsidR="00C4419E">
        <w:t>invloed</w:t>
      </w:r>
      <w:r>
        <w:t xml:space="preserve"> op het januari effect? Uit onderzoek blijkt dat een financi</w:t>
      </w:r>
      <w:r w:rsidRPr="0034397B">
        <w:t>ë</w:t>
      </w:r>
      <w:r>
        <w:t xml:space="preserve">le crisis de resultaten van invloed is. Zo </w:t>
      </w:r>
      <w:r w:rsidR="00DC18EA">
        <w:t>heeft een financi</w:t>
      </w:r>
      <w:r w:rsidR="00DC18EA" w:rsidRPr="0034397B">
        <w:t>ë</w:t>
      </w:r>
      <w:r w:rsidR="00DC18EA">
        <w:t xml:space="preserve">le crisis minder invloed op grote bedrijven dan op kleine bedrijven. Ook waren de gemiddelde rendementen in januari negatief tijdens crises. </w:t>
      </w:r>
      <w:sdt>
        <w:sdtPr>
          <w:id w:val="10057652"/>
          <w:citation/>
        </w:sdtPr>
        <w:sdtContent>
          <w:fldSimple w:instr=" CITATION AlR10 \l 1043 ">
            <w:r w:rsidR="00735B39">
              <w:rPr>
                <w:noProof/>
              </w:rPr>
              <w:t>(Al-Rjoub &amp; Alwaked, 2010)</w:t>
            </w:r>
          </w:fldSimple>
        </w:sdtContent>
      </w:sdt>
      <w:r w:rsidR="009C152D">
        <w:t>.</w:t>
      </w:r>
    </w:p>
    <w:p w:rsidR="00ED68DD" w:rsidRDefault="00ED68DD" w:rsidP="0034397B"/>
    <w:p w:rsidR="00ED68DD" w:rsidRDefault="00ED68DD" w:rsidP="0034397B">
      <w:r>
        <w:t xml:space="preserve">De rendementen van de maand januari zijn een graadmeter voor de overige elf maanden van het jaar. Als de rendementen in januari positief zijn, dan is het waarschijnlijk dat in de overige maanden ook positieve, hoge rendementen zullen zijn dan als de rendementen in januari negatief zijn. Indien de rendementen in januari negatief zijn, dan zullen de rendementen negatiever en lager zijn. </w:t>
      </w:r>
      <w:sdt>
        <w:sdtPr>
          <w:id w:val="10057653"/>
          <w:citation/>
        </w:sdtPr>
        <w:sdtContent>
          <w:fldSimple w:instr=" CITATION Coo06 \l 1043 ">
            <w:r w:rsidR="00735B39">
              <w:rPr>
                <w:noProof/>
              </w:rPr>
              <w:t>(Cooper, McConnell, &amp; Ovtchinnikov, 2006)</w:t>
            </w:r>
          </w:fldSimple>
        </w:sdtContent>
      </w:sdt>
      <w:r>
        <w:t xml:space="preserve">. </w:t>
      </w:r>
    </w:p>
    <w:p w:rsidR="009E2D1F" w:rsidRDefault="009E2D1F" w:rsidP="0034397B"/>
    <w:p w:rsidR="009E2D1F" w:rsidRDefault="009E2D1F" w:rsidP="0034397B">
      <w:r>
        <w:t xml:space="preserve">Park en Moskalev (2010) ontdekten dat het januari effect voort komt door </w:t>
      </w:r>
      <w:r w:rsidR="0019751C">
        <w:t>slecht presterende, populaire (‘</w:t>
      </w:r>
      <w:r>
        <w:t>winnende</w:t>
      </w:r>
      <w:r w:rsidR="0019751C">
        <w:t>’</w:t>
      </w:r>
      <w:r>
        <w:t>) aandelen en door goed presterende</w:t>
      </w:r>
      <w:r w:rsidR="0019751C">
        <w:t xml:space="preserve">, </w:t>
      </w:r>
      <w:r w:rsidR="00C4419E">
        <w:t>impopulaire</w:t>
      </w:r>
      <w:r w:rsidR="0019751C">
        <w:t xml:space="preserve"> (‘verliezende’) aandelen. Ook is het januari effect niet uitsluitend voor kleinere, goedkopere aandelen (ook wel ‘small caps’ genoemd). Terwijl het januari effect verdween als de kleinere, goedkopere aandelen uit de data werden gehaald. </w:t>
      </w:r>
    </w:p>
    <w:p w:rsidR="0019751C" w:rsidRDefault="0019751C" w:rsidP="0034397B"/>
    <w:p w:rsidR="0019751C" w:rsidRPr="00E726B0" w:rsidRDefault="00273E2E" w:rsidP="0034397B">
      <w:r w:rsidRPr="00E726B0">
        <w:t>Starks, Yong en Zheng (</w:t>
      </w:r>
      <w:r w:rsidR="00E726B0" w:rsidRPr="00E726B0">
        <w:t xml:space="preserve">2006) </w:t>
      </w:r>
      <w:r w:rsidR="00C4419E" w:rsidRPr="00E726B0">
        <w:t>onderz</w:t>
      </w:r>
      <w:r w:rsidR="00C4419E">
        <w:t>ochten</w:t>
      </w:r>
      <w:r w:rsidR="00E726B0">
        <w:t xml:space="preserve"> een van de oorzaken van het januari effect: Tax loss selling. Zij vonden bewijs dat dit een van de oorzaken is van het januari effect. Ook vonden ze dat abnormale rendementen van obligaties in januari positief gecorreleerd zijn met de handelsvolumes </w:t>
      </w:r>
      <w:r w:rsidR="00E726B0">
        <w:lastRenderedPageBreak/>
        <w:t>aan het einde van het jaar en negatief gecorreleerd met huidige rendementen en die van het voorafgaande jaar.</w:t>
      </w:r>
    </w:p>
    <w:p w:rsidR="002D223F" w:rsidRDefault="002D223F" w:rsidP="00F60B22">
      <w:pPr>
        <w:pStyle w:val="Heading2"/>
      </w:pPr>
      <w:bookmarkStart w:id="10" w:name="_Toc380522434"/>
      <w:r>
        <w:t>2.4 De ontwikkeling van financiële markten</w:t>
      </w:r>
      <w:bookmarkEnd w:id="10"/>
    </w:p>
    <w:p w:rsidR="00A51956" w:rsidRPr="00A51956" w:rsidRDefault="00A51956" w:rsidP="00A51956"/>
    <w:p w:rsidR="002D223F" w:rsidRDefault="002D223F" w:rsidP="002D223F">
      <w:r>
        <w:t xml:space="preserve">In deze paragraaf zal dieper worden ingegaan op de ontwikkeling van financiële markten. Er zal worden bekeken of de ontwikkeling van financiële markten een belangrijke factor is bij het voorspellen en de sterkte van kalenderanomalieën op de aandelenmarkt. </w:t>
      </w:r>
    </w:p>
    <w:p w:rsidR="002D223F" w:rsidRDefault="002D223F" w:rsidP="002D223F"/>
    <w:p w:rsidR="002D223F" w:rsidRDefault="002D223F" w:rsidP="002D223F">
      <w:pPr>
        <w:pStyle w:val="Heading3"/>
      </w:pPr>
      <w:bookmarkStart w:id="11" w:name="_Toc380522435"/>
      <w:r>
        <w:t xml:space="preserve">2.4.1 </w:t>
      </w:r>
      <w:r w:rsidR="00E80A45">
        <w:t>Financiële markten</w:t>
      </w:r>
      <w:bookmarkEnd w:id="11"/>
    </w:p>
    <w:p w:rsidR="00A51956" w:rsidRPr="00A51956" w:rsidRDefault="00A51956" w:rsidP="00A51956"/>
    <w:p w:rsidR="002D223F" w:rsidRDefault="002D223F" w:rsidP="002D223F">
      <w:r>
        <w:t>Is de ontwikkeling van de financiële mark</w:t>
      </w:r>
      <w:r w:rsidR="00472E1F">
        <w:t>ten gerelateerd aan de kalender</w:t>
      </w:r>
      <w:r>
        <w:t>anomalieën? In het verleden is al veel geschreven over de ontwikkeling van financiële markten. Eerst is het belangrijk</w:t>
      </w:r>
      <w:r w:rsidR="003C6B70">
        <w:t>, dat goed wordt uitgelegd</w:t>
      </w:r>
      <w:r>
        <w:t xml:space="preserve"> wat met de ontwikkeling van </w:t>
      </w:r>
      <w:r w:rsidR="003C6B70">
        <w:t>financiële markten wordt bedoeld</w:t>
      </w:r>
      <w:r>
        <w:t>. Economische groei is de stijging van het BBP van een land. Economische groei wordt</w:t>
      </w:r>
      <w:r w:rsidR="003C6B70">
        <w:t xml:space="preserve"> veroorzaakt door drie factoren:</w:t>
      </w:r>
    </w:p>
    <w:p w:rsidR="002D223F" w:rsidRDefault="00472E1F" w:rsidP="002D223F">
      <w:r>
        <w:t>A</w:t>
      </w:r>
      <w:r w:rsidR="002D223F">
        <w:t>llereerst wordt de groei veroorzaakt door grotere hoeveelheden natuurlijke hulpbronnen, menselijke hulpbronnen (personeel) e</w:t>
      </w:r>
      <w:r w:rsidR="003C6B70">
        <w:t>n kapitaal. De tweede factor die</w:t>
      </w:r>
      <w:r w:rsidR="002D223F">
        <w:t xml:space="preserve"> economische groei kan veroorzaken is een verbet</w:t>
      </w:r>
      <w:r w:rsidR="003C6B70">
        <w:t>ering van</w:t>
      </w:r>
      <w:r w:rsidR="002D223F">
        <w:t xml:space="preserve"> de kwaliteit van de hulpbronnen. De laatste factor is technologische vooruitgang. Economische ontwikkeling houdt het proces in waarbij de levensstandaard van een land wordt verhoogd </w:t>
      </w:r>
      <w:sdt>
        <w:sdtPr>
          <w:id w:val="28619057"/>
          <w:citation/>
        </w:sdtPr>
        <w:sdtContent>
          <w:fldSimple w:instr=" CITATION Gra07 \l 1043  ">
            <w:r w:rsidR="00735B39">
              <w:rPr>
                <w:noProof/>
              </w:rPr>
              <w:t>(Grant &amp; Brue, 2007)</w:t>
            </w:r>
          </w:fldSimple>
        </w:sdtContent>
      </w:sdt>
      <w:r w:rsidR="002D223F">
        <w:t>.</w:t>
      </w:r>
    </w:p>
    <w:p w:rsidR="002D223F" w:rsidRDefault="002D223F" w:rsidP="002D223F"/>
    <w:p w:rsidR="002D223F" w:rsidRPr="00DD083E" w:rsidRDefault="002D223F" w:rsidP="002D223F">
      <w:r>
        <w:t>Wat houdt de ontwikkeling van financiële markten precies in? Rajan en Zingales</w:t>
      </w:r>
      <w:r w:rsidR="003C6B70">
        <w:t>.</w:t>
      </w:r>
      <w:r>
        <w:t xml:space="preserve"> Het is te omschrijven als het gemak waarmee het</w:t>
      </w:r>
      <w:r w:rsidR="003C6B70">
        <w:t xml:space="preserve"> voor een bedrijf of individu</w:t>
      </w:r>
      <w:r>
        <w:t xml:space="preserve"> met een project </w:t>
      </w:r>
      <w:r w:rsidR="003C6B70">
        <w:t xml:space="preserve">mogelijk is </w:t>
      </w:r>
      <w:r>
        <w:t>geld te verkrijgen en de zekerheid van rendement voor de belegger.</w:t>
      </w:r>
      <w:r w:rsidR="002E325E">
        <w:t xml:space="preserve"> </w:t>
      </w:r>
      <w:r>
        <w:t xml:space="preserve">De waarde van de onderliggende activa </w:t>
      </w:r>
      <w:r w:rsidR="003C6B70">
        <w:t>bepaalt</w:t>
      </w:r>
      <w:r w:rsidR="00B452C1">
        <w:t xml:space="preserve"> de kans op rendement hierbij </w:t>
      </w:r>
      <w:r w:rsidR="00B452C1" w:rsidRPr="00DD083E">
        <w:t>(Rajan &amp; Zingales, 2003).</w:t>
      </w:r>
    </w:p>
    <w:p w:rsidR="002D223F" w:rsidRDefault="002D223F" w:rsidP="00E80A45">
      <w:pPr>
        <w:pStyle w:val="Heading3"/>
      </w:pPr>
      <w:bookmarkStart w:id="12" w:name="_Toc380522436"/>
      <w:r>
        <w:t>2.4.2</w:t>
      </w:r>
      <w:r w:rsidR="00E80A45">
        <w:t xml:space="preserve"> Indicatoren van de ontwikkeling van de financiële markt</w:t>
      </w:r>
      <w:bookmarkEnd w:id="12"/>
    </w:p>
    <w:p w:rsidR="00A51956" w:rsidRPr="00A51956" w:rsidRDefault="00A51956" w:rsidP="00A51956"/>
    <w:p w:rsidR="00EF50C6" w:rsidRDefault="002D223F" w:rsidP="002D223F">
      <w:r>
        <w:t>De vraag</w:t>
      </w:r>
      <w:r w:rsidR="003C6B70">
        <w:t>,</w:t>
      </w:r>
      <w:r>
        <w:t xml:space="preserve"> wat de invloed is van de ontwikkeling van financiële markten</w:t>
      </w:r>
      <w:r w:rsidR="003C6B70">
        <w:t>,</w:t>
      </w:r>
      <w:r>
        <w:t xml:space="preserve"> houdt mensen al langer bezig. Een bekende econoom die zich met deze vraag bezig hield was Schumpeter. Hij kwam met zijn theorie over economische ontwikkeling. De belangrijkste factor</w:t>
      </w:r>
      <w:r w:rsidR="003C6B70">
        <w:t xml:space="preserve"> die</w:t>
      </w:r>
      <w:r>
        <w:t xml:space="preserve"> economische groei veroorzaakt is de introductie van innovaties. Een belangrijke rol is hierbij weggelegd voor de ondernemer, die de introductie van innovaties</w:t>
      </w:r>
      <w:r w:rsidR="003C6B70">
        <w:t xml:space="preserve"> moet bewerkstelligen</w:t>
      </w:r>
      <w:r>
        <w:t>. Daarnaast stelde Schumpeter</w:t>
      </w:r>
      <w:r w:rsidR="003C6B70">
        <w:t xml:space="preserve">, dat financiële diensten </w:t>
      </w:r>
      <w:r>
        <w:t xml:space="preserve">uiterst belangrijk zijn voor technologische innovaties en de economische ontwikkelingen.   </w:t>
      </w:r>
      <w:sdt>
        <w:sdtPr>
          <w:id w:val="28619056"/>
          <w:citation/>
        </w:sdtPr>
        <w:sdtContent>
          <w:fldSimple w:instr=" CITATION Gra07 \l 1043  ">
            <w:r w:rsidR="00735B39">
              <w:rPr>
                <w:noProof/>
              </w:rPr>
              <w:t>(Grant &amp; Brue, 2007)</w:t>
            </w:r>
          </w:fldSimple>
        </w:sdtContent>
      </w:sdt>
      <w:r>
        <w:t xml:space="preserve">. In andere onderzoeken werd de theorie van Schumpeter verder onderzocht en uitgewerkt. Belangrijke ontdekkingen bij deze studies </w:t>
      </w:r>
      <w:r w:rsidR="00BC0281">
        <w:t>kwamen van</w:t>
      </w:r>
      <w:r w:rsidR="00364FC5">
        <w:t xml:space="preserve"> Rajan</w:t>
      </w:r>
      <w:r w:rsidR="00BC0281">
        <w:t xml:space="preserve"> en Zingales. Zij ontdekten dat</w:t>
      </w:r>
      <w:r w:rsidR="00364FC5">
        <w:t xml:space="preserve"> in</w:t>
      </w:r>
      <w:r w:rsidR="00BC0281">
        <w:t xml:space="preserve">dustriële sectoren waarvoor </w:t>
      </w:r>
      <w:r w:rsidR="00364FC5">
        <w:t>de financiering door externe</w:t>
      </w:r>
      <w:r w:rsidR="00BC0281">
        <w:t xml:space="preserve"> partijen belangrijk is,</w:t>
      </w:r>
      <w:r w:rsidR="00364FC5">
        <w:t xml:space="preserve"> een hogere groei hadden in ontwikkelde landen</w:t>
      </w:r>
      <w:r w:rsidR="006D274B">
        <w:t xml:space="preserve"> (Rajan &amp; Zingales, 1998.</w:t>
      </w:r>
      <w:r w:rsidR="00EF50C6">
        <w:t>.</w:t>
      </w:r>
    </w:p>
    <w:p w:rsidR="00A533A6" w:rsidRDefault="00A533A6" w:rsidP="002D223F"/>
    <w:p w:rsidR="00A533A6" w:rsidRDefault="00A533A6" w:rsidP="002D223F">
      <w:r>
        <w:t xml:space="preserve">King en </w:t>
      </w:r>
      <w:r w:rsidR="00EC3D47">
        <w:t xml:space="preserve">Levine onderzochten in 1993 de theorie van Schumpeter en </w:t>
      </w:r>
      <w:r w:rsidR="00D36AF5">
        <w:t>ondersteunden</w:t>
      </w:r>
      <w:r w:rsidR="00EC3D47">
        <w:t xml:space="preserve"> hierbij de </w:t>
      </w:r>
      <w:r w:rsidR="00D36AF5">
        <w:t xml:space="preserve"> </w:t>
      </w:r>
      <w:r w:rsidR="00EC3D47">
        <w:t xml:space="preserve">theorie van Schumpeter. King en Levine onderzochten 80 landen gedurende de periode 1960-1989. </w:t>
      </w:r>
      <w:r w:rsidR="00A8361B">
        <w:t>Verscheidene indicatoren van de ontwikkeling van de financ</w:t>
      </w:r>
      <w:r w:rsidR="00BC0281">
        <w:t>iële markt waren gerelateerd aan</w:t>
      </w:r>
      <w:r w:rsidR="00A8361B">
        <w:t xml:space="preserve"> de accumulatie van kapitaal, een betere efficiëntie en groei van het BBP.</w:t>
      </w:r>
      <w:r w:rsidR="005B4482">
        <w:t xml:space="preserve"> De indicatoren die in dit onderzoek gebruikt worden zijn:</w:t>
      </w:r>
    </w:p>
    <w:p w:rsidR="005B4482" w:rsidRDefault="005B4482" w:rsidP="002D223F">
      <w:r>
        <w:t>De omvang van de formele financiële instelli</w:t>
      </w:r>
      <w:r w:rsidR="00BC0281">
        <w:t>ng ten opzichte van het BBP, de</w:t>
      </w:r>
      <w:r>
        <w:t xml:space="preserve"> mate van belangrijkheid van banken gerelateerd aan de centrale bank, het percentage krediet toe te kennen aan particuliere bedrijven en als laatste de verhouding van het krediet verstrekt aan particulieren tot het BBP</w:t>
      </w:r>
      <w:r w:rsidR="00D02527">
        <w:t>.</w:t>
      </w:r>
    </w:p>
    <w:p w:rsidR="00EF50C6" w:rsidRDefault="00505FFB" w:rsidP="002D223F">
      <w:sdt>
        <w:sdtPr>
          <w:id w:val="6880029"/>
          <w:citation/>
        </w:sdtPr>
        <w:sdtContent>
          <w:fldSimple w:instr=" CITATION Kin93 \l 1043  ">
            <w:r w:rsidR="00735B39">
              <w:rPr>
                <w:noProof/>
              </w:rPr>
              <w:t>(King &amp; Levine, 1993)</w:t>
            </w:r>
          </w:fldSimple>
        </w:sdtContent>
      </w:sdt>
      <w:r w:rsidR="00B452C1">
        <w:t>.</w:t>
      </w:r>
    </w:p>
    <w:p w:rsidR="00A533A6" w:rsidRDefault="00A533A6" w:rsidP="002D223F"/>
    <w:p w:rsidR="00EF50C6" w:rsidRDefault="00F70908" w:rsidP="002D223F">
      <w:r>
        <w:t>De ontwikkeling van financiële instellinge</w:t>
      </w:r>
      <w:r w:rsidR="00BC0281">
        <w:t>n blijkt</w:t>
      </w:r>
      <w:r>
        <w:t xml:space="preserve"> een grot</w:t>
      </w:r>
      <w:r w:rsidR="00222178">
        <w:t>e</w:t>
      </w:r>
      <w:r>
        <w:t xml:space="preserve">, </w:t>
      </w:r>
      <w:r w:rsidRPr="001D7E77">
        <w:t>significante relatie te hebben met zowel de</w:t>
      </w:r>
      <w:r w:rsidR="00222178" w:rsidRPr="001D7E77">
        <w:t xml:space="preserve"> groei van het</w:t>
      </w:r>
      <w:r w:rsidRPr="001D7E77">
        <w:t xml:space="preserve"> reële BBP per hoofd van de bevolking als de</w:t>
      </w:r>
      <w:r w:rsidR="00222178" w:rsidRPr="001D7E77">
        <w:t xml:space="preserve"> totale factor productiviteit. </w:t>
      </w:r>
      <w:r w:rsidR="00EF50C6" w:rsidRPr="001D7E77">
        <w:t>Daarnaast blijkt de lange termijn relatie tussen de ontwikkeling van financiële instellingen en de fysieke kapita</w:t>
      </w:r>
      <w:r w:rsidR="002E325E">
        <w:t>a</w:t>
      </w:r>
      <w:r w:rsidR="00EF50C6" w:rsidRPr="001D7E77">
        <w:t>l groei en particuliere besparingen zwak te zijn</w:t>
      </w:r>
      <w:r w:rsidR="002E325E">
        <w:t xml:space="preserve"> (Beck, Levine &amp; Loayza, 2000)</w:t>
      </w:r>
      <w:r w:rsidR="006B5AEF" w:rsidRPr="002E325E">
        <w:t>.</w:t>
      </w:r>
    </w:p>
    <w:p w:rsidR="00222178" w:rsidRPr="002E325E" w:rsidRDefault="00222178" w:rsidP="002D223F"/>
    <w:p w:rsidR="00360FA5" w:rsidRDefault="00652C55" w:rsidP="002D223F">
      <w:r>
        <w:t xml:space="preserve">In een ander artikel van Beck, Levine en Loayza uit 2000 </w:t>
      </w:r>
      <w:r w:rsidR="00360FA5">
        <w:t>zijn</w:t>
      </w:r>
      <w:r>
        <w:t xml:space="preserve"> eerst exogene componenten opgesteld van de ontwikkeling van financiële instellingen. Deze exogene componenten zijn: </w:t>
      </w:r>
    </w:p>
    <w:p w:rsidR="007B14BC" w:rsidRDefault="00360FA5" w:rsidP="006E0E15">
      <w:r>
        <w:t xml:space="preserve">De totale omvang van de </w:t>
      </w:r>
      <w:r w:rsidR="00453F1D">
        <w:t>financiële</w:t>
      </w:r>
      <w:r>
        <w:t xml:space="preserve"> instellingen, </w:t>
      </w:r>
      <w:r w:rsidR="00925D90">
        <w:t xml:space="preserve">of </w:t>
      </w:r>
      <w:r>
        <w:t>commerciële bankinstellingen of de centrale bank</w:t>
      </w:r>
      <w:r w:rsidR="00925D90">
        <w:t xml:space="preserve"> hun liquide verplichtingen nakomen en de laatste meet de mate waarin </w:t>
      </w:r>
      <w:r w:rsidR="00453F1D">
        <w:t>financiële</w:t>
      </w:r>
      <w:r w:rsidR="00925D90">
        <w:t xml:space="preserve"> instellingen krediet verlenen aan de private sector.</w:t>
      </w:r>
      <w:r w:rsidR="002E325E">
        <w:t xml:space="preserve"> </w:t>
      </w:r>
      <w:r w:rsidR="00652C55">
        <w:t>Vervolgens werd er gekeken of deze exogene componenten een positieve relatie hebben met economische groei. Uit het onderzoek bleek dat deze exogene componenten een significante, positieve relat</w:t>
      </w:r>
      <w:r w:rsidR="006D274B">
        <w:t>ie met economische groei hebben (Beck, Levine &amp; Loayza, 2000).</w:t>
      </w:r>
    </w:p>
    <w:p w:rsidR="00360FA5" w:rsidRDefault="00360FA5" w:rsidP="002D223F"/>
    <w:p w:rsidR="007B14BC" w:rsidRPr="006D274B" w:rsidRDefault="00877919" w:rsidP="002D223F">
      <w:r w:rsidRPr="00877919">
        <w:t>Levine en Zervos (1998)</w:t>
      </w:r>
      <w:r>
        <w:t xml:space="preserve"> kwamen tot de conclusie</w:t>
      </w:r>
      <w:r w:rsidR="00BC0281">
        <w:t>,</w:t>
      </w:r>
      <w:r>
        <w:t xml:space="preserve"> dat de liquiditeit van de beurs en de ontwikkeling van de banken </w:t>
      </w:r>
      <w:r w:rsidR="006E0E15">
        <w:t xml:space="preserve">een </w:t>
      </w:r>
      <w:r>
        <w:t xml:space="preserve">positief </w:t>
      </w:r>
      <w:r w:rsidR="00AB6A97">
        <w:t xml:space="preserve">economische </w:t>
      </w:r>
      <w:r>
        <w:t>groei, kapitaalaccumulatie en productiviteitsverbeteringen voorspellen.</w:t>
      </w:r>
      <w:r w:rsidR="003B2D8D">
        <w:t xml:space="preserve"> Daarnaast oordelen Levine en Zervos dat de omvang van de beurs, de volatiliteit en internationale integratie geen duidel</w:t>
      </w:r>
      <w:r w:rsidR="007D0B14">
        <w:t xml:space="preserve">ijk verband hebben met de groei. </w:t>
      </w:r>
      <w:sdt>
        <w:sdtPr>
          <w:rPr>
            <w:lang w:val="en-GB"/>
          </w:rPr>
          <w:id w:val="9462725"/>
          <w:citation/>
        </w:sdtPr>
        <w:sdtContent>
          <w:fldSimple w:instr=" CITATION Lev98 \l 1043  ">
            <w:r w:rsidR="00735B39">
              <w:rPr>
                <w:noProof/>
              </w:rPr>
              <w:t>(Levine &amp; Zervos, 1998)</w:t>
            </w:r>
          </w:fldSimple>
        </w:sdtContent>
      </w:sdt>
      <w:r w:rsidR="006D274B" w:rsidRPr="006D274B">
        <w:t>.</w:t>
      </w:r>
    </w:p>
    <w:p w:rsidR="00AB6A97" w:rsidRDefault="00AB6A97"/>
    <w:p w:rsidR="00F238A8" w:rsidRPr="00877919" w:rsidRDefault="002D223F">
      <w:r w:rsidRPr="00877919">
        <w:br w:type="page"/>
      </w:r>
    </w:p>
    <w:p w:rsidR="002D223F" w:rsidRDefault="002D223F" w:rsidP="002D223F">
      <w:pPr>
        <w:pStyle w:val="Heading1"/>
      </w:pPr>
      <w:bookmarkStart w:id="13" w:name="_Toc380522437"/>
      <w:r>
        <w:lastRenderedPageBreak/>
        <w:t>Hoofdstuk 3</w:t>
      </w:r>
      <w:r w:rsidR="007558FD">
        <w:t xml:space="preserve"> –</w:t>
      </w:r>
      <w:r>
        <w:t xml:space="preserve"> Data en Methodologie</w:t>
      </w:r>
      <w:bookmarkEnd w:id="13"/>
    </w:p>
    <w:p w:rsidR="002D223F" w:rsidRDefault="002D223F" w:rsidP="002D223F"/>
    <w:p w:rsidR="002D223F" w:rsidRDefault="002D223F" w:rsidP="002D223F">
      <w:pPr>
        <w:pStyle w:val="Heading2"/>
      </w:pPr>
      <w:bookmarkStart w:id="14" w:name="_Toc380522438"/>
      <w:r>
        <w:t>3.1 Data</w:t>
      </w:r>
      <w:bookmarkEnd w:id="14"/>
    </w:p>
    <w:p w:rsidR="002D223F" w:rsidRDefault="002D223F" w:rsidP="002D223F"/>
    <w:p w:rsidR="002D223F" w:rsidRDefault="002D223F" w:rsidP="002D223F">
      <w:pPr>
        <w:rPr>
          <w:color w:val="000000" w:themeColor="text1"/>
        </w:rPr>
      </w:pPr>
      <w:r>
        <w:t>In deze scriptie worden de datasets van de</w:t>
      </w:r>
      <w:r w:rsidR="004616E7">
        <w:t xml:space="preserve"> landen</w:t>
      </w:r>
      <w:r>
        <w:t xml:space="preserve"> </w:t>
      </w:r>
      <w:r w:rsidR="00820DB6">
        <w:t>Brazilië</w:t>
      </w:r>
      <w:r>
        <w:t>, India en China</w:t>
      </w:r>
      <w:r w:rsidR="004616E7">
        <w:t xml:space="preserve"> besproken</w:t>
      </w:r>
      <w:r>
        <w:t>.</w:t>
      </w:r>
      <w:r>
        <w:rPr>
          <w:color w:val="FF0000"/>
        </w:rPr>
        <w:t xml:space="preserve"> </w:t>
      </w:r>
      <w:r>
        <w:rPr>
          <w:color w:val="000000" w:themeColor="text1"/>
        </w:rPr>
        <w:t xml:space="preserve">Deze landen zijn zogenoemde </w:t>
      </w:r>
      <w:r w:rsidR="00F60B22">
        <w:rPr>
          <w:color w:val="000000" w:themeColor="text1"/>
        </w:rPr>
        <w:t>BRIC landen</w:t>
      </w:r>
      <w:r>
        <w:rPr>
          <w:color w:val="000000" w:themeColor="text1"/>
        </w:rPr>
        <w:t>. Dit zijn landen die tussen de status van ontwikk</w:t>
      </w:r>
      <w:r w:rsidR="004616E7">
        <w:rPr>
          <w:color w:val="000000" w:themeColor="text1"/>
        </w:rPr>
        <w:t>eld land en ontwikkelingsland</w:t>
      </w:r>
      <w:r>
        <w:rPr>
          <w:color w:val="000000" w:themeColor="text1"/>
        </w:rPr>
        <w:t xml:space="preserve"> zitten. Deze landen kunnen nog niet als helemaal ontwikkeld worden beschouwd, maar zijn geen ontwikkelingslanden meer. </w:t>
      </w:r>
    </w:p>
    <w:p w:rsidR="00F02ED7" w:rsidRDefault="00F02ED7" w:rsidP="002D223F">
      <w:pPr>
        <w:rPr>
          <w:color w:val="000000" w:themeColor="text1"/>
        </w:rPr>
      </w:pPr>
    </w:p>
    <w:p w:rsidR="002D223F" w:rsidRDefault="002D223F" w:rsidP="002D223F">
      <w:r>
        <w:t>Als dataset v</w:t>
      </w:r>
      <w:r w:rsidR="004616E7">
        <w:t>oor dit onderzoek wordt gebruik</w:t>
      </w:r>
      <w:r>
        <w:t xml:space="preserve"> gemaakt van de Total Market Returns. Bij de Total Market Returns wordt circa 90% van de Market Index gebruikt. Hierdoor is de dat</w:t>
      </w:r>
      <w:r w:rsidR="004616E7">
        <w:t>aset</w:t>
      </w:r>
      <w:r>
        <w:t xml:space="preserve"> representatief voor de gehele markt en niet zoals bij een gewogen index waar de toonaangevende aandelen representatief zijn. Deze data</w:t>
      </w:r>
      <w:r w:rsidR="004616E7">
        <w:t>set</w:t>
      </w:r>
      <w:r>
        <w:t xml:space="preserve"> is verkregen via </w:t>
      </w:r>
      <w:r w:rsidR="007C7020">
        <w:t xml:space="preserve">Thompson Reuters </w:t>
      </w:r>
      <w:r>
        <w:t xml:space="preserve">Datastream. De slotkoersen zijn van de periode 1 januari 1981 tot 12 maart 2013. De </w:t>
      </w:r>
      <w:r w:rsidR="009A13F8">
        <w:t>rendementen</w:t>
      </w:r>
      <w:r>
        <w:t xml:space="preserve"> zijn berekend als procentuele verandering van de index ten opzichte van de vorige dag. In de data zijn dagen waarin niet werd gehandeld verwijderd. Hierdoor zijn de weekenden, vakantiedagen en andere dagen waarop niet werd gehandeld niet in de data.</w:t>
      </w:r>
      <w:r w:rsidR="00F02ED7" w:rsidRPr="00F02ED7">
        <w:t xml:space="preserve"> </w:t>
      </w:r>
      <w:r w:rsidR="00F02ED7">
        <w:t xml:space="preserve">Voor de landen zijn de gemiddelde veranderingen in </w:t>
      </w:r>
      <w:r w:rsidR="009A13F8">
        <w:t>rendementen</w:t>
      </w:r>
      <w:r w:rsidR="00F02ED7">
        <w:t xml:space="preserve"> per dag berekend.</w:t>
      </w:r>
      <w:r w:rsidR="00F60B22">
        <w:t xml:space="preserve"> </w:t>
      </w:r>
      <w:r w:rsidR="00914912">
        <w:t>Voor ons onderzoek naar het januari effect in China</w:t>
      </w:r>
      <w:r w:rsidR="00453F1D">
        <w:t xml:space="preserve"> worden twee verschillende</w:t>
      </w:r>
      <w:r w:rsidR="00F60B22">
        <w:t xml:space="preserve"> </w:t>
      </w:r>
      <w:r w:rsidR="00914912">
        <w:t>beursindexen</w:t>
      </w:r>
      <w:r w:rsidR="00F60B22">
        <w:t xml:space="preserve"> gebruikt, namelijk de China Shenzhen </w:t>
      </w:r>
      <w:r w:rsidR="00914912">
        <w:t>index</w:t>
      </w:r>
      <w:r w:rsidR="00F60B22">
        <w:t xml:space="preserve"> en de China Shanghai index.</w:t>
      </w:r>
      <w:r w:rsidR="00914912">
        <w:t xml:space="preserve"> </w:t>
      </w:r>
    </w:p>
    <w:p w:rsidR="002D223F" w:rsidRDefault="002D223F" w:rsidP="002D223F"/>
    <w:p w:rsidR="00F02ED7" w:rsidRDefault="00F02ED7" w:rsidP="002D223F">
      <w:r>
        <w:t>In deze scriptie wordt onderzoek gedaan naar</w:t>
      </w:r>
      <w:r w:rsidR="00033BDC">
        <w:t xml:space="preserve"> de periode 1 januari 1995</w:t>
      </w:r>
      <w:r w:rsidR="009A13F8">
        <w:t xml:space="preserve"> tot </w:t>
      </w:r>
      <w:r w:rsidR="00033BDC">
        <w:t>30</w:t>
      </w:r>
      <w:r>
        <w:t xml:space="preserve"> </w:t>
      </w:r>
      <w:r w:rsidR="009A13F8">
        <w:t>november</w:t>
      </w:r>
      <w:r>
        <w:t xml:space="preserve"> 20</w:t>
      </w:r>
      <w:r w:rsidR="009A13F8">
        <w:t>13</w:t>
      </w:r>
      <w:r>
        <w:t>.</w:t>
      </w:r>
    </w:p>
    <w:p w:rsidR="002D223F" w:rsidRDefault="004616E7" w:rsidP="002D223F">
      <w:r>
        <w:t>De data zijn</w:t>
      </w:r>
      <w:r w:rsidR="002D223F">
        <w:t xml:space="preserve"> ingedeeld in twee niet overlappende subperiodes: van 1 januari 199</w:t>
      </w:r>
      <w:r w:rsidR="00033BDC">
        <w:t>5</w:t>
      </w:r>
      <w:r w:rsidR="002D223F">
        <w:t xml:space="preserve"> – 31 december 200</w:t>
      </w:r>
      <w:r w:rsidR="009A13F8">
        <w:t>3</w:t>
      </w:r>
      <w:r w:rsidR="002D223F">
        <w:t xml:space="preserve"> en van 1 januari 200</w:t>
      </w:r>
      <w:r w:rsidR="009A13F8">
        <w:t xml:space="preserve">4 – </w:t>
      </w:r>
      <w:r w:rsidR="00033BDC">
        <w:t>30</w:t>
      </w:r>
      <w:r w:rsidR="002D223F">
        <w:t xml:space="preserve"> </w:t>
      </w:r>
      <w:r w:rsidR="009A13F8">
        <w:t>november</w:t>
      </w:r>
      <w:r>
        <w:t xml:space="preserve"> 20</w:t>
      </w:r>
      <w:r w:rsidR="009A13F8">
        <w:t>13</w:t>
      </w:r>
      <w:r>
        <w:t xml:space="preserve">. </w:t>
      </w:r>
    </w:p>
    <w:p w:rsidR="009A13F8" w:rsidRDefault="009A13F8" w:rsidP="002D223F"/>
    <w:p w:rsidR="00F02ED7" w:rsidRDefault="00F02ED7" w:rsidP="002D223F"/>
    <w:p w:rsidR="00F02ED7" w:rsidRDefault="00F02ED7" w:rsidP="002D223F"/>
    <w:p w:rsidR="007558FD" w:rsidRDefault="007558FD">
      <w:r>
        <w:br w:type="page"/>
      </w:r>
    </w:p>
    <w:p w:rsidR="002D223F" w:rsidRDefault="002D223F" w:rsidP="002D223F">
      <w:pPr>
        <w:pStyle w:val="Heading2"/>
      </w:pPr>
      <w:bookmarkStart w:id="15" w:name="_Toc380522439"/>
      <w:r>
        <w:lastRenderedPageBreak/>
        <w:t>3.</w:t>
      </w:r>
      <w:r w:rsidR="007D0B14">
        <w:t>2</w:t>
      </w:r>
      <w:r>
        <w:t xml:space="preserve"> Methodologie</w:t>
      </w:r>
      <w:bookmarkEnd w:id="15"/>
    </w:p>
    <w:p w:rsidR="00A51956" w:rsidRPr="00A51956" w:rsidRDefault="00A51956" w:rsidP="00A51956"/>
    <w:p w:rsidR="002D223F" w:rsidRDefault="00033BDC" w:rsidP="002D223F">
      <w:r>
        <w:t>1 januari 1995</w:t>
      </w:r>
      <w:r w:rsidR="009A13F8">
        <w:t xml:space="preserve"> – 31 december 2003 en van 1 januari 2004 – </w:t>
      </w:r>
      <w:r>
        <w:t>30</w:t>
      </w:r>
      <w:r w:rsidR="006D274B">
        <w:t xml:space="preserve"> november 2013. </w:t>
      </w:r>
      <w:r w:rsidR="002D223F">
        <w:t>Over de</w:t>
      </w:r>
      <w:r w:rsidR="00F02ED7">
        <w:t xml:space="preserve"> sub</w:t>
      </w:r>
      <w:r w:rsidR="002D223F">
        <w:t>periode</w:t>
      </w:r>
      <w:r w:rsidR="00F02ED7">
        <w:t>s</w:t>
      </w:r>
      <w:r>
        <w:t xml:space="preserve"> 1 januari 1995</w:t>
      </w:r>
      <w:r w:rsidR="009A13F8">
        <w:t xml:space="preserve"> – 31 december 2003</w:t>
      </w:r>
      <w:r w:rsidR="002E0880">
        <w:t xml:space="preserve"> en van 1 januari 2004 – </w:t>
      </w:r>
      <w:r>
        <w:t>30</w:t>
      </w:r>
      <w:r w:rsidR="002D223F">
        <w:t xml:space="preserve"> </w:t>
      </w:r>
      <w:r w:rsidR="002E0880">
        <w:t xml:space="preserve">november </w:t>
      </w:r>
      <w:r w:rsidR="002D223F">
        <w:t>20</w:t>
      </w:r>
      <w:r w:rsidR="002E0880">
        <w:t>13</w:t>
      </w:r>
      <w:r w:rsidR="002D223F">
        <w:t xml:space="preserve"> wordt bekeken of er sprake is van een januari effect. </w:t>
      </w:r>
      <w:r w:rsidR="006D274B">
        <w:t xml:space="preserve">Deze split in de subperiodes is gekozen om twee periodes van gelijke lengte te krijgen. </w:t>
      </w:r>
      <w:r w:rsidR="00F02ED7">
        <w:t>Uit hoofdstuk 1 bleek</w:t>
      </w:r>
      <w:r w:rsidR="004616E7">
        <w:t>,</w:t>
      </w:r>
      <w:r w:rsidR="00F02ED7">
        <w:t xml:space="preserve"> dat volgens het januari effect de </w:t>
      </w:r>
      <w:r w:rsidR="002E0880">
        <w:t>rendementen</w:t>
      </w:r>
      <w:r w:rsidR="00F02ED7">
        <w:t xml:space="preserve"> in januari significant hoger zijn dan in de andere maanden van het jaar. </w:t>
      </w:r>
      <w:r w:rsidR="002D223F">
        <w:t xml:space="preserve">Voor de landen zijn de gemiddelde veranderingen in </w:t>
      </w:r>
      <w:r w:rsidR="002E0880">
        <w:t>rendementen</w:t>
      </w:r>
      <w:r w:rsidR="002D223F">
        <w:t xml:space="preserve"> per dag berekend. Met behulp van een dummyregressie wordt gekeken naar een eventuele significante bijdrage aan de </w:t>
      </w:r>
      <w:r w:rsidR="002E0880">
        <w:t>rendementen</w:t>
      </w:r>
      <w:r w:rsidR="002D223F">
        <w:t xml:space="preserve"> in januari ten opzichte van de andere maande</w:t>
      </w:r>
      <w:r w:rsidR="004616E7">
        <w:t>n</w:t>
      </w:r>
      <w:r w:rsidR="002D223F">
        <w:t>.</w:t>
      </w:r>
      <w:r w:rsidR="00453F1D">
        <w:t xml:space="preserve"> Om dit te</w:t>
      </w:r>
      <w:r w:rsidR="00F02ED7">
        <w:t xml:space="preserve"> onderzoeken is er een dummyregressie gemaakt:</w:t>
      </w:r>
    </w:p>
    <w:p w:rsidR="00311026" w:rsidRDefault="00311026" w:rsidP="002D223F"/>
    <w:p w:rsidR="002D223F" w:rsidRPr="007D0B14" w:rsidRDefault="00505FFB" w:rsidP="002D223F">
      <w:pPr>
        <w:rPr>
          <w:sz w:val="20"/>
        </w:rPr>
      </w:pPr>
      <m:oMathPara>
        <m:oMath>
          <m:sSub>
            <m:sSubPr>
              <m:ctrlPr>
                <w:rPr>
                  <w:rFonts w:ascii="Cambria Math" w:hAnsi="Cambria Math"/>
                  <w:i/>
                  <w:sz w:val="28"/>
                </w:rPr>
              </m:ctrlPr>
            </m:sSubPr>
            <m:e>
              <m:r>
                <w:rPr>
                  <w:rFonts w:ascii="Cambria Math" w:hAnsi="Cambria Math"/>
                  <w:sz w:val="28"/>
                </w:rPr>
                <m:t>Rendementen</m:t>
              </m:r>
            </m:e>
            <m:sub>
              <m:r>
                <w:rPr>
                  <w:rFonts w:ascii="Cambria Math" w:hAnsi="Cambria Math"/>
                  <w:sz w:val="28"/>
                </w:rPr>
                <m:t xml:space="preserve">Land  </m:t>
              </m:r>
            </m:sub>
          </m:sSub>
          <m:r>
            <w:rPr>
              <w:rFonts w:ascii="Cambria Math" w:hAnsi="Cambria Math"/>
              <w:sz w:val="28"/>
            </w:rPr>
            <m:t>= α+β*</m:t>
          </m:r>
          <m:sSub>
            <m:sSubPr>
              <m:ctrlPr>
                <w:rPr>
                  <w:rFonts w:ascii="Cambria Math" w:hAnsi="Cambria Math"/>
                  <w:i/>
                  <w:sz w:val="28"/>
                </w:rPr>
              </m:ctrlPr>
            </m:sSubPr>
            <m:e>
              <m:r>
                <w:rPr>
                  <w:rFonts w:ascii="Cambria Math" w:hAnsi="Cambria Math"/>
                  <w:sz w:val="28"/>
                </w:rPr>
                <m:t>Dummy(τ)</m:t>
              </m:r>
            </m:e>
            <m:sub>
              <m:r>
                <w:rPr>
                  <w:rFonts w:ascii="Cambria Math" w:hAnsi="Cambria Math"/>
                  <w:sz w:val="28"/>
                </w:rPr>
                <m:t>januari</m:t>
              </m:r>
            </m:sub>
          </m:sSub>
          <m:r>
            <w:rPr>
              <w:rFonts w:ascii="Cambria Math" w:hAnsi="Cambria Math"/>
              <w:sz w:val="28"/>
            </w:rPr>
            <m:t>+ε(τ)</m:t>
          </m:r>
        </m:oMath>
      </m:oMathPara>
    </w:p>
    <w:p w:rsidR="00311026" w:rsidRDefault="00311026" w:rsidP="002D223F"/>
    <w:p w:rsidR="00311026" w:rsidRDefault="00505FFB" w:rsidP="00F02ED7">
      <m:oMath>
        <m:sSub>
          <m:sSubPr>
            <m:ctrlPr>
              <w:rPr>
                <w:rFonts w:ascii="Cambria Math" w:hAnsi="Cambria Math"/>
                <w:i/>
              </w:rPr>
            </m:ctrlPr>
          </m:sSubPr>
          <m:e>
            <m:r>
              <w:rPr>
                <w:rFonts w:ascii="Cambria Math" w:hAnsi="Cambria Math"/>
              </w:rPr>
              <m:t>Rendement</m:t>
            </m:r>
          </m:e>
          <m:sub>
            <m:r>
              <w:rPr>
                <w:rFonts w:ascii="Cambria Math" w:hAnsi="Cambria Math"/>
              </w:rPr>
              <m:t>land</m:t>
            </m:r>
          </m:sub>
        </m:sSub>
        <m:r>
          <w:rPr>
            <w:rFonts w:ascii="Cambria Math" w:hAnsi="Cambria Math"/>
          </w:rPr>
          <m:t xml:space="preserve">=De gemiddelde dagelijkse verandering in rendement voor land X </m:t>
        </m:r>
      </m:oMath>
      <w:r w:rsidR="00311026">
        <w:t xml:space="preserve"> </w:t>
      </w:r>
    </w:p>
    <w:p w:rsidR="00311026" w:rsidRDefault="00311026" w:rsidP="00F02ED7">
      <m:oMath>
        <m:r>
          <w:rPr>
            <w:rFonts w:ascii="Cambria Math" w:hAnsi="Cambria Math"/>
          </w:rPr>
          <m:t>α                            = De interceptin de vergelijking</m:t>
        </m:r>
      </m:oMath>
      <w:r>
        <w:t xml:space="preserve"> </w:t>
      </w:r>
    </w:p>
    <w:p w:rsidR="00471695" w:rsidRDefault="00311026" w:rsidP="00F02ED7">
      <m:oMath>
        <m:r>
          <w:rPr>
            <w:rFonts w:ascii="Cambria Math" w:hAnsi="Cambria Math"/>
          </w:rPr>
          <m:t xml:space="preserve">β                            = De  coëfficiënt </m:t>
        </m:r>
      </m:oMath>
      <w:r w:rsidR="004F2EA6">
        <w:t>return voor land x</w:t>
      </w:r>
    </w:p>
    <w:p w:rsidR="004F2EA6" w:rsidRDefault="008F145D" w:rsidP="00F02ED7">
      <m:oMathPara>
        <m:oMathParaPr>
          <m:jc m:val="left"/>
        </m:oMathParaPr>
        <m:oMath>
          <m:r>
            <w:rPr>
              <w:rFonts w:ascii="Cambria Math" w:hAnsi="Cambria Math"/>
            </w:rPr>
            <m:t>ε                            = De foutterm</m:t>
          </m:r>
        </m:oMath>
      </m:oMathPara>
    </w:p>
    <w:p w:rsidR="004F2EA6" w:rsidRDefault="008F145D" w:rsidP="00F02ED7">
      <w:pPr>
        <w:rPr>
          <w:rFonts w:eastAsiaTheme="minorEastAsia"/>
        </w:rPr>
      </w:pPr>
      <m:oMath>
        <m:r>
          <w:rPr>
            <w:rFonts w:ascii="Cambria Math" w:hAnsi="Cambria Math"/>
          </w:rPr>
          <m:t>τ                           = De tijd in dagen</m:t>
        </m:r>
      </m:oMath>
      <w:r>
        <w:rPr>
          <w:rFonts w:eastAsiaTheme="minorEastAsia"/>
        </w:rPr>
        <w:t xml:space="preserve">          </w:t>
      </w:r>
    </w:p>
    <w:p w:rsidR="008F145D" w:rsidRDefault="008F145D" w:rsidP="00F02ED7"/>
    <w:p w:rsidR="00EC2261" w:rsidRDefault="004F2EA6" w:rsidP="00F02ED7">
      <w:r>
        <w:t>De waarde van Dummy januari = 1 voor de maand januari en de waarde van dummy jan</w:t>
      </w:r>
      <w:r w:rsidR="008F145D">
        <w:t xml:space="preserve">uari = 0 voor </w:t>
      </w:r>
      <w:r w:rsidR="00EC2261">
        <w:t>de andere maanden van het jaar</w:t>
      </w:r>
    </w:p>
    <w:p w:rsidR="00EC2261" w:rsidRDefault="00EC2261" w:rsidP="00F02ED7">
      <w:pPr>
        <w:rPr>
          <w:rFonts w:eastAsiaTheme="minorEastAsia"/>
        </w:rPr>
      </w:pPr>
    </w:p>
    <w:p w:rsidR="00EC2261" w:rsidRDefault="00EC2261" w:rsidP="00F02ED7">
      <w:pPr>
        <w:rPr>
          <w:rFonts w:eastAsiaTheme="minorEastAsia"/>
        </w:rPr>
      </w:pPr>
      <w:r>
        <w:rPr>
          <w:rFonts w:eastAsiaTheme="minorEastAsia"/>
        </w:rPr>
        <w:t>Voor het onderzoek worden de volgende hypotheses gesteld:</w:t>
      </w:r>
    </w:p>
    <w:p w:rsidR="004F2EA6" w:rsidRDefault="00EC2261" w:rsidP="00F02ED7">
      <w:r>
        <w:rPr>
          <w:rFonts w:ascii="Cambria Math" w:hAnsi="Cambria Math"/>
        </w:rPr>
        <w:br/>
      </w:r>
      <m:oMathPara>
        <m:oMathParaPr>
          <m:jc m:val="left"/>
        </m:oMathParaPr>
        <m:oMath>
          <m:r>
            <m:rPr>
              <m:sty m:val="p"/>
            </m:rPr>
            <w:rPr>
              <w:rFonts w:ascii="Cambria Math" w:hAnsi="Cambria Math"/>
            </w:rPr>
            <m:t>Η</m:t>
          </m:r>
          <m:r>
            <w:rPr>
              <w:rFonts w:ascii="Cambria Math" w:hAnsi="Cambria Math"/>
            </w:rPr>
            <m:t xml:space="preserve">0=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 0 </m:t>
          </m:r>
        </m:oMath>
      </m:oMathPara>
    </w:p>
    <w:p w:rsidR="004F2EA6" w:rsidRDefault="00EC2261" w:rsidP="00F02ED7">
      <m:oMathPara>
        <m:oMathParaPr>
          <m:jc m:val="left"/>
        </m:oMathParaPr>
        <m:oMath>
          <m:r>
            <m:rPr>
              <m:sty m:val="p"/>
            </m:rPr>
            <w:rPr>
              <w:rFonts w:ascii="Cambria Math" w:hAnsi="Cambria Math"/>
            </w:rPr>
            <m:t>Η</m:t>
          </m:r>
          <m:r>
            <w:rPr>
              <w:rFonts w:ascii="Cambria Math" w:hAnsi="Cambria Math"/>
            </w:rPr>
            <m:t xml:space="preserve">1=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0</m:t>
          </m:r>
        </m:oMath>
      </m:oMathPara>
    </w:p>
    <w:p w:rsidR="008E16B3" w:rsidRDefault="008E16B3" w:rsidP="00F02ED7"/>
    <w:p w:rsidR="00EC2261" w:rsidRDefault="00EC2261" w:rsidP="00F02ED7">
      <w:r>
        <w:t>Hierbij geeft H0 de afwezigheid van het januari effect weer en H1 de aanwezigheid van het januari effect.</w:t>
      </w:r>
    </w:p>
    <w:p w:rsidR="004F2EA6" w:rsidRDefault="004F2EA6" w:rsidP="00F02ED7"/>
    <w:p w:rsidR="00913B2B" w:rsidRDefault="00913B2B" w:rsidP="00F02ED7"/>
    <w:p w:rsidR="002D4AEB" w:rsidRDefault="002D4AEB"/>
    <w:p w:rsidR="007D0B14" w:rsidRDefault="007D0B14"/>
    <w:p w:rsidR="007D0B14" w:rsidRDefault="007D0B14"/>
    <w:tbl>
      <w:tblPr>
        <w:tblW w:w="8280" w:type="dxa"/>
        <w:tblInd w:w="51" w:type="dxa"/>
        <w:tblCellMar>
          <w:left w:w="70" w:type="dxa"/>
          <w:right w:w="70" w:type="dxa"/>
        </w:tblCellMar>
        <w:tblLook w:val="04A0"/>
      </w:tblPr>
      <w:tblGrid>
        <w:gridCol w:w="1841"/>
        <w:gridCol w:w="610"/>
        <w:gridCol w:w="959"/>
        <w:gridCol w:w="1048"/>
        <w:gridCol w:w="1222"/>
        <w:gridCol w:w="1380"/>
        <w:gridCol w:w="1220"/>
      </w:tblGrid>
      <w:tr w:rsidR="002D4AEB" w:rsidRPr="002D4AEB" w:rsidTr="00D25961">
        <w:trPr>
          <w:trHeight w:val="391"/>
        </w:trPr>
        <w:tc>
          <w:tcPr>
            <w:tcW w:w="7060" w:type="dxa"/>
            <w:gridSpan w:val="6"/>
            <w:tcBorders>
              <w:top w:val="single" w:sz="12" w:space="0" w:color="auto"/>
              <w:left w:val="single" w:sz="12" w:space="0" w:color="auto"/>
              <w:bottom w:val="nil"/>
              <w:right w:val="nil"/>
            </w:tcBorders>
            <w:shd w:val="clear" w:color="auto" w:fill="auto"/>
            <w:noWrap/>
            <w:vAlign w:val="bottom"/>
            <w:hideMark/>
          </w:tcPr>
          <w:p w:rsidR="002D4AEB" w:rsidRPr="002D4AEB" w:rsidRDefault="002D4AEB" w:rsidP="00D25961">
            <w:pPr>
              <w:spacing w:line="240" w:lineRule="auto"/>
              <w:jc w:val="left"/>
              <w:rPr>
                <w:rFonts w:ascii="Calibri" w:eastAsia="Times New Roman" w:hAnsi="Calibri" w:cs="Times New Roman"/>
                <w:color w:val="000000"/>
                <w:sz w:val="32"/>
                <w:szCs w:val="32"/>
                <w:lang w:eastAsia="nl-NL"/>
              </w:rPr>
            </w:pPr>
            <w:r w:rsidRPr="00D25961">
              <w:rPr>
                <w:rFonts w:ascii="Calibri" w:eastAsia="Times New Roman" w:hAnsi="Calibri" w:cs="Times New Roman"/>
                <w:color w:val="000000"/>
                <w:sz w:val="28"/>
                <w:szCs w:val="32"/>
                <w:lang w:eastAsia="nl-NL"/>
              </w:rPr>
              <w:lastRenderedPageBreak/>
              <w:t>Tabel 2</w:t>
            </w:r>
            <w:r w:rsidR="008F36DA" w:rsidRPr="00D25961">
              <w:rPr>
                <w:rFonts w:ascii="Calibri" w:eastAsia="Times New Roman" w:hAnsi="Calibri" w:cs="Times New Roman"/>
                <w:color w:val="000000"/>
                <w:sz w:val="28"/>
                <w:szCs w:val="32"/>
                <w:lang w:eastAsia="nl-NL"/>
              </w:rPr>
              <w:t>.</w:t>
            </w:r>
            <w:r w:rsidRPr="00D25961">
              <w:rPr>
                <w:rFonts w:ascii="Calibri" w:eastAsia="Times New Roman" w:hAnsi="Calibri" w:cs="Times New Roman"/>
                <w:color w:val="000000"/>
                <w:sz w:val="28"/>
                <w:szCs w:val="32"/>
                <w:lang w:eastAsia="nl-NL"/>
              </w:rPr>
              <w:t xml:space="preserve"> Beschrijvende statistieken van dagelijkse </w:t>
            </w:r>
            <w:r w:rsidR="00D25961" w:rsidRPr="00D25961">
              <w:rPr>
                <w:rFonts w:ascii="Calibri" w:eastAsia="Times New Roman" w:hAnsi="Calibri" w:cs="Times New Roman"/>
                <w:color w:val="000000"/>
                <w:sz w:val="28"/>
                <w:szCs w:val="32"/>
                <w:lang w:eastAsia="nl-NL"/>
              </w:rPr>
              <w:t>d</w:t>
            </w:r>
            <w:r w:rsidRPr="00D25961">
              <w:rPr>
                <w:rFonts w:ascii="Calibri" w:eastAsia="Times New Roman" w:hAnsi="Calibri" w:cs="Times New Roman"/>
                <w:color w:val="000000"/>
                <w:sz w:val="28"/>
                <w:szCs w:val="32"/>
                <w:lang w:eastAsia="nl-NL"/>
              </w:rPr>
              <w:t>ata</w:t>
            </w:r>
          </w:p>
        </w:tc>
        <w:tc>
          <w:tcPr>
            <w:tcW w:w="1220" w:type="dxa"/>
            <w:tcBorders>
              <w:top w:val="single" w:sz="12" w:space="0" w:color="auto"/>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sz w:val="32"/>
                <w:szCs w:val="32"/>
                <w:lang w:eastAsia="nl-NL"/>
              </w:rPr>
            </w:pPr>
            <w:r w:rsidRPr="002D4AEB">
              <w:rPr>
                <w:rFonts w:ascii="Calibri" w:eastAsia="Times New Roman" w:hAnsi="Calibri" w:cs="Times New Roman"/>
                <w:color w:val="000000"/>
                <w:sz w:val="32"/>
                <w:szCs w:val="32"/>
                <w:lang w:eastAsia="nl-NL"/>
              </w:rPr>
              <w:t> </w:t>
            </w:r>
          </w:p>
        </w:tc>
      </w:tr>
      <w:tr w:rsidR="002D4AEB" w:rsidRPr="002D4AEB" w:rsidTr="00D25961">
        <w:trPr>
          <w:trHeight w:val="95"/>
        </w:trPr>
        <w:tc>
          <w:tcPr>
            <w:tcW w:w="1841" w:type="dxa"/>
            <w:tcBorders>
              <w:top w:val="nil"/>
              <w:left w:val="single" w:sz="12" w:space="0" w:color="auto"/>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15"/>
        </w:trPr>
        <w:tc>
          <w:tcPr>
            <w:tcW w:w="1841" w:type="dxa"/>
            <w:tcBorders>
              <w:top w:val="single" w:sz="12" w:space="0" w:color="auto"/>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Country</w:t>
            </w:r>
          </w:p>
        </w:tc>
        <w:tc>
          <w:tcPr>
            <w:tcW w:w="610" w:type="dxa"/>
            <w:tcBorders>
              <w:top w:val="single" w:sz="12" w:space="0" w:color="auto"/>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N</w:t>
            </w:r>
          </w:p>
        </w:tc>
        <w:tc>
          <w:tcPr>
            <w:tcW w:w="959" w:type="dxa"/>
            <w:tcBorders>
              <w:top w:val="single" w:sz="12" w:space="0" w:color="auto"/>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Mean</w:t>
            </w:r>
          </w:p>
        </w:tc>
        <w:tc>
          <w:tcPr>
            <w:tcW w:w="1048" w:type="dxa"/>
            <w:tcBorders>
              <w:top w:val="single" w:sz="12" w:space="0" w:color="auto"/>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Std, Dev,</w:t>
            </w:r>
          </w:p>
        </w:tc>
        <w:tc>
          <w:tcPr>
            <w:tcW w:w="1222" w:type="dxa"/>
            <w:tcBorders>
              <w:top w:val="single" w:sz="12" w:space="0" w:color="auto"/>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Skewness</w:t>
            </w:r>
          </w:p>
        </w:tc>
        <w:tc>
          <w:tcPr>
            <w:tcW w:w="1380" w:type="dxa"/>
            <w:tcBorders>
              <w:top w:val="single" w:sz="12" w:space="0" w:color="auto"/>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Kurtois</w:t>
            </w:r>
          </w:p>
        </w:tc>
        <w:tc>
          <w:tcPr>
            <w:tcW w:w="1220" w:type="dxa"/>
            <w:tcBorders>
              <w:top w:val="single" w:sz="12" w:space="0" w:color="auto"/>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Jarque-Bera</w:t>
            </w:r>
          </w:p>
        </w:tc>
      </w:tr>
      <w:tr w:rsidR="002D4AEB" w:rsidRPr="002D4AEB" w:rsidTr="002D4AEB">
        <w:trPr>
          <w:trHeight w:val="315"/>
        </w:trPr>
        <w:tc>
          <w:tcPr>
            <w:tcW w:w="1841" w:type="dxa"/>
            <w:tcBorders>
              <w:top w:val="nil"/>
              <w:left w:val="single" w:sz="12" w:space="0" w:color="auto"/>
              <w:bottom w:val="single" w:sz="12" w:space="0" w:color="auto"/>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610"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380"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0" w:type="dxa"/>
            <w:tcBorders>
              <w:top w:val="nil"/>
              <w:left w:val="nil"/>
              <w:bottom w:val="single" w:sz="12" w:space="0" w:color="auto"/>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15"/>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54671E" w:rsidP="002D4AEB">
            <w:pPr>
              <w:spacing w:line="240" w:lineRule="auto"/>
              <w:jc w:val="left"/>
              <w:rPr>
                <w:rFonts w:ascii="Calibri" w:eastAsia="Times New Roman" w:hAnsi="Calibri" w:cs="Times New Roman"/>
                <w:color w:val="000000"/>
                <w:lang w:eastAsia="nl-NL"/>
              </w:rPr>
            </w:pPr>
            <w:r>
              <w:rPr>
                <w:rFonts w:ascii="Calibri" w:eastAsia="Times New Roman" w:hAnsi="Calibri" w:cs="Times New Roman"/>
                <w:color w:val="000000"/>
                <w:lang w:eastAsia="nl-NL"/>
              </w:rPr>
              <w:t>Brazilië</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4938</w:t>
            </w: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0,00068</w:t>
            </w: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0,0160</w:t>
            </w:r>
          </w:p>
        </w:tc>
        <w:tc>
          <w:tcPr>
            <w:tcW w:w="1222" w:type="dxa"/>
            <w:tcBorders>
              <w:top w:val="nil"/>
              <w:left w:val="nil"/>
              <w:bottom w:val="nil"/>
              <w:right w:val="nil"/>
            </w:tcBorders>
            <w:shd w:val="clear" w:color="auto" w:fill="auto"/>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0,4556</w:t>
            </w: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1602304,00</w:t>
            </w: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35065,96</w:t>
            </w:r>
          </w:p>
        </w:tc>
      </w:tr>
      <w:tr w:rsidR="002D4AEB" w:rsidRPr="002D4AEB" w:rsidTr="002D4AEB">
        <w:trPr>
          <w:trHeight w:val="315"/>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1995-2013</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single" w:sz="8" w:space="0" w:color="auto"/>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India</w:t>
            </w:r>
          </w:p>
        </w:tc>
        <w:tc>
          <w:tcPr>
            <w:tcW w:w="61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4938</w:t>
            </w:r>
          </w:p>
        </w:tc>
        <w:tc>
          <w:tcPr>
            <w:tcW w:w="959"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0,00053</w:t>
            </w:r>
          </w:p>
        </w:tc>
        <w:tc>
          <w:tcPr>
            <w:tcW w:w="1048"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0,0155</w:t>
            </w:r>
          </w:p>
        </w:tc>
        <w:tc>
          <w:tcPr>
            <w:tcW w:w="1222"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-0,1101</w:t>
            </w:r>
          </w:p>
        </w:tc>
        <w:tc>
          <w:tcPr>
            <w:tcW w:w="138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9953923,00</w:t>
            </w:r>
          </w:p>
        </w:tc>
        <w:tc>
          <w:tcPr>
            <w:tcW w:w="1220" w:type="dxa"/>
            <w:tcBorders>
              <w:top w:val="single" w:sz="8" w:space="0" w:color="auto"/>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9959,43</w:t>
            </w:r>
          </w:p>
        </w:tc>
      </w:tr>
      <w:tr w:rsidR="002D4AEB" w:rsidRPr="002D4AEB" w:rsidTr="002D4AEB">
        <w:trPr>
          <w:trHeight w:val="315"/>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1995-2013</w:t>
            </w:r>
          </w:p>
        </w:tc>
        <w:tc>
          <w:tcPr>
            <w:tcW w:w="61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single" w:sz="8" w:space="0" w:color="auto"/>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China Shenzhen</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4553</w:t>
            </w: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0,00064</w:t>
            </w: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0,0197</w:t>
            </w:r>
          </w:p>
        </w:tc>
        <w:tc>
          <w:tcPr>
            <w:tcW w:w="1222"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0,2849</w:t>
            </w:r>
          </w:p>
        </w:tc>
        <w:tc>
          <w:tcPr>
            <w:tcW w:w="138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1709985,00</w:t>
            </w:r>
          </w:p>
        </w:tc>
        <w:tc>
          <w:tcPr>
            <w:tcW w:w="1220" w:type="dxa"/>
            <w:tcBorders>
              <w:top w:val="single" w:sz="8" w:space="0" w:color="auto"/>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37776,74</w:t>
            </w:r>
          </w:p>
        </w:tc>
      </w:tr>
      <w:tr w:rsidR="002D4AEB" w:rsidRPr="002D4AEB" w:rsidTr="002D4AEB">
        <w:trPr>
          <w:trHeight w:val="315"/>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1995-2013</w:t>
            </w:r>
          </w:p>
        </w:tc>
        <w:tc>
          <w:tcPr>
            <w:tcW w:w="61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38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0" w:type="dxa"/>
            <w:tcBorders>
              <w:top w:val="nil"/>
              <w:left w:val="nil"/>
              <w:bottom w:val="single" w:sz="8" w:space="0" w:color="auto"/>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single" w:sz="8" w:space="0" w:color="auto"/>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China Shanghai</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4587</w:t>
            </w: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0,00044</w:t>
            </w: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0,0183</w:t>
            </w: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0,9590</w:t>
            </w: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2612215,00</w:t>
            </w: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102885,10</w:t>
            </w:r>
          </w:p>
        </w:tc>
      </w:tr>
      <w:tr w:rsidR="002D4AEB" w:rsidRPr="002D4AEB" w:rsidTr="002D4AEB">
        <w:trPr>
          <w:trHeight w:val="315"/>
        </w:trPr>
        <w:tc>
          <w:tcPr>
            <w:tcW w:w="1841" w:type="dxa"/>
            <w:tcBorders>
              <w:top w:val="nil"/>
              <w:left w:val="single" w:sz="12" w:space="0" w:color="auto"/>
              <w:bottom w:val="single" w:sz="8" w:space="0" w:color="auto"/>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1995-2013</w:t>
            </w:r>
          </w:p>
        </w:tc>
        <w:tc>
          <w:tcPr>
            <w:tcW w:w="61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38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0" w:type="dxa"/>
            <w:tcBorders>
              <w:top w:val="nil"/>
              <w:left w:val="nil"/>
              <w:bottom w:val="single" w:sz="8" w:space="0" w:color="auto"/>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15"/>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single" w:sz="8" w:space="0" w:color="auto"/>
              <w:left w:val="single" w:sz="12" w:space="0" w:color="auto"/>
              <w:bottom w:val="nil"/>
              <w:right w:val="single" w:sz="8" w:space="0" w:color="auto"/>
            </w:tcBorders>
            <w:shd w:val="clear" w:color="auto" w:fill="auto"/>
            <w:noWrap/>
            <w:vAlign w:val="bottom"/>
            <w:hideMark/>
          </w:tcPr>
          <w:p w:rsidR="002D4AEB" w:rsidRPr="002D4AEB" w:rsidRDefault="0054671E" w:rsidP="002D4AEB">
            <w:pPr>
              <w:spacing w:line="240" w:lineRule="auto"/>
              <w:jc w:val="left"/>
              <w:rPr>
                <w:rFonts w:ascii="Calibri" w:eastAsia="Times New Roman" w:hAnsi="Calibri" w:cs="Times New Roman"/>
                <w:color w:val="000000"/>
                <w:lang w:eastAsia="nl-NL"/>
              </w:rPr>
            </w:pPr>
            <w:r>
              <w:rPr>
                <w:rFonts w:ascii="Calibri" w:eastAsia="Times New Roman" w:hAnsi="Calibri" w:cs="Times New Roman"/>
                <w:color w:val="000000"/>
                <w:lang w:eastAsia="nl-NL"/>
              </w:rPr>
              <w:t>Brazilië</w:t>
            </w:r>
          </w:p>
        </w:tc>
        <w:tc>
          <w:tcPr>
            <w:tcW w:w="61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2348</w:t>
            </w:r>
          </w:p>
        </w:tc>
        <w:tc>
          <w:tcPr>
            <w:tcW w:w="959"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0,00075</w:t>
            </w:r>
          </w:p>
        </w:tc>
        <w:tc>
          <w:tcPr>
            <w:tcW w:w="1048"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0,0155</w:t>
            </w:r>
          </w:p>
        </w:tc>
        <w:tc>
          <w:tcPr>
            <w:tcW w:w="1222"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-0,0219</w:t>
            </w:r>
          </w:p>
        </w:tc>
        <w:tc>
          <w:tcPr>
            <w:tcW w:w="138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1900088,00</w:t>
            </w:r>
          </w:p>
        </w:tc>
        <w:tc>
          <w:tcPr>
            <w:tcW w:w="1220" w:type="dxa"/>
            <w:tcBorders>
              <w:top w:val="single" w:sz="8" w:space="0" w:color="auto"/>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25280,93</w:t>
            </w:r>
          </w:p>
        </w:tc>
      </w:tr>
      <w:tr w:rsidR="002D4AEB" w:rsidRPr="002D4AEB" w:rsidTr="002D4AEB">
        <w:trPr>
          <w:trHeight w:val="315"/>
        </w:trPr>
        <w:tc>
          <w:tcPr>
            <w:tcW w:w="1841" w:type="dxa"/>
            <w:tcBorders>
              <w:top w:val="nil"/>
              <w:left w:val="single" w:sz="12" w:space="0" w:color="auto"/>
              <w:bottom w:val="single" w:sz="8" w:space="0" w:color="auto"/>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1995-2003</w:t>
            </w:r>
          </w:p>
        </w:tc>
        <w:tc>
          <w:tcPr>
            <w:tcW w:w="61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38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0" w:type="dxa"/>
            <w:tcBorders>
              <w:top w:val="nil"/>
              <w:left w:val="nil"/>
              <w:bottom w:val="single" w:sz="8" w:space="0" w:color="auto"/>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India</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2348</w:t>
            </w: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0,00047</w:t>
            </w: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0,0161</w:t>
            </w: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0,1395</w:t>
            </w: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6473704,00</w:t>
            </w: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1.181</w:t>
            </w:r>
          </w:p>
        </w:tc>
      </w:tr>
      <w:tr w:rsidR="002D4AEB" w:rsidRPr="002D4AEB" w:rsidTr="002D4AEB">
        <w:trPr>
          <w:trHeight w:val="315"/>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1995-2003</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single" w:sz="8" w:space="0" w:color="auto"/>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China Shenzhen</w:t>
            </w:r>
          </w:p>
        </w:tc>
        <w:tc>
          <w:tcPr>
            <w:tcW w:w="61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2153</w:t>
            </w:r>
          </w:p>
        </w:tc>
        <w:tc>
          <w:tcPr>
            <w:tcW w:w="959"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0,00067</w:t>
            </w:r>
          </w:p>
        </w:tc>
        <w:tc>
          <w:tcPr>
            <w:tcW w:w="1048"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0,0206</w:t>
            </w:r>
          </w:p>
        </w:tc>
        <w:tc>
          <w:tcPr>
            <w:tcW w:w="1222"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0,8033</w:t>
            </w:r>
          </w:p>
        </w:tc>
        <w:tc>
          <w:tcPr>
            <w:tcW w:w="138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2589436,00</w:t>
            </w:r>
          </w:p>
        </w:tc>
        <w:tc>
          <w:tcPr>
            <w:tcW w:w="1220" w:type="dxa"/>
            <w:tcBorders>
              <w:top w:val="single" w:sz="8" w:space="0" w:color="auto"/>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47252,30</w:t>
            </w:r>
          </w:p>
        </w:tc>
      </w:tr>
      <w:tr w:rsidR="002D4AEB" w:rsidRPr="002D4AEB" w:rsidTr="002D4AEB">
        <w:trPr>
          <w:trHeight w:val="315"/>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1995-2003</w:t>
            </w:r>
          </w:p>
        </w:tc>
        <w:tc>
          <w:tcPr>
            <w:tcW w:w="61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38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0" w:type="dxa"/>
            <w:tcBorders>
              <w:top w:val="nil"/>
              <w:left w:val="nil"/>
              <w:bottom w:val="single" w:sz="8" w:space="0" w:color="auto"/>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single" w:sz="8" w:space="0" w:color="auto"/>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China Shanghai</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2183</w:t>
            </w: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0,00058</w:t>
            </w: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0,0196</w:t>
            </w: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1,7240</w:t>
            </w: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3740157,00</w:t>
            </w: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108727,70</w:t>
            </w:r>
          </w:p>
        </w:tc>
      </w:tr>
      <w:tr w:rsidR="002D4AEB" w:rsidRPr="002D4AEB" w:rsidTr="002D4AEB">
        <w:trPr>
          <w:trHeight w:val="315"/>
        </w:trPr>
        <w:tc>
          <w:tcPr>
            <w:tcW w:w="1841" w:type="dxa"/>
            <w:tcBorders>
              <w:top w:val="nil"/>
              <w:left w:val="single" w:sz="12" w:space="0" w:color="auto"/>
              <w:bottom w:val="single" w:sz="8" w:space="0" w:color="auto"/>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1995-2003</w:t>
            </w:r>
          </w:p>
        </w:tc>
        <w:tc>
          <w:tcPr>
            <w:tcW w:w="61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38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0" w:type="dxa"/>
            <w:tcBorders>
              <w:top w:val="nil"/>
              <w:left w:val="nil"/>
              <w:bottom w:val="single" w:sz="8" w:space="0" w:color="auto"/>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15"/>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single" w:sz="8" w:space="0" w:color="auto"/>
              <w:left w:val="single" w:sz="12" w:space="0" w:color="auto"/>
              <w:bottom w:val="nil"/>
              <w:right w:val="single" w:sz="8" w:space="0" w:color="auto"/>
            </w:tcBorders>
            <w:shd w:val="clear" w:color="auto" w:fill="auto"/>
            <w:noWrap/>
            <w:vAlign w:val="bottom"/>
            <w:hideMark/>
          </w:tcPr>
          <w:p w:rsidR="002D4AEB" w:rsidRPr="002D4AEB" w:rsidRDefault="0054671E" w:rsidP="002D4AEB">
            <w:pPr>
              <w:spacing w:line="240" w:lineRule="auto"/>
              <w:jc w:val="left"/>
              <w:rPr>
                <w:rFonts w:ascii="Calibri" w:eastAsia="Times New Roman" w:hAnsi="Calibri" w:cs="Times New Roman"/>
                <w:color w:val="000000"/>
                <w:lang w:eastAsia="nl-NL"/>
              </w:rPr>
            </w:pPr>
            <w:r>
              <w:rPr>
                <w:rFonts w:ascii="Calibri" w:eastAsia="Times New Roman" w:hAnsi="Calibri" w:cs="Times New Roman"/>
                <w:color w:val="000000"/>
                <w:lang w:eastAsia="nl-NL"/>
              </w:rPr>
              <w:t>Brazilië</w:t>
            </w:r>
          </w:p>
        </w:tc>
        <w:tc>
          <w:tcPr>
            <w:tcW w:w="61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2587</w:t>
            </w:r>
          </w:p>
        </w:tc>
        <w:tc>
          <w:tcPr>
            <w:tcW w:w="959"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0,00063</w:t>
            </w:r>
          </w:p>
        </w:tc>
        <w:tc>
          <w:tcPr>
            <w:tcW w:w="1048"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0,0146</w:t>
            </w:r>
          </w:p>
        </w:tc>
        <w:tc>
          <w:tcPr>
            <w:tcW w:w="1222"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-0,0498</w:t>
            </w:r>
          </w:p>
        </w:tc>
        <w:tc>
          <w:tcPr>
            <w:tcW w:w="138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9214214,00</w:t>
            </w:r>
          </w:p>
        </w:tc>
        <w:tc>
          <w:tcPr>
            <w:tcW w:w="1220" w:type="dxa"/>
            <w:tcBorders>
              <w:top w:val="single" w:sz="8" w:space="0" w:color="auto"/>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4163,60</w:t>
            </w:r>
          </w:p>
        </w:tc>
      </w:tr>
      <w:tr w:rsidR="002D4AEB" w:rsidRPr="002D4AEB" w:rsidTr="002D4AEB">
        <w:trPr>
          <w:trHeight w:val="315"/>
        </w:trPr>
        <w:tc>
          <w:tcPr>
            <w:tcW w:w="1841" w:type="dxa"/>
            <w:tcBorders>
              <w:top w:val="nil"/>
              <w:left w:val="single" w:sz="12" w:space="0" w:color="auto"/>
              <w:bottom w:val="single" w:sz="8" w:space="0" w:color="auto"/>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2004-2013</w:t>
            </w:r>
          </w:p>
        </w:tc>
        <w:tc>
          <w:tcPr>
            <w:tcW w:w="61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38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0" w:type="dxa"/>
            <w:tcBorders>
              <w:top w:val="nil"/>
              <w:left w:val="nil"/>
              <w:bottom w:val="single" w:sz="8" w:space="0" w:color="auto"/>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India</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2587</w:t>
            </w: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0,00058</w:t>
            </w: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0,0156</w:t>
            </w: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-0,1881</w:t>
            </w: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1297811,00</w:t>
            </w: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10747,27</w:t>
            </w:r>
          </w:p>
        </w:tc>
      </w:tr>
      <w:tr w:rsidR="002D4AEB" w:rsidRPr="002D4AEB" w:rsidTr="002D4AEB">
        <w:trPr>
          <w:trHeight w:val="315"/>
        </w:trPr>
        <w:tc>
          <w:tcPr>
            <w:tcW w:w="1841" w:type="dxa"/>
            <w:tcBorders>
              <w:top w:val="nil"/>
              <w:left w:val="single" w:sz="12" w:space="0" w:color="auto"/>
              <w:bottom w:val="single" w:sz="8" w:space="0" w:color="auto"/>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2004-2013</w:t>
            </w:r>
          </w:p>
        </w:tc>
        <w:tc>
          <w:tcPr>
            <w:tcW w:w="61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380" w:type="dxa"/>
            <w:tcBorders>
              <w:top w:val="nil"/>
              <w:left w:val="nil"/>
              <w:bottom w:val="single" w:sz="8"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0" w:type="dxa"/>
            <w:tcBorders>
              <w:top w:val="nil"/>
              <w:left w:val="nil"/>
              <w:bottom w:val="single" w:sz="8" w:space="0" w:color="auto"/>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00"/>
        </w:trPr>
        <w:tc>
          <w:tcPr>
            <w:tcW w:w="1841" w:type="dxa"/>
            <w:tcBorders>
              <w:top w:val="nil"/>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China Shenzhen</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2400</w:t>
            </w: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0,00061</w:t>
            </w: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0,0188</w:t>
            </w: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-0,3205</w:t>
            </w: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5650478,00</w:t>
            </w: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7435895,00</w:t>
            </w:r>
          </w:p>
        </w:tc>
      </w:tr>
      <w:tr w:rsidR="002D4AEB" w:rsidRPr="002D4AEB" w:rsidTr="002D4AEB">
        <w:trPr>
          <w:trHeight w:val="315"/>
        </w:trPr>
        <w:tc>
          <w:tcPr>
            <w:tcW w:w="1841" w:type="dxa"/>
            <w:tcBorders>
              <w:top w:val="nil"/>
              <w:left w:val="single" w:sz="12" w:space="0" w:color="auto"/>
              <w:bottom w:val="single" w:sz="12" w:space="0" w:color="auto"/>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2004-2013</w:t>
            </w:r>
          </w:p>
        </w:tc>
        <w:tc>
          <w:tcPr>
            <w:tcW w:w="61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959"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048"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2"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380" w:type="dxa"/>
            <w:tcBorders>
              <w:top w:val="nil"/>
              <w:left w:val="nil"/>
              <w:bottom w:val="nil"/>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p>
        </w:tc>
        <w:tc>
          <w:tcPr>
            <w:tcW w:w="1220" w:type="dxa"/>
            <w:tcBorders>
              <w:top w:val="nil"/>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r w:rsidR="002D4AEB" w:rsidRPr="002D4AEB" w:rsidTr="002D4AEB">
        <w:trPr>
          <w:trHeight w:val="315"/>
        </w:trPr>
        <w:tc>
          <w:tcPr>
            <w:tcW w:w="1841" w:type="dxa"/>
            <w:tcBorders>
              <w:top w:val="single" w:sz="8" w:space="0" w:color="auto"/>
              <w:left w:val="single" w:sz="12" w:space="0" w:color="auto"/>
              <w:bottom w:val="nil"/>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China Shanghai</w:t>
            </w:r>
          </w:p>
        </w:tc>
        <w:tc>
          <w:tcPr>
            <w:tcW w:w="61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2404</w:t>
            </w:r>
          </w:p>
        </w:tc>
        <w:tc>
          <w:tcPr>
            <w:tcW w:w="959"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0,00031</w:t>
            </w:r>
          </w:p>
        </w:tc>
        <w:tc>
          <w:tcPr>
            <w:tcW w:w="1048"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0,0169</w:t>
            </w:r>
          </w:p>
        </w:tc>
        <w:tc>
          <w:tcPr>
            <w:tcW w:w="1222"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-0,1400</w:t>
            </w:r>
          </w:p>
        </w:tc>
        <w:tc>
          <w:tcPr>
            <w:tcW w:w="1380" w:type="dxa"/>
            <w:tcBorders>
              <w:top w:val="single" w:sz="8" w:space="0" w:color="auto"/>
              <w:left w:val="nil"/>
              <w:bottom w:val="nil"/>
              <w:right w:val="nil"/>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6328571,00</w:t>
            </w:r>
          </w:p>
        </w:tc>
        <w:tc>
          <w:tcPr>
            <w:tcW w:w="1220" w:type="dxa"/>
            <w:tcBorders>
              <w:top w:val="single" w:sz="8" w:space="0" w:color="auto"/>
              <w:left w:val="nil"/>
              <w:bottom w:val="nil"/>
              <w:right w:val="single" w:sz="12" w:space="0" w:color="auto"/>
            </w:tcBorders>
            <w:shd w:val="clear" w:color="auto" w:fill="auto"/>
            <w:noWrap/>
            <w:vAlign w:val="bottom"/>
            <w:hideMark/>
          </w:tcPr>
          <w:p w:rsidR="002D4AEB" w:rsidRPr="002D4AEB" w:rsidRDefault="002D4AEB" w:rsidP="002D4AEB">
            <w:pPr>
              <w:spacing w:line="240" w:lineRule="auto"/>
              <w:jc w:val="righ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1117643,00</w:t>
            </w:r>
          </w:p>
        </w:tc>
      </w:tr>
      <w:tr w:rsidR="002D4AEB" w:rsidRPr="002D4AEB" w:rsidTr="002D4AEB">
        <w:trPr>
          <w:trHeight w:val="315"/>
        </w:trPr>
        <w:tc>
          <w:tcPr>
            <w:tcW w:w="1841" w:type="dxa"/>
            <w:tcBorders>
              <w:top w:val="nil"/>
              <w:left w:val="single" w:sz="12" w:space="0" w:color="auto"/>
              <w:bottom w:val="single" w:sz="12" w:space="0" w:color="auto"/>
              <w:right w:val="single" w:sz="8"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2004-2013</w:t>
            </w:r>
          </w:p>
        </w:tc>
        <w:tc>
          <w:tcPr>
            <w:tcW w:w="610"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959"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048"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2"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380" w:type="dxa"/>
            <w:tcBorders>
              <w:top w:val="nil"/>
              <w:left w:val="nil"/>
              <w:bottom w:val="single" w:sz="12" w:space="0" w:color="auto"/>
              <w:right w:val="nil"/>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c>
          <w:tcPr>
            <w:tcW w:w="1220" w:type="dxa"/>
            <w:tcBorders>
              <w:top w:val="nil"/>
              <w:left w:val="nil"/>
              <w:bottom w:val="single" w:sz="12" w:space="0" w:color="auto"/>
              <w:right w:val="single" w:sz="12" w:space="0" w:color="auto"/>
            </w:tcBorders>
            <w:shd w:val="clear" w:color="auto" w:fill="auto"/>
            <w:noWrap/>
            <w:vAlign w:val="bottom"/>
            <w:hideMark/>
          </w:tcPr>
          <w:p w:rsidR="002D4AEB" w:rsidRPr="002D4AEB" w:rsidRDefault="002D4AEB" w:rsidP="002D4AEB">
            <w:pPr>
              <w:spacing w:line="240" w:lineRule="auto"/>
              <w:jc w:val="left"/>
              <w:rPr>
                <w:rFonts w:ascii="Calibri" w:eastAsia="Times New Roman" w:hAnsi="Calibri" w:cs="Times New Roman"/>
                <w:color w:val="000000"/>
                <w:lang w:eastAsia="nl-NL"/>
              </w:rPr>
            </w:pPr>
            <w:r w:rsidRPr="002D4AEB">
              <w:rPr>
                <w:rFonts w:ascii="Calibri" w:eastAsia="Times New Roman" w:hAnsi="Calibri" w:cs="Times New Roman"/>
                <w:color w:val="000000"/>
                <w:lang w:eastAsia="nl-NL"/>
              </w:rPr>
              <w:t> </w:t>
            </w:r>
          </w:p>
        </w:tc>
      </w:tr>
    </w:tbl>
    <w:p w:rsidR="002D4AEB" w:rsidRDefault="002D4AEB"/>
    <w:p w:rsidR="00FE22BA" w:rsidRDefault="00DD76FE">
      <w:r>
        <w:t>Tabel 2</w:t>
      </w:r>
      <w:r w:rsidR="00C55BED">
        <w:t xml:space="preserve"> geeft de beschrijvende data aan van de gehele periode, subperiode 1 en subperiode 2</w:t>
      </w:r>
      <w:r w:rsidR="004616E7">
        <w:t>,</w:t>
      </w:r>
      <w:r w:rsidR="00C55BED">
        <w:t xml:space="preserve"> voor de landen die worden onderzocht, namelijk Brazilië, India en China. Zoals de tabel laat zien is </w:t>
      </w:r>
      <w:r w:rsidR="001D6E28">
        <w:t>het</w:t>
      </w:r>
      <w:r w:rsidR="00C55BED">
        <w:t xml:space="preserve"> gemiddelde </w:t>
      </w:r>
      <w:r w:rsidR="001D6E28">
        <w:t>rendement</w:t>
      </w:r>
      <w:r w:rsidR="00C55BED">
        <w:t xml:space="preserve"> voor bijna elk land in elke onderzochte</w:t>
      </w:r>
      <w:r w:rsidR="00F01579">
        <w:t xml:space="preserve"> periode</w:t>
      </w:r>
      <w:r w:rsidR="00C55BED">
        <w:t xml:space="preserve"> positief, op een na (China gedurende de periode 1995-2000).</w:t>
      </w:r>
      <w:r w:rsidR="00F01579">
        <w:t xml:space="preserve"> De standaard deviatie loopt van ongeveer 1% tot 2,3%. </w:t>
      </w:r>
      <w:r w:rsidR="0069032B">
        <w:t xml:space="preserve">De scheefheid van de verdeling van de </w:t>
      </w:r>
      <w:r w:rsidR="001D6E28">
        <w:t>rendementen</w:t>
      </w:r>
      <w:r w:rsidR="0069032B">
        <w:t xml:space="preserve">, skewness, is veelal positief en </w:t>
      </w:r>
      <w:r w:rsidR="00D77E94">
        <w:t>heeft</w:t>
      </w:r>
      <w:r w:rsidR="0069032B">
        <w:t xml:space="preserve"> in alle gevallen vrij hoge waardes. De waarde </w:t>
      </w:r>
      <w:r w:rsidR="00D77E94">
        <w:t>van Kurtois is bij elke periode</w:t>
      </w:r>
      <w:r w:rsidR="0069032B">
        <w:t xml:space="preserve"> hoog.</w:t>
      </w:r>
      <w:r w:rsidR="00592BD3">
        <w:t xml:space="preserve"> Deze </w:t>
      </w:r>
      <w:r w:rsidR="00925875">
        <w:t xml:space="preserve">hoge </w:t>
      </w:r>
      <w:r w:rsidR="00592BD3">
        <w:t>waarde</w:t>
      </w:r>
      <w:r w:rsidR="00925875">
        <w:t>s laten zien</w:t>
      </w:r>
      <w:r w:rsidR="00D77E94">
        <w:t>,</w:t>
      </w:r>
      <w:r w:rsidR="00925875">
        <w:t xml:space="preserve"> dat de meeste waardes uit de data dicht bij het gemiddelde liggen. </w:t>
      </w:r>
      <w:r w:rsidR="00592BD3">
        <w:t xml:space="preserve">De Jarque – Bera test wordt gebruikt om te testen of het residu normaal verdeeld is. Deze waardes zijn hoog in onze tabel, </w:t>
      </w:r>
      <w:r w:rsidR="00592BD3">
        <w:lastRenderedPageBreak/>
        <w:t>waardoor de nul</w:t>
      </w:r>
      <w:r w:rsidR="00925875">
        <w:t xml:space="preserve"> hypothese verworpen kan worden</w:t>
      </w:r>
      <w:r w:rsidR="00D77E94">
        <w:t>,</w:t>
      </w:r>
      <w:r w:rsidR="00925875">
        <w:t xml:space="preserve"> dat de serie normaal verdeeld is bij een significantieniveau van 5%. </w:t>
      </w:r>
      <w:sdt>
        <w:sdtPr>
          <w:id w:val="5457836"/>
          <w:citation/>
        </w:sdtPr>
        <w:sdtContent>
          <w:fldSimple w:instr=" CITATION Chr08 \l 1043  ">
            <w:r w:rsidR="00735B39">
              <w:rPr>
                <w:noProof/>
              </w:rPr>
              <w:t>(Brooks, 2008)</w:t>
            </w:r>
          </w:fldSimple>
        </w:sdtContent>
      </w:sdt>
    </w:p>
    <w:p w:rsidR="0093231A" w:rsidRDefault="0093231A" w:rsidP="00F02ED7"/>
    <w:p w:rsidR="00D25961" w:rsidRDefault="00D25961">
      <w:pPr>
        <w:rPr>
          <w:rFonts w:asciiTheme="majorHAnsi" w:eastAsiaTheme="majorEastAsia" w:hAnsiTheme="majorHAnsi" w:cstheme="majorBidi"/>
          <w:b/>
          <w:bCs/>
          <w:color w:val="365F91" w:themeColor="accent1" w:themeShade="BF"/>
          <w:sz w:val="28"/>
          <w:szCs w:val="28"/>
        </w:rPr>
      </w:pPr>
      <w:r>
        <w:br w:type="page"/>
      </w:r>
    </w:p>
    <w:p w:rsidR="00122475" w:rsidRDefault="00122475" w:rsidP="00122475">
      <w:pPr>
        <w:pStyle w:val="Heading1"/>
      </w:pPr>
      <w:bookmarkStart w:id="16" w:name="_Toc380522440"/>
      <w:r>
        <w:lastRenderedPageBreak/>
        <w:t>Hoofdstuk 4 – Empirische resultaten</w:t>
      </w:r>
      <w:bookmarkEnd w:id="16"/>
    </w:p>
    <w:p w:rsidR="008F36DA" w:rsidRDefault="008F36DA" w:rsidP="008F36DA">
      <w:pPr>
        <w:rPr>
          <w:rFonts w:ascii="Calibri" w:eastAsia="Times New Roman" w:hAnsi="Calibri" w:cs="Times New Roman"/>
          <w:color w:val="000000"/>
          <w:lang w:eastAsia="nl-NL"/>
        </w:rPr>
      </w:pPr>
      <w:r>
        <w:t xml:space="preserve">In tabel </w:t>
      </w:r>
      <w:r w:rsidR="00D25961">
        <w:t>3</w:t>
      </w:r>
      <w:r>
        <w:t xml:space="preserve"> staan de resultaten van de regressies om het januari effect te testen. </w:t>
      </w:r>
      <w:r w:rsidRPr="008A66E0">
        <w:t xml:space="preserve">Een significante </w:t>
      </w:r>
      <w:r w:rsidRPr="008A66E0">
        <w:rPr>
          <w:rFonts w:ascii="Calibri" w:eastAsia="Times New Roman" w:hAnsi="Calibri" w:cs="Times New Roman"/>
          <w:color w:val="000000"/>
          <w:lang w:eastAsia="nl-NL"/>
        </w:rPr>
        <w:t xml:space="preserve">Bèta </w:t>
      </w:r>
      <w:r w:rsidRPr="00122475">
        <w:rPr>
          <w:rFonts w:ascii="Calibri" w:eastAsia="Times New Roman" w:hAnsi="Calibri" w:cs="Times New Roman"/>
          <w:color w:val="000000"/>
          <w:lang w:eastAsia="nl-NL"/>
        </w:rPr>
        <w:t>β</w:t>
      </w:r>
      <w:r>
        <w:rPr>
          <w:rFonts w:ascii="Calibri" w:eastAsia="Times New Roman" w:hAnsi="Calibri" w:cs="Times New Roman"/>
          <w:color w:val="000000"/>
          <w:lang w:eastAsia="nl-NL"/>
        </w:rPr>
        <w:t xml:space="preserve"> van de januari dummy geeft bewijs voor het januari effect. Het effect wordt gemeten over drie periodes: twee subperiodes en de gehele periode 1995-2013. De eerste subperiode is 1995-2003 en de tweede subperiode 2004-2013. </w:t>
      </w:r>
    </w:p>
    <w:p w:rsidR="00E16BA3" w:rsidRDefault="00E16BA3" w:rsidP="008F36DA">
      <w:pPr>
        <w:rPr>
          <w:rFonts w:ascii="Calibri" w:eastAsia="Times New Roman" w:hAnsi="Calibri" w:cs="Times New Roman"/>
          <w:color w:val="000000"/>
          <w:lang w:eastAsia="nl-NL"/>
        </w:rPr>
      </w:pPr>
    </w:p>
    <w:p w:rsidR="00D25961" w:rsidRDefault="00F10FC3" w:rsidP="008F36DA">
      <w:pPr>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De rendementen zijn berekend in discrete tijd. Dit houdt in dat de rendementen berekend door het verschil te nemen van de slotkoers van de dag en de dag daarvoor. De t waarden zijn berekend met behulp van HAC standaard fouten/ Newey West. </w:t>
      </w:r>
      <w:r w:rsidR="006708AA">
        <w:rPr>
          <w:rFonts w:ascii="Calibri" w:eastAsia="Times New Roman" w:hAnsi="Calibri" w:cs="Times New Roman"/>
          <w:color w:val="000000"/>
          <w:lang w:eastAsia="nl-NL"/>
        </w:rPr>
        <w:t xml:space="preserve">Zoals in hoofdstuk 3 is uitgelegd, is voor dit onderzoek de volgende </w:t>
      </w:r>
      <w:r w:rsidR="00453F1D">
        <w:rPr>
          <w:rFonts w:ascii="Calibri" w:eastAsia="Times New Roman" w:hAnsi="Calibri" w:cs="Times New Roman"/>
          <w:color w:val="000000"/>
          <w:lang w:eastAsia="nl-NL"/>
        </w:rPr>
        <w:t>regressie</w:t>
      </w:r>
      <w:r w:rsidR="006708AA">
        <w:rPr>
          <w:rFonts w:ascii="Calibri" w:eastAsia="Times New Roman" w:hAnsi="Calibri" w:cs="Times New Roman"/>
          <w:color w:val="000000"/>
          <w:lang w:eastAsia="nl-NL"/>
        </w:rPr>
        <w:t xml:space="preserve"> vergelijking gebruikt:</w:t>
      </w:r>
    </w:p>
    <w:p w:rsidR="00D25961" w:rsidRDefault="00D25961" w:rsidP="008F36DA">
      <w:pPr>
        <w:rPr>
          <w:rFonts w:ascii="Calibri" w:eastAsia="Times New Roman" w:hAnsi="Calibri" w:cs="Times New Roman"/>
          <w:color w:val="000000"/>
          <w:lang w:eastAsia="nl-NL"/>
        </w:rPr>
      </w:pPr>
    </w:p>
    <w:p w:rsidR="008F36DA" w:rsidRPr="007D0B14" w:rsidRDefault="00505FFB" w:rsidP="00122475">
      <w:pPr>
        <w:rPr>
          <w:rFonts w:eastAsiaTheme="minorEastAsia"/>
          <w:sz w:val="28"/>
        </w:rPr>
      </w:pPr>
      <m:oMathPara>
        <m:oMath>
          <m:sSub>
            <m:sSubPr>
              <m:ctrlPr>
                <w:rPr>
                  <w:rFonts w:ascii="Cambria Math" w:hAnsi="Cambria Math"/>
                  <w:i/>
                  <w:sz w:val="28"/>
                </w:rPr>
              </m:ctrlPr>
            </m:sSubPr>
            <m:e>
              <m:r>
                <w:rPr>
                  <w:rFonts w:ascii="Cambria Math" w:hAnsi="Cambria Math"/>
                  <w:sz w:val="28"/>
                </w:rPr>
                <m:t>Rendementen</m:t>
              </m:r>
            </m:e>
            <m:sub>
              <m:r>
                <w:rPr>
                  <w:rFonts w:ascii="Cambria Math" w:hAnsi="Cambria Math"/>
                  <w:sz w:val="28"/>
                </w:rPr>
                <m:t xml:space="preserve">Land  </m:t>
              </m:r>
            </m:sub>
          </m:sSub>
          <m:r>
            <w:rPr>
              <w:rFonts w:ascii="Cambria Math" w:hAnsi="Cambria Math"/>
              <w:sz w:val="28"/>
            </w:rPr>
            <m:t>= α+β*</m:t>
          </m:r>
          <m:sSub>
            <m:sSubPr>
              <m:ctrlPr>
                <w:rPr>
                  <w:rFonts w:ascii="Cambria Math" w:hAnsi="Cambria Math"/>
                  <w:i/>
                  <w:sz w:val="28"/>
                </w:rPr>
              </m:ctrlPr>
            </m:sSubPr>
            <m:e>
              <m:r>
                <w:rPr>
                  <w:rFonts w:ascii="Cambria Math" w:hAnsi="Cambria Math"/>
                  <w:sz w:val="28"/>
                </w:rPr>
                <m:t>Dummy(τ)</m:t>
              </m:r>
            </m:e>
            <m:sub>
              <m:r>
                <w:rPr>
                  <w:rFonts w:ascii="Cambria Math" w:hAnsi="Cambria Math"/>
                  <w:sz w:val="28"/>
                </w:rPr>
                <m:t>januari</m:t>
              </m:r>
            </m:sub>
          </m:sSub>
          <m:r>
            <w:rPr>
              <w:rFonts w:ascii="Cambria Math" w:hAnsi="Cambria Math"/>
              <w:sz w:val="28"/>
            </w:rPr>
            <m:t>+ε(τ)</m:t>
          </m:r>
        </m:oMath>
      </m:oMathPara>
    </w:p>
    <w:p w:rsidR="006708AA" w:rsidRDefault="006708AA" w:rsidP="00122475"/>
    <w:tbl>
      <w:tblPr>
        <w:tblW w:w="7620" w:type="dxa"/>
        <w:tblInd w:w="51" w:type="dxa"/>
        <w:tblCellMar>
          <w:left w:w="70" w:type="dxa"/>
          <w:right w:w="70" w:type="dxa"/>
        </w:tblCellMar>
        <w:tblLook w:val="04A0"/>
      </w:tblPr>
      <w:tblGrid>
        <w:gridCol w:w="2123"/>
        <w:gridCol w:w="190"/>
        <w:gridCol w:w="1269"/>
        <w:gridCol w:w="1100"/>
        <w:gridCol w:w="980"/>
        <w:gridCol w:w="1060"/>
        <w:gridCol w:w="976"/>
      </w:tblGrid>
      <w:tr w:rsidR="00FA63CF" w:rsidRPr="00FA63CF" w:rsidTr="00FA63CF">
        <w:trPr>
          <w:trHeight w:val="405"/>
        </w:trPr>
        <w:tc>
          <w:tcPr>
            <w:tcW w:w="3520" w:type="dxa"/>
            <w:gridSpan w:val="3"/>
            <w:tcBorders>
              <w:top w:val="single" w:sz="12" w:space="0" w:color="auto"/>
              <w:left w:val="single" w:sz="12" w:space="0" w:color="auto"/>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sz w:val="28"/>
                <w:szCs w:val="28"/>
                <w:lang w:eastAsia="nl-NL"/>
              </w:rPr>
            </w:pPr>
            <w:r w:rsidRPr="00FA63CF">
              <w:rPr>
                <w:rFonts w:ascii="Calibri" w:eastAsia="Times New Roman" w:hAnsi="Calibri" w:cs="Times New Roman"/>
                <w:color w:val="000000"/>
                <w:sz w:val="28"/>
                <w:szCs w:val="28"/>
                <w:lang w:eastAsia="nl-NL"/>
              </w:rPr>
              <w:t>Tabel 3. Regressie resultaten</w:t>
            </w:r>
          </w:p>
        </w:tc>
        <w:tc>
          <w:tcPr>
            <w:tcW w:w="1100" w:type="dxa"/>
            <w:tcBorders>
              <w:top w:val="single" w:sz="12" w:space="0" w:color="auto"/>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980" w:type="dxa"/>
            <w:tcBorders>
              <w:top w:val="single" w:sz="12" w:space="0" w:color="auto"/>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060" w:type="dxa"/>
            <w:tcBorders>
              <w:top w:val="single" w:sz="12" w:space="0" w:color="auto"/>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960" w:type="dxa"/>
            <w:tcBorders>
              <w:top w:val="single" w:sz="12" w:space="0" w:color="auto"/>
              <w:left w:val="nil"/>
              <w:bottom w:val="nil"/>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r>
      <w:tr w:rsidR="00FA63CF" w:rsidRPr="00FA63CF" w:rsidTr="00FA63CF">
        <w:trPr>
          <w:trHeight w:val="330"/>
        </w:trPr>
        <w:tc>
          <w:tcPr>
            <w:tcW w:w="2123"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1995-2003</w:t>
            </w:r>
          </w:p>
        </w:tc>
        <w:tc>
          <w:tcPr>
            <w:tcW w:w="128"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alfa α</w:t>
            </w:r>
          </w:p>
        </w:tc>
        <w:tc>
          <w:tcPr>
            <w:tcW w:w="1100"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T-stat</w:t>
            </w:r>
          </w:p>
        </w:tc>
        <w:tc>
          <w:tcPr>
            <w:tcW w:w="980"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Beta β</w:t>
            </w:r>
          </w:p>
        </w:tc>
        <w:tc>
          <w:tcPr>
            <w:tcW w:w="1060"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T-stat</w:t>
            </w:r>
          </w:p>
        </w:tc>
        <w:tc>
          <w:tcPr>
            <w:tcW w:w="960" w:type="dxa"/>
            <w:tcBorders>
              <w:top w:val="single" w:sz="8" w:space="0" w:color="auto"/>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R</w:t>
            </w:r>
            <w:r>
              <w:rPr>
                <w:rFonts w:ascii="Calibri" w:eastAsia="Times New Roman" w:hAnsi="Calibri" w:cs="Times New Roman"/>
                <w:color w:val="000000"/>
                <w:lang w:eastAsia="nl-NL"/>
              </w:rPr>
              <w:t>²</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54671E" w:rsidP="00FA63CF">
            <w:pPr>
              <w:spacing w:line="240" w:lineRule="auto"/>
              <w:jc w:val="left"/>
              <w:rPr>
                <w:rFonts w:ascii="Calibri" w:eastAsia="Times New Roman" w:hAnsi="Calibri" w:cs="Times New Roman"/>
                <w:color w:val="000000"/>
                <w:lang w:eastAsia="nl-NL"/>
              </w:rPr>
            </w:pPr>
            <w:r>
              <w:rPr>
                <w:rFonts w:ascii="Calibri" w:eastAsia="Times New Roman" w:hAnsi="Calibri" w:cs="Times New Roman"/>
                <w:color w:val="000000"/>
                <w:lang w:eastAsia="nl-NL"/>
              </w:rPr>
              <w:t>Brazilië</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0,000684</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1,780817</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0,000734</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0,439868</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0,000139</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India</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0,000467</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1,217809</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6,32E-05</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0,058156</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0,000001</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China Shenzhen</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0,000686</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1,407181</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-0,00015</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-0,087506</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0,000004</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China Shanghai</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0,000606</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1,386480</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-0,000354</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-0,239762</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0,000024</w:t>
            </w:r>
          </w:p>
        </w:tc>
      </w:tr>
      <w:tr w:rsidR="00FA63CF" w:rsidRPr="00FA63CF" w:rsidTr="00FA63CF">
        <w:trPr>
          <w:trHeight w:val="330"/>
        </w:trPr>
        <w:tc>
          <w:tcPr>
            <w:tcW w:w="2123" w:type="dxa"/>
            <w:tcBorders>
              <w:top w:val="nil"/>
              <w:left w:val="single" w:sz="12" w:space="0" w:color="auto"/>
              <w:bottom w:val="nil"/>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8"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1269"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1100"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980"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1060"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960" w:type="dxa"/>
            <w:tcBorders>
              <w:top w:val="nil"/>
              <w:left w:val="nil"/>
              <w:bottom w:val="nil"/>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r>
      <w:tr w:rsidR="00FA63CF" w:rsidRPr="00FA63CF" w:rsidTr="00FA63CF">
        <w:trPr>
          <w:trHeight w:val="315"/>
        </w:trPr>
        <w:tc>
          <w:tcPr>
            <w:tcW w:w="2123" w:type="dxa"/>
            <w:tcBorders>
              <w:top w:val="dotDotDash" w:sz="8" w:space="0" w:color="FF0000"/>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8"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100"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980"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060"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960" w:type="dxa"/>
            <w:tcBorders>
              <w:top w:val="dotDotDash" w:sz="8" w:space="0" w:color="FF0000"/>
              <w:left w:val="nil"/>
              <w:bottom w:val="nil"/>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2004-2013</w:t>
            </w:r>
          </w:p>
        </w:tc>
        <w:tc>
          <w:tcPr>
            <w:tcW w:w="128"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alfa α</w:t>
            </w:r>
          </w:p>
        </w:tc>
        <w:tc>
          <w:tcPr>
            <w:tcW w:w="1100"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T-stat</w:t>
            </w:r>
          </w:p>
        </w:tc>
        <w:tc>
          <w:tcPr>
            <w:tcW w:w="980"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Beta β</w:t>
            </w:r>
          </w:p>
        </w:tc>
        <w:tc>
          <w:tcPr>
            <w:tcW w:w="1060"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T-stat</w:t>
            </w:r>
          </w:p>
        </w:tc>
        <w:tc>
          <w:tcPr>
            <w:tcW w:w="960" w:type="dxa"/>
            <w:tcBorders>
              <w:top w:val="single" w:sz="8" w:space="0" w:color="auto"/>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R</w:t>
            </w:r>
            <w:r>
              <w:rPr>
                <w:rFonts w:ascii="Calibri" w:eastAsia="Times New Roman" w:hAnsi="Calibri" w:cs="Times New Roman"/>
                <w:color w:val="000000"/>
                <w:lang w:eastAsia="nl-NL"/>
              </w:rPr>
              <w:t>²</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54671E" w:rsidP="00FA63CF">
            <w:pPr>
              <w:spacing w:line="240" w:lineRule="auto"/>
              <w:jc w:val="left"/>
              <w:rPr>
                <w:rFonts w:ascii="Calibri" w:eastAsia="Times New Roman" w:hAnsi="Calibri" w:cs="Times New Roman"/>
                <w:color w:val="000000"/>
                <w:lang w:eastAsia="nl-NL"/>
              </w:rPr>
            </w:pPr>
            <w:r>
              <w:rPr>
                <w:rFonts w:ascii="Calibri" w:eastAsia="Times New Roman" w:hAnsi="Calibri" w:cs="Times New Roman"/>
                <w:color w:val="000000"/>
                <w:lang w:eastAsia="nl-NL"/>
              </w:rPr>
              <w:t>Brazilië</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0,000636</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2,327135</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-4,04E-05</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-0,040285</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0,000001</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India</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0,000711</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2,164037</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-0,0016</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-1,220960</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0,000816</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China Shenzhen</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0,00056</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1,320344</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0,000662</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0,398424</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0,000086</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China Shanghai</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0,000316</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0,855760</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-3,59E-05</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-0,025852</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0,000000</w:t>
            </w:r>
          </w:p>
        </w:tc>
      </w:tr>
      <w:tr w:rsidR="00FA63CF" w:rsidRPr="00FA63CF" w:rsidTr="00FA63CF">
        <w:trPr>
          <w:trHeight w:val="330"/>
        </w:trPr>
        <w:tc>
          <w:tcPr>
            <w:tcW w:w="2123" w:type="dxa"/>
            <w:tcBorders>
              <w:top w:val="nil"/>
              <w:left w:val="single" w:sz="12" w:space="0" w:color="auto"/>
              <w:bottom w:val="nil"/>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8"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1269"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1100"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980"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1060" w:type="dxa"/>
            <w:tcBorders>
              <w:top w:val="nil"/>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p>
        </w:tc>
        <w:tc>
          <w:tcPr>
            <w:tcW w:w="960" w:type="dxa"/>
            <w:tcBorders>
              <w:top w:val="nil"/>
              <w:left w:val="nil"/>
              <w:bottom w:val="nil"/>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r>
      <w:tr w:rsidR="00FA63CF" w:rsidRPr="00FA63CF" w:rsidTr="00FA63CF">
        <w:trPr>
          <w:trHeight w:val="315"/>
        </w:trPr>
        <w:tc>
          <w:tcPr>
            <w:tcW w:w="2123" w:type="dxa"/>
            <w:tcBorders>
              <w:top w:val="dotDotDash" w:sz="8" w:space="0" w:color="FF0000"/>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8"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100"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980"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060" w:type="dxa"/>
            <w:tcBorders>
              <w:top w:val="dotDotDash" w:sz="8" w:space="0" w:color="FF0000"/>
              <w:left w:val="nil"/>
              <w:bottom w:val="nil"/>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960" w:type="dxa"/>
            <w:tcBorders>
              <w:top w:val="dotDotDash" w:sz="8" w:space="0" w:color="FF0000"/>
              <w:left w:val="nil"/>
              <w:bottom w:val="nil"/>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1995-2013</w:t>
            </w:r>
          </w:p>
        </w:tc>
        <w:tc>
          <w:tcPr>
            <w:tcW w:w="128"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alfa α</w:t>
            </w:r>
          </w:p>
        </w:tc>
        <w:tc>
          <w:tcPr>
            <w:tcW w:w="1100"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T-stat</w:t>
            </w:r>
          </w:p>
        </w:tc>
        <w:tc>
          <w:tcPr>
            <w:tcW w:w="980"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Beta β</w:t>
            </w:r>
          </w:p>
        </w:tc>
        <w:tc>
          <w:tcPr>
            <w:tcW w:w="1060" w:type="dxa"/>
            <w:tcBorders>
              <w:top w:val="single" w:sz="8" w:space="0" w:color="auto"/>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T-stat</w:t>
            </w:r>
          </w:p>
        </w:tc>
        <w:tc>
          <w:tcPr>
            <w:tcW w:w="960" w:type="dxa"/>
            <w:tcBorders>
              <w:top w:val="single" w:sz="8" w:space="0" w:color="auto"/>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R</w:t>
            </w:r>
            <w:r>
              <w:rPr>
                <w:rFonts w:ascii="Calibri" w:eastAsia="Times New Roman" w:hAnsi="Calibri" w:cs="Times New Roman"/>
                <w:color w:val="000000"/>
                <w:lang w:eastAsia="nl-NL"/>
              </w:rPr>
              <w:t>²</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54671E" w:rsidP="00FA63CF">
            <w:pPr>
              <w:spacing w:line="240" w:lineRule="auto"/>
              <w:jc w:val="left"/>
              <w:rPr>
                <w:rFonts w:ascii="Calibri" w:eastAsia="Times New Roman" w:hAnsi="Calibri" w:cs="Times New Roman"/>
                <w:color w:val="000000"/>
                <w:lang w:eastAsia="nl-NL"/>
              </w:rPr>
            </w:pPr>
            <w:r>
              <w:rPr>
                <w:rFonts w:ascii="Calibri" w:eastAsia="Times New Roman" w:hAnsi="Calibri" w:cs="Times New Roman"/>
                <w:color w:val="000000"/>
                <w:lang w:eastAsia="nl-NL"/>
              </w:rPr>
              <w:t>Brazilië</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0,000648</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2,790411</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0,00034</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0,360454</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0,000035</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India</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0,000594</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2,353286</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-0,00081</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-0,931304</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0,000210</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China Shenzhen</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0,000619</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1,935935</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0,000272</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0,228333</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0,000014</w:t>
            </w:r>
          </w:p>
        </w:tc>
      </w:tr>
      <w:tr w:rsidR="00FA63CF" w:rsidRPr="00FA63CF" w:rsidTr="00FA63CF">
        <w:trPr>
          <w:trHeight w:val="330"/>
        </w:trPr>
        <w:tc>
          <w:tcPr>
            <w:tcW w:w="2123" w:type="dxa"/>
            <w:tcBorders>
              <w:top w:val="nil"/>
              <w:left w:val="single" w:sz="12" w:space="0" w:color="auto"/>
              <w:bottom w:val="single" w:sz="12" w:space="0" w:color="auto"/>
              <w:right w:val="single" w:sz="12" w:space="0" w:color="auto"/>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China Shanghai</w:t>
            </w:r>
          </w:p>
        </w:tc>
        <w:tc>
          <w:tcPr>
            <w:tcW w:w="128"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lef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 </w:t>
            </w:r>
          </w:p>
        </w:tc>
        <w:tc>
          <w:tcPr>
            <w:tcW w:w="1269"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0,000454</w:t>
            </w:r>
          </w:p>
        </w:tc>
        <w:tc>
          <w:tcPr>
            <w:tcW w:w="110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1,617755</w:t>
            </w:r>
          </w:p>
        </w:tc>
        <w:tc>
          <w:tcPr>
            <w:tcW w:w="98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-0,00019</w:t>
            </w:r>
          </w:p>
        </w:tc>
        <w:tc>
          <w:tcPr>
            <w:tcW w:w="1060" w:type="dxa"/>
            <w:tcBorders>
              <w:top w:val="nil"/>
              <w:left w:val="nil"/>
              <w:bottom w:val="single" w:sz="8" w:space="0" w:color="auto"/>
              <w:right w:val="nil"/>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-0,184992</w:t>
            </w:r>
          </w:p>
        </w:tc>
        <w:tc>
          <w:tcPr>
            <w:tcW w:w="960" w:type="dxa"/>
            <w:tcBorders>
              <w:top w:val="nil"/>
              <w:left w:val="nil"/>
              <w:bottom w:val="single" w:sz="8" w:space="0" w:color="auto"/>
              <w:right w:val="single" w:sz="12" w:space="0" w:color="auto"/>
            </w:tcBorders>
            <w:shd w:val="clear" w:color="auto" w:fill="auto"/>
            <w:noWrap/>
            <w:vAlign w:val="bottom"/>
            <w:hideMark/>
          </w:tcPr>
          <w:p w:rsidR="00FA63CF" w:rsidRPr="00FA63CF" w:rsidRDefault="00FA63CF" w:rsidP="00FA63CF">
            <w:pPr>
              <w:spacing w:line="240" w:lineRule="auto"/>
              <w:jc w:val="right"/>
              <w:rPr>
                <w:rFonts w:ascii="Calibri" w:eastAsia="Times New Roman" w:hAnsi="Calibri" w:cs="Times New Roman"/>
                <w:color w:val="000000"/>
                <w:lang w:eastAsia="nl-NL"/>
              </w:rPr>
            </w:pPr>
            <w:r w:rsidRPr="00FA63CF">
              <w:rPr>
                <w:rFonts w:ascii="Calibri" w:eastAsia="Times New Roman" w:hAnsi="Calibri" w:cs="Times New Roman"/>
                <w:color w:val="000000"/>
                <w:lang w:eastAsia="nl-NL"/>
              </w:rPr>
              <w:t>0,000007</w:t>
            </w:r>
          </w:p>
        </w:tc>
      </w:tr>
    </w:tbl>
    <w:p w:rsidR="00F1373D" w:rsidRDefault="00F1373D" w:rsidP="00122475">
      <w:pPr>
        <w:rPr>
          <w:rFonts w:ascii="Calibri" w:eastAsia="Times New Roman" w:hAnsi="Calibri" w:cs="Times New Roman"/>
          <w:color w:val="000000"/>
          <w:lang w:eastAsia="nl-NL"/>
        </w:rPr>
      </w:pPr>
    </w:p>
    <w:p w:rsidR="00F1373D" w:rsidRDefault="00F1373D" w:rsidP="00122475">
      <w:pPr>
        <w:rPr>
          <w:rFonts w:ascii="Calibri" w:eastAsia="Times New Roman" w:hAnsi="Calibri" w:cs="Times New Roman"/>
          <w:color w:val="000000"/>
          <w:lang w:eastAsia="nl-NL"/>
        </w:rPr>
      </w:pPr>
      <w:r>
        <w:rPr>
          <w:rFonts w:ascii="Calibri" w:eastAsia="Times New Roman" w:hAnsi="Calibri" w:cs="Times New Roman"/>
          <w:color w:val="000000"/>
          <w:lang w:eastAsia="nl-NL"/>
        </w:rPr>
        <w:lastRenderedPageBreak/>
        <w:t>Als er gekeken wordt naar de eerste subperiode</w:t>
      </w:r>
      <w:r w:rsidR="009547CC">
        <w:rPr>
          <w:rFonts w:ascii="Calibri" w:eastAsia="Times New Roman" w:hAnsi="Calibri" w:cs="Times New Roman"/>
          <w:color w:val="000000"/>
          <w:lang w:eastAsia="nl-NL"/>
        </w:rPr>
        <w:t>, dan</w:t>
      </w:r>
      <w:r>
        <w:rPr>
          <w:rFonts w:ascii="Calibri" w:eastAsia="Times New Roman" w:hAnsi="Calibri" w:cs="Times New Roman"/>
          <w:color w:val="000000"/>
          <w:lang w:eastAsia="nl-NL"/>
        </w:rPr>
        <w:t xml:space="preserve"> valt op dat de bèta coëfficiënt bij geen van de landen een significante waarde heeft. Ook de constante alfa is niet significant bij een 95% betrouwbaarheidsinterval. </w:t>
      </w:r>
    </w:p>
    <w:p w:rsidR="00F1373D" w:rsidRDefault="00820DB6" w:rsidP="00122475">
      <w:pPr>
        <w:rPr>
          <w:rFonts w:ascii="Calibri" w:eastAsia="Times New Roman" w:hAnsi="Calibri" w:cs="Times New Roman"/>
          <w:color w:val="000000"/>
          <w:lang w:eastAsia="nl-NL"/>
        </w:rPr>
      </w:pPr>
      <w:r>
        <w:rPr>
          <w:rFonts w:ascii="Calibri" w:eastAsia="Times New Roman" w:hAnsi="Calibri" w:cs="Times New Roman"/>
          <w:color w:val="000000"/>
          <w:lang w:eastAsia="nl-NL"/>
        </w:rPr>
        <w:br/>
        <w:t>De tweede subperiode</w:t>
      </w:r>
      <w:r w:rsidR="00711845">
        <w:rPr>
          <w:rFonts w:ascii="Calibri" w:eastAsia="Times New Roman" w:hAnsi="Calibri" w:cs="Times New Roman"/>
          <w:color w:val="000000"/>
          <w:lang w:eastAsia="nl-NL"/>
        </w:rPr>
        <w:t xml:space="preserve">, 2004-2013, </w:t>
      </w:r>
      <w:r>
        <w:rPr>
          <w:rFonts w:ascii="Calibri" w:eastAsia="Times New Roman" w:hAnsi="Calibri" w:cs="Times New Roman"/>
          <w:color w:val="000000"/>
          <w:lang w:eastAsia="nl-NL"/>
        </w:rPr>
        <w:t>is interessanter. Ook in de tweede subperiode is er geen significante bèta</w:t>
      </w:r>
      <w:r w:rsidR="00774BD9">
        <w:rPr>
          <w:rFonts w:ascii="Calibri" w:eastAsia="Times New Roman" w:hAnsi="Calibri" w:cs="Times New Roman"/>
          <w:color w:val="000000"/>
          <w:lang w:eastAsia="nl-NL"/>
        </w:rPr>
        <w:t xml:space="preserve"> bij de onderzochte landen</w:t>
      </w:r>
      <w:r>
        <w:rPr>
          <w:rFonts w:ascii="Calibri" w:eastAsia="Times New Roman" w:hAnsi="Calibri" w:cs="Times New Roman"/>
          <w:color w:val="000000"/>
          <w:lang w:eastAsia="nl-NL"/>
        </w:rPr>
        <w:t>. Echter, voor Brazilië en India i</w:t>
      </w:r>
      <w:r w:rsidR="00711845">
        <w:rPr>
          <w:rFonts w:ascii="Calibri" w:eastAsia="Times New Roman" w:hAnsi="Calibri" w:cs="Times New Roman"/>
          <w:color w:val="000000"/>
          <w:lang w:eastAsia="nl-NL"/>
        </w:rPr>
        <w:t xml:space="preserve">s er wel een significante alfa, </w:t>
      </w:r>
      <w:r>
        <w:rPr>
          <w:rFonts w:ascii="Calibri" w:eastAsia="Times New Roman" w:hAnsi="Calibri" w:cs="Times New Roman"/>
          <w:color w:val="000000"/>
          <w:lang w:eastAsia="nl-NL"/>
        </w:rPr>
        <w:t>maar dat is voo</w:t>
      </w:r>
      <w:r w:rsidR="00711845">
        <w:rPr>
          <w:rFonts w:ascii="Calibri" w:eastAsia="Times New Roman" w:hAnsi="Calibri" w:cs="Times New Roman"/>
          <w:color w:val="000000"/>
          <w:lang w:eastAsia="nl-NL"/>
        </w:rPr>
        <w:t xml:space="preserve">r dit onderzoek niet van belang. </w:t>
      </w:r>
    </w:p>
    <w:p w:rsidR="00711845" w:rsidRDefault="00711845" w:rsidP="00122475">
      <w:pPr>
        <w:rPr>
          <w:rFonts w:ascii="Calibri" w:eastAsia="Times New Roman" w:hAnsi="Calibri" w:cs="Times New Roman"/>
          <w:color w:val="000000"/>
          <w:lang w:eastAsia="nl-NL"/>
        </w:rPr>
      </w:pPr>
    </w:p>
    <w:p w:rsidR="00711845" w:rsidRDefault="00711845" w:rsidP="00122475">
      <w:pPr>
        <w:rPr>
          <w:rFonts w:ascii="Calibri" w:eastAsia="Times New Roman" w:hAnsi="Calibri" w:cs="Times New Roman"/>
          <w:color w:val="000000"/>
          <w:lang w:eastAsia="nl-NL"/>
        </w:rPr>
      </w:pPr>
      <w:r>
        <w:rPr>
          <w:rFonts w:ascii="Calibri" w:eastAsia="Times New Roman" w:hAnsi="Calibri" w:cs="Times New Roman"/>
          <w:color w:val="000000"/>
          <w:lang w:eastAsia="nl-NL"/>
        </w:rPr>
        <w:t>Als laatste kijken we naar de gehele periode, 1995-2013. Opnieuw is de bèta</w:t>
      </w:r>
      <w:r w:rsidR="00774BD9">
        <w:rPr>
          <w:rFonts w:ascii="Calibri" w:eastAsia="Times New Roman" w:hAnsi="Calibri" w:cs="Times New Roman"/>
          <w:color w:val="000000"/>
          <w:lang w:eastAsia="nl-NL"/>
        </w:rPr>
        <w:t xml:space="preserve"> bij geen van de landen significant.</w:t>
      </w:r>
      <w:r>
        <w:rPr>
          <w:rFonts w:ascii="Calibri" w:eastAsia="Times New Roman" w:hAnsi="Calibri" w:cs="Times New Roman"/>
          <w:color w:val="000000"/>
          <w:lang w:eastAsia="nl-NL"/>
        </w:rPr>
        <w:t xml:space="preserve"> </w:t>
      </w:r>
      <w:r w:rsidR="00774BD9">
        <w:rPr>
          <w:rFonts w:ascii="Calibri" w:eastAsia="Times New Roman" w:hAnsi="Calibri" w:cs="Times New Roman"/>
          <w:color w:val="000000"/>
          <w:lang w:eastAsia="nl-NL"/>
        </w:rPr>
        <w:t>De alfa is opnieuw bij Brazilië en India significant. Bij de beurs van Shenzhen in China is de alfa net niet significant. Bij de beurs van Shanghai is zowel de alfa als de bèta in geen van de onderzochte periodes significant.</w:t>
      </w:r>
    </w:p>
    <w:p w:rsidR="00774BD9" w:rsidRDefault="00774BD9" w:rsidP="00122475">
      <w:pPr>
        <w:rPr>
          <w:rFonts w:ascii="Calibri" w:eastAsia="Times New Roman" w:hAnsi="Calibri" w:cs="Times New Roman"/>
          <w:color w:val="000000"/>
          <w:lang w:eastAsia="nl-NL"/>
        </w:rPr>
      </w:pPr>
    </w:p>
    <w:p w:rsidR="0054671E" w:rsidRDefault="0054671E" w:rsidP="0054671E">
      <w:pPr>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Als tweede bespreken we de omvang van de </w:t>
      </w:r>
      <w:r w:rsidR="006E36D1">
        <w:rPr>
          <w:rFonts w:ascii="Calibri" w:eastAsia="Times New Roman" w:hAnsi="Calibri" w:cs="Times New Roman"/>
          <w:color w:val="000000"/>
          <w:lang w:eastAsia="nl-NL"/>
        </w:rPr>
        <w:t>c</w:t>
      </w:r>
      <w:r w:rsidRPr="0054671E">
        <w:rPr>
          <w:rFonts w:ascii="Calibri" w:eastAsia="Times New Roman" w:hAnsi="Calibri" w:cs="Times New Roman"/>
          <w:color w:val="000000"/>
          <w:lang w:eastAsia="nl-NL"/>
        </w:rPr>
        <w:t>oëfficiënt</w:t>
      </w:r>
      <w:r>
        <w:rPr>
          <w:rFonts w:ascii="Calibri" w:eastAsia="Times New Roman" w:hAnsi="Calibri" w:cs="Times New Roman"/>
          <w:color w:val="000000"/>
          <w:lang w:eastAsia="nl-NL"/>
        </w:rPr>
        <w:t xml:space="preserve"> voor het januari effect, de </w:t>
      </w:r>
      <w:r w:rsidRPr="0054671E">
        <w:rPr>
          <w:rFonts w:ascii="Calibri" w:eastAsia="Times New Roman" w:hAnsi="Calibri" w:cs="Times New Roman"/>
          <w:color w:val="000000"/>
          <w:lang w:eastAsia="nl-NL"/>
        </w:rPr>
        <w:t>Beta β</w:t>
      </w:r>
      <w:r>
        <w:rPr>
          <w:rFonts w:ascii="Calibri" w:eastAsia="Times New Roman" w:hAnsi="Calibri" w:cs="Times New Roman"/>
          <w:color w:val="000000"/>
          <w:lang w:eastAsia="nl-NL"/>
        </w:rPr>
        <w:t xml:space="preserve">. Verandert deze over tijd? Allereerst </w:t>
      </w:r>
      <w:r w:rsidRPr="0054671E">
        <w:rPr>
          <w:rFonts w:ascii="Calibri" w:eastAsia="Times New Roman" w:hAnsi="Calibri" w:cs="Times New Roman"/>
          <w:color w:val="000000"/>
          <w:lang w:eastAsia="nl-NL"/>
        </w:rPr>
        <w:t>Brazilië</w:t>
      </w:r>
      <w:r>
        <w:rPr>
          <w:rFonts w:ascii="Calibri" w:eastAsia="Times New Roman" w:hAnsi="Calibri" w:cs="Times New Roman"/>
          <w:color w:val="000000"/>
          <w:lang w:eastAsia="nl-NL"/>
        </w:rPr>
        <w:t xml:space="preserve">. De </w:t>
      </w:r>
      <w:r w:rsidRPr="0054671E">
        <w:rPr>
          <w:rFonts w:ascii="Calibri" w:eastAsia="Times New Roman" w:hAnsi="Calibri" w:cs="Times New Roman"/>
          <w:color w:val="000000"/>
          <w:lang w:eastAsia="nl-NL"/>
        </w:rPr>
        <w:t>Beta β</w:t>
      </w:r>
      <w:r>
        <w:rPr>
          <w:rFonts w:ascii="Calibri" w:eastAsia="Times New Roman" w:hAnsi="Calibri" w:cs="Times New Roman"/>
          <w:color w:val="000000"/>
          <w:lang w:eastAsia="nl-NL"/>
        </w:rPr>
        <w:t xml:space="preserve"> heeft tijdens de eerst subperiode 2004-2003 een waarde van ongeveer 0.000734. Tijdens de tweede subperiode 2004-2014 is deze gedaald tot </w:t>
      </w:r>
      <w:r w:rsidR="004E3BA9">
        <w:rPr>
          <w:rFonts w:ascii="Calibri" w:eastAsia="Times New Roman" w:hAnsi="Calibri" w:cs="Times New Roman"/>
          <w:color w:val="000000"/>
          <w:lang w:eastAsia="nl-NL"/>
        </w:rPr>
        <w:t>-</w:t>
      </w:r>
      <w:r>
        <w:rPr>
          <w:rFonts w:ascii="Calibri" w:eastAsia="Times New Roman" w:hAnsi="Calibri" w:cs="Times New Roman"/>
          <w:color w:val="000000"/>
          <w:lang w:eastAsia="nl-NL"/>
        </w:rPr>
        <w:t xml:space="preserve">0.0000404. </w:t>
      </w:r>
      <w:r w:rsidR="00784AAF">
        <w:rPr>
          <w:rFonts w:ascii="Calibri" w:eastAsia="Times New Roman" w:hAnsi="Calibri" w:cs="Times New Roman"/>
          <w:color w:val="000000"/>
          <w:lang w:eastAsia="nl-NL"/>
        </w:rPr>
        <w:t xml:space="preserve">Allereerst is hier uit op te maken dat de omvang gedaald is. Ook het teken van de </w:t>
      </w:r>
      <w:r w:rsidR="00784AAF" w:rsidRPr="0054671E">
        <w:rPr>
          <w:rFonts w:ascii="Calibri" w:eastAsia="Times New Roman" w:hAnsi="Calibri" w:cs="Times New Roman"/>
          <w:color w:val="000000"/>
          <w:lang w:eastAsia="nl-NL"/>
        </w:rPr>
        <w:t>Beta β</w:t>
      </w:r>
      <w:r w:rsidR="00784AAF">
        <w:rPr>
          <w:rFonts w:ascii="Calibri" w:eastAsia="Times New Roman" w:hAnsi="Calibri" w:cs="Times New Roman"/>
          <w:color w:val="000000"/>
          <w:lang w:eastAsia="nl-NL"/>
        </w:rPr>
        <w:t xml:space="preserve"> is </w:t>
      </w:r>
      <w:r w:rsidR="00453F1D">
        <w:rPr>
          <w:rFonts w:ascii="Calibri" w:eastAsia="Times New Roman" w:hAnsi="Calibri" w:cs="Times New Roman"/>
          <w:color w:val="000000"/>
          <w:lang w:eastAsia="nl-NL"/>
        </w:rPr>
        <w:t>veranderd</w:t>
      </w:r>
      <w:r w:rsidR="00784AAF">
        <w:rPr>
          <w:rFonts w:ascii="Calibri" w:eastAsia="Times New Roman" w:hAnsi="Calibri" w:cs="Times New Roman"/>
          <w:color w:val="000000"/>
          <w:lang w:eastAsia="nl-NL"/>
        </w:rPr>
        <w:t xml:space="preserve">: eerst had de </w:t>
      </w:r>
      <w:r w:rsidR="00784AAF" w:rsidRPr="0054671E">
        <w:rPr>
          <w:rFonts w:ascii="Calibri" w:eastAsia="Times New Roman" w:hAnsi="Calibri" w:cs="Times New Roman"/>
          <w:color w:val="000000"/>
          <w:lang w:eastAsia="nl-NL"/>
        </w:rPr>
        <w:t>Beta β</w:t>
      </w:r>
      <w:r w:rsidR="00784AAF">
        <w:rPr>
          <w:rFonts w:ascii="Calibri" w:eastAsia="Times New Roman" w:hAnsi="Calibri" w:cs="Times New Roman"/>
          <w:color w:val="000000"/>
          <w:lang w:eastAsia="nl-NL"/>
        </w:rPr>
        <w:t xml:space="preserve"> een positief effect en nu een negatief effect. </w:t>
      </w:r>
      <w:r w:rsidR="006E36D1">
        <w:rPr>
          <w:rFonts w:ascii="Calibri" w:eastAsia="Times New Roman" w:hAnsi="Calibri" w:cs="Times New Roman"/>
          <w:color w:val="000000"/>
          <w:lang w:eastAsia="nl-NL"/>
        </w:rPr>
        <w:t xml:space="preserve">Deze daling van de omvang kan erop wijzen dat het januari effect in de loop van de tijd verdwijnt, al is dit niet statistisch aan te tonen. </w:t>
      </w:r>
      <w:r>
        <w:rPr>
          <w:rFonts w:ascii="Calibri" w:eastAsia="Times New Roman" w:hAnsi="Calibri" w:cs="Times New Roman"/>
          <w:color w:val="000000"/>
          <w:lang w:eastAsia="nl-NL"/>
        </w:rPr>
        <w:t xml:space="preserve">Het tweede land is India. Tijdens de eerste subperiode, 1995-2003 heeft de </w:t>
      </w:r>
      <w:r w:rsidRPr="0054671E">
        <w:rPr>
          <w:rFonts w:ascii="Calibri" w:eastAsia="Times New Roman" w:hAnsi="Calibri" w:cs="Times New Roman"/>
          <w:color w:val="000000"/>
          <w:lang w:eastAsia="nl-NL"/>
        </w:rPr>
        <w:t>Beta β</w:t>
      </w:r>
      <w:r>
        <w:rPr>
          <w:rFonts w:ascii="Calibri" w:eastAsia="Times New Roman" w:hAnsi="Calibri" w:cs="Times New Roman"/>
          <w:color w:val="000000"/>
          <w:lang w:eastAsia="nl-NL"/>
        </w:rPr>
        <w:t xml:space="preserve"> een waarde van ongeveer 0.0000632. De waarde voor </w:t>
      </w:r>
      <w:r w:rsidRPr="0054671E">
        <w:rPr>
          <w:rFonts w:ascii="Calibri" w:eastAsia="Times New Roman" w:hAnsi="Calibri" w:cs="Times New Roman"/>
          <w:color w:val="000000"/>
          <w:lang w:eastAsia="nl-NL"/>
        </w:rPr>
        <w:t>Beta β</w:t>
      </w:r>
      <w:r>
        <w:rPr>
          <w:rFonts w:ascii="Calibri" w:eastAsia="Times New Roman" w:hAnsi="Calibri" w:cs="Times New Roman"/>
          <w:color w:val="000000"/>
          <w:lang w:eastAsia="nl-NL"/>
        </w:rPr>
        <w:t xml:space="preserve"> is </w:t>
      </w:r>
      <w:r w:rsidR="006E36D1">
        <w:rPr>
          <w:rFonts w:ascii="Calibri" w:eastAsia="Times New Roman" w:hAnsi="Calibri" w:cs="Times New Roman"/>
          <w:color w:val="000000"/>
          <w:lang w:eastAsia="nl-NL"/>
        </w:rPr>
        <w:t>gestegen</w:t>
      </w:r>
      <w:r>
        <w:rPr>
          <w:rFonts w:ascii="Calibri" w:eastAsia="Times New Roman" w:hAnsi="Calibri" w:cs="Times New Roman"/>
          <w:color w:val="000000"/>
          <w:lang w:eastAsia="nl-NL"/>
        </w:rPr>
        <w:t xml:space="preserve"> in de tweede subperiode tot </w:t>
      </w:r>
      <w:r w:rsidR="004E3BA9">
        <w:rPr>
          <w:rFonts w:ascii="Calibri" w:eastAsia="Times New Roman" w:hAnsi="Calibri" w:cs="Times New Roman"/>
          <w:color w:val="000000"/>
          <w:lang w:eastAsia="nl-NL"/>
        </w:rPr>
        <w:t xml:space="preserve">-0,0016. </w:t>
      </w:r>
      <w:r w:rsidR="00784AAF">
        <w:rPr>
          <w:rFonts w:ascii="Calibri" w:eastAsia="Times New Roman" w:hAnsi="Calibri" w:cs="Times New Roman"/>
          <w:color w:val="000000"/>
          <w:lang w:eastAsia="nl-NL"/>
        </w:rPr>
        <w:t xml:space="preserve">Opvallend is dat de omvang van de </w:t>
      </w:r>
      <w:r w:rsidR="00784AAF" w:rsidRPr="0054671E">
        <w:rPr>
          <w:rFonts w:ascii="Calibri" w:eastAsia="Times New Roman" w:hAnsi="Calibri" w:cs="Times New Roman"/>
          <w:color w:val="000000"/>
          <w:lang w:eastAsia="nl-NL"/>
        </w:rPr>
        <w:t>Beta β</w:t>
      </w:r>
      <w:r w:rsidR="00784AAF">
        <w:rPr>
          <w:rFonts w:ascii="Calibri" w:eastAsia="Times New Roman" w:hAnsi="Calibri" w:cs="Times New Roman"/>
          <w:color w:val="000000"/>
          <w:lang w:eastAsia="nl-NL"/>
        </w:rPr>
        <w:t xml:space="preserve"> gestegen is en het teken van de </w:t>
      </w:r>
      <w:r w:rsidR="00784AAF" w:rsidRPr="0054671E">
        <w:rPr>
          <w:rFonts w:ascii="Calibri" w:eastAsia="Times New Roman" w:hAnsi="Calibri" w:cs="Times New Roman"/>
          <w:color w:val="000000"/>
          <w:lang w:eastAsia="nl-NL"/>
        </w:rPr>
        <w:t>Beta β</w:t>
      </w:r>
      <w:r w:rsidR="00784AAF">
        <w:rPr>
          <w:rFonts w:ascii="Calibri" w:eastAsia="Times New Roman" w:hAnsi="Calibri" w:cs="Times New Roman"/>
          <w:color w:val="000000"/>
          <w:lang w:eastAsia="nl-NL"/>
        </w:rPr>
        <w:t xml:space="preserve"> van positief naar negatief </w:t>
      </w:r>
      <w:r w:rsidR="00453F1D">
        <w:rPr>
          <w:rFonts w:ascii="Calibri" w:eastAsia="Times New Roman" w:hAnsi="Calibri" w:cs="Times New Roman"/>
          <w:color w:val="000000"/>
          <w:lang w:eastAsia="nl-NL"/>
        </w:rPr>
        <w:t>veranderd</w:t>
      </w:r>
      <w:r w:rsidR="00784AAF">
        <w:rPr>
          <w:rFonts w:ascii="Calibri" w:eastAsia="Times New Roman" w:hAnsi="Calibri" w:cs="Times New Roman"/>
          <w:color w:val="000000"/>
          <w:lang w:eastAsia="nl-NL"/>
        </w:rPr>
        <w:t xml:space="preserve"> is.</w:t>
      </w:r>
      <w:r w:rsidR="006E36D1">
        <w:rPr>
          <w:rFonts w:ascii="Calibri" w:eastAsia="Times New Roman" w:hAnsi="Calibri" w:cs="Times New Roman"/>
          <w:color w:val="000000"/>
          <w:lang w:eastAsia="nl-NL"/>
        </w:rPr>
        <w:t xml:space="preserve"> De omvang van de </w:t>
      </w:r>
      <w:r w:rsidR="006E36D1" w:rsidRPr="0054671E">
        <w:rPr>
          <w:rFonts w:ascii="Calibri" w:eastAsia="Times New Roman" w:hAnsi="Calibri" w:cs="Times New Roman"/>
          <w:color w:val="000000"/>
          <w:lang w:eastAsia="nl-NL"/>
        </w:rPr>
        <w:t>Beta β</w:t>
      </w:r>
      <w:r w:rsidR="006E36D1">
        <w:rPr>
          <w:rFonts w:ascii="Calibri" w:eastAsia="Times New Roman" w:hAnsi="Calibri" w:cs="Times New Roman"/>
          <w:color w:val="000000"/>
          <w:lang w:eastAsia="nl-NL"/>
        </w:rPr>
        <w:t xml:space="preserve"> is toegenomen, maar het teken is veranderd van positief naar negatief, wat betekent dat de maand januari een negatieve invloed heeft op de rendementen. </w:t>
      </w:r>
      <w:r w:rsidR="004E3BA9">
        <w:rPr>
          <w:rFonts w:ascii="Calibri" w:eastAsia="Times New Roman" w:hAnsi="Calibri" w:cs="Times New Roman"/>
          <w:color w:val="000000"/>
          <w:lang w:eastAsia="nl-NL"/>
        </w:rPr>
        <w:t xml:space="preserve">Voor China Shenzhen is de waarde van </w:t>
      </w:r>
      <w:r w:rsidR="004E3BA9" w:rsidRPr="0054671E">
        <w:rPr>
          <w:rFonts w:ascii="Calibri" w:eastAsia="Times New Roman" w:hAnsi="Calibri" w:cs="Times New Roman"/>
          <w:color w:val="000000"/>
          <w:lang w:eastAsia="nl-NL"/>
        </w:rPr>
        <w:t>Beta β</w:t>
      </w:r>
      <w:r w:rsidR="004E3BA9">
        <w:rPr>
          <w:rFonts w:ascii="Calibri" w:eastAsia="Times New Roman" w:hAnsi="Calibri" w:cs="Times New Roman"/>
          <w:color w:val="000000"/>
          <w:lang w:eastAsia="nl-NL"/>
        </w:rPr>
        <w:t xml:space="preserve"> tijdens de eerste subperiode -0,00015. Deze waarde is in de tweede subperiode 0,000662. </w:t>
      </w:r>
      <w:r w:rsidR="006E36D1">
        <w:rPr>
          <w:rFonts w:ascii="Calibri" w:eastAsia="Times New Roman" w:hAnsi="Calibri" w:cs="Times New Roman"/>
          <w:color w:val="000000"/>
          <w:lang w:eastAsia="nl-NL"/>
        </w:rPr>
        <w:t xml:space="preserve">De </w:t>
      </w:r>
      <w:r w:rsidR="006E36D1" w:rsidRPr="0054671E">
        <w:rPr>
          <w:rFonts w:ascii="Calibri" w:eastAsia="Times New Roman" w:hAnsi="Calibri" w:cs="Times New Roman"/>
          <w:color w:val="000000"/>
          <w:lang w:eastAsia="nl-NL"/>
        </w:rPr>
        <w:t>Beta β</w:t>
      </w:r>
      <w:r w:rsidR="006E36D1">
        <w:rPr>
          <w:rFonts w:ascii="Calibri" w:eastAsia="Times New Roman" w:hAnsi="Calibri" w:cs="Times New Roman"/>
          <w:color w:val="000000"/>
          <w:lang w:eastAsia="nl-NL"/>
        </w:rPr>
        <w:t xml:space="preserve"> is toegenomen en het teken is </w:t>
      </w:r>
      <w:r w:rsidR="00453F1D">
        <w:rPr>
          <w:rFonts w:ascii="Calibri" w:eastAsia="Times New Roman" w:hAnsi="Calibri" w:cs="Times New Roman"/>
          <w:color w:val="000000"/>
          <w:lang w:eastAsia="nl-NL"/>
        </w:rPr>
        <w:t>veranderd</w:t>
      </w:r>
      <w:r w:rsidR="006E36D1">
        <w:rPr>
          <w:rFonts w:ascii="Calibri" w:eastAsia="Times New Roman" w:hAnsi="Calibri" w:cs="Times New Roman"/>
          <w:color w:val="000000"/>
          <w:lang w:eastAsia="nl-NL"/>
        </w:rPr>
        <w:t xml:space="preserve"> van negatief naar positief. Dit betekent dat de maand januari eerst een negatieve invloed had op de rendementen maar dit is </w:t>
      </w:r>
      <w:r w:rsidR="00453F1D">
        <w:rPr>
          <w:rFonts w:ascii="Calibri" w:eastAsia="Times New Roman" w:hAnsi="Calibri" w:cs="Times New Roman"/>
          <w:color w:val="000000"/>
          <w:lang w:eastAsia="nl-NL"/>
        </w:rPr>
        <w:t>veranderd</w:t>
      </w:r>
      <w:r w:rsidR="006E36D1">
        <w:rPr>
          <w:rFonts w:ascii="Calibri" w:eastAsia="Times New Roman" w:hAnsi="Calibri" w:cs="Times New Roman"/>
          <w:color w:val="000000"/>
          <w:lang w:eastAsia="nl-NL"/>
        </w:rPr>
        <w:t xml:space="preserve"> in de tweede periode naar een </w:t>
      </w:r>
      <w:r w:rsidR="00453F1D">
        <w:rPr>
          <w:rFonts w:ascii="Calibri" w:eastAsia="Times New Roman" w:hAnsi="Calibri" w:cs="Times New Roman"/>
          <w:color w:val="000000"/>
          <w:lang w:eastAsia="nl-NL"/>
        </w:rPr>
        <w:t>positieve</w:t>
      </w:r>
      <w:r w:rsidR="006E36D1">
        <w:rPr>
          <w:rFonts w:ascii="Calibri" w:eastAsia="Times New Roman" w:hAnsi="Calibri" w:cs="Times New Roman"/>
          <w:color w:val="000000"/>
          <w:lang w:eastAsia="nl-NL"/>
        </w:rPr>
        <w:t xml:space="preserve"> invloed. Ook nu kunnen we niet aantonen dat deze verandering significant is.</w:t>
      </w:r>
      <w:r w:rsidR="00453F1D">
        <w:rPr>
          <w:rFonts w:ascii="Calibri" w:eastAsia="Times New Roman" w:hAnsi="Calibri" w:cs="Times New Roman"/>
          <w:color w:val="000000"/>
          <w:lang w:eastAsia="nl-NL"/>
        </w:rPr>
        <w:t xml:space="preserve"> </w:t>
      </w:r>
      <w:r w:rsidR="004E3BA9">
        <w:rPr>
          <w:rFonts w:ascii="Calibri" w:eastAsia="Times New Roman" w:hAnsi="Calibri" w:cs="Times New Roman"/>
          <w:color w:val="000000"/>
          <w:lang w:eastAsia="nl-NL"/>
        </w:rPr>
        <w:t>Voor China Shanghai is de waarde tijdens de eerste subperiode -0,000354 en tijdens de tweede subperiode  -0,0000359.</w:t>
      </w:r>
      <w:r w:rsidR="00175F31">
        <w:rPr>
          <w:rFonts w:ascii="Calibri" w:eastAsia="Times New Roman" w:hAnsi="Calibri" w:cs="Times New Roman"/>
          <w:color w:val="000000"/>
          <w:lang w:eastAsia="nl-NL"/>
        </w:rPr>
        <w:t xml:space="preserve"> Hier is een daling van de omvang van het januari effect uit op te maken, al kan dit niet met </w:t>
      </w:r>
      <w:r w:rsidR="00453F1D">
        <w:rPr>
          <w:rFonts w:ascii="Calibri" w:eastAsia="Times New Roman" w:hAnsi="Calibri" w:cs="Times New Roman"/>
          <w:color w:val="000000"/>
          <w:lang w:eastAsia="nl-NL"/>
        </w:rPr>
        <w:t>statistisch</w:t>
      </w:r>
      <w:r w:rsidR="00175F31">
        <w:rPr>
          <w:rFonts w:ascii="Calibri" w:eastAsia="Times New Roman" w:hAnsi="Calibri" w:cs="Times New Roman"/>
          <w:color w:val="000000"/>
          <w:lang w:eastAsia="nl-NL"/>
        </w:rPr>
        <w:t xml:space="preserve"> significantie worden aangetoond.</w:t>
      </w:r>
    </w:p>
    <w:p w:rsidR="00175F31" w:rsidRDefault="00175F31" w:rsidP="0054671E">
      <w:pPr>
        <w:rPr>
          <w:rFonts w:ascii="Calibri" w:eastAsia="Times New Roman" w:hAnsi="Calibri" w:cs="Times New Roman"/>
          <w:color w:val="000000"/>
          <w:lang w:eastAsia="nl-NL"/>
        </w:rPr>
      </w:pPr>
    </w:p>
    <w:p w:rsidR="0054671E" w:rsidRDefault="0054671E" w:rsidP="00122475">
      <w:pPr>
        <w:rPr>
          <w:rFonts w:ascii="Calibri" w:eastAsia="Times New Roman" w:hAnsi="Calibri" w:cs="Times New Roman"/>
          <w:color w:val="000000"/>
          <w:lang w:eastAsia="nl-NL"/>
        </w:rPr>
      </w:pPr>
    </w:p>
    <w:p w:rsidR="00175F31" w:rsidRDefault="00774BD9" w:rsidP="00122475">
      <w:pPr>
        <w:rPr>
          <w:rFonts w:ascii="Calibri" w:eastAsia="Times New Roman" w:hAnsi="Calibri" w:cs="Times New Roman"/>
          <w:color w:val="000000"/>
          <w:lang w:eastAsia="nl-NL"/>
        </w:rPr>
      </w:pPr>
      <w:r>
        <w:rPr>
          <w:rFonts w:ascii="Calibri" w:eastAsia="Times New Roman" w:hAnsi="Calibri" w:cs="Times New Roman"/>
          <w:color w:val="000000"/>
          <w:lang w:eastAsia="nl-NL"/>
        </w:rPr>
        <w:lastRenderedPageBreak/>
        <w:t>We kunnen concluderen</w:t>
      </w:r>
      <w:r w:rsidR="009547CC">
        <w:rPr>
          <w:rFonts w:ascii="Calibri" w:eastAsia="Times New Roman" w:hAnsi="Calibri" w:cs="Times New Roman"/>
          <w:color w:val="000000"/>
          <w:lang w:eastAsia="nl-NL"/>
        </w:rPr>
        <w:t>,</w:t>
      </w:r>
      <w:r>
        <w:rPr>
          <w:rFonts w:ascii="Calibri" w:eastAsia="Times New Roman" w:hAnsi="Calibri" w:cs="Times New Roman"/>
          <w:color w:val="000000"/>
          <w:lang w:eastAsia="nl-NL"/>
        </w:rPr>
        <w:t xml:space="preserve"> dat voor geen van de onderzochte landen bij de onderzochte periodes er een januari effect is. Deze resultaten laten zien wat de literatuur ook aantoont, namelijk dat het januari effect aan het verdwijnen is of zelfs niet meer bestaat. </w:t>
      </w:r>
      <w:r w:rsidR="00175F31">
        <w:rPr>
          <w:rFonts w:ascii="Calibri" w:eastAsia="Times New Roman" w:hAnsi="Calibri" w:cs="Times New Roman"/>
          <w:color w:val="000000"/>
          <w:lang w:eastAsia="nl-NL"/>
        </w:rPr>
        <w:t>Als we naar de omvang van de c</w:t>
      </w:r>
      <w:r w:rsidR="00175F31" w:rsidRPr="0054671E">
        <w:rPr>
          <w:rFonts w:ascii="Calibri" w:eastAsia="Times New Roman" w:hAnsi="Calibri" w:cs="Times New Roman"/>
          <w:color w:val="000000"/>
          <w:lang w:eastAsia="nl-NL"/>
        </w:rPr>
        <w:t>oëfficiënt</w:t>
      </w:r>
      <w:r w:rsidR="00175F31" w:rsidRPr="00175F31">
        <w:rPr>
          <w:rFonts w:ascii="Calibri" w:eastAsia="Times New Roman" w:hAnsi="Calibri" w:cs="Times New Roman"/>
          <w:color w:val="000000"/>
          <w:lang w:eastAsia="nl-NL"/>
        </w:rPr>
        <w:t xml:space="preserve"> </w:t>
      </w:r>
      <w:r w:rsidR="00175F31" w:rsidRPr="0054671E">
        <w:rPr>
          <w:rFonts w:ascii="Calibri" w:eastAsia="Times New Roman" w:hAnsi="Calibri" w:cs="Times New Roman"/>
          <w:color w:val="000000"/>
          <w:lang w:eastAsia="nl-NL"/>
        </w:rPr>
        <w:t>Beta β</w:t>
      </w:r>
      <w:r w:rsidR="00175F31">
        <w:rPr>
          <w:rFonts w:ascii="Calibri" w:eastAsia="Times New Roman" w:hAnsi="Calibri" w:cs="Times New Roman"/>
          <w:color w:val="000000"/>
          <w:lang w:eastAsia="nl-NL"/>
        </w:rPr>
        <w:t xml:space="preserve"> kijken, dan valt het op dat bij twee landen, namelijk </w:t>
      </w:r>
      <w:r w:rsidR="00175F31" w:rsidRPr="0054671E">
        <w:rPr>
          <w:rFonts w:ascii="Calibri" w:eastAsia="Times New Roman" w:hAnsi="Calibri" w:cs="Times New Roman"/>
          <w:color w:val="000000"/>
          <w:lang w:eastAsia="nl-NL"/>
        </w:rPr>
        <w:t>Brazilië</w:t>
      </w:r>
      <w:r w:rsidR="00175F31">
        <w:rPr>
          <w:rFonts w:ascii="Calibri" w:eastAsia="Times New Roman" w:hAnsi="Calibri" w:cs="Times New Roman"/>
          <w:color w:val="000000"/>
          <w:lang w:eastAsia="nl-NL"/>
        </w:rPr>
        <w:t xml:space="preserve"> en China Shanghai, de </w:t>
      </w:r>
      <w:r w:rsidR="00175F31" w:rsidRPr="0054671E">
        <w:rPr>
          <w:rFonts w:ascii="Calibri" w:eastAsia="Times New Roman" w:hAnsi="Calibri" w:cs="Times New Roman"/>
          <w:color w:val="000000"/>
          <w:lang w:eastAsia="nl-NL"/>
        </w:rPr>
        <w:t>Beta β</w:t>
      </w:r>
      <w:r w:rsidR="00175F31">
        <w:rPr>
          <w:rFonts w:ascii="Calibri" w:eastAsia="Times New Roman" w:hAnsi="Calibri" w:cs="Times New Roman"/>
          <w:color w:val="000000"/>
          <w:lang w:eastAsia="nl-NL"/>
        </w:rPr>
        <w:t xml:space="preserve"> is gedaald in de loop van de tijd. Deze daling van de omvang van het c</w:t>
      </w:r>
      <w:r w:rsidR="00175F31" w:rsidRPr="0054671E">
        <w:rPr>
          <w:rFonts w:ascii="Calibri" w:eastAsia="Times New Roman" w:hAnsi="Calibri" w:cs="Times New Roman"/>
          <w:color w:val="000000"/>
          <w:lang w:eastAsia="nl-NL"/>
        </w:rPr>
        <w:t>oëfficiënt</w:t>
      </w:r>
      <w:r w:rsidR="00175F31">
        <w:rPr>
          <w:rFonts w:ascii="Calibri" w:eastAsia="Times New Roman" w:hAnsi="Calibri" w:cs="Times New Roman"/>
          <w:color w:val="000000"/>
          <w:lang w:eastAsia="nl-NL"/>
        </w:rPr>
        <w:t xml:space="preserve"> kan erop wijzen dat het januari effect in de loop van de tijd verdwijnt. Deze daling is echter niet te zien voor de twee andere landen, India en China Shenzhen. Ook moet worden opgemerkt dat deze daling niet met statistische significantie is aan te tonen.</w:t>
      </w:r>
    </w:p>
    <w:p w:rsidR="00175F31" w:rsidRDefault="00175F31" w:rsidP="00122475">
      <w:pPr>
        <w:rPr>
          <w:rFonts w:ascii="Calibri" w:eastAsia="Times New Roman" w:hAnsi="Calibri" w:cs="Times New Roman"/>
          <w:color w:val="000000"/>
          <w:lang w:eastAsia="nl-NL"/>
        </w:rPr>
      </w:pPr>
    </w:p>
    <w:p w:rsidR="00175F31" w:rsidRDefault="00175F31">
      <w:pPr>
        <w:rPr>
          <w:rFonts w:asciiTheme="majorHAnsi" w:eastAsiaTheme="majorEastAsia" w:hAnsiTheme="majorHAnsi" w:cstheme="majorBidi"/>
          <w:b/>
          <w:bCs/>
          <w:color w:val="365F91" w:themeColor="accent1" w:themeShade="BF"/>
          <w:sz w:val="28"/>
          <w:szCs w:val="28"/>
        </w:rPr>
      </w:pPr>
      <w:r>
        <w:br w:type="page"/>
      </w:r>
    </w:p>
    <w:p w:rsidR="00774BD9" w:rsidRDefault="00774BD9" w:rsidP="00774BD9">
      <w:pPr>
        <w:pStyle w:val="Heading1"/>
      </w:pPr>
      <w:bookmarkStart w:id="17" w:name="_Toc380522441"/>
      <w:r>
        <w:lastRenderedPageBreak/>
        <w:t>Hoofdstuk 5 – Conclusies</w:t>
      </w:r>
      <w:r w:rsidR="00243E1E">
        <w:t xml:space="preserve"> en beperkingen</w:t>
      </w:r>
      <w:bookmarkEnd w:id="17"/>
    </w:p>
    <w:p w:rsidR="00774BD9" w:rsidRDefault="00774BD9" w:rsidP="00774BD9"/>
    <w:p w:rsidR="00243E1E" w:rsidRPr="00243E1E" w:rsidRDefault="00243E1E" w:rsidP="00774BD9">
      <w:pPr>
        <w:rPr>
          <w:i/>
        </w:rPr>
      </w:pPr>
      <w:r w:rsidRPr="00243E1E">
        <w:rPr>
          <w:i/>
        </w:rPr>
        <w:t>Conclusies</w:t>
      </w:r>
    </w:p>
    <w:p w:rsidR="00F11EFA" w:rsidRDefault="00F11EFA" w:rsidP="00774BD9">
      <w:r>
        <w:t>Voor ons onderzoek onderzochten we vier verschillende landen, namelijk India, Brazilië en twee beurzen in China. Het doel van dit onderzoek was om te kijken of voor deze landen tijdens de periode 1995 – 2013 een januari effect te vinden was. Is de ontwikkeling van deze landen van invloed op het januari effe</w:t>
      </w:r>
      <w:r w:rsidR="009547CC">
        <w:t>ct? Om dit te onderzoeken was</w:t>
      </w:r>
      <w:r>
        <w:t xml:space="preserve"> er een onderzoeksvraag gemaakt. </w:t>
      </w:r>
    </w:p>
    <w:p w:rsidR="00F11EFA" w:rsidRDefault="00F11EFA" w:rsidP="00774BD9">
      <w:r>
        <w:t>Aan het begin van het onderzoek is de volgende onderzoeksvraag gesteld:</w:t>
      </w:r>
    </w:p>
    <w:p w:rsidR="00F11EFA" w:rsidRDefault="00F11EFA" w:rsidP="00F11EFA">
      <w:pPr>
        <w:rPr>
          <w:i/>
        </w:rPr>
      </w:pPr>
    </w:p>
    <w:p w:rsidR="00F11EFA" w:rsidRDefault="00F11EFA" w:rsidP="00F11EFA">
      <w:pPr>
        <w:rPr>
          <w:i/>
        </w:rPr>
      </w:pPr>
      <w:r>
        <w:rPr>
          <w:i/>
        </w:rPr>
        <w:t>“Is de ontwikkeling van de financiële markten van invloed op de uitkomsten van het januari effect?”</w:t>
      </w:r>
    </w:p>
    <w:p w:rsidR="00F11EFA" w:rsidRDefault="00F11EFA" w:rsidP="00774BD9"/>
    <w:p w:rsidR="00F11EFA" w:rsidRDefault="00F11EFA" w:rsidP="00F11EFA">
      <w:pPr>
        <w:rPr>
          <w:rFonts w:ascii="Calibri" w:eastAsia="Times New Roman" w:hAnsi="Calibri" w:cs="Times New Roman"/>
          <w:color w:val="000000"/>
          <w:lang w:eastAsia="nl-NL"/>
        </w:rPr>
      </w:pPr>
      <w:r>
        <w:rPr>
          <w:rFonts w:ascii="Calibri" w:eastAsia="Times New Roman" w:hAnsi="Calibri" w:cs="Times New Roman"/>
          <w:color w:val="000000"/>
          <w:lang w:eastAsia="nl-NL"/>
        </w:rPr>
        <w:t>Aan het einde van het onderzoek kunnen we deze vraag beantwoorden. We kunnen concluderen</w:t>
      </w:r>
      <w:r w:rsidR="009547CC">
        <w:rPr>
          <w:rFonts w:ascii="Calibri" w:eastAsia="Times New Roman" w:hAnsi="Calibri" w:cs="Times New Roman"/>
          <w:color w:val="000000"/>
          <w:lang w:eastAsia="nl-NL"/>
        </w:rPr>
        <w:t>,</w:t>
      </w:r>
      <w:r>
        <w:rPr>
          <w:rFonts w:ascii="Calibri" w:eastAsia="Times New Roman" w:hAnsi="Calibri" w:cs="Times New Roman"/>
          <w:color w:val="000000"/>
          <w:lang w:eastAsia="nl-NL"/>
        </w:rPr>
        <w:t xml:space="preserve"> dat voor geen van de onderzochte landen bij de onderzochte periodes er een januari effect is. Deze resultaten laten zien wat de literatuur ook aantoont, namelijk dat het januari effect aan het verdwijnen is of zelfs niet meer bestaat. Over de tijd is het effect minder geworden tot aan het punt wat nu bereikt is, namelijk dat het </w:t>
      </w:r>
      <w:r w:rsidR="009E5926">
        <w:rPr>
          <w:rFonts w:ascii="Calibri" w:eastAsia="Times New Roman" w:hAnsi="Calibri" w:cs="Times New Roman"/>
          <w:color w:val="000000"/>
          <w:lang w:eastAsia="nl-NL"/>
        </w:rPr>
        <w:t>januari effect niet meer wordt waargenomen</w:t>
      </w:r>
      <w:r w:rsidR="009D0087">
        <w:rPr>
          <w:rFonts w:ascii="Calibri" w:eastAsia="Times New Roman" w:hAnsi="Calibri" w:cs="Times New Roman"/>
          <w:color w:val="000000"/>
          <w:lang w:eastAsia="nl-NL"/>
        </w:rPr>
        <w:t>. Wel is te zien dat bij twee landen (</w:t>
      </w:r>
      <w:r w:rsidR="00CC7F28" w:rsidRPr="0054671E">
        <w:rPr>
          <w:rFonts w:ascii="Calibri" w:eastAsia="Times New Roman" w:hAnsi="Calibri" w:cs="Times New Roman"/>
          <w:color w:val="000000"/>
          <w:lang w:eastAsia="nl-NL"/>
        </w:rPr>
        <w:t>Brazilië</w:t>
      </w:r>
      <w:r w:rsidR="00CC7F28">
        <w:rPr>
          <w:rFonts w:ascii="Calibri" w:eastAsia="Times New Roman" w:hAnsi="Calibri" w:cs="Times New Roman"/>
          <w:color w:val="000000"/>
          <w:lang w:eastAsia="nl-NL"/>
        </w:rPr>
        <w:t xml:space="preserve"> </w:t>
      </w:r>
      <w:r w:rsidR="009D0087">
        <w:rPr>
          <w:rFonts w:ascii="Calibri" w:eastAsia="Times New Roman" w:hAnsi="Calibri" w:cs="Times New Roman"/>
          <w:color w:val="000000"/>
          <w:lang w:eastAsia="nl-NL"/>
        </w:rPr>
        <w:t>en China Shanghai) de c</w:t>
      </w:r>
      <w:r w:rsidR="009D0087" w:rsidRPr="0054671E">
        <w:rPr>
          <w:rFonts w:ascii="Calibri" w:eastAsia="Times New Roman" w:hAnsi="Calibri" w:cs="Times New Roman"/>
          <w:color w:val="000000"/>
          <w:lang w:eastAsia="nl-NL"/>
        </w:rPr>
        <w:t>oëfficiënt</w:t>
      </w:r>
      <w:r w:rsidR="009D0087">
        <w:rPr>
          <w:rFonts w:ascii="Calibri" w:eastAsia="Times New Roman" w:hAnsi="Calibri" w:cs="Times New Roman"/>
          <w:color w:val="000000"/>
          <w:lang w:eastAsia="nl-NL"/>
        </w:rPr>
        <w:t xml:space="preserve"> </w:t>
      </w:r>
      <w:r w:rsidR="009D0087" w:rsidRPr="0054671E">
        <w:rPr>
          <w:rFonts w:ascii="Calibri" w:eastAsia="Times New Roman" w:hAnsi="Calibri" w:cs="Times New Roman"/>
          <w:color w:val="000000"/>
          <w:lang w:eastAsia="nl-NL"/>
        </w:rPr>
        <w:t>Beta β</w:t>
      </w:r>
      <w:r w:rsidR="00CC7F28">
        <w:rPr>
          <w:rFonts w:ascii="Calibri" w:eastAsia="Times New Roman" w:hAnsi="Calibri" w:cs="Times New Roman"/>
          <w:color w:val="000000"/>
          <w:lang w:eastAsia="nl-NL"/>
        </w:rPr>
        <w:t xml:space="preserve"> over de loop der tijd is gedaald. Dit kan erop wijzen dat het januari effect in de loop van de tijd verdwijnt. Deze daling kan niet met statistische significantie worden aangetoond. Daarom is het moeilijk te zeggen of deze daling veroorzaakt is door de ontwikkeling van de financiële markten.</w:t>
      </w:r>
    </w:p>
    <w:p w:rsidR="00774BD9" w:rsidRDefault="00774BD9" w:rsidP="00122475">
      <w:pPr>
        <w:rPr>
          <w:rFonts w:ascii="Calibri" w:eastAsia="Times New Roman" w:hAnsi="Calibri" w:cs="Times New Roman"/>
          <w:color w:val="000000"/>
          <w:lang w:eastAsia="nl-NL"/>
        </w:rPr>
      </w:pPr>
    </w:p>
    <w:p w:rsidR="00774BD9" w:rsidRDefault="009E5926" w:rsidP="00122475">
      <w:pPr>
        <w:rPr>
          <w:rFonts w:ascii="Calibri" w:eastAsia="Times New Roman" w:hAnsi="Calibri" w:cs="Times New Roman"/>
          <w:color w:val="000000"/>
          <w:lang w:eastAsia="nl-NL"/>
        </w:rPr>
      </w:pPr>
      <w:r>
        <w:rPr>
          <w:rFonts w:ascii="Calibri" w:eastAsia="Times New Roman" w:hAnsi="Calibri" w:cs="Times New Roman"/>
          <w:color w:val="000000"/>
          <w:lang w:eastAsia="nl-NL"/>
        </w:rPr>
        <w:t>Heeft de ontwikkeling van de financiële markten de uitkomsten dus beïnvloed? Deze vraag</w:t>
      </w:r>
      <w:r w:rsidR="009547CC">
        <w:rPr>
          <w:rFonts w:ascii="Calibri" w:eastAsia="Times New Roman" w:hAnsi="Calibri" w:cs="Times New Roman"/>
          <w:color w:val="000000"/>
          <w:lang w:eastAsia="nl-NL"/>
        </w:rPr>
        <w:t xml:space="preserve"> kunnen we met nee beantwoorden. </w:t>
      </w:r>
    </w:p>
    <w:p w:rsidR="00243E1E" w:rsidRDefault="00243E1E" w:rsidP="00122475">
      <w:pPr>
        <w:rPr>
          <w:rFonts w:ascii="Calibri" w:eastAsia="Times New Roman" w:hAnsi="Calibri" w:cs="Times New Roman"/>
          <w:color w:val="000000"/>
          <w:lang w:eastAsia="nl-NL"/>
        </w:rPr>
      </w:pPr>
    </w:p>
    <w:p w:rsidR="00243E1E" w:rsidRDefault="00243E1E" w:rsidP="00122475">
      <w:pPr>
        <w:rPr>
          <w:rFonts w:ascii="Calibri" w:eastAsia="Times New Roman" w:hAnsi="Calibri" w:cs="Times New Roman"/>
          <w:i/>
          <w:color w:val="000000"/>
          <w:lang w:eastAsia="nl-NL"/>
        </w:rPr>
      </w:pPr>
      <w:r>
        <w:rPr>
          <w:rFonts w:ascii="Calibri" w:eastAsia="Times New Roman" w:hAnsi="Calibri" w:cs="Times New Roman"/>
          <w:i/>
          <w:color w:val="000000"/>
          <w:lang w:eastAsia="nl-NL"/>
        </w:rPr>
        <w:t>Beperkingen</w:t>
      </w:r>
    </w:p>
    <w:p w:rsidR="00243E1E" w:rsidRDefault="00243E1E" w:rsidP="00122475">
      <w:pPr>
        <w:rPr>
          <w:rFonts w:ascii="Calibri" w:eastAsia="Times New Roman" w:hAnsi="Calibri" w:cs="Times New Roman"/>
          <w:color w:val="000000"/>
          <w:lang w:eastAsia="nl-NL"/>
        </w:rPr>
      </w:pPr>
      <w:r>
        <w:rPr>
          <w:rFonts w:ascii="Calibri" w:eastAsia="Times New Roman" w:hAnsi="Calibri" w:cs="Times New Roman"/>
          <w:color w:val="000000"/>
          <w:lang w:eastAsia="nl-NL"/>
        </w:rPr>
        <w:t>Aan het onderzoek zitten een aantal beperkingen waar rekening mee moet worden gehouden als het onderzoek geëvalueerd wordt. Deze beperkingen kunnen eventueel de resultaten beïnvloed hebben.</w:t>
      </w:r>
    </w:p>
    <w:p w:rsidR="00243E1E" w:rsidRDefault="00243E1E" w:rsidP="00122475">
      <w:pPr>
        <w:rPr>
          <w:rFonts w:ascii="Calibri" w:eastAsia="Times New Roman" w:hAnsi="Calibri" w:cs="Times New Roman"/>
          <w:color w:val="000000"/>
          <w:lang w:eastAsia="nl-NL"/>
        </w:rPr>
      </w:pPr>
    </w:p>
    <w:p w:rsidR="00243E1E" w:rsidRDefault="00243E1E" w:rsidP="00122475">
      <w:pPr>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Allereerst is er voor dit onderzoek gekozen vier landen te onderzoeken. In </w:t>
      </w:r>
      <w:r w:rsidR="00453F1D">
        <w:rPr>
          <w:rFonts w:ascii="Calibri" w:eastAsia="Times New Roman" w:hAnsi="Calibri" w:cs="Times New Roman"/>
          <w:color w:val="000000"/>
          <w:lang w:eastAsia="nl-NL"/>
        </w:rPr>
        <w:t>het</w:t>
      </w:r>
      <w:r>
        <w:rPr>
          <w:rFonts w:ascii="Calibri" w:eastAsia="Times New Roman" w:hAnsi="Calibri" w:cs="Times New Roman"/>
          <w:color w:val="000000"/>
          <w:lang w:eastAsia="nl-NL"/>
        </w:rPr>
        <w:t xml:space="preserve"> toekomstig onderzoek kunnen meerdere landen worden onderzocht over dezelfde periode. </w:t>
      </w:r>
    </w:p>
    <w:p w:rsidR="00243E1E" w:rsidRDefault="00243E1E" w:rsidP="00122475">
      <w:pPr>
        <w:rPr>
          <w:rFonts w:ascii="Calibri" w:eastAsia="Times New Roman" w:hAnsi="Calibri" w:cs="Times New Roman"/>
          <w:color w:val="000000"/>
          <w:lang w:eastAsia="nl-NL"/>
        </w:rPr>
      </w:pPr>
    </w:p>
    <w:p w:rsidR="00243E1E" w:rsidRPr="00243E1E" w:rsidRDefault="00243E1E" w:rsidP="00122475">
      <w:pPr>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Een tweede beperking is de gekozen periode. In hoofdstuk 2, theorie, bleek dat het januari effect in de loop der tijd aan het verdwijnen is. Ook in dit onderzoek was het januari effect niet aanwezig. Als </w:t>
      </w:r>
      <w:r>
        <w:rPr>
          <w:rFonts w:ascii="Calibri" w:eastAsia="Times New Roman" w:hAnsi="Calibri" w:cs="Times New Roman"/>
          <w:color w:val="000000"/>
          <w:lang w:eastAsia="nl-NL"/>
        </w:rPr>
        <w:lastRenderedPageBreak/>
        <w:t>voor een andere periode gekozen was met andere landen, waren er misschien andere resultaten uit gekomen</w:t>
      </w:r>
      <w:r w:rsidR="003517CE">
        <w:rPr>
          <w:rFonts w:ascii="Calibri" w:eastAsia="Times New Roman" w:hAnsi="Calibri" w:cs="Times New Roman"/>
          <w:color w:val="000000"/>
          <w:lang w:eastAsia="nl-NL"/>
        </w:rPr>
        <w:t>.</w:t>
      </w:r>
    </w:p>
    <w:p w:rsidR="00F1373D" w:rsidRDefault="00F1373D" w:rsidP="00122475">
      <w:pPr>
        <w:rPr>
          <w:rFonts w:ascii="Calibri" w:eastAsia="Times New Roman" w:hAnsi="Calibri" w:cs="Times New Roman"/>
          <w:color w:val="000000"/>
          <w:lang w:eastAsia="nl-NL"/>
        </w:rPr>
      </w:pPr>
    </w:p>
    <w:p w:rsidR="00F1373D" w:rsidRPr="008A66E0" w:rsidRDefault="00F1373D" w:rsidP="00122475"/>
    <w:p w:rsidR="00122475" w:rsidRPr="008A66E0" w:rsidRDefault="00122475">
      <w:r w:rsidRPr="008A66E0">
        <w:br w:type="page"/>
      </w:r>
    </w:p>
    <w:sdt>
      <w:sdtPr>
        <w:rPr>
          <w:rFonts w:asciiTheme="minorHAnsi" w:eastAsiaTheme="minorHAnsi" w:hAnsiTheme="minorHAnsi" w:cstheme="minorBidi"/>
          <w:b w:val="0"/>
          <w:bCs w:val="0"/>
          <w:color w:val="auto"/>
          <w:sz w:val="22"/>
          <w:szCs w:val="22"/>
        </w:rPr>
        <w:id w:val="6443740"/>
        <w:docPartObj>
          <w:docPartGallery w:val="Bibliographies"/>
          <w:docPartUnique/>
        </w:docPartObj>
      </w:sdtPr>
      <w:sdtContent>
        <w:bookmarkStart w:id="18" w:name="_Toc380522442" w:displacedByCustomXml="prev"/>
        <w:p w:rsidR="003F4237" w:rsidRPr="006D54AA" w:rsidRDefault="00243E1E">
          <w:pPr>
            <w:pStyle w:val="Heading1"/>
          </w:pPr>
          <w:r>
            <w:t>B</w:t>
          </w:r>
          <w:r w:rsidR="002206E9" w:rsidRPr="006D54AA">
            <w:t>ronnenlijst</w:t>
          </w:r>
          <w:bookmarkEnd w:id="18"/>
        </w:p>
        <w:p w:rsidR="00035D3F" w:rsidRPr="006D54AA" w:rsidRDefault="00035D3F" w:rsidP="00035D3F"/>
        <w:sdt>
          <w:sdtPr>
            <w:id w:val="111145805"/>
            <w:bibliography/>
          </w:sdtPr>
          <w:sdtContent>
            <w:p w:rsidR="00735B39" w:rsidRPr="00735B39" w:rsidRDefault="00505FFB" w:rsidP="00735B39">
              <w:pPr>
                <w:pStyle w:val="Bibliography"/>
                <w:rPr>
                  <w:noProof/>
                  <w:lang w:val="en-GB"/>
                </w:rPr>
              </w:pPr>
              <w:r>
                <w:fldChar w:fldCharType="begin"/>
              </w:r>
              <w:r w:rsidR="003F4237" w:rsidRPr="00C2187A">
                <w:instrText xml:space="preserve"> BIBLIOGRAPHY </w:instrText>
              </w:r>
              <w:r>
                <w:fldChar w:fldCharType="separate"/>
              </w:r>
              <w:r w:rsidR="00735B39" w:rsidRPr="00C2187A">
                <w:rPr>
                  <w:noProof/>
                </w:rPr>
                <w:t xml:space="preserve">Agrawal, A., &amp; Tandon, K. (1994). </w:t>
              </w:r>
              <w:r w:rsidR="00735B39" w:rsidRPr="00735B39">
                <w:rPr>
                  <w:noProof/>
                  <w:lang w:val="en-GB"/>
                </w:rPr>
                <w:t xml:space="preserve">Anomalies or illusions? Evidence from stock markets in eighteen countries. </w:t>
              </w:r>
              <w:r w:rsidR="00735B39" w:rsidRPr="00735B39">
                <w:rPr>
                  <w:i/>
                  <w:iCs/>
                  <w:noProof/>
                  <w:lang w:val="en-GB"/>
                </w:rPr>
                <w:t>Journal of International Money and Finance</w:t>
              </w:r>
              <w:r w:rsidR="00735B39" w:rsidRPr="00735B39">
                <w:rPr>
                  <w:noProof/>
                  <w:lang w:val="en-GB"/>
                </w:rPr>
                <w:t xml:space="preserve"> (13), 83-106.</w:t>
              </w:r>
            </w:p>
            <w:p w:rsidR="00735B39" w:rsidRPr="00735B39" w:rsidRDefault="00735B39" w:rsidP="00735B39">
              <w:pPr>
                <w:pStyle w:val="Bibliography"/>
                <w:rPr>
                  <w:noProof/>
                  <w:lang w:val="en-GB"/>
                </w:rPr>
              </w:pPr>
              <w:r w:rsidRPr="00735B39">
                <w:rPr>
                  <w:noProof/>
                  <w:lang w:val="en-GB"/>
                </w:rPr>
                <w:t xml:space="preserve">Al-Rjoub, S., &amp; Alwaked, A. (2010). January Effect during financial crises: evidence from the U.S. </w:t>
              </w:r>
              <w:r w:rsidRPr="00735B39">
                <w:rPr>
                  <w:i/>
                  <w:iCs/>
                  <w:noProof/>
                  <w:lang w:val="en-GB"/>
                </w:rPr>
                <w:t>European Journal of Economics, Finance and Administrative Sciences</w:t>
              </w:r>
              <w:r w:rsidRPr="00735B39">
                <w:rPr>
                  <w:noProof/>
                  <w:lang w:val="en-GB"/>
                </w:rPr>
                <w:t xml:space="preserve"> (24), 29-35.</w:t>
              </w:r>
            </w:p>
            <w:p w:rsidR="00735B39" w:rsidRPr="00735B39" w:rsidRDefault="00735B39" w:rsidP="00735B39">
              <w:pPr>
                <w:pStyle w:val="Bibliography"/>
                <w:rPr>
                  <w:noProof/>
                  <w:lang w:val="en-GB"/>
                </w:rPr>
              </w:pPr>
              <w:r w:rsidRPr="00735B39">
                <w:rPr>
                  <w:noProof/>
                  <w:lang w:val="en-GB"/>
                </w:rPr>
                <w:t xml:space="preserve">Asteriou, D., &amp; Kavetsos, G. (2006). Testing for the existence for the 'January effect' in transition economies. </w:t>
              </w:r>
              <w:r w:rsidRPr="00735B39">
                <w:rPr>
                  <w:i/>
                  <w:iCs/>
                  <w:noProof/>
                  <w:lang w:val="en-GB"/>
                </w:rPr>
                <w:t>Applied Financial Economics Letters</w:t>
              </w:r>
              <w:r w:rsidRPr="00735B39">
                <w:rPr>
                  <w:noProof/>
                  <w:lang w:val="en-GB"/>
                </w:rPr>
                <w:t xml:space="preserve"> (2), 375-381.</w:t>
              </w:r>
            </w:p>
            <w:p w:rsidR="00735B39" w:rsidRPr="00735B39" w:rsidRDefault="00735B39" w:rsidP="00735B39">
              <w:pPr>
                <w:pStyle w:val="Bibliography"/>
                <w:rPr>
                  <w:noProof/>
                  <w:lang w:val="en-GB"/>
                </w:rPr>
              </w:pPr>
              <w:r w:rsidRPr="00735B39">
                <w:rPr>
                  <w:noProof/>
                  <w:lang w:val="en-GB"/>
                </w:rPr>
                <w:t xml:space="preserve">Beck, T., Levine, R., &amp; Loayza, N. (2000). Finance and the sources of growth. </w:t>
              </w:r>
              <w:r w:rsidRPr="00735B39">
                <w:rPr>
                  <w:i/>
                  <w:iCs/>
                  <w:noProof/>
                  <w:lang w:val="en-GB"/>
                </w:rPr>
                <w:t>Journal of Financial Economics</w:t>
              </w:r>
              <w:r w:rsidRPr="00735B39">
                <w:rPr>
                  <w:noProof/>
                  <w:lang w:val="en-GB"/>
                </w:rPr>
                <w:t xml:space="preserve"> (volume 58, Issue 1/2), 261-300.</w:t>
              </w:r>
            </w:p>
            <w:p w:rsidR="00735B39" w:rsidRPr="00735B39" w:rsidRDefault="00735B39" w:rsidP="00735B39">
              <w:pPr>
                <w:pStyle w:val="Bibliography"/>
                <w:rPr>
                  <w:noProof/>
                  <w:lang w:val="en-GB"/>
                </w:rPr>
              </w:pPr>
              <w:r w:rsidRPr="00735B39">
                <w:rPr>
                  <w:noProof/>
                  <w:lang w:val="en-GB"/>
                </w:rPr>
                <w:t xml:space="preserve">Beck, T., Levine, R., &amp; Loayza, N. (2000). Financial Intermediation and Growth: Causaility and causes. </w:t>
              </w:r>
              <w:r w:rsidRPr="00735B39">
                <w:rPr>
                  <w:i/>
                  <w:iCs/>
                  <w:noProof/>
                  <w:lang w:val="en-GB"/>
                </w:rPr>
                <w:t>Journal of Monetary Economics</w:t>
              </w:r>
              <w:r w:rsidRPr="00735B39">
                <w:rPr>
                  <w:noProof/>
                  <w:lang w:val="en-GB"/>
                </w:rPr>
                <w:t xml:space="preserve"> (Volume 46, Issue 1), 31-77.</w:t>
              </w:r>
            </w:p>
            <w:p w:rsidR="00735B39" w:rsidRPr="00735B39" w:rsidRDefault="00735B39" w:rsidP="00735B39">
              <w:pPr>
                <w:pStyle w:val="Bibliography"/>
                <w:rPr>
                  <w:noProof/>
                  <w:lang w:val="en-GB"/>
                </w:rPr>
              </w:pPr>
              <w:r w:rsidRPr="00735B39">
                <w:rPr>
                  <w:noProof/>
                  <w:lang w:val="en-GB"/>
                </w:rPr>
                <w:t xml:space="preserve">Brooks, C. (2008). </w:t>
              </w:r>
              <w:r w:rsidRPr="00735B39">
                <w:rPr>
                  <w:i/>
                  <w:iCs/>
                  <w:noProof/>
                  <w:lang w:val="en-GB"/>
                </w:rPr>
                <w:t>Introductory Econometrics for Finance</w:t>
              </w:r>
              <w:r w:rsidRPr="00735B39">
                <w:rPr>
                  <w:noProof/>
                  <w:lang w:val="en-GB"/>
                </w:rPr>
                <w:t xml:space="preserve"> (2 ed.). Cambrigde.</w:t>
              </w:r>
            </w:p>
            <w:p w:rsidR="00735B39" w:rsidRPr="00735B39" w:rsidRDefault="00735B39" w:rsidP="00735B39">
              <w:pPr>
                <w:pStyle w:val="Bibliography"/>
                <w:rPr>
                  <w:noProof/>
                  <w:lang w:val="en-GB"/>
                </w:rPr>
              </w:pPr>
              <w:r w:rsidRPr="00735B39">
                <w:rPr>
                  <w:noProof/>
                  <w:lang w:val="en-GB"/>
                </w:rPr>
                <w:t xml:space="preserve">Cooper, M., McConnell, J., &amp; Ovtchinnikov, A. (2006). The Other January Effect. </w:t>
              </w:r>
              <w:r w:rsidRPr="00735B39">
                <w:rPr>
                  <w:i/>
                  <w:iCs/>
                  <w:noProof/>
                  <w:lang w:val="en-GB"/>
                </w:rPr>
                <w:t>Journal of Financial Economics</w:t>
              </w:r>
              <w:r w:rsidRPr="00735B39">
                <w:rPr>
                  <w:noProof/>
                  <w:lang w:val="en-GB"/>
                </w:rPr>
                <w:t xml:space="preserve"> (82), 315-341.</w:t>
              </w:r>
            </w:p>
            <w:p w:rsidR="00735B39" w:rsidRPr="00735B39" w:rsidRDefault="00735B39" w:rsidP="00735B39">
              <w:pPr>
                <w:pStyle w:val="Bibliography"/>
                <w:rPr>
                  <w:noProof/>
                  <w:lang w:val="en-GB"/>
                </w:rPr>
              </w:pPr>
              <w:r w:rsidRPr="00735B39">
                <w:rPr>
                  <w:noProof/>
                  <w:lang w:val="en-GB"/>
                </w:rPr>
                <w:t xml:space="preserve">Fama, E. (1970). Efficient capital markets: A review of theory and empirical work. </w:t>
              </w:r>
              <w:r w:rsidRPr="00735B39">
                <w:rPr>
                  <w:i/>
                  <w:iCs/>
                  <w:noProof/>
                  <w:lang w:val="en-GB"/>
                </w:rPr>
                <w:t>Journal of Finance</w:t>
              </w:r>
              <w:r w:rsidRPr="00735B39">
                <w:rPr>
                  <w:noProof/>
                  <w:lang w:val="en-GB"/>
                </w:rPr>
                <w:t xml:space="preserve"> (Volume 25, Issue 2), 383-417.</w:t>
              </w:r>
            </w:p>
            <w:p w:rsidR="00735B39" w:rsidRPr="00735B39" w:rsidRDefault="00735B39" w:rsidP="00735B39">
              <w:pPr>
                <w:pStyle w:val="Bibliography"/>
                <w:rPr>
                  <w:noProof/>
                  <w:lang w:val="en-GB"/>
                </w:rPr>
              </w:pPr>
              <w:r w:rsidRPr="00735B39">
                <w:rPr>
                  <w:noProof/>
                  <w:lang w:val="en-GB"/>
                </w:rPr>
                <w:t xml:space="preserve">Fama, E., Fisher, L., Jensen, M., &amp; Roll, R. (1969). The adjustment of stock prices to new information. </w:t>
              </w:r>
              <w:r w:rsidRPr="00735B39">
                <w:rPr>
                  <w:i/>
                  <w:iCs/>
                  <w:noProof/>
                  <w:lang w:val="en-GB"/>
                </w:rPr>
                <w:t>International Economic Review</w:t>
              </w:r>
              <w:r w:rsidRPr="00735B39">
                <w:rPr>
                  <w:noProof/>
                  <w:lang w:val="en-GB"/>
                </w:rPr>
                <w:t xml:space="preserve"> (Volume 10, Issue 10), 1-21.</w:t>
              </w:r>
            </w:p>
            <w:p w:rsidR="00735B39" w:rsidRPr="00735B39" w:rsidRDefault="00735B39" w:rsidP="00735B39">
              <w:pPr>
                <w:pStyle w:val="Bibliography"/>
                <w:rPr>
                  <w:noProof/>
                  <w:lang w:val="en-GB"/>
                </w:rPr>
              </w:pPr>
              <w:r w:rsidRPr="00735B39">
                <w:rPr>
                  <w:noProof/>
                  <w:lang w:val="en-GB"/>
                </w:rPr>
                <w:t xml:space="preserve">Grant, S., &amp; Brue, R. (2007). </w:t>
              </w:r>
              <w:r w:rsidRPr="00735B39">
                <w:rPr>
                  <w:i/>
                  <w:iCs/>
                  <w:noProof/>
                  <w:lang w:val="en-GB"/>
                </w:rPr>
                <w:t>The History Of Economic Thought</w:t>
              </w:r>
              <w:r w:rsidRPr="00735B39">
                <w:rPr>
                  <w:noProof/>
                  <w:lang w:val="en-GB"/>
                </w:rPr>
                <w:t xml:space="preserve"> (7 ed.). Mason, OH, USA: Thomson South-Western.</w:t>
              </w:r>
            </w:p>
            <w:p w:rsidR="00735B39" w:rsidRPr="00735B39" w:rsidRDefault="00735B39" w:rsidP="00735B39">
              <w:pPr>
                <w:pStyle w:val="Bibliography"/>
                <w:rPr>
                  <w:noProof/>
                  <w:lang w:val="en-GB"/>
                </w:rPr>
              </w:pPr>
              <w:r w:rsidRPr="00735B39">
                <w:rPr>
                  <w:noProof/>
                  <w:lang w:val="en-GB"/>
                </w:rPr>
                <w:t xml:space="preserve">Gu, Y. (2003). The Declining January Effect: Evidence from U.S. Equity Markets. </w:t>
              </w:r>
              <w:r w:rsidRPr="00735B39">
                <w:rPr>
                  <w:i/>
                  <w:iCs/>
                  <w:noProof/>
                  <w:lang w:val="en-GB"/>
                </w:rPr>
                <w:t>Quarterly Review of Economics and Finance</w:t>
              </w:r>
              <w:r w:rsidRPr="00735B39">
                <w:rPr>
                  <w:noProof/>
                  <w:lang w:val="en-GB"/>
                </w:rPr>
                <w:t xml:space="preserve"> (Volume 43, Issue 2), 395-404.</w:t>
              </w:r>
            </w:p>
            <w:p w:rsidR="00735B39" w:rsidRPr="00735B39" w:rsidRDefault="00735B39" w:rsidP="00735B39">
              <w:pPr>
                <w:pStyle w:val="Bibliography"/>
                <w:rPr>
                  <w:noProof/>
                  <w:lang w:val="en-GB"/>
                </w:rPr>
              </w:pPr>
              <w:r w:rsidRPr="00735B39">
                <w:rPr>
                  <w:noProof/>
                  <w:lang w:val="en-GB"/>
                </w:rPr>
                <w:t xml:space="preserve">Gultekin, M., &amp; Gultekin, B. (1983). Stock market evidence: International evidence. </w:t>
              </w:r>
              <w:r w:rsidRPr="00735B39">
                <w:rPr>
                  <w:i/>
                  <w:iCs/>
                  <w:noProof/>
                  <w:lang w:val="en-GB"/>
                </w:rPr>
                <w:t>Journal of Financial Economics</w:t>
              </w:r>
              <w:r w:rsidRPr="00735B39">
                <w:rPr>
                  <w:noProof/>
                  <w:lang w:val="en-GB"/>
                </w:rPr>
                <w:t xml:space="preserve"> (Volume 12), 469-481.</w:t>
              </w:r>
            </w:p>
            <w:p w:rsidR="00735B39" w:rsidRPr="00735B39" w:rsidRDefault="00735B39" w:rsidP="00735B39">
              <w:pPr>
                <w:pStyle w:val="Bibliography"/>
                <w:rPr>
                  <w:noProof/>
                  <w:lang w:val="en-GB"/>
                </w:rPr>
              </w:pPr>
              <w:r w:rsidRPr="00735B39">
                <w:rPr>
                  <w:noProof/>
                  <w:lang w:val="en-GB"/>
                </w:rPr>
                <w:t xml:space="preserve">Haug, M., &amp; Hirschley, M. (2006). The January Effect. </w:t>
              </w:r>
              <w:r w:rsidRPr="00735B39">
                <w:rPr>
                  <w:i/>
                  <w:iCs/>
                  <w:noProof/>
                  <w:lang w:val="en-GB"/>
                </w:rPr>
                <w:t>Financial Analysts Journal</w:t>
              </w:r>
              <w:r w:rsidRPr="00735B39">
                <w:rPr>
                  <w:noProof/>
                  <w:lang w:val="en-GB"/>
                </w:rPr>
                <w:t xml:space="preserve"> (62), 78-88.</w:t>
              </w:r>
            </w:p>
            <w:p w:rsidR="00735B39" w:rsidRPr="00735B39" w:rsidRDefault="00735B39" w:rsidP="00735B39">
              <w:pPr>
                <w:pStyle w:val="Bibliography"/>
                <w:rPr>
                  <w:noProof/>
                  <w:lang w:val="en-GB"/>
                </w:rPr>
              </w:pPr>
              <w:r w:rsidRPr="00735B39">
                <w:rPr>
                  <w:noProof/>
                  <w:lang w:val="en-GB"/>
                </w:rPr>
                <w:t xml:space="preserve">Haugen, R., &amp; Lakonishok, J. (1988). The Incredible January Effect: The stock market's unsolved mystery. </w:t>
              </w:r>
              <w:r w:rsidRPr="00735B39">
                <w:rPr>
                  <w:i/>
                  <w:iCs/>
                  <w:noProof/>
                  <w:lang w:val="en-GB"/>
                </w:rPr>
                <w:t>Dow Jones-Irwin, Homewood</w:t>
              </w:r>
              <w:r w:rsidRPr="00735B39">
                <w:rPr>
                  <w:noProof/>
                  <w:lang w:val="en-GB"/>
                </w:rPr>
                <w:t xml:space="preserve"> , 135.</w:t>
              </w:r>
            </w:p>
            <w:p w:rsidR="00735B39" w:rsidRPr="00735B39" w:rsidRDefault="00735B39" w:rsidP="00735B39">
              <w:pPr>
                <w:pStyle w:val="Bibliography"/>
                <w:rPr>
                  <w:noProof/>
                  <w:lang w:val="en-GB"/>
                </w:rPr>
              </w:pPr>
              <w:r w:rsidRPr="00735B39">
                <w:rPr>
                  <w:noProof/>
                  <w:lang w:val="en-GB"/>
                </w:rPr>
                <w:t xml:space="preserve">Kahneman, D., &amp; Tversky, A. (1979). Prospect theory: An analysis of decision under risk. </w:t>
              </w:r>
              <w:r w:rsidRPr="00735B39">
                <w:rPr>
                  <w:i/>
                  <w:iCs/>
                  <w:noProof/>
                  <w:lang w:val="en-GB"/>
                </w:rPr>
                <w:t>Econometrica</w:t>
              </w:r>
              <w:r w:rsidRPr="00735B39">
                <w:rPr>
                  <w:noProof/>
                  <w:lang w:val="en-GB"/>
                </w:rPr>
                <w:t xml:space="preserve"> (Volume 47, Issue 2), 263-291.</w:t>
              </w:r>
            </w:p>
            <w:p w:rsidR="00735B39" w:rsidRPr="00735B39" w:rsidRDefault="00735B39" w:rsidP="00735B39">
              <w:pPr>
                <w:pStyle w:val="Bibliography"/>
                <w:rPr>
                  <w:noProof/>
                  <w:lang w:val="en-GB"/>
                </w:rPr>
              </w:pPr>
              <w:r w:rsidRPr="00735B39">
                <w:rPr>
                  <w:noProof/>
                  <w:lang w:val="en-GB"/>
                </w:rPr>
                <w:t xml:space="preserve">Kato, K., &amp; Shallheim, J. (1985). Seasonal and Size Anomalies in the Japanese Stock Market. </w:t>
              </w:r>
              <w:r w:rsidRPr="00735B39">
                <w:rPr>
                  <w:i/>
                  <w:iCs/>
                  <w:noProof/>
                  <w:lang w:val="en-GB"/>
                </w:rPr>
                <w:t>Journal of Financial and Quantitative Analysis</w:t>
              </w:r>
              <w:r w:rsidRPr="00735B39">
                <w:rPr>
                  <w:noProof/>
                  <w:lang w:val="en-GB"/>
                </w:rPr>
                <w:t xml:space="preserve"> (Volume 20, Issue 2), 243-260.</w:t>
              </w:r>
            </w:p>
            <w:p w:rsidR="00735B39" w:rsidRPr="00735B39" w:rsidRDefault="00735B39" w:rsidP="00735B39">
              <w:pPr>
                <w:pStyle w:val="Bibliography"/>
                <w:rPr>
                  <w:noProof/>
                  <w:lang w:val="en-GB"/>
                </w:rPr>
              </w:pPr>
              <w:r w:rsidRPr="00735B39">
                <w:rPr>
                  <w:noProof/>
                  <w:lang w:val="en-GB"/>
                </w:rPr>
                <w:t xml:space="preserve">Keim, D. (1983). Size Related Anomalies and Stock Return Seasonality; Further Empirical Evidence. </w:t>
              </w:r>
              <w:r w:rsidRPr="00735B39">
                <w:rPr>
                  <w:i/>
                  <w:iCs/>
                  <w:noProof/>
                  <w:lang w:val="en-GB"/>
                </w:rPr>
                <w:t>Journal of Financial Economics, Vol 12</w:t>
              </w:r>
              <w:r w:rsidRPr="00735B39">
                <w:rPr>
                  <w:noProof/>
                  <w:lang w:val="en-GB"/>
                </w:rPr>
                <w:t xml:space="preserve"> (Volume 12, Issue 1), 13-32.</w:t>
              </w:r>
            </w:p>
            <w:p w:rsidR="00735B39" w:rsidRPr="00735B39" w:rsidRDefault="00735B39" w:rsidP="00735B39">
              <w:pPr>
                <w:pStyle w:val="Bibliography"/>
                <w:rPr>
                  <w:noProof/>
                  <w:lang w:val="en-GB"/>
                </w:rPr>
              </w:pPr>
              <w:r w:rsidRPr="00735B39">
                <w:rPr>
                  <w:noProof/>
                  <w:lang w:val="en-GB"/>
                </w:rPr>
                <w:lastRenderedPageBreak/>
                <w:t xml:space="preserve">Keim, D. (1989). Trading patterns, bid-ask spreads, and estimated security returns: The case of common stock at calendar turning points. </w:t>
              </w:r>
              <w:r w:rsidRPr="00735B39">
                <w:rPr>
                  <w:i/>
                  <w:iCs/>
                  <w:noProof/>
                  <w:lang w:val="en-GB"/>
                </w:rPr>
                <w:t>Journal of Financial Economics</w:t>
              </w:r>
              <w:r w:rsidRPr="00735B39">
                <w:rPr>
                  <w:noProof/>
                  <w:lang w:val="en-GB"/>
                </w:rPr>
                <w:t xml:space="preserve"> (Volume 25, Issue 1), 75-97.</w:t>
              </w:r>
            </w:p>
            <w:p w:rsidR="00735B39" w:rsidRPr="00735B39" w:rsidRDefault="00735B39" w:rsidP="00735B39">
              <w:pPr>
                <w:pStyle w:val="Bibliography"/>
                <w:rPr>
                  <w:noProof/>
                  <w:lang w:val="en-GB"/>
                </w:rPr>
              </w:pPr>
              <w:r w:rsidRPr="00735B39">
                <w:rPr>
                  <w:noProof/>
                  <w:lang w:val="en-GB"/>
                </w:rPr>
                <w:t xml:space="preserve">King, R., &amp; Levine, R. (1993). Finance and Growth: Schumpeter might be right. </w:t>
              </w:r>
              <w:r w:rsidRPr="00735B39">
                <w:rPr>
                  <w:i/>
                  <w:iCs/>
                  <w:noProof/>
                  <w:lang w:val="en-GB"/>
                </w:rPr>
                <w:t>The Quarterly Journal of Economics</w:t>
              </w:r>
              <w:r w:rsidRPr="00735B39">
                <w:rPr>
                  <w:noProof/>
                  <w:lang w:val="en-GB"/>
                </w:rPr>
                <w:t xml:space="preserve"> (Volume 108, Issue 3), 717-737.</w:t>
              </w:r>
            </w:p>
            <w:p w:rsidR="00735B39" w:rsidRPr="00735B39" w:rsidRDefault="00735B39" w:rsidP="00735B39">
              <w:pPr>
                <w:pStyle w:val="Bibliography"/>
                <w:rPr>
                  <w:noProof/>
                  <w:lang w:val="en-GB"/>
                </w:rPr>
              </w:pPr>
              <w:r w:rsidRPr="00735B39">
                <w:rPr>
                  <w:noProof/>
                  <w:lang w:val="en-GB"/>
                </w:rPr>
                <w:t xml:space="preserve">Lakonishok, J., &amp; Smidt, S. (1988). Are Seasonal Anomalies real? A ninety-year perspective. </w:t>
              </w:r>
              <w:r w:rsidRPr="00735B39">
                <w:rPr>
                  <w:i/>
                  <w:iCs/>
                  <w:noProof/>
                  <w:lang w:val="en-GB"/>
                </w:rPr>
                <w:t>Review of Financial studies</w:t>
              </w:r>
              <w:r w:rsidRPr="00735B39">
                <w:rPr>
                  <w:noProof/>
                  <w:lang w:val="en-GB"/>
                </w:rPr>
                <w:t xml:space="preserve"> (Volume 1, Issue 4), 403-425.</w:t>
              </w:r>
            </w:p>
            <w:p w:rsidR="00735B39" w:rsidRPr="00735B39" w:rsidRDefault="00735B39" w:rsidP="00735B39">
              <w:pPr>
                <w:pStyle w:val="Bibliography"/>
                <w:rPr>
                  <w:noProof/>
                  <w:lang w:val="en-GB"/>
                </w:rPr>
              </w:pPr>
              <w:r w:rsidRPr="00735B39">
                <w:rPr>
                  <w:noProof/>
                  <w:lang w:val="en-GB"/>
                </w:rPr>
                <w:t xml:space="preserve">Lakonoishok, J., Schleifer, A., Thaler, R., &amp; Vishny, R. (1991). Window dressing by pension fund managers. </w:t>
              </w:r>
              <w:r w:rsidRPr="00735B39">
                <w:rPr>
                  <w:i/>
                  <w:iCs/>
                  <w:noProof/>
                  <w:lang w:val="en-GB"/>
                </w:rPr>
                <w:t>The American Economic Review</w:t>
              </w:r>
              <w:r w:rsidRPr="00735B39">
                <w:rPr>
                  <w:noProof/>
                  <w:lang w:val="en-GB"/>
                </w:rPr>
                <w:t xml:space="preserve"> (Volume 81, Issue 2), 227-231.</w:t>
              </w:r>
            </w:p>
            <w:p w:rsidR="00735B39" w:rsidRPr="00735B39" w:rsidRDefault="00735B39" w:rsidP="00735B39">
              <w:pPr>
                <w:pStyle w:val="Bibliography"/>
                <w:rPr>
                  <w:noProof/>
                  <w:lang w:val="en-GB"/>
                </w:rPr>
              </w:pPr>
              <w:r>
                <w:rPr>
                  <w:noProof/>
                </w:rPr>
                <w:t xml:space="preserve">Levine, R. G., &amp; Zervos, S. (1998). </w:t>
              </w:r>
              <w:r w:rsidRPr="00735B39">
                <w:rPr>
                  <w:noProof/>
                  <w:lang w:val="en-GB"/>
                </w:rPr>
                <w:t xml:space="preserve">Stock Markets, Banks, and Economic Growth. </w:t>
              </w:r>
              <w:r w:rsidRPr="00735B39">
                <w:rPr>
                  <w:i/>
                  <w:iCs/>
                  <w:noProof/>
                  <w:lang w:val="en-GB"/>
                </w:rPr>
                <w:t>The American Economic Review</w:t>
              </w:r>
              <w:r w:rsidRPr="00735B39">
                <w:rPr>
                  <w:noProof/>
                  <w:lang w:val="en-GB"/>
                </w:rPr>
                <w:t xml:space="preserve"> (Volume 88, Issue 3), 537-558.</w:t>
              </w:r>
            </w:p>
            <w:p w:rsidR="00735B39" w:rsidRPr="00735B39" w:rsidRDefault="00735B39" w:rsidP="00735B39">
              <w:pPr>
                <w:pStyle w:val="Bibliography"/>
                <w:rPr>
                  <w:noProof/>
                  <w:lang w:val="en-GB"/>
                </w:rPr>
              </w:pPr>
              <w:r w:rsidRPr="00735B39">
                <w:rPr>
                  <w:noProof/>
                  <w:lang w:val="en-GB"/>
                </w:rPr>
                <w:t xml:space="preserve">Madureira, L., &amp; Leal, R. (2001). Elusive anomalies in the Brazilian stock market. </w:t>
              </w:r>
              <w:r w:rsidRPr="00735B39">
                <w:rPr>
                  <w:i/>
                  <w:iCs/>
                  <w:noProof/>
                  <w:lang w:val="en-GB"/>
                </w:rPr>
                <w:t>International review of financial analysis</w:t>
              </w:r>
              <w:r w:rsidRPr="00735B39">
                <w:rPr>
                  <w:noProof/>
                  <w:lang w:val="en-GB"/>
                </w:rPr>
                <w:t xml:space="preserve"> (10), 123-134.</w:t>
              </w:r>
            </w:p>
            <w:p w:rsidR="00735B39" w:rsidRPr="00735B39" w:rsidRDefault="00735B39" w:rsidP="00735B39">
              <w:pPr>
                <w:pStyle w:val="Bibliography"/>
                <w:rPr>
                  <w:noProof/>
                  <w:lang w:val="en-GB"/>
                </w:rPr>
              </w:pPr>
              <w:r w:rsidRPr="00735B39">
                <w:rPr>
                  <w:noProof/>
                  <w:lang w:val="en-GB"/>
                </w:rPr>
                <w:t xml:space="preserve">Marquering, W., Nisser, J., &amp; Valla, T. (2006). Disappearing anomalies: a dynamic analysis of the persistence of anomalies. </w:t>
              </w:r>
              <w:r w:rsidRPr="00735B39">
                <w:rPr>
                  <w:i/>
                  <w:iCs/>
                  <w:noProof/>
                  <w:lang w:val="en-GB"/>
                </w:rPr>
                <w:t>Applied Financial Economics</w:t>
              </w:r>
              <w:r w:rsidRPr="00735B39">
                <w:rPr>
                  <w:noProof/>
                  <w:lang w:val="en-GB"/>
                </w:rPr>
                <w:t xml:space="preserve"> (16), 291-302.</w:t>
              </w:r>
            </w:p>
            <w:p w:rsidR="00735B39" w:rsidRPr="00735B39" w:rsidRDefault="00735B39" w:rsidP="00735B39">
              <w:pPr>
                <w:pStyle w:val="Bibliography"/>
                <w:rPr>
                  <w:noProof/>
                  <w:lang w:val="en-GB"/>
                </w:rPr>
              </w:pPr>
              <w:r w:rsidRPr="00735B39">
                <w:rPr>
                  <w:noProof/>
                  <w:lang w:val="en-GB"/>
                </w:rPr>
                <w:t xml:space="preserve">Moller, N., &amp; Zilca, S. (2008). The evolution of the January effect. </w:t>
              </w:r>
              <w:r w:rsidRPr="00735B39">
                <w:rPr>
                  <w:i/>
                  <w:iCs/>
                  <w:noProof/>
                  <w:lang w:val="en-GB"/>
                </w:rPr>
                <w:t>Journal of Banking and Finance</w:t>
              </w:r>
              <w:r w:rsidRPr="00735B39">
                <w:rPr>
                  <w:noProof/>
                  <w:lang w:val="en-GB"/>
                </w:rPr>
                <w:t xml:space="preserve"> (Volume 32), 447-457.</w:t>
              </w:r>
            </w:p>
            <w:p w:rsidR="00735B39" w:rsidRPr="00735B39" w:rsidRDefault="00735B39" w:rsidP="00735B39">
              <w:pPr>
                <w:pStyle w:val="Bibliography"/>
                <w:rPr>
                  <w:noProof/>
                  <w:lang w:val="en-GB"/>
                </w:rPr>
              </w:pPr>
              <w:r w:rsidRPr="00735B39">
                <w:rPr>
                  <w:noProof/>
                  <w:lang w:val="en-GB"/>
                </w:rPr>
                <w:t xml:space="preserve">Park, S., &amp; Moskalev, S. (2010). The 52-Week High and the January Effect. </w:t>
              </w:r>
              <w:r w:rsidRPr="00735B39">
                <w:rPr>
                  <w:i/>
                  <w:iCs/>
                  <w:noProof/>
                  <w:lang w:val="en-GB"/>
                </w:rPr>
                <w:t>Journal of Business &amp; Economics Research</w:t>
              </w:r>
              <w:r w:rsidRPr="00735B39">
                <w:rPr>
                  <w:noProof/>
                  <w:lang w:val="en-GB"/>
                </w:rPr>
                <w:t xml:space="preserve"> (Volume 8), 43-58.</w:t>
              </w:r>
            </w:p>
            <w:p w:rsidR="00735B39" w:rsidRPr="00735B39" w:rsidRDefault="00735B39" w:rsidP="00735B39">
              <w:pPr>
                <w:pStyle w:val="Bibliography"/>
                <w:rPr>
                  <w:noProof/>
                  <w:lang w:val="en-GB"/>
                </w:rPr>
              </w:pPr>
              <w:r w:rsidRPr="00735B39">
                <w:rPr>
                  <w:noProof/>
                  <w:lang w:val="en-GB"/>
                </w:rPr>
                <w:t xml:space="preserve">Poterba, J., &amp; Weisbenner, S. (2001). Capital gains tax rules, tax-loss trading, and turn-of-the-year returns. </w:t>
              </w:r>
              <w:r w:rsidRPr="00735B39">
                <w:rPr>
                  <w:i/>
                  <w:iCs/>
                  <w:noProof/>
                  <w:lang w:val="en-GB"/>
                </w:rPr>
                <w:t>The Journal of Finance</w:t>
              </w:r>
              <w:r w:rsidRPr="00735B39">
                <w:rPr>
                  <w:noProof/>
                  <w:lang w:val="en-GB"/>
                </w:rPr>
                <w:t xml:space="preserve"> (Volume 56, Issue 1), 353-368.</w:t>
              </w:r>
            </w:p>
            <w:p w:rsidR="00735B39" w:rsidRPr="00735B39" w:rsidRDefault="00735B39" w:rsidP="00735B39">
              <w:pPr>
                <w:pStyle w:val="Bibliography"/>
                <w:rPr>
                  <w:noProof/>
                  <w:lang w:val="en-GB"/>
                </w:rPr>
              </w:pPr>
              <w:r w:rsidRPr="00735B39">
                <w:rPr>
                  <w:noProof/>
                  <w:lang w:val="en-GB"/>
                </w:rPr>
                <w:t xml:space="preserve">Rajan, R., &amp; Zingales, L. (1998). Financial Dependence and Growth. </w:t>
              </w:r>
              <w:r w:rsidRPr="00735B39">
                <w:rPr>
                  <w:i/>
                  <w:iCs/>
                  <w:noProof/>
                  <w:lang w:val="en-GB"/>
                </w:rPr>
                <w:t>The American Economic Review</w:t>
              </w:r>
              <w:r w:rsidRPr="00735B39">
                <w:rPr>
                  <w:noProof/>
                  <w:lang w:val="en-GB"/>
                </w:rPr>
                <w:t xml:space="preserve"> (Volume 88, Issue 3), 559-586.</w:t>
              </w:r>
            </w:p>
            <w:p w:rsidR="00735B39" w:rsidRPr="00735B39" w:rsidRDefault="00735B39" w:rsidP="00735B39">
              <w:pPr>
                <w:pStyle w:val="Bibliography"/>
                <w:rPr>
                  <w:noProof/>
                  <w:lang w:val="en-GB"/>
                </w:rPr>
              </w:pPr>
              <w:r w:rsidRPr="00735B39">
                <w:rPr>
                  <w:noProof/>
                  <w:lang w:val="en-GB"/>
                </w:rPr>
                <w:t xml:space="preserve">Rajan, R., &amp; Zingales, L. (2003). The great reversals: the politics of financial development in the twentieth century. </w:t>
              </w:r>
              <w:r w:rsidRPr="00735B39">
                <w:rPr>
                  <w:i/>
                  <w:iCs/>
                  <w:noProof/>
                  <w:lang w:val="en-GB"/>
                </w:rPr>
                <w:t>Journal of Financial Economics</w:t>
              </w:r>
              <w:r w:rsidRPr="00735B39">
                <w:rPr>
                  <w:noProof/>
                  <w:lang w:val="en-GB"/>
                </w:rPr>
                <w:t xml:space="preserve"> (Volume 69, Issue 1), 5-50.</w:t>
              </w:r>
            </w:p>
            <w:p w:rsidR="00735B39" w:rsidRPr="00735B39" w:rsidRDefault="00735B39" w:rsidP="00735B39">
              <w:pPr>
                <w:pStyle w:val="Bibliography"/>
                <w:rPr>
                  <w:noProof/>
                  <w:lang w:val="en-GB"/>
                </w:rPr>
              </w:pPr>
              <w:r w:rsidRPr="00735B39">
                <w:rPr>
                  <w:noProof/>
                  <w:lang w:val="en-GB"/>
                </w:rPr>
                <w:t xml:space="preserve">Reinganum, M. (1983). The anomalous stock market behavior of small firms in January: Empirical tests for tax-loss selling effects. </w:t>
              </w:r>
              <w:r w:rsidRPr="00735B39">
                <w:rPr>
                  <w:i/>
                  <w:iCs/>
                  <w:noProof/>
                  <w:lang w:val="en-GB"/>
                </w:rPr>
                <w:t>Journal of Financial Economics</w:t>
              </w:r>
              <w:r w:rsidRPr="00735B39">
                <w:rPr>
                  <w:noProof/>
                  <w:lang w:val="en-GB"/>
                </w:rPr>
                <w:t xml:space="preserve"> (Volume 12, Issue 1), 89-104.</w:t>
              </w:r>
            </w:p>
            <w:p w:rsidR="00735B39" w:rsidRPr="00735B39" w:rsidRDefault="00735B39" w:rsidP="00735B39">
              <w:pPr>
                <w:pStyle w:val="Bibliography"/>
                <w:rPr>
                  <w:noProof/>
                  <w:lang w:val="en-GB"/>
                </w:rPr>
              </w:pPr>
              <w:r w:rsidRPr="00735B39">
                <w:rPr>
                  <w:noProof/>
                  <w:lang w:val="en-GB"/>
                </w:rPr>
                <w:t xml:space="preserve">Roll, R. (1983). Vas ist das? The turn-of-the-year effect and the return premia of small firms. </w:t>
              </w:r>
              <w:r w:rsidRPr="00735B39">
                <w:rPr>
                  <w:i/>
                  <w:iCs/>
                  <w:noProof/>
                  <w:lang w:val="en-GB"/>
                </w:rPr>
                <w:t>Journal of Portfolio Management</w:t>
              </w:r>
              <w:r w:rsidRPr="00735B39">
                <w:rPr>
                  <w:noProof/>
                  <w:lang w:val="en-GB"/>
                </w:rPr>
                <w:t xml:space="preserve"> (Volume 9, Issue 2), 18-28.</w:t>
              </w:r>
            </w:p>
            <w:p w:rsidR="00735B39" w:rsidRPr="00735B39" w:rsidRDefault="00735B39" w:rsidP="00735B39">
              <w:pPr>
                <w:pStyle w:val="Bibliography"/>
                <w:rPr>
                  <w:noProof/>
                  <w:lang w:val="en-GB"/>
                </w:rPr>
              </w:pPr>
              <w:r w:rsidRPr="00735B39">
                <w:rPr>
                  <w:noProof/>
                  <w:lang w:val="en-GB"/>
                </w:rPr>
                <w:t xml:space="preserve">Rozeff, M., &amp; Kinney, W. (1976). Capital market seasonality: the case of stock returns. </w:t>
              </w:r>
              <w:r w:rsidRPr="00735B39">
                <w:rPr>
                  <w:i/>
                  <w:iCs/>
                  <w:noProof/>
                  <w:lang w:val="en-GB"/>
                </w:rPr>
                <w:t>Review of Financial studies</w:t>
              </w:r>
              <w:r w:rsidRPr="00735B39">
                <w:rPr>
                  <w:noProof/>
                  <w:lang w:val="en-GB"/>
                </w:rPr>
                <w:t xml:space="preserve"> (Volume 3, Issue 4), 379-402.</w:t>
              </w:r>
            </w:p>
            <w:p w:rsidR="00735B39" w:rsidRPr="00735B39" w:rsidRDefault="00735B39" w:rsidP="00735B39">
              <w:pPr>
                <w:pStyle w:val="Bibliography"/>
                <w:rPr>
                  <w:noProof/>
                  <w:lang w:val="en-GB"/>
                </w:rPr>
              </w:pPr>
              <w:r w:rsidRPr="00735B39">
                <w:rPr>
                  <w:noProof/>
                  <w:lang w:val="en-GB"/>
                </w:rPr>
                <w:t xml:space="preserve">Shefrin, H., &amp; Statman, M. (1984). Explaining investor preference for cash dividends. </w:t>
              </w:r>
              <w:r w:rsidRPr="00735B39">
                <w:rPr>
                  <w:i/>
                  <w:iCs/>
                  <w:noProof/>
                  <w:lang w:val="en-GB"/>
                </w:rPr>
                <w:t>Journal of Financial Economics</w:t>
              </w:r>
              <w:r w:rsidRPr="00735B39">
                <w:rPr>
                  <w:noProof/>
                  <w:lang w:val="en-GB"/>
                </w:rPr>
                <w:t xml:space="preserve"> (Volume 13, Issue 2), 253-282.</w:t>
              </w:r>
            </w:p>
            <w:p w:rsidR="00735B39" w:rsidRPr="00735B39" w:rsidRDefault="00735B39" w:rsidP="00735B39">
              <w:pPr>
                <w:pStyle w:val="Bibliography"/>
                <w:rPr>
                  <w:noProof/>
                  <w:lang w:val="en-GB"/>
                </w:rPr>
              </w:pPr>
              <w:r w:rsidRPr="00735B39">
                <w:rPr>
                  <w:noProof/>
                  <w:lang w:val="en-GB"/>
                </w:rPr>
                <w:t xml:space="preserve">Shefrin, H., &amp; Statman, M. (1985). The disposition to sell winners too early and ride losers too long. </w:t>
              </w:r>
              <w:r w:rsidRPr="00735B39">
                <w:rPr>
                  <w:i/>
                  <w:iCs/>
                  <w:noProof/>
                  <w:lang w:val="en-GB"/>
                </w:rPr>
                <w:t>Journal of Finance</w:t>
              </w:r>
              <w:r w:rsidRPr="00735B39">
                <w:rPr>
                  <w:noProof/>
                  <w:lang w:val="en-GB"/>
                </w:rPr>
                <w:t xml:space="preserve"> (Volume 40, Issue 3), 777-790.</w:t>
              </w:r>
            </w:p>
            <w:p w:rsidR="00735B39" w:rsidRPr="00735B39" w:rsidRDefault="00735B39" w:rsidP="00735B39">
              <w:pPr>
                <w:pStyle w:val="Bibliography"/>
                <w:rPr>
                  <w:noProof/>
                  <w:lang w:val="en-GB"/>
                </w:rPr>
              </w:pPr>
              <w:r w:rsidRPr="00735B39">
                <w:rPr>
                  <w:noProof/>
                  <w:lang w:val="en-GB"/>
                </w:rPr>
                <w:lastRenderedPageBreak/>
                <w:t xml:space="preserve">Starks, L., Yong, L., &amp; Zheng, L. (2006). Tax-Loss Selling and the January Effect: Evidence from Municipal Bond Closed-End Funds. </w:t>
              </w:r>
              <w:r w:rsidRPr="00735B39">
                <w:rPr>
                  <w:i/>
                  <w:iCs/>
                  <w:noProof/>
                  <w:lang w:val="en-GB"/>
                </w:rPr>
                <w:t>The Journal of Finance</w:t>
              </w:r>
              <w:r w:rsidRPr="00735B39">
                <w:rPr>
                  <w:noProof/>
                  <w:lang w:val="en-GB"/>
                </w:rPr>
                <w:t xml:space="preserve"> (Volume 61, Issue 6), 3049-3067.</w:t>
              </w:r>
            </w:p>
            <w:p w:rsidR="00735B39" w:rsidRPr="00735B39" w:rsidRDefault="00735B39" w:rsidP="00735B39">
              <w:pPr>
                <w:pStyle w:val="Bibliography"/>
                <w:rPr>
                  <w:noProof/>
                  <w:lang w:val="en-GB"/>
                </w:rPr>
              </w:pPr>
              <w:r w:rsidRPr="00735B39">
                <w:rPr>
                  <w:noProof/>
                  <w:lang w:val="en-GB"/>
                </w:rPr>
                <w:t xml:space="preserve">Wachtel, S. (1942). Certain observations on seasonal movements in stock prices. </w:t>
              </w:r>
              <w:r w:rsidRPr="00735B39">
                <w:rPr>
                  <w:i/>
                  <w:iCs/>
                  <w:noProof/>
                  <w:lang w:val="en-GB"/>
                </w:rPr>
                <w:t>The Journal of Business of the university of Chicago</w:t>
              </w:r>
              <w:r w:rsidRPr="00735B39">
                <w:rPr>
                  <w:noProof/>
                  <w:lang w:val="en-GB"/>
                </w:rPr>
                <w:t xml:space="preserve"> (Volume 15, Issue 2), 184-193.</w:t>
              </w:r>
            </w:p>
            <w:p w:rsidR="003F4237" w:rsidRDefault="00505FFB" w:rsidP="00735B39">
              <w:r>
                <w:fldChar w:fldCharType="end"/>
              </w:r>
            </w:p>
          </w:sdtContent>
        </w:sdt>
      </w:sdtContent>
    </w:sdt>
    <w:p w:rsidR="002E2E9F" w:rsidRDefault="002E2E9F" w:rsidP="00D1248B">
      <w:pPr>
        <w:pStyle w:val="Heading1"/>
      </w:pPr>
    </w:p>
    <w:sectPr w:rsidR="002E2E9F" w:rsidSect="00DD3630">
      <w:footerReference w:type="default" r:id="rId8"/>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52FE" w:rsidRDefault="006A52FE" w:rsidP="00D91977">
      <w:pPr>
        <w:spacing w:line="240" w:lineRule="auto"/>
      </w:pPr>
      <w:r>
        <w:separator/>
      </w:r>
    </w:p>
  </w:endnote>
  <w:endnote w:type="continuationSeparator" w:id="0">
    <w:p w:rsidR="006A52FE" w:rsidRDefault="006A52FE" w:rsidP="00D9197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90910"/>
      <w:docPartObj>
        <w:docPartGallery w:val="Page Numbers (Bottom of Page)"/>
        <w:docPartUnique/>
      </w:docPartObj>
    </w:sdtPr>
    <w:sdtContent>
      <w:p w:rsidR="009E2D1F" w:rsidRDefault="00505FFB">
        <w:pPr>
          <w:pStyle w:val="Footer"/>
          <w:jc w:val="center"/>
        </w:pPr>
        <w:fldSimple w:instr=" PAGE   \* MERGEFORMAT ">
          <w:r w:rsidR="004260AB">
            <w:rPr>
              <w:noProof/>
            </w:rPr>
            <w:t>24</w:t>
          </w:r>
        </w:fldSimple>
      </w:p>
    </w:sdtContent>
  </w:sdt>
  <w:p w:rsidR="009E2D1F" w:rsidRDefault="009E2D1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52FE" w:rsidRDefault="006A52FE" w:rsidP="00D91977">
      <w:pPr>
        <w:spacing w:line="240" w:lineRule="auto"/>
      </w:pPr>
      <w:r>
        <w:separator/>
      </w:r>
    </w:p>
  </w:footnote>
  <w:footnote w:type="continuationSeparator" w:id="0">
    <w:p w:rsidR="006A52FE" w:rsidRDefault="006A52FE" w:rsidP="00D91977">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hideSpellingErrors/>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D3630"/>
    <w:rsid w:val="00021F8C"/>
    <w:rsid w:val="00033BDC"/>
    <w:rsid w:val="00035D3F"/>
    <w:rsid w:val="00052AA4"/>
    <w:rsid w:val="00055CF5"/>
    <w:rsid w:val="000616C9"/>
    <w:rsid w:val="00064F35"/>
    <w:rsid w:val="00097D56"/>
    <w:rsid w:val="000A28C8"/>
    <w:rsid w:val="000C1763"/>
    <w:rsid w:val="000C6F6B"/>
    <w:rsid w:val="000D1BEE"/>
    <w:rsid w:val="000D34FE"/>
    <w:rsid w:val="000D6547"/>
    <w:rsid w:val="000E06E5"/>
    <w:rsid w:val="000E5F9D"/>
    <w:rsid w:val="00111BF0"/>
    <w:rsid w:val="00114DC5"/>
    <w:rsid w:val="0011623F"/>
    <w:rsid w:val="00122475"/>
    <w:rsid w:val="00134924"/>
    <w:rsid w:val="0014011F"/>
    <w:rsid w:val="00154215"/>
    <w:rsid w:val="00175F31"/>
    <w:rsid w:val="001858C3"/>
    <w:rsid w:val="00192C59"/>
    <w:rsid w:val="0019751C"/>
    <w:rsid w:val="001B363D"/>
    <w:rsid w:val="001D1A99"/>
    <w:rsid w:val="001D6E28"/>
    <w:rsid w:val="001D7E77"/>
    <w:rsid w:val="001F54CD"/>
    <w:rsid w:val="001F703E"/>
    <w:rsid w:val="00213FC0"/>
    <w:rsid w:val="002206E9"/>
    <w:rsid w:val="00222178"/>
    <w:rsid w:val="00243E1E"/>
    <w:rsid w:val="00271CD5"/>
    <w:rsid w:val="00273E2E"/>
    <w:rsid w:val="00276084"/>
    <w:rsid w:val="002A35E9"/>
    <w:rsid w:val="002A68DA"/>
    <w:rsid w:val="002D223F"/>
    <w:rsid w:val="002D4AEB"/>
    <w:rsid w:val="002E0880"/>
    <w:rsid w:val="002E2E9F"/>
    <w:rsid w:val="002E325E"/>
    <w:rsid w:val="002F0047"/>
    <w:rsid w:val="002F7583"/>
    <w:rsid w:val="00311026"/>
    <w:rsid w:val="0034397B"/>
    <w:rsid w:val="003517CE"/>
    <w:rsid w:val="00360FA5"/>
    <w:rsid w:val="00364FC5"/>
    <w:rsid w:val="00365B4B"/>
    <w:rsid w:val="00366F82"/>
    <w:rsid w:val="0039539B"/>
    <w:rsid w:val="00395A8D"/>
    <w:rsid w:val="00397D1D"/>
    <w:rsid w:val="003A075E"/>
    <w:rsid w:val="003B14C4"/>
    <w:rsid w:val="003B2D8D"/>
    <w:rsid w:val="003B681F"/>
    <w:rsid w:val="003C4D7D"/>
    <w:rsid w:val="003C6B70"/>
    <w:rsid w:val="003D0826"/>
    <w:rsid w:val="003D1865"/>
    <w:rsid w:val="003F4237"/>
    <w:rsid w:val="0041167D"/>
    <w:rsid w:val="00414F4E"/>
    <w:rsid w:val="004260AB"/>
    <w:rsid w:val="00436BAD"/>
    <w:rsid w:val="004400D4"/>
    <w:rsid w:val="00442832"/>
    <w:rsid w:val="00442B3D"/>
    <w:rsid w:val="00453F1D"/>
    <w:rsid w:val="004616E7"/>
    <w:rsid w:val="00465C3C"/>
    <w:rsid w:val="00471695"/>
    <w:rsid w:val="00472E1F"/>
    <w:rsid w:val="004A6863"/>
    <w:rsid w:val="004B598E"/>
    <w:rsid w:val="004D4618"/>
    <w:rsid w:val="004E3BA9"/>
    <w:rsid w:val="004E56DE"/>
    <w:rsid w:val="004E5A89"/>
    <w:rsid w:val="004F1CBD"/>
    <w:rsid w:val="004F2EA6"/>
    <w:rsid w:val="005056F5"/>
    <w:rsid w:val="00505FFB"/>
    <w:rsid w:val="00532B43"/>
    <w:rsid w:val="0054671E"/>
    <w:rsid w:val="00554AD6"/>
    <w:rsid w:val="00555A84"/>
    <w:rsid w:val="00567FD7"/>
    <w:rsid w:val="005774E8"/>
    <w:rsid w:val="00592BD3"/>
    <w:rsid w:val="00596961"/>
    <w:rsid w:val="005B4482"/>
    <w:rsid w:val="00610F8D"/>
    <w:rsid w:val="006217F8"/>
    <w:rsid w:val="00631A9E"/>
    <w:rsid w:val="00641E13"/>
    <w:rsid w:val="00644A35"/>
    <w:rsid w:val="00652C55"/>
    <w:rsid w:val="00652C91"/>
    <w:rsid w:val="006574F9"/>
    <w:rsid w:val="00660B89"/>
    <w:rsid w:val="006708AA"/>
    <w:rsid w:val="0069032B"/>
    <w:rsid w:val="006A0911"/>
    <w:rsid w:val="006A52FE"/>
    <w:rsid w:val="006B0346"/>
    <w:rsid w:val="006B5AEF"/>
    <w:rsid w:val="006D274B"/>
    <w:rsid w:val="006D54AA"/>
    <w:rsid w:val="006E0E15"/>
    <w:rsid w:val="006E36D1"/>
    <w:rsid w:val="00702738"/>
    <w:rsid w:val="00711845"/>
    <w:rsid w:val="007262BD"/>
    <w:rsid w:val="0073216C"/>
    <w:rsid w:val="00735B39"/>
    <w:rsid w:val="00741DF4"/>
    <w:rsid w:val="00744AB9"/>
    <w:rsid w:val="007558FD"/>
    <w:rsid w:val="007643E5"/>
    <w:rsid w:val="00772C15"/>
    <w:rsid w:val="00774BD9"/>
    <w:rsid w:val="00784AAF"/>
    <w:rsid w:val="007B14BC"/>
    <w:rsid w:val="007C7020"/>
    <w:rsid w:val="007D0B14"/>
    <w:rsid w:val="00812385"/>
    <w:rsid w:val="008173D1"/>
    <w:rsid w:val="00820DB6"/>
    <w:rsid w:val="00832BDC"/>
    <w:rsid w:val="00841592"/>
    <w:rsid w:val="008422FF"/>
    <w:rsid w:val="00865751"/>
    <w:rsid w:val="008675E7"/>
    <w:rsid w:val="00875F03"/>
    <w:rsid w:val="00877919"/>
    <w:rsid w:val="00884609"/>
    <w:rsid w:val="00894878"/>
    <w:rsid w:val="00897A1D"/>
    <w:rsid w:val="008A44E2"/>
    <w:rsid w:val="008A66E0"/>
    <w:rsid w:val="008B3064"/>
    <w:rsid w:val="008C346B"/>
    <w:rsid w:val="008C6AA7"/>
    <w:rsid w:val="008D5321"/>
    <w:rsid w:val="008D7220"/>
    <w:rsid w:val="008E16B3"/>
    <w:rsid w:val="008F145D"/>
    <w:rsid w:val="008F36DA"/>
    <w:rsid w:val="00913B2B"/>
    <w:rsid w:val="00914912"/>
    <w:rsid w:val="00916B7F"/>
    <w:rsid w:val="009241D0"/>
    <w:rsid w:val="00925875"/>
    <w:rsid w:val="00925D90"/>
    <w:rsid w:val="0093231A"/>
    <w:rsid w:val="009547CC"/>
    <w:rsid w:val="0096717B"/>
    <w:rsid w:val="00983F95"/>
    <w:rsid w:val="009A13F8"/>
    <w:rsid w:val="009C152D"/>
    <w:rsid w:val="009C51F0"/>
    <w:rsid w:val="009D0087"/>
    <w:rsid w:val="009D2F80"/>
    <w:rsid w:val="009D37BC"/>
    <w:rsid w:val="009E2D1F"/>
    <w:rsid w:val="009E5926"/>
    <w:rsid w:val="009F40D3"/>
    <w:rsid w:val="009F5008"/>
    <w:rsid w:val="00A07FF5"/>
    <w:rsid w:val="00A250F4"/>
    <w:rsid w:val="00A51956"/>
    <w:rsid w:val="00A533A6"/>
    <w:rsid w:val="00A6091C"/>
    <w:rsid w:val="00A67B6E"/>
    <w:rsid w:val="00A8361B"/>
    <w:rsid w:val="00AA3CAD"/>
    <w:rsid w:val="00AA45D9"/>
    <w:rsid w:val="00AB6A97"/>
    <w:rsid w:val="00B02281"/>
    <w:rsid w:val="00B43F44"/>
    <w:rsid w:val="00B452C1"/>
    <w:rsid w:val="00B520F8"/>
    <w:rsid w:val="00B70BE7"/>
    <w:rsid w:val="00B82D42"/>
    <w:rsid w:val="00B86954"/>
    <w:rsid w:val="00BA16C1"/>
    <w:rsid w:val="00BB404A"/>
    <w:rsid w:val="00BC0281"/>
    <w:rsid w:val="00C2187A"/>
    <w:rsid w:val="00C22FB0"/>
    <w:rsid w:val="00C44036"/>
    <w:rsid w:val="00C4419E"/>
    <w:rsid w:val="00C44A8B"/>
    <w:rsid w:val="00C55BED"/>
    <w:rsid w:val="00C70B5C"/>
    <w:rsid w:val="00C733FE"/>
    <w:rsid w:val="00C83273"/>
    <w:rsid w:val="00CB3B2E"/>
    <w:rsid w:val="00CC7F28"/>
    <w:rsid w:val="00CD0871"/>
    <w:rsid w:val="00CD590E"/>
    <w:rsid w:val="00CF112B"/>
    <w:rsid w:val="00D02527"/>
    <w:rsid w:val="00D026EF"/>
    <w:rsid w:val="00D1248B"/>
    <w:rsid w:val="00D167BF"/>
    <w:rsid w:val="00D251AA"/>
    <w:rsid w:val="00D25961"/>
    <w:rsid w:val="00D32C51"/>
    <w:rsid w:val="00D36AF5"/>
    <w:rsid w:val="00D41446"/>
    <w:rsid w:val="00D61A75"/>
    <w:rsid w:val="00D730E7"/>
    <w:rsid w:val="00D77E94"/>
    <w:rsid w:val="00D80D04"/>
    <w:rsid w:val="00D91977"/>
    <w:rsid w:val="00DA4BA0"/>
    <w:rsid w:val="00DA6C21"/>
    <w:rsid w:val="00DB2F56"/>
    <w:rsid w:val="00DB68A3"/>
    <w:rsid w:val="00DB6FBA"/>
    <w:rsid w:val="00DC15AD"/>
    <w:rsid w:val="00DC18EA"/>
    <w:rsid w:val="00DD083E"/>
    <w:rsid w:val="00DD3630"/>
    <w:rsid w:val="00DD76FE"/>
    <w:rsid w:val="00DE5210"/>
    <w:rsid w:val="00DF63BD"/>
    <w:rsid w:val="00E10139"/>
    <w:rsid w:val="00E16BA3"/>
    <w:rsid w:val="00E32E6C"/>
    <w:rsid w:val="00E552E6"/>
    <w:rsid w:val="00E726B0"/>
    <w:rsid w:val="00E80A45"/>
    <w:rsid w:val="00EA49F3"/>
    <w:rsid w:val="00EB3332"/>
    <w:rsid w:val="00EC2261"/>
    <w:rsid w:val="00EC3D47"/>
    <w:rsid w:val="00EC78B8"/>
    <w:rsid w:val="00ED23D5"/>
    <w:rsid w:val="00ED68DD"/>
    <w:rsid w:val="00EF50C6"/>
    <w:rsid w:val="00F01579"/>
    <w:rsid w:val="00F02ED7"/>
    <w:rsid w:val="00F07DC2"/>
    <w:rsid w:val="00F10FC3"/>
    <w:rsid w:val="00F11EFA"/>
    <w:rsid w:val="00F1373D"/>
    <w:rsid w:val="00F141C5"/>
    <w:rsid w:val="00F22A8B"/>
    <w:rsid w:val="00F238A8"/>
    <w:rsid w:val="00F52C3E"/>
    <w:rsid w:val="00F60B22"/>
    <w:rsid w:val="00F630D7"/>
    <w:rsid w:val="00F70908"/>
    <w:rsid w:val="00F77D6E"/>
    <w:rsid w:val="00FA63CF"/>
    <w:rsid w:val="00FA681A"/>
    <w:rsid w:val="00FB0AF9"/>
    <w:rsid w:val="00FD00CA"/>
    <w:rsid w:val="00FD297D"/>
    <w:rsid w:val="00FD7ABD"/>
    <w:rsid w:val="00FE22BA"/>
    <w:rsid w:val="00FE2F4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695"/>
  </w:style>
  <w:style w:type="paragraph" w:styleId="Heading1">
    <w:name w:val="heading 1"/>
    <w:basedOn w:val="Normal"/>
    <w:next w:val="Normal"/>
    <w:link w:val="Heading1Char"/>
    <w:uiPriority w:val="9"/>
    <w:qFormat/>
    <w:rsid w:val="00DD363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D22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D223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D3630"/>
    <w:pPr>
      <w:spacing w:line="240" w:lineRule="auto"/>
      <w:jc w:val="left"/>
    </w:pPr>
    <w:rPr>
      <w:rFonts w:eastAsiaTheme="minorEastAsia"/>
    </w:rPr>
  </w:style>
  <w:style w:type="character" w:customStyle="1" w:styleId="NoSpacingChar">
    <w:name w:val="No Spacing Char"/>
    <w:basedOn w:val="DefaultParagraphFont"/>
    <w:link w:val="NoSpacing"/>
    <w:uiPriority w:val="1"/>
    <w:rsid w:val="00DD3630"/>
    <w:rPr>
      <w:rFonts w:eastAsiaTheme="minorEastAsia"/>
    </w:rPr>
  </w:style>
  <w:style w:type="paragraph" w:styleId="BalloonText">
    <w:name w:val="Balloon Text"/>
    <w:basedOn w:val="Normal"/>
    <w:link w:val="BalloonTextChar"/>
    <w:uiPriority w:val="99"/>
    <w:semiHidden/>
    <w:unhideWhenUsed/>
    <w:rsid w:val="00DD363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3630"/>
    <w:rPr>
      <w:rFonts w:ascii="Tahoma" w:hAnsi="Tahoma" w:cs="Tahoma"/>
      <w:sz w:val="16"/>
      <w:szCs w:val="16"/>
    </w:rPr>
  </w:style>
  <w:style w:type="character" w:customStyle="1" w:styleId="Heading1Char">
    <w:name w:val="Heading 1 Char"/>
    <w:basedOn w:val="DefaultParagraphFont"/>
    <w:link w:val="Heading1"/>
    <w:uiPriority w:val="9"/>
    <w:rsid w:val="00DD363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D22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D223F"/>
    <w:rPr>
      <w:rFonts w:asciiTheme="majorHAnsi" w:eastAsiaTheme="majorEastAsia" w:hAnsiTheme="majorHAnsi" w:cstheme="majorBidi"/>
      <w:b/>
      <w:bCs/>
      <w:color w:val="4F81BD" w:themeColor="accent1"/>
    </w:rPr>
  </w:style>
  <w:style w:type="paragraph" w:styleId="Bibliography">
    <w:name w:val="Bibliography"/>
    <w:basedOn w:val="Normal"/>
    <w:next w:val="Normal"/>
    <w:uiPriority w:val="37"/>
    <w:unhideWhenUsed/>
    <w:rsid w:val="003C4D7D"/>
  </w:style>
  <w:style w:type="paragraph" w:styleId="TOCHeading">
    <w:name w:val="TOC Heading"/>
    <w:basedOn w:val="Heading1"/>
    <w:next w:val="Normal"/>
    <w:uiPriority w:val="39"/>
    <w:semiHidden/>
    <w:unhideWhenUsed/>
    <w:qFormat/>
    <w:rsid w:val="00035D3F"/>
    <w:pPr>
      <w:spacing w:line="276" w:lineRule="auto"/>
      <w:jc w:val="left"/>
      <w:outlineLvl w:val="9"/>
    </w:pPr>
  </w:style>
  <w:style w:type="paragraph" w:styleId="TOC1">
    <w:name w:val="toc 1"/>
    <w:basedOn w:val="Normal"/>
    <w:next w:val="Normal"/>
    <w:autoRedefine/>
    <w:uiPriority w:val="39"/>
    <w:unhideWhenUsed/>
    <w:rsid w:val="00035D3F"/>
    <w:pPr>
      <w:spacing w:after="100"/>
    </w:pPr>
  </w:style>
  <w:style w:type="paragraph" w:styleId="TOC2">
    <w:name w:val="toc 2"/>
    <w:basedOn w:val="Normal"/>
    <w:next w:val="Normal"/>
    <w:autoRedefine/>
    <w:uiPriority w:val="39"/>
    <w:unhideWhenUsed/>
    <w:rsid w:val="00035D3F"/>
    <w:pPr>
      <w:spacing w:after="100"/>
      <w:ind w:left="220"/>
    </w:pPr>
  </w:style>
  <w:style w:type="paragraph" w:styleId="TOC3">
    <w:name w:val="toc 3"/>
    <w:basedOn w:val="Normal"/>
    <w:next w:val="Normal"/>
    <w:autoRedefine/>
    <w:uiPriority w:val="39"/>
    <w:unhideWhenUsed/>
    <w:rsid w:val="00035D3F"/>
    <w:pPr>
      <w:spacing w:after="100"/>
      <w:ind w:left="440"/>
    </w:pPr>
  </w:style>
  <w:style w:type="character" w:styleId="Hyperlink">
    <w:name w:val="Hyperlink"/>
    <w:basedOn w:val="DefaultParagraphFont"/>
    <w:uiPriority w:val="99"/>
    <w:unhideWhenUsed/>
    <w:rsid w:val="00035D3F"/>
    <w:rPr>
      <w:color w:val="0000FF" w:themeColor="hyperlink"/>
      <w:u w:val="single"/>
    </w:rPr>
  </w:style>
  <w:style w:type="character" w:styleId="PlaceholderText">
    <w:name w:val="Placeholder Text"/>
    <w:basedOn w:val="DefaultParagraphFont"/>
    <w:uiPriority w:val="99"/>
    <w:semiHidden/>
    <w:rsid w:val="00D167BF"/>
    <w:rPr>
      <w:color w:val="808080"/>
    </w:rPr>
  </w:style>
  <w:style w:type="paragraph" w:styleId="Header">
    <w:name w:val="header"/>
    <w:basedOn w:val="Normal"/>
    <w:link w:val="HeaderChar"/>
    <w:uiPriority w:val="99"/>
    <w:semiHidden/>
    <w:unhideWhenUsed/>
    <w:rsid w:val="00D91977"/>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D91977"/>
  </w:style>
  <w:style w:type="paragraph" w:styleId="Footer">
    <w:name w:val="footer"/>
    <w:basedOn w:val="Normal"/>
    <w:link w:val="FooterChar"/>
    <w:uiPriority w:val="99"/>
    <w:unhideWhenUsed/>
    <w:rsid w:val="00D91977"/>
    <w:pPr>
      <w:tabs>
        <w:tab w:val="center" w:pos="4536"/>
        <w:tab w:val="right" w:pos="9072"/>
      </w:tabs>
      <w:spacing w:line="240" w:lineRule="auto"/>
    </w:pPr>
  </w:style>
  <w:style w:type="character" w:customStyle="1" w:styleId="FooterChar">
    <w:name w:val="Footer Char"/>
    <w:basedOn w:val="DefaultParagraphFont"/>
    <w:link w:val="Footer"/>
    <w:uiPriority w:val="99"/>
    <w:rsid w:val="00D91977"/>
  </w:style>
</w:styles>
</file>

<file path=word/webSettings.xml><?xml version="1.0" encoding="utf-8"?>
<w:webSettings xmlns:r="http://schemas.openxmlformats.org/officeDocument/2006/relationships" xmlns:w="http://schemas.openxmlformats.org/wordprocessingml/2006/main">
  <w:divs>
    <w:div w:id="37315712">
      <w:bodyDiv w:val="1"/>
      <w:marLeft w:val="0"/>
      <w:marRight w:val="0"/>
      <w:marTop w:val="0"/>
      <w:marBottom w:val="0"/>
      <w:divBdr>
        <w:top w:val="none" w:sz="0" w:space="0" w:color="auto"/>
        <w:left w:val="none" w:sz="0" w:space="0" w:color="auto"/>
        <w:bottom w:val="none" w:sz="0" w:space="0" w:color="auto"/>
        <w:right w:val="none" w:sz="0" w:space="0" w:color="auto"/>
      </w:divBdr>
    </w:div>
    <w:div w:id="343022844">
      <w:bodyDiv w:val="1"/>
      <w:marLeft w:val="0"/>
      <w:marRight w:val="0"/>
      <w:marTop w:val="0"/>
      <w:marBottom w:val="0"/>
      <w:divBdr>
        <w:top w:val="none" w:sz="0" w:space="0" w:color="auto"/>
        <w:left w:val="none" w:sz="0" w:space="0" w:color="auto"/>
        <w:bottom w:val="none" w:sz="0" w:space="0" w:color="auto"/>
        <w:right w:val="none" w:sz="0" w:space="0" w:color="auto"/>
      </w:divBdr>
    </w:div>
    <w:div w:id="415177695">
      <w:bodyDiv w:val="1"/>
      <w:marLeft w:val="0"/>
      <w:marRight w:val="0"/>
      <w:marTop w:val="0"/>
      <w:marBottom w:val="0"/>
      <w:divBdr>
        <w:top w:val="none" w:sz="0" w:space="0" w:color="auto"/>
        <w:left w:val="none" w:sz="0" w:space="0" w:color="auto"/>
        <w:bottom w:val="none" w:sz="0" w:space="0" w:color="auto"/>
        <w:right w:val="none" w:sz="0" w:space="0" w:color="auto"/>
      </w:divBdr>
    </w:div>
    <w:div w:id="503781445">
      <w:bodyDiv w:val="1"/>
      <w:marLeft w:val="0"/>
      <w:marRight w:val="0"/>
      <w:marTop w:val="0"/>
      <w:marBottom w:val="0"/>
      <w:divBdr>
        <w:top w:val="none" w:sz="0" w:space="0" w:color="auto"/>
        <w:left w:val="none" w:sz="0" w:space="0" w:color="auto"/>
        <w:bottom w:val="none" w:sz="0" w:space="0" w:color="auto"/>
        <w:right w:val="none" w:sz="0" w:space="0" w:color="auto"/>
      </w:divBdr>
    </w:div>
    <w:div w:id="516240340">
      <w:bodyDiv w:val="1"/>
      <w:marLeft w:val="0"/>
      <w:marRight w:val="0"/>
      <w:marTop w:val="0"/>
      <w:marBottom w:val="0"/>
      <w:divBdr>
        <w:top w:val="none" w:sz="0" w:space="0" w:color="auto"/>
        <w:left w:val="none" w:sz="0" w:space="0" w:color="auto"/>
        <w:bottom w:val="none" w:sz="0" w:space="0" w:color="auto"/>
        <w:right w:val="none" w:sz="0" w:space="0" w:color="auto"/>
      </w:divBdr>
    </w:div>
    <w:div w:id="612515720">
      <w:bodyDiv w:val="1"/>
      <w:marLeft w:val="0"/>
      <w:marRight w:val="0"/>
      <w:marTop w:val="0"/>
      <w:marBottom w:val="0"/>
      <w:divBdr>
        <w:top w:val="none" w:sz="0" w:space="0" w:color="auto"/>
        <w:left w:val="none" w:sz="0" w:space="0" w:color="auto"/>
        <w:bottom w:val="none" w:sz="0" w:space="0" w:color="auto"/>
        <w:right w:val="none" w:sz="0" w:space="0" w:color="auto"/>
      </w:divBdr>
    </w:div>
    <w:div w:id="718432155">
      <w:bodyDiv w:val="1"/>
      <w:marLeft w:val="0"/>
      <w:marRight w:val="0"/>
      <w:marTop w:val="0"/>
      <w:marBottom w:val="0"/>
      <w:divBdr>
        <w:top w:val="none" w:sz="0" w:space="0" w:color="auto"/>
        <w:left w:val="none" w:sz="0" w:space="0" w:color="auto"/>
        <w:bottom w:val="none" w:sz="0" w:space="0" w:color="auto"/>
        <w:right w:val="none" w:sz="0" w:space="0" w:color="auto"/>
      </w:divBdr>
    </w:div>
    <w:div w:id="735058147">
      <w:bodyDiv w:val="1"/>
      <w:marLeft w:val="0"/>
      <w:marRight w:val="0"/>
      <w:marTop w:val="0"/>
      <w:marBottom w:val="0"/>
      <w:divBdr>
        <w:top w:val="none" w:sz="0" w:space="0" w:color="auto"/>
        <w:left w:val="none" w:sz="0" w:space="0" w:color="auto"/>
        <w:bottom w:val="none" w:sz="0" w:space="0" w:color="auto"/>
        <w:right w:val="none" w:sz="0" w:space="0" w:color="auto"/>
      </w:divBdr>
    </w:div>
    <w:div w:id="760565597">
      <w:bodyDiv w:val="1"/>
      <w:marLeft w:val="0"/>
      <w:marRight w:val="0"/>
      <w:marTop w:val="0"/>
      <w:marBottom w:val="0"/>
      <w:divBdr>
        <w:top w:val="none" w:sz="0" w:space="0" w:color="auto"/>
        <w:left w:val="none" w:sz="0" w:space="0" w:color="auto"/>
        <w:bottom w:val="none" w:sz="0" w:space="0" w:color="auto"/>
        <w:right w:val="none" w:sz="0" w:space="0" w:color="auto"/>
      </w:divBdr>
    </w:div>
    <w:div w:id="795954319">
      <w:bodyDiv w:val="1"/>
      <w:marLeft w:val="0"/>
      <w:marRight w:val="0"/>
      <w:marTop w:val="0"/>
      <w:marBottom w:val="0"/>
      <w:divBdr>
        <w:top w:val="none" w:sz="0" w:space="0" w:color="auto"/>
        <w:left w:val="none" w:sz="0" w:space="0" w:color="auto"/>
        <w:bottom w:val="none" w:sz="0" w:space="0" w:color="auto"/>
        <w:right w:val="none" w:sz="0" w:space="0" w:color="auto"/>
      </w:divBdr>
    </w:div>
    <w:div w:id="1212424582">
      <w:bodyDiv w:val="1"/>
      <w:marLeft w:val="0"/>
      <w:marRight w:val="0"/>
      <w:marTop w:val="0"/>
      <w:marBottom w:val="0"/>
      <w:divBdr>
        <w:top w:val="none" w:sz="0" w:space="0" w:color="auto"/>
        <w:left w:val="none" w:sz="0" w:space="0" w:color="auto"/>
        <w:bottom w:val="none" w:sz="0" w:space="0" w:color="auto"/>
        <w:right w:val="none" w:sz="0" w:space="0" w:color="auto"/>
      </w:divBdr>
    </w:div>
    <w:div w:id="1279486738">
      <w:bodyDiv w:val="1"/>
      <w:marLeft w:val="0"/>
      <w:marRight w:val="0"/>
      <w:marTop w:val="0"/>
      <w:marBottom w:val="0"/>
      <w:divBdr>
        <w:top w:val="none" w:sz="0" w:space="0" w:color="auto"/>
        <w:left w:val="none" w:sz="0" w:space="0" w:color="auto"/>
        <w:bottom w:val="none" w:sz="0" w:space="0" w:color="auto"/>
        <w:right w:val="none" w:sz="0" w:space="0" w:color="auto"/>
      </w:divBdr>
    </w:div>
    <w:div w:id="1369061738">
      <w:bodyDiv w:val="1"/>
      <w:marLeft w:val="0"/>
      <w:marRight w:val="0"/>
      <w:marTop w:val="0"/>
      <w:marBottom w:val="0"/>
      <w:divBdr>
        <w:top w:val="none" w:sz="0" w:space="0" w:color="auto"/>
        <w:left w:val="none" w:sz="0" w:space="0" w:color="auto"/>
        <w:bottom w:val="none" w:sz="0" w:space="0" w:color="auto"/>
        <w:right w:val="none" w:sz="0" w:space="0" w:color="auto"/>
      </w:divBdr>
    </w:div>
    <w:div w:id="1456021637">
      <w:bodyDiv w:val="1"/>
      <w:marLeft w:val="0"/>
      <w:marRight w:val="0"/>
      <w:marTop w:val="0"/>
      <w:marBottom w:val="0"/>
      <w:divBdr>
        <w:top w:val="none" w:sz="0" w:space="0" w:color="auto"/>
        <w:left w:val="none" w:sz="0" w:space="0" w:color="auto"/>
        <w:bottom w:val="none" w:sz="0" w:space="0" w:color="auto"/>
        <w:right w:val="none" w:sz="0" w:space="0" w:color="auto"/>
      </w:divBdr>
    </w:div>
    <w:div w:id="1600874913">
      <w:bodyDiv w:val="1"/>
      <w:marLeft w:val="0"/>
      <w:marRight w:val="0"/>
      <w:marTop w:val="0"/>
      <w:marBottom w:val="0"/>
      <w:divBdr>
        <w:top w:val="none" w:sz="0" w:space="0" w:color="auto"/>
        <w:left w:val="none" w:sz="0" w:space="0" w:color="auto"/>
        <w:bottom w:val="none" w:sz="0" w:space="0" w:color="auto"/>
        <w:right w:val="none" w:sz="0" w:space="0" w:color="auto"/>
      </w:divBdr>
    </w:div>
    <w:div w:id="1787121368">
      <w:bodyDiv w:val="1"/>
      <w:marLeft w:val="0"/>
      <w:marRight w:val="0"/>
      <w:marTop w:val="0"/>
      <w:marBottom w:val="0"/>
      <w:divBdr>
        <w:top w:val="none" w:sz="0" w:space="0" w:color="auto"/>
        <w:left w:val="none" w:sz="0" w:space="0" w:color="auto"/>
        <w:bottom w:val="none" w:sz="0" w:space="0" w:color="auto"/>
        <w:right w:val="none" w:sz="0" w:space="0" w:color="auto"/>
      </w:divBdr>
    </w:div>
    <w:div w:id="189276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2013-11-24T00:00:00</PublishDate>
  <Abstract>In deze bachelor scriptie wordt onderzocht of de ontwikkeling van de financiële markten van invloed is op de uitkomsten van het januari effect. Om dit te onderzoeken worden drie landen, Brazilië, India en China,gebruikt. De periode voor dit onderzoek is 1995-2013. Uit het onderzoek blijkt dat er voor geen van de onderzochte landen een januari effect wordt gevonden tijdens de periode 1995-2013. Dit is in overeenstemming met andere onderzoeken, waaruit blijkt dat het januari effect aan het verdwijnen is.                                                                                                                                                       G14 Event Studies, G15 international Financial markets, G17 Financial forecasting and simulation, G19 Other.</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b:Source>
    <b:Tag>Gra07</b:Tag>
    <b:SourceType>Book</b:SourceType>
    <b:Guid>{661E1D7D-2033-4F37-85DC-15356B1518B3}</b:Guid>
    <b:LCID>0</b:LCID>
    <b:Author>
      <b:Author>
        <b:NameList>
          <b:Person>
            <b:Last>Grant</b:Last>
            <b:First>S.L.</b:First>
          </b:Person>
          <b:Person>
            <b:Last>Brue</b:Last>
            <b:First>R.R.</b:First>
          </b:Person>
        </b:NameList>
      </b:Author>
    </b:Author>
    <b:Title>The History Of Economic Thought</b:Title>
    <b:Year>2007</b:Year>
    <b:Publisher>Thomson South-Western</b:Publisher>
    <b:City>Mason, OH</b:City>
    <b:CountryRegion>USA</b:CountryRegion>
    <b:Edition>7</b:Edition>
    <b:RefOrder>18</b:RefOrder>
  </b:Source>
  <b:Source>
    <b:Tag>Fam69</b:Tag>
    <b:SourceType>JournalArticle</b:SourceType>
    <b:Guid>{D429F61E-C9C1-4BE5-9618-F2F2B1B4B919}</b:Guid>
    <b:LCID>0</b:LCID>
    <b:Author>
      <b:Author>
        <b:NameList>
          <b:Person>
            <b:Last>Fama</b:Last>
            <b:First>E.F.</b:First>
          </b:Person>
          <b:Person>
            <b:Last>Fisher</b:Last>
            <b:First>L.</b:First>
          </b:Person>
          <b:Person>
            <b:Last>Jensen</b:Last>
            <b:First>M.C.</b:First>
          </b:Person>
          <b:Person>
            <b:Last>Roll</b:Last>
            <b:First>R.</b:First>
          </b:Person>
        </b:NameList>
      </b:Author>
    </b:Author>
    <b:Title>The adjustment of stock prices to new information</b:Title>
    <b:Year>1969</b:Year>
    <b:JournalName>International Economic Review</b:JournalName>
    <b:Pages>1-21</b:Pages>
    <b:Issue>Volume 10, Issue 10</b:Issue>
    <b:RefOrder>4</b:RefOrder>
  </b:Source>
  <b:Source>
    <b:Tag>Chr08</b:Tag>
    <b:SourceType>Book</b:SourceType>
    <b:Guid>{36CC7B4E-13A9-4F61-98D5-931EF6370773}</b:Guid>
    <b:LCID>0</b:LCID>
    <b:Author>
      <b:Author>
        <b:NameList>
          <b:Person>
            <b:Last>Brooks</b:Last>
            <b:First>C.</b:First>
          </b:Person>
        </b:NameList>
      </b:Author>
    </b:Author>
    <b:Title>Introductory Econometrics for Finance</b:Title>
    <b:Year>2008</b:Year>
    <b:Publisher>Cambrigde</b:Publisher>
    <b:Edition>2</b:Edition>
    <b:RefOrder>21</b:RefOrder>
  </b:Source>
  <b:Source>
    <b:Tag>GuY03</b:Tag>
    <b:SourceType>JournalArticle</b:SourceType>
    <b:Guid>{ED9C9F39-7899-482A-A303-590698BDCA5D}</b:Guid>
    <b:LCID>0</b:LCID>
    <b:Author>
      <b:Author>
        <b:NameList>
          <b:Person>
            <b:Last>Gu</b:Last>
            <b:First>Y.A.</b:First>
          </b:Person>
        </b:NameList>
      </b:Author>
    </b:Author>
    <b:Title>The Declining January Effect: Evidence from U.S. Equity Markets</b:Title>
    <b:JournalName>Quarterly Review of Economics and Finance</b:JournalName>
    <b:Year>2003</b:Year>
    <b:Pages>395-404</b:Pages>
    <b:Issue>Volume 43, Issue 2</b:Issue>
    <b:RefOrder>13</b:RefOrder>
  </b:Source>
  <b:Source>
    <b:Tag>Hau88</b:Tag>
    <b:SourceType>JournalArticle</b:SourceType>
    <b:Guid>{607CE825-99AB-4D63-8EC3-9695879DC012}</b:Guid>
    <b:LCID>0</b:LCID>
    <b:Author>
      <b:Author>
        <b:NameList>
          <b:Person>
            <b:Last>Haugen</b:Last>
            <b:First>R.A.</b:First>
          </b:Person>
          <b:Person>
            <b:Last>Lakonishok</b:Last>
            <b:First>J.</b:First>
          </b:Person>
        </b:NameList>
      </b:Author>
    </b:Author>
    <b:Title>The Incredible January Effect: The stock market's unsolved mystery</b:Title>
    <b:JournalName>Dow Jones-Irwin, Homewood</b:JournalName>
    <b:Year>1988</b:Year>
    <b:Pages>135</b:Pages>
    <b:RefOrder>7</b:RefOrder>
  </b:Source>
  <b:Source>
    <b:Tag>Kah79</b:Tag>
    <b:SourceType>JournalArticle</b:SourceType>
    <b:Guid>{2BA06B9D-C8F2-4634-87DC-2CB1DF1130C7}</b:Guid>
    <b:LCID>0</b:LCID>
    <b:Author>
      <b:Author>
        <b:NameList>
          <b:Person>
            <b:Last>Kahneman</b:Last>
            <b:First>D.</b:First>
          </b:Person>
          <b:Person>
            <b:Last>Tversky</b:Last>
            <b:First>A.</b:First>
          </b:Person>
        </b:NameList>
      </b:Author>
    </b:Author>
    <b:Title>Prospect theory: An analysis of decision under risk</b:Title>
    <b:JournalName>Econometrica</b:JournalName>
    <b:Year>1979</b:Year>
    <b:Pages>263-291</b:Pages>
    <b:Issue>Volume 47, Issue 2</b:Issue>
    <b:RefOrder>6</b:RefOrder>
  </b:Source>
  <b:Source>
    <b:Tag>Kat85</b:Tag>
    <b:SourceType>JournalArticle</b:SourceType>
    <b:Guid>{435CA999-8F93-496D-8147-685B54E9D010}</b:Guid>
    <b:LCID>0</b:LCID>
    <b:Author>
      <b:Author>
        <b:NameList>
          <b:Person>
            <b:Last>Kato</b:Last>
            <b:First>K.</b:First>
          </b:Person>
          <b:Person>
            <b:Last>Shallheim</b:Last>
            <b:First>J.</b:First>
          </b:Person>
        </b:NameList>
      </b:Author>
    </b:Author>
    <b:Title>Seasonal and Size Anomalies in the Japanese Stock Market</b:Title>
    <b:JournalName>Journal of Financial and Quantitative Analysis</b:JournalName>
    <b:Year>1985</b:Year>
    <b:Pages>243-260</b:Pages>
    <b:Issue>Volume 20, Issue 2</b:Issue>
    <b:RefOrder>12</b:RefOrder>
  </b:Source>
  <b:Source>
    <b:Tag>Kei89</b:Tag>
    <b:SourceType>JournalArticle</b:SourceType>
    <b:Guid>{396946E1-41D1-449D-8308-37FC9D6AE0EA}</b:Guid>
    <b:LCID>0</b:LCID>
    <b:Author>
      <b:Author>
        <b:NameList>
          <b:Person>
            <b:Last>Keim</b:Last>
            <b:First>D.B.</b:First>
          </b:Person>
        </b:NameList>
      </b:Author>
    </b:Author>
    <b:Title>Trading patterns, bid-ask spreads, and estimated security returns: The case of common stock at calendar turning points</b:Title>
    <b:JournalName>Journal of Financial Economics</b:JournalName>
    <b:Year>1989</b:Year>
    <b:Pages>75-97</b:Pages>
    <b:Issue>Volume 25, Issue 1</b:Issue>
    <b:RefOrder>22</b:RefOrder>
  </b:Source>
  <b:Source>
    <b:Tag>Kei83</b:Tag>
    <b:SourceType>JournalArticle</b:SourceType>
    <b:Guid>{41D47990-2174-426F-A27D-601EB2101BF9}</b:Guid>
    <b:LCID>0</b:LCID>
    <b:Author>
      <b:Author>
        <b:NameList>
          <b:Person>
            <b:Last>Keim</b:Last>
            <b:First>D.B.</b:First>
          </b:Person>
        </b:NameList>
      </b:Author>
    </b:Author>
    <b:Title>Size Related Anomalies and Stock Return Seasonality; Further Empirical Evidence</b:Title>
    <b:JournalName>Journal of Financial Economics, Vol 12</b:JournalName>
    <b:Year>1983</b:Year>
    <b:Pages>13-32</b:Pages>
    <b:Issue>Volume 12, Issue 1</b:Issue>
    <b:RefOrder>23</b:RefOrder>
  </b:Source>
  <b:Source>
    <b:Tag>Kin93</b:Tag>
    <b:SourceType>JournalArticle</b:SourceType>
    <b:Guid>{26307540-2AB3-4D4A-9D9F-EC2FB48C6E98}</b:Guid>
    <b:LCID>0</b:LCID>
    <b:Author>
      <b:Author>
        <b:NameList>
          <b:Person>
            <b:Last>King</b:Last>
            <b:First>R.G.</b:First>
          </b:Person>
          <b:Person>
            <b:Last>Levine</b:Last>
            <b:First>R.</b:First>
          </b:Person>
        </b:NameList>
      </b:Author>
    </b:Author>
    <b:Title>Finance and Growth: Schumpeter might be right</b:Title>
    <b:JournalName>The Quarterly Journal of Economics</b:JournalName>
    <b:Year>1993</b:Year>
    <b:Pages>717-737</b:Pages>
    <b:Issue>Volume 108, Issue 3</b:Issue>
    <b:RefOrder>19</b:RefOrder>
  </b:Source>
  <b:Source>
    <b:Tag>Lak88</b:Tag>
    <b:SourceType>JournalArticle</b:SourceType>
    <b:Guid>{499FC531-5F0D-4304-B5B0-46C57C2ACD07}</b:Guid>
    <b:LCID>0</b:LCID>
    <b:Author>
      <b:Author>
        <b:NameList>
          <b:Person>
            <b:Last>Lakonishok</b:Last>
            <b:First>J.</b:First>
          </b:Person>
          <b:Person>
            <b:Last>Smidt</b:Last>
            <b:First>S.</b:First>
          </b:Person>
        </b:NameList>
      </b:Author>
    </b:Author>
    <b:Title>Are Seasonal Anomalies real? A ninety-year perspective</b:Title>
    <b:JournalName>Review of Financial studies</b:JournalName>
    <b:Year>1988</b:Year>
    <b:Pages>403-425</b:Pages>
    <b:Issue>Volume 1, Issue 4</b:Issue>
    <b:RefOrder>2</b:RefOrder>
  </b:Source>
  <b:Source>
    <b:Tag>Lak91</b:Tag>
    <b:SourceType>JournalArticle</b:SourceType>
    <b:Guid>{3E5E59A6-5890-4CA6-B98B-DCF812AF5263}</b:Guid>
    <b:LCID>0</b:LCID>
    <b:Author>
      <b:Author>
        <b:NameList>
          <b:Person>
            <b:Last>Lakonoishok</b:Last>
            <b:First>J.</b:First>
          </b:Person>
          <b:Person>
            <b:Last>Schleifer</b:Last>
            <b:First>A.</b:First>
          </b:Person>
          <b:Person>
            <b:Last>Thaler</b:Last>
            <b:First>R.</b:First>
          </b:Person>
          <b:Person>
            <b:Last>Vishny</b:Last>
            <b:First>R.</b:First>
          </b:Person>
        </b:NameList>
      </b:Author>
    </b:Author>
    <b:Title>Window dressing by pension fund managers</b:Title>
    <b:JournalName>The American Economic Review</b:JournalName>
    <b:Year>1991</b:Year>
    <b:Pages>227-231</b:Pages>
    <b:Issue>Volume 81, Issue 2</b:Issue>
    <b:RefOrder>8</b:RefOrder>
  </b:Source>
  <b:Source>
    <b:Tag>Lev98</b:Tag>
    <b:SourceType>JournalArticle</b:SourceType>
    <b:Guid>{EB2BE026-B870-4C4D-8A34-07E4770C35E9}</b:Guid>
    <b:LCID>0</b:LCID>
    <b:Author>
      <b:Author>
        <b:NameList>
          <b:Person>
            <b:Last>Levine</b:Last>
            <b:First>R.</b:First>
            <b:Middle>G.</b:Middle>
          </b:Person>
          <b:Person>
            <b:Last>Zervos</b:Last>
            <b:First>S.</b:First>
          </b:Person>
        </b:NameList>
      </b:Author>
    </b:Author>
    <b:Title>Stock Markets, Banks, and Economic Growth.</b:Title>
    <b:JournalName>The American Economic Review</b:JournalName>
    <b:Year>1998</b:Year>
    <b:Pages>537-558</b:Pages>
    <b:Issue>Volume 88, Issue 3</b:Issue>
    <b:RefOrder>20</b:RefOrder>
  </b:Source>
  <b:Source>
    <b:Tag>Pot01</b:Tag>
    <b:SourceType>JournalArticle</b:SourceType>
    <b:Guid>{DB20DBDE-A33A-400A-8D31-A73AFF3CF4E5}</b:Guid>
    <b:LCID>0</b:LCID>
    <b:Author>
      <b:Author>
        <b:NameList>
          <b:Person>
            <b:Last>Poterba</b:Last>
            <b:First>J.M.</b:First>
          </b:Person>
          <b:Person>
            <b:Last>Weisbenner</b:Last>
            <b:First>S.J.</b:First>
          </b:Person>
        </b:NameList>
      </b:Author>
    </b:Author>
    <b:Title>Capital gains tax rules, tax-loss trading, and turn-of-the-year returns</b:Title>
    <b:JournalName>The Journal of Finance</b:JournalName>
    <b:Year>2001</b:Year>
    <b:Pages>353-368</b:Pages>
    <b:Issue>Volume 56, Issue 1</b:Issue>
    <b:RefOrder>11</b:RefOrder>
  </b:Source>
  <b:Source>
    <b:Tag>Bec00</b:Tag>
    <b:SourceType>JournalArticle</b:SourceType>
    <b:Guid>{4AB3C253-394A-4003-B832-8B5F0E7B0318}</b:Guid>
    <b:LCID>0</b:LCID>
    <b:Author>
      <b:Author>
        <b:NameList>
          <b:Person>
            <b:Last>Beck</b:Last>
            <b:First>T.</b:First>
          </b:Person>
          <b:Person>
            <b:Last>Levine</b:Last>
            <b:First>R.</b:First>
          </b:Person>
          <b:Person>
            <b:Last>Loayza</b:Last>
            <b:First>N.</b:First>
          </b:Person>
        </b:NameList>
      </b:Author>
    </b:Author>
    <b:Title>Finance and the sources of growth</b:Title>
    <b:JournalName>Journal of Financial Economics</b:JournalName>
    <b:Year>2000</b:Year>
    <b:Pages>261-300</b:Pages>
    <b:Issue>volume 58, Issue 1/2</b:Issue>
    <b:RefOrder>24</b:RefOrder>
  </b:Source>
  <b:Source>
    <b:Tag>Bec001</b:Tag>
    <b:SourceType>JournalArticle</b:SourceType>
    <b:Guid>{515FE13F-FCDB-495C-9E71-CBCFE21546A8}</b:Guid>
    <b:LCID>0</b:LCID>
    <b:Author>
      <b:Author>
        <b:NameList>
          <b:Person>
            <b:Last>Beck</b:Last>
            <b:First>T.</b:First>
          </b:Person>
          <b:Person>
            <b:Last>Levine</b:Last>
            <b:First>R.</b:First>
          </b:Person>
          <b:Person>
            <b:Last>Loayza</b:Last>
            <b:First>N.</b:First>
          </b:Person>
        </b:NameList>
      </b:Author>
    </b:Author>
    <b:Title>Financial Intermediation and Growth: Causaility and causes</b:Title>
    <b:JournalName>Journal of Monetary Economics</b:JournalName>
    <b:Year>2000</b:Year>
    <b:Pages>31-77</b:Pages>
    <b:Issue>Volume 46, Issue 1</b:Issue>
    <b:RefOrder>25</b:RefOrder>
  </b:Source>
  <b:Source>
    <b:Tag>Fam70</b:Tag>
    <b:SourceType>JournalArticle</b:SourceType>
    <b:Guid>{AC2DCC3C-E43B-43C3-993B-97CF2E46F81B}</b:Guid>
    <b:LCID>0</b:LCID>
    <b:Author>
      <b:Author>
        <b:NameList>
          <b:Person>
            <b:Last>Fama</b:Last>
            <b:First>E.F.</b:First>
          </b:Person>
        </b:NameList>
      </b:Author>
    </b:Author>
    <b:Title>Efficient capital markets: A review of theory and empirical work</b:Title>
    <b:Year>1970</b:Year>
    <b:JournalName>Journal of Finance</b:JournalName>
    <b:Pages>383-417</b:Pages>
    <b:Issue>Volume 25, Issue 2</b:Issue>
    <b:RefOrder>1</b:RefOrder>
  </b:Source>
  <b:Source>
    <b:Tag>Raj98</b:Tag>
    <b:SourceType>JournalArticle</b:SourceType>
    <b:Guid>{2B229FBF-DF69-4363-84A9-4837345C554E}</b:Guid>
    <b:LCID>0</b:LCID>
    <b:Author>
      <b:Author>
        <b:NameList>
          <b:Person>
            <b:Last>Rajan</b:Last>
            <b:First>R.</b:First>
          </b:Person>
          <b:Person>
            <b:Last>Zingales</b:Last>
            <b:First>L.</b:First>
          </b:Person>
        </b:NameList>
      </b:Author>
    </b:Author>
    <b:Title>Financial Dependence and Growth</b:Title>
    <b:JournalName>The American Economic Review</b:JournalName>
    <b:Year>1998</b:Year>
    <b:Pages>559-586</b:Pages>
    <b:Issue>Volume 88, Issue 3</b:Issue>
    <b:RefOrder>26</b:RefOrder>
  </b:Source>
  <b:Source>
    <b:Tag>Rei83</b:Tag>
    <b:SourceType>JournalArticle</b:SourceType>
    <b:Guid>{5AD2CB84-DE7A-4CB1-BF13-49265A8A4381}</b:Guid>
    <b:LCID>0</b:LCID>
    <b:Author>
      <b:Author>
        <b:NameList>
          <b:Person>
            <b:Last>Reinganum</b:Last>
            <b:First>M.R.</b:First>
          </b:Person>
        </b:NameList>
      </b:Author>
    </b:Author>
    <b:Title>The anomalous stock market behavior of small firms in January: Empirical tests for tax-loss selling effects</b:Title>
    <b:JournalName>Journal of Financial Economics</b:JournalName>
    <b:Year>1983</b:Year>
    <b:Pages>89-104</b:Pages>
    <b:Issue>Volume 12, Issue 1</b:Issue>
    <b:RefOrder>9</b:RefOrder>
  </b:Source>
  <b:Source>
    <b:Tag>Rol83</b:Tag>
    <b:SourceType>JournalArticle</b:SourceType>
    <b:Guid>{AFCB51E3-306C-4FBB-B427-87392C9C78B2}</b:Guid>
    <b:LCID>0</b:LCID>
    <b:Author>
      <b:Author>
        <b:NameList>
          <b:Person>
            <b:Last>Roll</b:Last>
            <b:First>R.</b:First>
          </b:Person>
        </b:NameList>
      </b:Author>
    </b:Author>
    <b:Title>Vas ist das? The turn-of-the-year effect and the return premia of small firms</b:Title>
    <b:JournalName>Journal of Portfolio Management</b:JournalName>
    <b:Year>1983</b:Year>
    <b:Pages>18-28</b:Pages>
    <b:Issue>Volume 9, Issue 2</b:Issue>
    <b:RefOrder>10</b:RefOrder>
  </b:Source>
  <b:Source>
    <b:Tag>Raj03</b:Tag>
    <b:SourceType>JournalArticle</b:SourceType>
    <b:Guid>{6908BC06-4BA3-422D-AABF-8781D306764F}</b:Guid>
    <b:LCID>0</b:LCID>
    <b:Author>
      <b:Author>
        <b:NameList>
          <b:Person>
            <b:Last>Rajan</b:Last>
            <b:First>R.</b:First>
          </b:Person>
          <b:Person>
            <b:Last>Zingales</b:Last>
            <b:First>L.</b:First>
          </b:Person>
        </b:NameList>
      </b:Author>
    </b:Author>
    <b:Title>The great reversals: the politics of financial development in the twentieth century</b:Title>
    <b:Year>2003</b:Year>
    <b:JournalName>Journal of Financial Economics</b:JournalName>
    <b:Pages>5-50</b:Pages>
    <b:Issue>Volume 69, Issue 1</b:Issue>
    <b:RefOrder>27</b:RefOrder>
  </b:Source>
  <b:Source>
    <b:Tag>Roz76</b:Tag>
    <b:SourceType>JournalArticle</b:SourceType>
    <b:Guid>{8B8201C0-714E-4ED4-8A02-DA1D61B8319E}</b:Guid>
    <b:LCID>0</b:LCID>
    <b:Author>
      <b:Author>
        <b:NameList>
          <b:Person>
            <b:Last>Rozeff</b:Last>
            <b:First>M.S.</b:First>
          </b:Person>
          <b:Person>
            <b:Last>Kinney</b:Last>
            <b:First>W.R.</b:First>
          </b:Person>
        </b:NameList>
      </b:Author>
    </b:Author>
    <b:Title>Capital market seasonality: the case of stock returns</b:Title>
    <b:JournalName>Review of Financial studies</b:JournalName>
    <b:Year>1976</b:Year>
    <b:Pages>379-402</b:Pages>
    <b:Issue>Volume 3, Issue 4</b:Issue>
    <b:RefOrder>3</b:RefOrder>
  </b:Source>
  <b:Source>
    <b:Tag>She85</b:Tag>
    <b:SourceType>JournalArticle</b:SourceType>
    <b:Guid>{03477C9C-FF8E-4B62-BEE9-C92C1B1EFE57}</b:Guid>
    <b:LCID>0</b:LCID>
    <b:Author>
      <b:Author>
        <b:NameList>
          <b:Person>
            <b:Last>Shefrin</b:Last>
            <b:First>H</b:First>
          </b:Person>
          <b:Person>
            <b:Last>Statman</b:Last>
            <b:First>M</b:First>
          </b:Person>
        </b:NameList>
      </b:Author>
    </b:Author>
    <b:Title>The disposition to sell winners too early and ride losers too long</b:Title>
    <b:JournalName>Journal of Finance</b:JournalName>
    <b:Year>1985</b:Year>
    <b:Pages>777-790</b:Pages>
    <b:Issue>Volume 40, Issue 3</b:Issue>
    <b:RefOrder>28</b:RefOrder>
  </b:Source>
  <b:Source>
    <b:Tag>She84</b:Tag>
    <b:SourceType>JournalArticle</b:SourceType>
    <b:Guid>{3046BCF8-F329-4136-8FB3-750343153AD8}</b:Guid>
    <b:LCID>0</b:LCID>
    <b:Author>
      <b:Author>
        <b:NameList>
          <b:Person>
            <b:Last>Shefrin</b:Last>
            <b:First>H.</b:First>
          </b:Person>
          <b:Person>
            <b:Last>Statman</b:Last>
            <b:First>M.</b:First>
          </b:Person>
        </b:NameList>
      </b:Author>
    </b:Author>
    <b:Title>Explaining investor preference for cash dividends</b:Title>
    <b:Year>1984</b:Year>
    <b:JournalName>Journal of Financial Economics</b:JournalName>
    <b:Pages>253-282</b:Pages>
    <b:Issue>Volume 13, Issue 2</b:Issue>
    <b:RefOrder>5</b:RefOrder>
  </b:Source>
  <b:Source>
    <b:Tag>Wac42</b:Tag>
    <b:SourceType>JournalArticle</b:SourceType>
    <b:Guid>{6F8C5EFD-16BF-42DE-BB26-2A1B8530E3BD}</b:Guid>
    <b:LCID>0</b:LCID>
    <b:Author>
      <b:Author>
        <b:NameList>
          <b:Person>
            <b:Last>Wachtel</b:Last>
            <b:First>S.B.</b:First>
          </b:Person>
        </b:NameList>
      </b:Author>
    </b:Author>
    <b:Title>Certain observations on seasonal movements in stock prices</b:Title>
    <b:JournalName>The Journal of Business of the university of Chicago</b:JournalName>
    <b:Year>1942</b:Year>
    <b:Pages>184-193</b:Pages>
    <b:Issue>Volume 15, Issue 2</b:Issue>
    <b:RefOrder>29</b:RefOrder>
  </b:Source>
  <b:Source>
    <b:Tag>Mol08</b:Tag>
    <b:SourceType>JournalArticle</b:SourceType>
    <b:Guid>{5244D917-E275-4F48-ABA2-C9588A0C927C}</b:Guid>
    <b:LCID>0</b:LCID>
    <b:Author>
      <b:Author>
        <b:NameList>
          <b:Person>
            <b:Last>Moller</b:Last>
            <b:First>N.</b:First>
          </b:Person>
          <b:Person>
            <b:Last>Zilca</b:Last>
            <b:First>S.</b:First>
          </b:Person>
        </b:NameList>
      </b:Author>
    </b:Author>
    <b:Title>The evolution of the January effect</b:Title>
    <b:Year>2008</b:Year>
    <b:Pages>447-457</b:Pages>
    <b:JournalName>Journal of Banking and Finance</b:JournalName>
    <b:Issue>Volume 32</b:Issue>
    <b:RefOrder>14</b:RefOrder>
  </b:Source>
  <b:Source>
    <b:Tag>Ast06</b:Tag>
    <b:SourceType>JournalArticle</b:SourceType>
    <b:Guid>{F68CBA19-C0B7-40FE-95E4-E2D9E14C0075}</b:Guid>
    <b:LCID>0</b:LCID>
    <b:Author>
      <b:Author>
        <b:NameList>
          <b:Person>
            <b:Last>Asteriou</b:Last>
            <b:First>D.</b:First>
          </b:Person>
          <b:Person>
            <b:Last>Kavetsos</b:Last>
            <b:First>G.</b:First>
          </b:Person>
        </b:NameList>
      </b:Author>
    </b:Author>
    <b:Title>Testing for the existence for the 'January effect' in transition economies</b:Title>
    <b:JournalName>Applied Financial Economics Letters</b:JournalName>
    <b:Year>2006</b:Year>
    <b:Pages>375-381</b:Pages>
    <b:Issue>2</b:Issue>
    <b:RefOrder>30</b:RefOrder>
  </b:Source>
  <b:Source>
    <b:Tag>Gul83</b:Tag>
    <b:SourceType>JournalArticle</b:SourceType>
    <b:Guid>{F7CAB662-6A43-4B83-84B8-2B2D3688CF51}</b:Guid>
    <b:LCID>0</b:LCID>
    <b:Author>
      <b:Author>
        <b:NameList>
          <b:Person>
            <b:Last>Gultekin</b:Last>
            <b:First>M.</b:First>
          </b:Person>
          <b:Person>
            <b:Last>Gultekin</b:Last>
            <b:First>B.</b:First>
          </b:Person>
        </b:NameList>
      </b:Author>
    </b:Author>
    <b:Title>Stock market evidence: International evidence</b:Title>
    <b:JournalName>Journal of Financial Economics</b:JournalName>
    <b:Year>1983</b:Year>
    <b:Pages>469-481</b:Pages>
    <b:Issue>Volume 12</b:Issue>
    <b:RefOrder>31</b:RefOrder>
  </b:Source>
  <b:Source>
    <b:Tag>Mar06</b:Tag>
    <b:SourceType>JournalArticle</b:SourceType>
    <b:Guid>{AFBA1983-E455-40FA-83FE-43294840A514}</b:Guid>
    <b:LCID>0</b:LCID>
    <b:Author>
      <b:Author>
        <b:NameList>
          <b:Person>
            <b:Last>Marquering</b:Last>
            <b:First>W.</b:First>
          </b:Person>
          <b:Person>
            <b:Last>Nisser</b:Last>
            <b:First>J.</b:First>
          </b:Person>
          <b:Person>
            <b:Last>Valla</b:Last>
            <b:First>T.</b:First>
          </b:Person>
        </b:NameList>
      </b:Author>
    </b:Author>
    <b:Title>Disappearing anomalies: a dynamic analysis of the persistence of anomalies</b:Title>
    <b:JournalName>Applied Financial Economics</b:JournalName>
    <b:Year>2006</b:Year>
    <b:Pages>291-302</b:Pages>
    <b:Issue>16</b:Issue>
    <b:RefOrder>32</b:RefOrder>
  </b:Source>
  <b:Source>
    <b:Tag>Hau06</b:Tag>
    <b:SourceType>JournalArticle</b:SourceType>
    <b:Guid>{D6ED6416-283E-4BCA-BA2B-4E86A87385FA}</b:Guid>
    <b:LCID>0</b:LCID>
    <b:Author>
      <b:Author>
        <b:NameList>
          <b:Person>
            <b:Last>Haug</b:Last>
            <b:First>M.</b:First>
          </b:Person>
          <b:Person>
            <b:Last>Hirschley</b:Last>
            <b:First>M.</b:First>
          </b:Person>
        </b:NameList>
      </b:Author>
    </b:Author>
    <b:Title>The January Effect</b:Title>
    <b:JournalName>Financial Analysts Journal</b:JournalName>
    <b:Year>2006</b:Year>
    <b:Pages>78-88</b:Pages>
    <b:Issue>62</b:Issue>
    <b:RefOrder>33</b:RefOrder>
  </b:Source>
  <b:Source>
    <b:Tag>Mad01</b:Tag>
    <b:SourceType>JournalArticle</b:SourceType>
    <b:Guid>{6E908DB6-2A55-4188-84F2-63CA3F4CAC5C}</b:Guid>
    <b:LCID>0</b:LCID>
    <b:Author>
      <b:Author>
        <b:NameList>
          <b:Person>
            <b:Last>Madureira</b:Last>
            <b:First>L.R.</b:First>
          </b:Person>
          <b:Person>
            <b:Last>Leal</b:Last>
            <b:First>R.P.C.</b:First>
          </b:Person>
        </b:NameList>
      </b:Author>
    </b:Author>
    <b:Title>Elusive anomalies in the Brazilian stock market</b:Title>
    <b:JournalName>International review of financial analysis</b:JournalName>
    <b:Year>2001</b:Year>
    <b:Pages>123-134</b:Pages>
    <b:Issue>10</b:Issue>
    <b:RefOrder>15</b:RefOrder>
  </b:Source>
  <b:Source>
    <b:Tag>Agr94</b:Tag>
    <b:SourceType>JournalArticle</b:SourceType>
    <b:Guid>{AAC8999A-7379-4AA3-89FD-869537D05F24}</b:Guid>
    <b:LCID>0</b:LCID>
    <b:Author>
      <b:Author>
        <b:NameList>
          <b:Person>
            <b:Last>Agrawal</b:Last>
            <b:First>A.</b:First>
          </b:Person>
          <b:Person>
            <b:Last>Tandon</b:Last>
            <b:First>K.</b:First>
          </b:Person>
        </b:NameList>
      </b:Author>
    </b:Author>
    <b:Title>Anomalies or illusions? Evidence from stock markets in eighteen countries</b:Title>
    <b:JournalName>Journal of International Money and Finance</b:JournalName>
    <b:Year>1994</b:Year>
    <b:Pages>83-106</b:Pages>
    <b:Issue>13</b:Issue>
    <b:RefOrder>34</b:RefOrder>
  </b:Source>
  <b:Source>
    <b:Tag>AlR10</b:Tag>
    <b:SourceType>JournalArticle</b:SourceType>
    <b:Guid>{858000E8-0660-41BF-96B9-C73DABB06A78}</b:Guid>
    <b:LCID>0</b:LCID>
    <b:Author>
      <b:Author>
        <b:NameList>
          <b:Person>
            <b:Last>Al-Rjoub</b:Last>
            <b:First>S.A.M.</b:First>
          </b:Person>
          <b:Person>
            <b:Last>Alwaked</b:Last>
            <b:First>A.</b:First>
          </b:Person>
        </b:NameList>
      </b:Author>
    </b:Author>
    <b:Title>January Effect during financial crises: evidence from the U.S.</b:Title>
    <b:JournalName>European Journal of Economics, Finance and Administrative Sciences</b:JournalName>
    <b:Year>2010</b:Year>
    <b:Pages>29-35</b:Pages>
    <b:Issue>24</b:Issue>
    <b:RefOrder>16</b:RefOrder>
  </b:Source>
  <b:Source>
    <b:Tag>Coo06</b:Tag>
    <b:SourceType>JournalArticle</b:SourceType>
    <b:Guid>{8B9217C4-5CB0-46FB-87EE-97EF89E73E13}</b:Guid>
    <b:LCID>0</b:LCID>
    <b:Author>
      <b:Author>
        <b:NameList>
          <b:Person>
            <b:Last>Cooper</b:Last>
            <b:First>M.J.</b:First>
          </b:Person>
          <b:Person>
            <b:Last>McConnell</b:Last>
            <b:First>J.J.</b:First>
          </b:Person>
          <b:Person>
            <b:Last>Ovtchinnikov</b:Last>
            <b:First>A.V.</b:First>
          </b:Person>
        </b:NameList>
      </b:Author>
    </b:Author>
    <b:Title>The Other January Effect</b:Title>
    <b:JournalName>Journal of Financial Economics</b:JournalName>
    <b:Year>2006</b:Year>
    <b:Pages>315-341</b:Pages>
    <b:Issue>82</b:Issue>
    <b:RefOrder>17</b:RefOrder>
  </b:Source>
  <b:Source>
    <b:Tag>Par10</b:Tag>
    <b:SourceType>JournalArticle</b:SourceType>
    <b:Guid>{2AE931F2-E96A-49D3-B017-71407DDAC2EC}</b:Guid>
    <b:LCID>0</b:LCID>
    <b:Author>
      <b:Author>
        <b:NameList>
          <b:Person>
            <b:Last>Park</b:Last>
            <b:First>S.C.</b:First>
          </b:Person>
          <b:Person>
            <b:Last>Moskalev</b:Last>
            <b:First>S.A.</b:First>
          </b:Person>
        </b:NameList>
      </b:Author>
    </b:Author>
    <b:Title>The 52-Week High and the January Effect</b:Title>
    <b:JournalName>Journal of Business &amp; Economics Research</b:JournalName>
    <b:Year>2010</b:Year>
    <b:Pages>43-58</b:Pages>
    <b:Issue>Volume 8</b:Issue>
    <b:RefOrder>35</b:RefOrder>
  </b:Source>
  <b:Source>
    <b:Tag>Sta06</b:Tag>
    <b:SourceType>JournalArticle</b:SourceType>
    <b:Guid>{8C43602F-47AA-4725-B8D5-714704C45857}</b:Guid>
    <b:LCID>0</b:LCID>
    <b:Author>
      <b:Author>
        <b:NameList>
          <b:Person>
            <b:Last>Starks</b:Last>
            <b:First>L.T.</b:First>
          </b:Person>
          <b:Person>
            <b:Last>Yong</b:Last>
            <b:First>L.</b:First>
          </b:Person>
          <b:Person>
            <b:Last>Zheng</b:Last>
            <b:First>L.</b:First>
          </b:Person>
        </b:NameList>
      </b:Author>
    </b:Author>
    <b:Title>Tax-Loss Selling and the January Effect: Evidence from Municipal Bond Closed-End Funds</b:Title>
    <b:JournalName>The Journal of Finance</b:JournalName>
    <b:Year>2006</b:Year>
    <b:Pages>3049-3067</b:Pages>
    <b:Issue>Volume 61, Issue 6</b:Issue>
    <b:RefOrder>36</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7EA6CCA-BB9E-4D01-9512-15C860F23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6427</Words>
  <Characters>36634</Characters>
  <Application>Microsoft Office Word</Application>
  <DocSecurity>0</DocSecurity>
  <Lines>305</Lines>
  <Paragraphs>85</Paragraphs>
  <ScaleCrop>false</ScaleCrop>
  <HeadingPairs>
    <vt:vector size="2" baseType="variant">
      <vt:variant>
        <vt:lpstr>Titel</vt:lpstr>
      </vt:variant>
      <vt:variant>
        <vt:i4>1</vt:i4>
      </vt:variant>
    </vt:vector>
  </HeadingPairs>
  <TitlesOfParts>
    <vt:vector size="1" baseType="lpstr">
      <vt:lpstr>De invloed van de financiële ontwikkeling van een land op het januari effect in de aandelenmarkt van Brazilië, India en China</vt:lpstr>
    </vt:vector>
  </TitlesOfParts>
  <Company>Erasmus Universiteit rotterdam</Company>
  <LinksUpToDate>false</LinksUpToDate>
  <CharactersWithSpaces>42976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invloed van de financiële ontwikkeling van een land op het januari effect in de aandelenmarkt van Brazilië, India en China</dc:title>
  <dc:creator>Kees Haarman</dc:creator>
  <cp:lastModifiedBy>S van Bogaert</cp:lastModifiedBy>
  <cp:revision>2</cp:revision>
  <dcterms:created xsi:type="dcterms:W3CDTF">2014-02-20T08:34:00Z</dcterms:created>
  <dcterms:modified xsi:type="dcterms:W3CDTF">2014-02-20T08:34:00Z</dcterms:modified>
</cp:coreProperties>
</file>