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EEF" w:rsidRDefault="00067D34" w:rsidP="005A062F">
      <w:pPr>
        <w:spacing w:line="360" w:lineRule="auto"/>
        <w:rPr>
          <w:b/>
        </w:rPr>
      </w:pPr>
      <w:r w:rsidRPr="00067D34">
        <w:rPr>
          <w:b/>
        </w:rPr>
      </w:r>
      <w:r>
        <w:rPr>
          <w:b/>
        </w:rPr>
        <w:pict>
          <v:shapetype id="_x0000_t202" coordsize="21600,21600" o:spt="202" path="m,l,21600r21600,l21600,xe">
            <v:stroke joinstyle="miter"/>
            <v:path gradientshapeok="t" o:connecttype="rect"/>
          </v:shapetype>
          <v:shape id="_x0000_s1028" type="#_x0000_t202" style="width:315pt;height:99pt;mso-left-percent:-10001;mso-top-percent:-10001;mso-position-horizontal:absolute;mso-position-horizontal-relative:char;mso-position-vertical:absolute;mso-position-vertical-relative:line;mso-left-percent:-10001;mso-top-percent:-10001" stroked="f">
            <v:textbox style="mso-next-textbox:#_x0000_s1028">
              <w:txbxContent>
                <w:p w:rsidR="00231982" w:rsidRPr="009E0F1E" w:rsidRDefault="00231982" w:rsidP="00BA119C">
                  <w:pPr>
                    <w:rPr>
                      <w:b/>
                      <w:lang w:val="en-GB"/>
                    </w:rPr>
                  </w:pPr>
                  <w:r w:rsidRPr="009E0F1E">
                    <w:rPr>
                      <w:b/>
                      <w:lang w:val="en-GB"/>
                    </w:rPr>
                    <w:t>ERASMUS UNIVERSITY ROTTERDAM</w:t>
                  </w:r>
                </w:p>
                <w:p w:rsidR="00231982" w:rsidRPr="009E0F1E" w:rsidRDefault="00231982" w:rsidP="00BA119C">
                  <w:pPr>
                    <w:rPr>
                      <w:b/>
                      <w:lang w:val="en-GB"/>
                    </w:rPr>
                  </w:pPr>
                  <w:r w:rsidRPr="009E0F1E">
                    <w:rPr>
                      <w:b/>
                      <w:lang w:val="en-GB"/>
                    </w:rPr>
                    <w:t>ERASMUS SCHOOL OF ECONOMICS</w:t>
                  </w:r>
                </w:p>
                <w:p w:rsidR="00231982" w:rsidRPr="009E0F1E" w:rsidRDefault="00231982" w:rsidP="00BA119C">
                  <w:pPr>
                    <w:rPr>
                      <w:b/>
                      <w:lang w:val="en-GB"/>
                    </w:rPr>
                  </w:pPr>
                  <w:r w:rsidRPr="009E0F1E">
                    <w:rPr>
                      <w:b/>
                      <w:lang w:val="en-GB"/>
                    </w:rPr>
                    <w:t>BSc Economics &amp; Business Economics</w:t>
                  </w:r>
                </w:p>
                <w:p w:rsidR="00231982" w:rsidRPr="009E0F1E" w:rsidRDefault="00231982" w:rsidP="00BA119C">
                  <w:pPr>
                    <w:rPr>
                      <w:b/>
                      <w:lang w:val="en-GB"/>
                    </w:rPr>
                  </w:pPr>
                  <w:r w:rsidRPr="009E0F1E">
                    <w:rPr>
                      <w:b/>
                      <w:lang w:val="en-GB"/>
                    </w:rPr>
                    <w:t>Bachelor Thesis Financial Economics</w:t>
                  </w:r>
                </w:p>
                <w:p w:rsidR="00231982" w:rsidRPr="001E1EEF" w:rsidRDefault="00231982" w:rsidP="001E1EEF">
                  <w:pPr>
                    <w:rPr>
                      <w:lang w:val="en-GB"/>
                    </w:rPr>
                  </w:pPr>
                </w:p>
              </w:txbxContent>
            </v:textbox>
            <w10:wrap type="none"/>
            <w10:anchorlock/>
          </v:shape>
        </w:pict>
      </w:r>
    </w:p>
    <w:p w:rsidR="001E1EEF" w:rsidRPr="001E1EEF" w:rsidRDefault="001E1EEF" w:rsidP="005A062F">
      <w:pPr>
        <w:spacing w:line="360" w:lineRule="auto"/>
        <w:rPr>
          <w:b/>
          <w:sz w:val="32"/>
          <w:szCs w:val="32"/>
          <w:lang w:val="en-GB"/>
        </w:rPr>
      </w:pPr>
    </w:p>
    <w:p w:rsidR="001E1EEF" w:rsidRPr="009E0F1E" w:rsidRDefault="009E0F1E" w:rsidP="005A062F">
      <w:pPr>
        <w:spacing w:line="360" w:lineRule="auto"/>
        <w:jc w:val="center"/>
        <w:rPr>
          <w:b/>
          <w:sz w:val="36"/>
          <w:lang w:val="en-GB"/>
        </w:rPr>
      </w:pPr>
      <w:r>
        <w:rPr>
          <w:b/>
          <w:noProof/>
          <w:sz w:val="36"/>
          <w:lang w:val="en-US"/>
        </w:rPr>
        <w:drawing>
          <wp:anchor distT="0" distB="0" distL="114300" distR="114300" simplePos="0" relativeHeight="251664384" behindDoc="1" locked="0" layoutInCell="1" allowOverlap="1">
            <wp:simplePos x="0" y="0"/>
            <wp:positionH relativeFrom="column">
              <wp:posOffset>-113665</wp:posOffset>
            </wp:positionH>
            <wp:positionV relativeFrom="paragraph">
              <wp:posOffset>1022985</wp:posOffset>
            </wp:positionV>
            <wp:extent cx="5924550" cy="2679065"/>
            <wp:effectExtent l="19050" t="0" r="0" b="0"/>
            <wp:wrapTight wrapText="bothSides">
              <wp:wrapPolygon edited="0">
                <wp:start x="-69" y="0"/>
                <wp:lineTo x="-69" y="21503"/>
                <wp:lineTo x="21114" y="21503"/>
                <wp:lineTo x="21114" y="0"/>
                <wp:lineTo x="-69" y="0"/>
              </wp:wrapPolygon>
            </wp:wrapTight>
            <wp:docPr id="13" name="Afbeelding 13" descr="C:\Users\Gebruiker\Documents\Universiteit\Scriptie\Titelpagina Afbeel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ebruiker\Documents\Universiteit\Scriptie\Titelpagina Afbeelding.jpg"/>
                    <pic:cNvPicPr>
                      <a:picLocks noChangeAspect="1" noChangeArrowheads="1"/>
                    </pic:cNvPicPr>
                  </pic:nvPicPr>
                  <pic:blipFill>
                    <a:blip r:embed="rId8" cstate="print"/>
                    <a:srcRect r="-2817" b="30612"/>
                    <a:stretch>
                      <a:fillRect/>
                    </a:stretch>
                  </pic:blipFill>
                  <pic:spPr bwMode="auto">
                    <a:xfrm>
                      <a:off x="0" y="0"/>
                      <a:ext cx="5924550" cy="2679065"/>
                    </a:xfrm>
                    <a:prstGeom prst="rect">
                      <a:avLst/>
                    </a:prstGeom>
                    <a:noFill/>
                    <a:ln w="9525">
                      <a:noFill/>
                      <a:miter lim="800000"/>
                      <a:headEnd/>
                      <a:tailEnd/>
                    </a:ln>
                  </pic:spPr>
                </pic:pic>
              </a:graphicData>
            </a:graphic>
          </wp:anchor>
        </w:drawing>
      </w:r>
      <w:r w:rsidR="000848AA" w:rsidRPr="009E0F1E">
        <w:rPr>
          <w:b/>
          <w:sz w:val="36"/>
          <w:lang w:val="en-GB"/>
        </w:rPr>
        <w:t>The effe</w:t>
      </w:r>
      <w:r w:rsidRPr="009E0F1E">
        <w:rPr>
          <w:b/>
          <w:sz w:val="36"/>
          <w:lang w:val="en-GB"/>
        </w:rPr>
        <w:t xml:space="preserve">cts of </w:t>
      </w:r>
      <w:r>
        <w:rPr>
          <w:b/>
          <w:sz w:val="36"/>
          <w:lang w:val="en-GB"/>
        </w:rPr>
        <w:t xml:space="preserve">idle </w:t>
      </w:r>
      <w:r w:rsidRPr="009E0F1E">
        <w:rPr>
          <w:b/>
          <w:sz w:val="36"/>
          <w:lang w:val="en-GB"/>
        </w:rPr>
        <w:t>cash on M&amp;A</w:t>
      </w:r>
      <w:r w:rsidR="000848AA" w:rsidRPr="009E0F1E">
        <w:rPr>
          <w:b/>
          <w:sz w:val="36"/>
          <w:lang w:val="en-GB"/>
        </w:rPr>
        <w:t xml:space="preserve"> performance</w:t>
      </w:r>
      <w:r w:rsidR="0004153A">
        <w:rPr>
          <w:b/>
          <w:sz w:val="36"/>
          <w:lang w:val="en-GB"/>
        </w:rPr>
        <w:t xml:space="preserve"> in Europe</w:t>
      </w:r>
    </w:p>
    <w:p w:rsidR="001E1EEF" w:rsidRPr="009E0F1E" w:rsidRDefault="000848AA" w:rsidP="005A062F">
      <w:pPr>
        <w:spacing w:line="360" w:lineRule="auto"/>
        <w:jc w:val="center"/>
        <w:rPr>
          <w:b/>
          <w:sz w:val="32"/>
          <w:szCs w:val="28"/>
          <w:lang w:val="en-GB"/>
        </w:rPr>
      </w:pPr>
      <w:r w:rsidRPr="009E0F1E">
        <w:rPr>
          <w:b/>
          <w:sz w:val="32"/>
          <w:szCs w:val="28"/>
          <w:lang w:val="en-GB"/>
        </w:rPr>
        <w:t xml:space="preserve">Theoretical and empirical </w:t>
      </w:r>
      <w:r w:rsidR="00255E25">
        <w:rPr>
          <w:b/>
          <w:sz w:val="32"/>
          <w:szCs w:val="28"/>
          <w:lang w:val="en-GB"/>
        </w:rPr>
        <w:t>research</w:t>
      </w:r>
    </w:p>
    <w:p w:rsidR="001E1EEF" w:rsidRPr="001E1EEF" w:rsidRDefault="001E1EEF" w:rsidP="005A062F">
      <w:pPr>
        <w:spacing w:line="360" w:lineRule="auto"/>
        <w:rPr>
          <w:b/>
          <w:lang w:val="en-GB"/>
        </w:rPr>
      </w:pPr>
    </w:p>
    <w:p w:rsidR="001E1EEF" w:rsidRPr="001E1EEF" w:rsidRDefault="00067D34" w:rsidP="005A062F">
      <w:pPr>
        <w:spacing w:line="360" w:lineRule="auto"/>
        <w:rPr>
          <w:b/>
          <w:lang w:val="en-GB"/>
        </w:rPr>
      </w:pPr>
      <w:r w:rsidRPr="00067D34">
        <w:pict>
          <v:shape id="_x0000_s1027" type="#_x0000_t202" style="width:378pt;height:136.25pt;mso-left-percent:-10001;mso-top-percent:-10001;mso-position-horizontal:absolute;mso-position-horizontal-relative:char;mso-position-vertical:absolute;mso-position-vertical-relative:line;mso-left-percent:-10001;mso-top-percent:-10001" stroked="f">
            <v:textbox style="mso-next-textbox:#_x0000_s1027">
              <w:txbxContent>
                <w:p w:rsidR="00231982" w:rsidRPr="001E1EEF" w:rsidRDefault="00231982" w:rsidP="001E1EEF">
                  <w:pPr>
                    <w:rPr>
                      <w:sz w:val="24"/>
                    </w:rPr>
                  </w:pPr>
                  <w:r w:rsidRPr="001E1EEF">
                    <w:rPr>
                      <w:b/>
                      <w:sz w:val="24"/>
                    </w:rPr>
                    <w:t>Author:</w:t>
                  </w:r>
                  <w:r w:rsidRPr="001E1EEF">
                    <w:rPr>
                      <w:sz w:val="24"/>
                    </w:rPr>
                    <w:t xml:space="preserve"> </w:t>
                  </w:r>
                  <w:r w:rsidRPr="001E1EEF">
                    <w:rPr>
                      <w:sz w:val="24"/>
                    </w:rPr>
                    <w:tab/>
                  </w:r>
                  <w:r w:rsidRPr="001E1EEF">
                    <w:rPr>
                      <w:sz w:val="24"/>
                    </w:rPr>
                    <w:tab/>
                    <w:t>S.T.R. van der Hart</w:t>
                  </w:r>
                  <w:r w:rsidRPr="001E1EEF">
                    <w:rPr>
                      <w:sz w:val="24"/>
                    </w:rPr>
                    <w:tab/>
                  </w:r>
                </w:p>
                <w:p w:rsidR="00231982" w:rsidRPr="001E1EEF" w:rsidRDefault="00231982" w:rsidP="001E1EEF">
                  <w:pPr>
                    <w:rPr>
                      <w:sz w:val="24"/>
                      <w:lang w:val="en-GB"/>
                    </w:rPr>
                  </w:pPr>
                  <w:r w:rsidRPr="001E1EEF">
                    <w:rPr>
                      <w:b/>
                      <w:sz w:val="24"/>
                      <w:lang w:val="en-GB"/>
                    </w:rPr>
                    <w:t>Student number:</w:t>
                  </w:r>
                  <w:r w:rsidRPr="001E1EEF">
                    <w:rPr>
                      <w:b/>
                      <w:sz w:val="24"/>
                      <w:lang w:val="en-GB"/>
                    </w:rPr>
                    <w:tab/>
                  </w:r>
                  <w:r>
                    <w:rPr>
                      <w:sz w:val="24"/>
                      <w:lang w:val="en-GB"/>
                    </w:rPr>
                    <w:t>358044</w:t>
                  </w:r>
                </w:p>
                <w:p w:rsidR="00231982" w:rsidRPr="001E1EEF" w:rsidRDefault="00231982" w:rsidP="001E1EEF">
                  <w:pPr>
                    <w:rPr>
                      <w:sz w:val="24"/>
                      <w:lang w:val="en-GB"/>
                    </w:rPr>
                  </w:pPr>
                  <w:r w:rsidRPr="001E1EEF">
                    <w:rPr>
                      <w:b/>
                      <w:sz w:val="24"/>
                      <w:lang w:val="en-GB"/>
                    </w:rPr>
                    <w:t>Thesis supervisor:</w:t>
                  </w:r>
                  <w:r w:rsidRPr="001E1EEF">
                    <w:rPr>
                      <w:sz w:val="24"/>
                      <w:lang w:val="en-GB"/>
                    </w:rPr>
                    <w:t xml:space="preserve"> </w:t>
                  </w:r>
                  <w:r w:rsidRPr="001E1EEF">
                    <w:rPr>
                      <w:sz w:val="24"/>
                      <w:lang w:val="en-GB"/>
                    </w:rPr>
                    <w:tab/>
                  </w:r>
                  <w:r>
                    <w:rPr>
                      <w:sz w:val="24"/>
                      <w:lang w:val="en-GB"/>
                    </w:rPr>
                    <w:t>Dr. J.J.G. Lemmen</w:t>
                  </w:r>
                </w:p>
                <w:p w:rsidR="00231982" w:rsidRPr="001E1EEF" w:rsidRDefault="00231982" w:rsidP="001E1EEF">
                  <w:pPr>
                    <w:rPr>
                      <w:sz w:val="24"/>
                      <w:lang w:val="en-GB"/>
                    </w:rPr>
                  </w:pPr>
                  <w:r w:rsidRPr="001E1EEF">
                    <w:rPr>
                      <w:b/>
                      <w:sz w:val="24"/>
                      <w:lang w:val="en-GB"/>
                    </w:rPr>
                    <w:t>Finish date:</w:t>
                  </w:r>
                  <w:r w:rsidRPr="001E1EEF">
                    <w:rPr>
                      <w:sz w:val="24"/>
                      <w:lang w:val="en-GB"/>
                    </w:rPr>
                    <w:t xml:space="preserve">  </w:t>
                  </w:r>
                  <w:r w:rsidRPr="001E1EEF">
                    <w:rPr>
                      <w:sz w:val="24"/>
                      <w:lang w:val="en-GB"/>
                    </w:rPr>
                    <w:tab/>
                  </w:r>
                  <w:r w:rsidRPr="001E1EEF">
                    <w:rPr>
                      <w:sz w:val="24"/>
                      <w:lang w:val="en-GB"/>
                    </w:rPr>
                    <w:tab/>
                  </w:r>
                  <w:r>
                    <w:rPr>
                      <w:sz w:val="24"/>
                      <w:lang w:val="en-GB"/>
                    </w:rPr>
                    <w:t>June 27, 2014</w:t>
                  </w:r>
                </w:p>
              </w:txbxContent>
            </v:textbox>
            <w10:wrap type="none"/>
            <w10:anchorlock/>
          </v:shape>
        </w:pict>
      </w:r>
    </w:p>
    <w:p w:rsidR="00182D9A" w:rsidRDefault="00182D9A" w:rsidP="005A062F">
      <w:pPr>
        <w:pStyle w:val="Heading1"/>
        <w:numPr>
          <w:ilvl w:val="0"/>
          <w:numId w:val="0"/>
        </w:numPr>
        <w:spacing w:line="360" w:lineRule="auto"/>
        <w:rPr>
          <w:sz w:val="32"/>
        </w:rPr>
      </w:pPr>
      <w:bookmarkStart w:id="0" w:name="_Toc200538599"/>
    </w:p>
    <w:p w:rsidR="001664A0" w:rsidRDefault="001664A0" w:rsidP="005A062F">
      <w:pPr>
        <w:spacing w:line="360" w:lineRule="auto"/>
        <w:rPr>
          <w:lang w:val="en-GB"/>
        </w:rPr>
      </w:pPr>
    </w:p>
    <w:p w:rsidR="001664A0" w:rsidRPr="001664A0" w:rsidRDefault="001664A0" w:rsidP="005A062F">
      <w:pPr>
        <w:spacing w:line="360" w:lineRule="auto"/>
        <w:rPr>
          <w:lang w:val="en-GB"/>
        </w:rPr>
      </w:pPr>
    </w:p>
    <w:p w:rsidR="00182D9A" w:rsidRPr="00936F49" w:rsidRDefault="00182D9A" w:rsidP="005A062F">
      <w:pPr>
        <w:pStyle w:val="Heading1"/>
        <w:numPr>
          <w:ilvl w:val="0"/>
          <w:numId w:val="0"/>
        </w:numPr>
        <w:spacing w:line="360" w:lineRule="auto"/>
        <w:jc w:val="right"/>
        <w:rPr>
          <w:rFonts w:asciiTheme="minorHAnsi" w:hAnsiTheme="minorHAnsi" w:cstheme="minorHAnsi"/>
          <w:sz w:val="32"/>
        </w:rPr>
      </w:pPr>
      <w:bookmarkStart w:id="1" w:name="_Toc390633784"/>
      <w:r w:rsidRPr="00936F49">
        <w:rPr>
          <w:rFonts w:asciiTheme="minorHAnsi" w:hAnsiTheme="minorHAnsi" w:cstheme="minorHAnsi"/>
          <w:sz w:val="32"/>
        </w:rPr>
        <w:t>PREFACE AND ACKNOWLEDGEMENTS</w:t>
      </w:r>
      <w:bookmarkEnd w:id="0"/>
      <w:bookmarkEnd w:id="1"/>
    </w:p>
    <w:p w:rsidR="00182D9A" w:rsidRPr="00936F49" w:rsidRDefault="00182D9A" w:rsidP="005A062F">
      <w:pPr>
        <w:spacing w:line="360" w:lineRule="auto"/>
        <w:jc w:val="right"/>
        <w:rPr>
          <w:b/>
          <w:sz w:val="32"/>
          <w:szCs w:val="32"/>
          <w:lang w:val="en-GB"/>
        </w:rPr>
      </w:pPr>
      <w:r w:rsidRPr="00936F49">
        <w:rPr>
          <w:b/>
          <w:sz w:val="32"/>
          <w:szCs w:val="32"/>
          <w:lang w:val="en-GB"/>
        </w:rPr>
        <w:t>________________________________________________________</w:t>
      </w:r>
    </w:p>
    <w:p w:rsidR="00182D9A" w:rsidRPr="00182D9A" w:rsidRDefault="00182D9A" w:rsidP="005A062F">
      <w:pPr>
        <w:spacing w:line="360" w:lineRule="auto"/>
        <w:rPr>
          <w:rFonts w:cstheme="minorHAnsi"/>
          <w:lang w:val="en-GB"/>
        </w:rPr>
      </w:pPr>
    </w:p>
    <w:p w:rsidR="00182D9A" w:rsidRDefault="00F60905" w:rsidP="005A062F">
      <w:pPr>
        <w:spacing w:line="360" w:lineRule="auto"/>
        <w:jc w:val="both"/>
        <w:rPr>
          <w:rFonts w:cstheme="minorHAnsi"/>
          <w:lang w:val="en-GB"/>
        </w:rPr>
      </w:pPr>
      <w:r>
        <w:rPr>
          <w:rFonts w:cstheme="minorHAnsi"/>
          <w:lang w:val="en-GB"/>
        </w:rPr>
        <w:t>To start my thesis with, a word of thanks to the people who helped me throughout this process will not be out of place. First of all, I would like to thank Dr. J.</w:t>
      </w:r>
      <w:r w:rsidR="001A6050">
        <w:rPr>
          <w:rFonts w:cstheme="minorHAnsi"/>
          <w:lang w:val="en-GB"/>
        </w:rPr>
        <w:t>J.G.</w:t>
      </w:r>
      <w:r>
        <w:rPr>
          <w:rFonts w:cstheme="minorHAnsi"/>
          <w:lang w:val="en-GB"/>
        </w:rPr>
        <w:t xml:space="preserve"> Lemmen for his professionalism and help with my thesis. It was his idea to use (cumulative) abnormal returns instead of accounting performance to evaluate the performance of the mergers and acquisitions researched in this thesis. A hint which afterwards seems to have been precious for the continuation and rightfulness of the research.   </w:t>
      </w:r>
    </w:p>
    <w:p w:rsidR="00F60905" w:rsidRDefault="00F60905" w:rsidP="005A062F">
      <w:pPr>
        <w:spacing w:line="360" w:lineRule="auto"/>
        <w:jc w:val="both"/>
        <w:rPr>
          <w:rFonts w:cstheme="minorHAnsi"/>
          <w:lang w:val="en-GB"/>
        </w:rPr>
      </w:pPr>
      <w:r>
        <w:rPr>
          <w:rFonts w:cstheme="minorHAnsi"/>
          <w:lang w:val="en-GB"/>
        </w:rPr>
        <w:t xml:space="preserve">Also, Dr. R. Huisman deserves to be noticed and thanked for him making me enthusiastic for the financial part of economics. Like it stimulated me to choose for a master in finance, it also stimulated me to devote my thesis to an important part of the financial sector within economics; mergers and acquisitions. </w:t>
      </w:r>
    </w:p>
    <w:p w:rsidR="005A062F" w:rsidRDefault="00F60905" w:rsidP="005A062F">
      <w:pPr>
        <w:spacing w:line="360" w:lineRule="auto"/>
        <w:jc w:val="both"/>
        <w:rPr>
          <w:rFonts w:cstheme="minorHAnsi"/>
          <w:lang w:val="en-GB"/>
        </w:rPr>
      </w:pPr>
      <w:r>
        <w:rPr>
          <w:rFonts w:cstheme="minorHAnsi"/>
          <w:lang w:val="en-GB"/>
        </w:rPr>
        <w:t xml:space="preserve">Lastly, I also would like to thank Sharon Klaassen for her individual help with the statistical analysis using SPSS, as she helped me to choose which tests to use and with the preparation of data for this specific tests. </w:t>
      </w:r>
    </w:p>
    <w:p w:rsidR="005A062F" w:rsidRDefault="00067D34" w:rsidP="005A062F">
      <w:pPr>
        <w:spacing w:line="360" w:lineRule="auto"/>
        <w:jc w:val="both"/>
        <w:rPr>
          <w:rFonts w:cstheme="minorHAnsi"/>
          <w:lang w:val="en-GB"/>
        </w:rPr>
      </w:pPr>
      <w:r w:rsidRPr="00067D34">
        <w:rPr>
          <w:rFonts w:cstheme="minorHAnsi"/>
        </w:rPr>
      </w:r>
      <w:r w:rsidRPr="00067D34">
        <w:rPr>
          <w:rFonts w:cstheme="minorHAnsi"/>
        </w:rPr>
        <w:pict>
          <v:shape id="_x0000_s1026" type="#_x0000_t202" style="width:452.75pt;height:151.35pt;mso-left-percent:-10001;mso-top-percent:-10001;mso-position-horizontal:absolute;mso-position-horizontal-relative:char;mso-position-vertical:absolute;mso-position-vertical-relative:line;mso-left-percent:-10001;mso-top-percent:-10001">
            <v:textbox style="mso-next-textbox:#_x0000_s1026">
              <w:txbxContent>
                <w:p w:rsidR="00231982" w:rsidRPr="00182D9A" w:rsidRDefault="00231982" w:rsidP="005A062F">
                  <w:pPr>
                    <w:rPr>
                      <w:sz w:val="20"/>
                      <w:szCs w:val="20"/>
                      <w:lang w:val="en-GB"/>
                    </w:rPr>
                  </w:pPr>
                  <w:r w:rsidRPr="00182D9A">
                    <w:rPr>
                      <w:sz w:val="20"/>
                      <w:szCs w:val="20"/>
                      <w:lang w:val="en-GB"/>
                    </w:rPr>
                    <w:t>NON-PLAGIARISM STATEMENT</w:t>
                  </w:r>
                </w:p>
                <w:p w:rsidR="00231982" w:rsidRPr="00182D9A" w:rsidRDefault="00231982" w:rsidP="005A062F">
                  <w:pPr>
                    <w:rPr>
                      <w:sz w:val="20"/>
                      <w:szCs w:val="20"/>
                      <w:lang w:val="en-GB"/>
                    </w:rPr>
                  </w:pPr>
                  <w:r w:rsidRPr="00182D9A">
                    <w:rPr>
                      <w:sz w:val="20"/>
                      <w:szCs w:val="20"/>
                      <w:lang w:val="en-GB"/>
                    </w:rPr>
                    <w:t>By submitting this thesis the author declares to have written this thesis completely by himself/herself, and not to have used sources or resources other than the ones mentioned. All sources used, quotes and citations that were literally taken from publications, or that were in close accordance with the meaning of those publications, are indicated as such.</w:t>
                  </w:r>
                </w:p>
                <w:p w:rsidR="00231982" w:rsidRPr="00182D9A" w:rsidRDefault="00231982" w:rsidP="005A062F">
                  <w:pPr>
                    <w:rPr>
                      <w:sz w:val="20"/>
                      <w:szCs w:val="20"/>
                      <w:lang w:val="en-GB"/>
                    </w:rPr>
                  </w:pPr>
                  <w:r w:rsidRPr="00182D9A">
                    <w:rPr>
                      <w:sz w:val="20"/>
                      <w:szCs w:val="20"/>
                      <w:lang w:val="en-GB"/>
                    </w:rPr>
                    <w:t>COPYRIGHT STATEMENT</w:t>
                  </w:r>
                  <w:r w:rsidRPr="00182D9A">
                    <w:rPr>
                      <w:sz w:val="20"/>
                      <w:szCs w:val="20"/>
                      <w:lang w:val="en-GB"/>
                    </w:rPr>
                    <w:br/>
                    <w:t>The author has copyright of this thesis, but also acknowledges the intellectual copyright of contributions made by the thesis supervisor, which may include important research ideas and data. Author and thesis supervisor will have made clear agreements about issues such as confidentiality.</w:t>
                  </w:r>
                </w:p>
                <w:p w:rsidR="00231982" w:rsidRPr="00182D9A" w:rsidRDefault="00231982" w:rsidP="005A062F">
                  <w:pPr>
                    <w:rPr>
                      <w:sz w:val="20"/>
                      <w:szCs w:val="20"/>
                      <w:lang w:val="en-GB"/>
                    </w:rPr>
                  </w:pPr>
                </w:p>
                <w:p w:rsidR="00231982" w:rsidRPr="00182D9A" w:rsidRDefault="00231982" w:rsidP="005A062F">
                  <w:pPr>
                    <w:rPr>
                      <w:sz w:val="20"/>
                      <w:szCs w:val="20"/>
                      <w:lang w:val="en-GB"/>
                    </w:rPr>
                  </w:pPr>
                  <w:r w:rsidRPr="00182D9A">
                    <w:rPr>
                      <w:sz w:val="20"/>
                      <w:szCs w:val="20"/>
                      <w:lang w:val="en-GB"/>
                    </w:rPr>
                    <w:t>Electronic versions of the thesis are in principle available for inclusion in any EUR thesis database and repository, such as the Master Thesis Repository of the Erasmus University Rotterdam</w:t>
                  </w:r>
                </w:p>
              </w:txbxContent>
            </v:textbox>
            <w10:wrap type="none"/>
            <w10:anchorlock/>
          </v:shape>
        </w:pict>
      </w:r>
    </w:p>
    <w:p w:rsidR="00F60905" w:rsidRDefault="00F60905" w:rsidP="005A062F">
      <w:pPr>
        <w:spacing w:line="360" w:lineRule="auto"/>
        <w:jc w:val="both"/>
        <w:rPr>
          <w:rFonts w:cstheme="minorHAnsi"/>
          <w:lang w:val="en-GB"/>
        </w:rPr>
      </w:pPr>
      <w:bookmarkStart w:id="2" w:name="_Toc200538600"/>
    </w:p>
    <w:p w:rsidR="005A062F" w:rsidRDefault="005A062F" w:rsidP="005A062F">
      <w:pPr>
        <w:spacing w:line="360" w:lineRule="auto"/>
        <w:rPr>
          <w:rFonts w:cstheme="minorHAnsi"/>
          <w:lang w:val="en-GB"/>
        </w:rPr>
      </w:pPr>
      <w:r>
        <w:rPr>
          <w:rFonts w:cstheme="minorHAnsi"/>
          <w:lang w:val="en-GB"/>
        </w:rPr>
        <w:lastRenderedPageBreak/>
        <w:t xml:space="preserve"> </w:t>
      </w:r>
    </w:p>
    <w:p w:rsidR="00F60905" w:rsidRDefault="00F60905" w:rsidP="005A062F">
      <w:pPr>
        <w:spacing w:line="360" w:lineRule="auto"/>
        <w:rPr>
          <w:rFonts w:cstheme="minorHAnsi"/>
          <w:lang w:val="en-GB"/>
        </w:rPr>
      </w:pPr>
    </w:p>
    <w:p w:rsidR="00F60905" w:rsidRDefault="00F60905" w:rsidP="005A062F">
      <w:pPr>
        <w:spacing w:line="360" w:lineRule="auto"/>
        <w:rPr>
          <w:rFonts w:cstheme="minorHAnsi"/>
          <w:lang w:val="en-GB"/>
        </w:rPr>
      </w:pPr>
    </w:p>
    <w:p w:rsidR="00182D9A" w:rsidRPr="00F60905" w:rsidRDefault="00182D9A" w:rsidP="005A062F">
      <w:pPr>
        <w:spacing w:line="360" w:lineRule="auto"/>
        <w:jc w:val="right"/>
        <w:rPr>
          <w:rStyle w:val="Heading1Char"/>
          <w:rFonts w:asciiTheme="minorHAnsi" w:eastAsiaTheme="minorHAnsi" w:hAnsiTheme="minorHAnsi" w:cstheme="minorHAnsi"/>
          <w:b w:val="0"/>
          <w:bCs w:val="0"/>
          <w:kern w:val="0"/>
          <w:sz w:val="22"/>
          <w:szCs w:val="22"/>
        </w:rPr>
      </w:pPr>
      <w:bookmarkStart w:id="3" w:name="_Toc390633785"/>
      <w:r w:rsidRPr="00182D9A">
        <w:rPr>
          <w:rStyle w:val="Heading1Char"/>
          <w:rFonts w:asciiTheme="minorHAnsi" w:eastAsiaTheme="minorHAnsi" w:hAnsiTheme="minorHAnsi" w:cstheme="minorHAnsi"/>
          <w:sz w:val="32"/>
        </w:rPr>
        <w:t>ABSTRACT</w:t>
      </w:r>
      <w:bookmarkEnd w:id="2"/>
      <w:bookmarkEnd w:id="3"/>
    </w:p>
    <w:p w:rsidR="00182D9A" w:rsidRPr="00182D9A" w:rsidRDefault="00182D9A" w:rsidP="005A062F">
      <w:pPr>
        <w:spacing w:line="360" w:lineRule="auto"/>
        <w:jc w:val="right"/>
        <w:rPr>
          <w:rStyle w:val="Heading1Char"/>
          <w:rFonts w:asciiTheme="minorHAnsi" w:eastAsiaTheme="minorHAnsi" w:hAnsiTheme="minorHAnsi" w:cstheme="minorHAnsi"/>
          <w:b w:val="0"/>
          <w:bCs w:val="0"/>
          <w:kern w:val="0"/>
          <w:sz w:val="22"/>
          <w:szCs w:val="22"/>
        </w:rPr>
      </w:pPr>
      <w:bookmarkStart w:id="4" w:name="_Toc390633786"/>
      <w:r>
        <w:rPr>
          <w:rStyle w:val="Heading1Char"/>
          <w:rFonts w:asciiTheme="minorHAnsi" w:eastAsiaTheme="minorHAnsi" w:hAnsiTheme="minorHAnsi" w:cstheme="minorHAnsi"/>
          <w:sz w:val="32"/>
        </w:rPr>
        <w:t>________________________________________________________</w:t>
      </w:r>
      <w:bookmarkEnd w:id="4"/>
    </w:p>
    <w:p w:rsidR="005A062F" w:rsidRDefault="005A062F" w:rsidP="005A062F">
      <w:pPr>
        <w:spacing w:line="360" w:lineRule="auto"/>
        <w:jc w:val="both"/>
        <w:rPr>
          <w:rFonts w:cstheme="minorHAnsi"/>
          <w:lang w:val="en-GB"/>
        </w:rPr>
      </w:pPr>
    </w:p>
    <w:p w:rsidR="00182D9A" w:rsidRDefault="001A6050" w:rsidP="004C18A8">
      <w:pPr>
        <w:spacing w:line="360" w:lineRule="auto"/>
        <w:jc w:val="both"/>
        <w:rPr>
          <w:rFonts w:cstheme="minorHAnsi"/>
          <w:lang w:val="en-GB"/>
        </w:rPr>
      </w:pPr>
      <w:r>
        <w:rPr>
          <w:rFonts w:cstheme="minorHAnsi"/>
          <w:lang w:val="en-GB"/>
        </w:rPr>
        <w:t>This thesis</w:t>
      </w:r>
      <w:r w:rsidR="00A31B31">
        <w:rPr>
          <w:rFonts w:cstheme="minorHAnsi"/>
          <w:lang w:val="en-GB"/>
        </w:rPr>
        <w:t xml:space="preserve"> focuse</w:t>
      </w:r>
      <w:r>
        <w:rPr>
          <w:rFonts w:cstheme="minorHAnsi"/>
          <w:lang w:val="en-GB"/>
        </w:rPr>
        <w:t>s</w:t>
      </w:r>
      <w:r w:rsidR="00A31B31">
        <w:rPr>
          <w:rFonts w:cstheme="minorHAnsi"/>
          <w:lang w:val="en-GB"/>
        </w:rPr>
        <w:t xml:space="preserve"> how M&amp;As differ among two groups of companies; companies with higher and companies with lower cash reserves. </w:t>
      </w:r>
      <w:r>
        <w:rPr>
          <w:rFonts w:cstheme="minorHAnsi"/>
          <w:lang w:val="en-GB"/>
        </w:rPr>
        <w:t xml:space="preserve">This </w:t>
      </w:r>
      <w:r w:rsidR="00A31B31">
        <w:rPr>
          <w:rFonts w:cstheme="minorHAnsi"/>
          <w:lang w:val="en-GB"/>
        </w:rPr>
        <w:t xml:space="preserve">research focuses on the behavioural aspects rather than the already extensively researched basic aspects of M&amp;A deals. </w:t>
      </w:r>
    </w:p>
    <w:p w:rsidR="00182D9A" w:rsidRPr="00182D9A" w:rsidRDefault="001A6050" w:rsidP="004C18A8">
      <w:pPr>
        <w:spacing w:line="360" w:lineRule="auto"/>
        <w:jc w:val="both"/>
        <w:rPr>
          <w:rFonts w:cstheme="minorHAnsi"/>
          <w:lang w:val="en-GB"/>
        </w:rPr>
      </w:pPr>
      <w:r>
        <w:rPr>
          <w:rFonts w:cstheme="minorHAnsi"/>
          <w:lang w:val="en-GB"/>
        </w:rPr>
        <w:t>This research found</w:t>
      </w:r>
      <w:r w:rsidR="004C18A8">
        <w:rPr>
          <w:rFonts w:cstheme="minorHAnsi"/>
          <w:lang w:val="en-GB"/>
        </w:rPr>
        <w:t>, contradictory to the hypotheses,</w:t>
      </w:r>
      <w:r>
        <w:rPr>
          <w:rFonts w:cstheme="minorHAnsi"/>
          <w:lang w:val="en-GB"/>
        </w:rPr>
        <w:t xml:space="preserve"> no significant difference in the contribution to society</w:t>
      </w:r>
      <w:r w:rsidR="004C18A8">
        <w:rPr>
          <w:rFonts w:cstheme="minorHAnsi"/>
          <w:lang w:val="en-GB"/>
        </w:rPr>
        <w:t xml:space="preserve"> deriving from M&amp;As</w:t>
      </w:r>
      <w:r>
        <w:rPr>
          <w:rFonts w:cstheme="minorHAnsi"/>
          <w:lang w:val="en-GB"/>
        </w:rPr>
        <w:t xml:space="preserve"> between the researched companies. </w:t>
      </w:r>
      <w:r w:rsidR="004C18A8">
        <w:rPr>
          <w:rFonts w:cstheme="minorHAnsi"/>
          <w:lang w:val="en-GB"/>
        </w:rPr>
        <w:t>Also, in serial acquisitions and the monetary compensation aspect of the M&amp;As is not found any significant difference between the experimental and control group. This leads to the conclusions that having</w:t>
      </w:r>
      <w:r w:rsidR="00880FD1">
        <w:rPr>
          <w:rFonts w:cstheme="minorHAnsi"/>
          <w:lang w:val="en-GB"/>
        </w:rPr>
        <w:t xml:space="preserve"> more</w:t>
      </w:r>
      <w:r w:rsidR="004C18A8">
        <w:rPr>
          <w:rFonts w:cstheme="minorHAnsi"/>
          <w:lang w:val="en-GB"/>
        </w:rPr>
        <w:t xml:space="preserve"> idle cash has no effect on M&amp;A performance.</w:t>
      </w:r>
    </w:p>
    <w:p w:rsidR="004C18A8" w:rsidRDefault="004C18A8" w:rsidP="009313E4">
      <w:pPr>
        <w:spacing w:line="240" w:lineRule="auto"/>
        <w:rPr>
          <w:rFonts w:cstheme="minorHAnsi"/>
          <w:b/>
          <w:lang w:val="en-GB"/>
        </w:rPr>
      </w:pPr>
    </w:p>
    <w:p w:rsidR="00182D9A" w:rsidRPr="00182D9A" w:rsidRDefault="00182D9A" w:rsidP="009313E4">
      <w:pPr>
        <w:spacing w:line="240" w:lineRule="auto"/>
        <w:rPr>
          <w:rFonts w:cstheme="minorHAnsi"/>
          <w:b/>
          <w:lang w:val="en-GB"/>
        </w:rPr>
      </w:pPr>
      <w:r w:rsidRPr="00182D9A">
        <w:rPr>
          <w:rFonts w:cstheme="minorHAnsi"/>
          <w:b/>
          <w:lang w:val="en-GB"/>
        </w:rPr>
        <w:t xml:space="preserve">Keywords: </w:t>
      </w:r>
    </w:p>
    <w:p w:rsidR="007622D0" w:rsidRDefault="001664A0" w:rsidP="009313E4">
      <w:pPr>
        <w:spacing w:line="360" w:lineRule="auto"/>
        <w:rPr>
          <w:rFonts w:cstheme="minorHAnsi"/>
          <w:lang w:val="en-GB"/>
        </w:rPr>
      </w:pPr>
      <w:r>
        <w:rPr>
          <w:rFonts w:cstheme="minorHAnsi"/>
          <w:lang w:val="en-GB"/>
        </w:rPr>
        <w:t>Mergers and Acquisitions, Overconfidence, (Cumulative) Abnormal Returns,</w:t>
      </w:r>
      <w:r w:rsidR="00022DFF">
        <w:rPr>
          <w:rFonts w:cstheme="minorHAnsi"/>
          <w:lang w:val="en-GB"/>
        </w:rPr>
        <w:t xml:space="preserve"> Cash Rich and Poor,</w:t>
      </w:r>
      <w:r>
        <w:rPr>
          <w:rFonts w:cstheme="minorHAnsi"/>
          <w:lang w:val="en-GB"/>
        </w:rPr>
        <w:t xml:space="preserve"> </w:t>
      </w:r>
      <w:r w:rsidR="00022DFF">
        <w:rPr>
          <w:rFonts w:cstheme="minorHAnsi"/>
          <w:lang w:val="en-GB"/>
        </w:rPr>
        <w:t>Behavioural</w:t>
      </w:r>
    </w:p>
    <w:p w:rsidR="009313E4" w:rsidRDefault="009313E4" w:rsidP="009313E4">
      <w:pPr>
        <w:spacing w:line="240" w:lineRule="auto"/>
        <w:rPr>
          <w:rFonts w:cstheme="minorHAnsi"/>
          <w:lang w:val="en-GB"/>
        </w:rPr>
      </w:pPr>
    </w:p>
    <w:p w:rsidR="00F1612B" w:rsidRDefault="00F1612B" w:rsidP="009313E4">
      <w:pPr>
        <w:spacing w:line="240" w:lineRule="auto"/>
        <w:rPr>
          <w:rFonts w:cstheme="minorHAnsi"/>
          <w:b/>
          <w:lang w:val="en-GB"/>
        </w:rPr>
      </w:pPr>
    </w:p>
    <w:p w:rsidR="009313E4" w:rsidRPr="009313E4" w:rsidRDefault="009313E4" w:rsidP="009313E4">
      <w:pPr>
        <w:spacing w:line="240" w:lineRule="auto"/>
        <w:rPr>
          <w:rFonts w:cstheme="minorHAnsi"/>
          <w:b/>
          <w:lang w:val="en-GB"/>
        </w:rPr>
      </w:pPr>
      <w:r w:rsidRPr="009313E4">
        <w:rPr>
          <w:rFonts w:cstheme="minorHAnsi"/>
          <w:b/>
          <w:lang w:val="en-GB"/>
        </w:rPr>
        <w:t>JEL Classification</w:t>
      </w:r>
      <w:r w:rsidR="00F1612B">
        <w:rPr>
          <w:rFonts w:cstheme="minorHAnsi"/>
          <w:b/>
          <w:lang w:val="en-GB"/>
        </w:rPr>
        <w:t xml:space="preserve"> Codes</w:t>
      </w:r>
      <w:r w:rsidRPr="009313E4">
        <w:rPr>
          <w:rFonts w:cstheme="minorHAnsi"/>
          <w:b/>
          <w:lang w:val="en-GB"/>
        </w:rPr>
        <w:t>:</w:t>
      </w:r>
    </w:p>
    <w:p w:rsidR="00182D9A" w:rsidRPr="009313E4" w:rsidRDefault="009313E4" w:rsidP="009313E4">
      <w:pPr>
        <w:spacing w:line="240" w:lineRule="auto"/>
        <w:rPr>
          <w:rFonts w:cstheme="minorHAnsi"/>
          <w:lang w:val="en-GB"/>
        </w:rPr>
      </w:pPr>
      <w:r>
        <w:rPr>
          <w:rFonts w:cstheme="minorHAnsi"/>
          <w:lang w:val="en-GB"/>
        </w:rPr>
        <w:t>G01, G14, G34, C12, C92</w:t>
      </w:r>
    </w:p>
    <w:p w:rsidR="005A062F" w:rsidRDefault="001664A0" w:rsidP="005A062F">
      <w:pPr>
        <w:spacing w:line="360" w:lineRule="auto"/>
        <w:ind w:firstLine="708"/>
        <w:jc w:val="right"/>
        <w:rPr>
          <w:rFonts w:cstheme="minorHAnsi"/>
          <w:lang w:val="en-GB"/>
        </w:rPr>
      </w:pPr>
      <w:bookmarkStart w:id="5" w:name="_Toc200538601"/>
      <w:r w:rsidRPr="001664A0">
        <w:rPr>
          <w:rFonts w:cstheme="minorHAnsi"/>
          <w:lang w:val="en-GB"/>
        </w:rPr>
        <w:br w:type="page"/>
      </w:r>
      <w:bookmarkStart w:id="6" w:name="_Toc390633787"/>
    </w:p>
    <w:p w:rsidR="005A062F" w:rsidRDefault="005A062F" w:rsidP="005A062F">
      <w:pPr>
        <w:spacing w:line="360" w:lineRule="auto"/>
        <w:ind w:firstLine="708"/>
        <w:jc w:val="right"/>
        <w:rPr>
          <w:rFonts w:cstheme="minorHAnsi"/>
          <w:lang w:val="en-GB"/>
        </w:rPr>
      </w:pPr>
    </w:p>
    <w:p w:rsidR="005A062F" w:rsidRDefault="005A062F" w:rsidP="005A062F">
      <w:pPr>
        <w:spacing w:line="360" w:lineRule="auto"/>
        <w:ind w:firstLine="708"/>
        <w:jc w:val="right"/>
        <w:rPr>
          <w:rFonts w:cstheme="minorHAnsi"/>
          <w:lang w:val="en-GB"/>
        </w:rPr>
      </w:pPr>
    </w:p>
    <w:p w:rsidR="00567F64" w:rsidRDefault="00567F64" w:rsidP="005A062F">
      <w:pPr>
        <w:spacing w:line="360" w:lineRule="auto"/>
        <w:ind w:firstLine="708"/>
        <w:jc w:val="right"/>
        <w:rPr>
          <w:rFonts w:cstheme="minorHAnsi"/>
          <w:lang w:val="en-GB"/>
        </w:rPr>
      </w:pPr>
    </w:p>
    <w:p w:rsidR="00182D9A" w:rsidRPr="005A062F" w:rsidRDefault="00182D9A" w:rsidP="005A062F">
      <w:pPr>
        <w:spacing w:line="360" w:lineRule="auto"/>
        <w:ind w:firstLine="708"/>
        <w:jc w:val="right"/>
        <w:rPr>
          <w:rFonts w:cstheme="minorHAnsi"/>
          <w:lang w:val="en-GB"/>
        </w:rPr>
      </w:pPr>
      <w:r w:rsidRPr="005A062F">
        <w:rPr>
          <w:rFonts w:cstheme="minorHAnsi"/>
          <w:b/>
          <w:sz w:val="32"/>
          <w:lang w:val="en-GB"/>
        </w:rPr>
        <w:t>TABLE OF CONTENTS</w:t>
      </w:r>
      <w:bookmarkEnd w:id="5"/>
      <w:bookmarkEnd w:id="6"/>
    </w:p>
    <w:p w:rsidR="001664A0" w:rsidRPr="005A062F" w:rsidRDefault="001664A0" w:rsidP="005A062F">
      <w:pPr>
        <w:spacing w:line="360" w:lineRule="auto"/>
        <w:jc w:val="right"/>
        <w:rPr>
          <w:b/>
          <w:sz w:val="32"/>
          <w:szCs w:val="32"/>
          <w:lang w:val="en-GB"/>
        </w:rPr>
      </w:pPr>
      <w:r w:rsidRPr="005A062F">
        <w:rPr>
          <w:b/>
          <w:sz w:val="32"/>
          <w:szCs w:val="32"/>
          <w:lang w:val="en-GB"/>
        </w:rPr>
        <w:t>________________________________________________________</w:t>
      </w:r>
    </w:p>
    <w:p w:rsidR="00182D9A" w:rsidRPr="00C40569" w:rsidRDefault="00182D9A" w:rsidP="005A062F">
      <w:pPr>
        <w:spacing w:line="360" w:lineRule="auto"/>
        <w:rPr>
          <w:rFonts w:cstheme="minorHAnsi"/>
          <w:lang w:val="en-GB"/>
        </w:rPr>
      </w:pPr>
    </w:p>
    <w:p w:rsidR="00182D9A" w:rsidRPr="00BA119C" w:rsidRDefault="00C40569" w:rsidP="00BA119C">
      <w:pPr>
        <w:spacing w:line="360" w:lineRule="auto"/>
        <w:rPr>
          <w:rFonts w:cstheme="minorHAnsi"/>
          <w:lang w:val="en-GB"/>
        </w:rPr>
      </w:pPr>
      <w:r w:rsidRPr="00BA119C">
        <w:rPr>
          <w:rFonts w:cstheme="minorHAnsi"/>
          <w:lang w:val="en-GB"/>
        </w:rPr>
        <w:t xml:space="preserve">Preface and Acknowledgements </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t>1</w:t>
      </w:r>
    </w:p>
    <w:p w:rsidR="00C40569" w:rsidRPr="00BA119C" w:rsidRDefault="00C40569" w:rsidP="00BA119C">
      <w:pPr>
        <w:spacing w:line="360" w:lineRule="auto"/>
        <w:rPr>
          <w:rFonts w:cstheme="minorHAnsi"/>
          <w:lang w:val="en-GB"/>
        </w:rPr>
      </w:pPr>
      <w:r w:rsidRPr="00BA119C">
        <w:rPr>
          <w:rFonts w:cstheme="minorHAnsi"/>
          <w:lang w:val="en-GB"/>
        </w:rPr>
        <w:t>Abstract</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t>2</w:t>
      </w:r>
    </w:p>
    <w:p w:rsidR="00C40569" w:rsidRPr="00BA119C" w:rsidRDefault="00C40569" w:rsidP="00BA119C">
      <w:pPr>
        <w:spacing w:line="360" w:lineRule="auto"/>
        <w:rPr>
          <w:rFonts w:cstheme="minorHAnsi"/>
          <w:lang w:val="en-GB"/>
        </w:rPr>
      </w:pPr>
      <w:r w:rsidRPr="00BA119C">
        <w:rPr>
          <w:rFonts w:cstheme="minorHAnsi"/>
          <w:lang w:val="en-GB"/>
        </w:rPr>
        <w:t>Table of Contents</w:t>
      </w:r>
      <w:r w:rsidR="003C076A" w:rsidRPr="00BA119C">
        <w:rPr>
          <w:rFonts w:cstheme="minorHAnsi"/>
          <w:lang w:val="en-GB"/>
        </w:rPr>
        <w:tab/>
      </w:r>
      <w:r w:rsidR="003C076A" w:rsidRPr="00BA119C">
        <w:rPr>
          <w:rFonts w:cstheme="minorHAnsi"/>
          <w:lang w:val="en-GB"/>
        </w:rPr>
        <w:tab/>
      </w:r>
      <w:r w:rsidR="003C076A" w:rsidRPr="00BA119C">
        <w:rPr>
          <w:rFonts w:cstheme="minorHAnsi"/>
          <w:lang w:val="en-GB"/>
        </w:rPr>
        <w:tab/>
      </w:r>
      <w:r w:rsidR="003C076A" w:rsidRPr="00BA119C">
        <w:rPr>
          <w:rFonts w:cstheme="minorHAnsi"/>
          <w:lang w:val="en-GB"/>
        </w:rPr>
        <w:tab/>
      </w:r>
      <w:r w:rsidR="003C076A" w:rsidRPr="00BA119C">
        <w:rPr>
          <w:rFonts w:cstheme="minorHAnsi"/>
          <w:lang w:val="en-GB"/>
        </w:rPr>
        <w:tab/>
      </w:r>
      <w:r w:rsidR="003C076A" w:rsidRPr="00BA119C">
        <w:rPr>
          <w:rFonts w:cstheme="minorHAnsi"/>
          <w:lang w:val="en-GB"/>
        </w:rPr>
        <w:tab/>
      </w:r>
      <w:r w:rsidR="003C076A" w:rsidRPr="00BA119C">
        <w:rPr>
          <w:rFonts w:cstheme="minorHAnsi"/>
          <w:lang w:val="en-GB"/>
        </w:rPr>
        <w:tab/>
      </w:r>
      <w:r w:rsidR="003C076A" w:rsidRPr="00BA119C">
        <w:rPr>
          <w:rFonts w:cstheme="minorHAnsi"/>
          <w:lang w:val="en-GB"/>
        </w:rPr>
        <w:tab/>
      </w:r>
      <w:r w:rsidR="003C1B9E" w:rsidRPr="00BA119C">
        <w:rPr>
          <w:rFonts w:cstheme="minorHAnsi"/>
          <w:lang w:val="en-GB"/>
        </w:rPr>
        <w:tab/>
      </w:r>
      <w:r w:rsidR="003C1B9E" w:rsidRPr="00BA119C">
        <w:rPr>
          <w:rFonts w:cstheme="minorHAnsi"/>
          <w:lang w:val="en-GB"/>
        </w:rPr>
        <w:tab/>
        <w:t>3</w:t>
      </w:r>
    </w:p>
    <w:p w:rsidR="00C40569" w:rsidRPr="00BA119C" w:rsidRDefault="00C40569" w:rsidP="00BA119C">
      <w:pPr>
        <w:spacing w:line="360" w:lineRule="auto"/>
        <w:rPr>
          <w:rFonts w:cstheme="minorHAnsi"/>
          <w:lang w:val="en-GB"/>
        </w:rPr>
      </w:pPr>
      <w:r w:rsidRPr="00BA119C">
        <w:rPr>
          <w:rFonts w:cstheme="minorHAnsi"/>
          <w:lang w:val="en-GB"/>
        </w:rPr>
        <w:t>List of Tables</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t>6</w:t>
      </w:r>
    </w:p>
    <w:p w:rsidR="00C40569" w:rsidRPr="00BA119C" w:rsidRDefault="00C40569" w:rsidP="00BA119C">
      <w:pPr>
        <w:spacing w:line="360" w:lineRule="auto"/>
        <w:rPr>
          <w:rFonts w:cstheme="minorHAnsi"/>
          <w:lang w:val="en-GB"/>
        </w:rPr>
      </w:pPr>
      <w:r w:rsidRPr="00BA119C">
        <w:rPr>
          <w:rFonts w:cstheme="minorHAnsi"/>
          <w:lang w:val="en-GB"/>
        </w:rPr>
        <w:t>List of Figures</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t>7</w:t>
      </w:r>
    </w:p>
    <w:p w:rsidR="00C40569" w:rsidRPr="003C61F6" w:rsidRDefault="00C40569" w:rsidP="00BA119C">
      <w:pPr>
        <w:spacing w:line="360" w:lineRule="auto"/>
        <w:rPr>
          <w:rFonts w:cstheme="minorHAnsi"/>
          <w:b/>
          <w:sz w:val="24"/>
          <w:lang w:val="en-GB"/>
        </w:rPr>
      </w:pPr>
      <w:r w:rsidRPr="003C61F6">
        <w:rPr>
          <w:rFonts w:cstheme="minorHAnsi"/>
          <w:b/>
          <w:sz w:val="24"/>
          <w:lang w:val="en-GB"/>
        </w:rPr>
        <w:t>Chapter 1 – Introduction</w:t>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t>8</w:t>
      </w:r>
    </w:p>
    <w:p w:rsidR="0054128F" w:rsidRPr="00BA119C" w:rsidRDefault="00140F80" w:rsidP="00BA119C">
      <w:pPr>
        <w:spacing w:line="360" w:lineRule="auto"/>
        <w:rPr>
          <w:rFonts w:cstheme="minorHAnsi"/>
          <w:lang w:val="en-GB"/>
        </w:rPr>
      </w:pPr>
      <w:r w:rsidRPr="00BA119C">
        <w:rPr>
          <w:rFonts w:cstheme="minorHAnsi"/>
          <w:lang w:val="en-GB"/>
        </w:rPr>
        <w:tab/>
      </w:r>
      <w:r w:rsidR="0054128F" w:rsidRPr="00BA119C">
        <w:rPr>
          <w:rFonts w:cstheme="minorHAnsi"/>
          <w:lang w:val="en-GB"/>
        </w:rPr>
        <w:t>1 – European M&amp;A</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t>9</w:t>
      </w:r>
    </w:p>
    <w:p w:rsidR="0054128F" w:rsidRPr="00BA119C" w:rsidRDefault="0054128F" w:rsidP="00BA119C">
      <w:pPr>
        <w:spacing w:line="360" w:lineRule="auto"/>
        <w:rPr>
          <w:rFonts w:cstheme="minorHAnsi"/>
          <w:lang w:val="en-GB"/>
        </w:rPr>
      </w:pPr>
      <w:r w:rsidRPr="00BA119C">
        <w:rPr>
          <w:rFonts w:cstheme="minorHAnsi"/>
          <w:lang w:val="en-GB"/>
        </w:rPr>
        <w:tab/>
        <w:t>2 – Aim of the study</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t>10</w:t>
      </w:r>
    </w:p>
    <w:p w:rsidR="0054128F" w:rsidRPr="00BA119C" w:rsidRDefault="0054128F" w:rsidP="00BA119C">
      <w:pPr>
        <w:spacing w:line="360" w:lineRule="auto"/>
        <w:rPr>
          <w:rFonts w:cstheme="minorHAnsi"/>
          <w:lang w:val="en-GB"/>
        </w:rPr>
      </w:pPr>
      <w:r w:rsidRPr="00BA119C">
        <w:rPr>
          <w:rFonts w:cstheme="minorHAnsi"/>
          <w:lang w:val="en-GB"/>
        </w:rPr>
        <w:tab/>
        <w:t>3 – The shift from conventional to behavioural</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140F80" w:rsidRPr="00BA119C">
        <w:rPr>
          <w:rFonts w:cstheme="minorHAnsi"/>
          <w:lang w:val="en-GB"/>
        </w:rPr>
        <w:tab/>
      </w:r>
      <w:r w:rsidR="003C1B9E" w:rsidRPr="00BA119C">
        <w:rPr>
          <w:rFonts w:cstheme="minorHAnsi"/>
          <w:lang w:val="en-GB"/>
        </w:rPr>
        <w:tab/>
        <w:t>10</w:t>
      </w:r>
    </w:p>
    <w:p w:rsidR="0054128F" w:rsidRPr="00BA119C" w:rsidRDefault="0054128F" w:rsidP="00BA119C">
      <w:pPr>
        <w:spacing w:line="360" w:lineRule="auto"/>
        <w:ind w:firstLine="708"/>
        <w:rPr>
          <w:rFonts w:cstheme="minorHAnsi"/>
          <w:lang w:val="en-GB"/>
        </w:rPr>
      </w:pPr>
      <w:r w:rsidRPr="00BA119C">
        <w:rPr>
          <w:rFonts w:cstheme="minorHAnsi"/>
          <w:lang w:val="en-GB"/>
        </w:rPr>
        <w:t>4 – Research area</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t>11</w:t>
      </w:r>
    </w:p>
    <w:p w:rsidR="0054128F" w:rsidRPr="00BA119C" w:rsidRDefault="0054128F" w:rsidP="00BA119C">
      <w:pPr>
        <w:spacing w:line="360" w:lineRule="auto"/>
        <w:ind w:firstLine="708"/>
        <w:rPr>
          <w:rFonts w:cstheme="minorHAnsi"/>
          <w:lang w:val="en-GB"/>
        </w:rPr>
      </w:pPr>
      <w:r w:rsidRPr="00BA119C">
        <w:rPr>
          <w:rFonts w:cstheme="minorHAnsi"/>
          <w:lang w:val="en-GB"/>
        </w:rPr>
        <w:t>5 – Research specifics</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t>12</w:t>
      </w:r>
    </w:p>
    <w:p w:rsidR="0054128F" w:rsidRPr="00BA119C" w:rsidRDefault="0054128F" w:rsidP="00BA119C">
      <w:pPr>
        <w:spacing w:line="360" w:lineRule="auto"/>
        <w:ind w:firstLine="708"/>
        <w:rPr>
          <w:rFonts w:cstheme="minorHAnsi"/>
          <w:lang w:val="en-GB"/>
        </w:rPr>
      </w:pPr>
      <w:r w:rsidRPr="00BA119C">
        <w:rPr>
          <w:rFonts w:cstheme="minorHAnsi"/>
          <w:lang w:val="en-GB"/>
        </w:rPr>
        <w:t>6 – Link with existing literature</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140F80" w:rsidRPr="00BA119C">
        <w:rPr>
          <w:rFonts w:cstheme="minorHAnsi"/>
          <w:lang w:val="en-GB"/>
        </w:rPr>
        <w:tab/>
      </w:r>
      <w:r w:rsidR="003C1B9E" w:rsidRPr="00BA119C">
        <w:rPr>
          <w:rFonts w:cstheme="minorHAnsi"/>
          <w:lang w:val="en-GB"/>
        </w:rPr>
        <w:tab/>
        <w:t>13</w:t>
      </w:r>
    </w:p>
    <w:p w:rsidR="0054128F" w:rsidRPr="00BA119C" w:rsidRDefault="0054128F" w:rsidP="00BA119C">
      <w:pPr>
        <w:spacing w:line="360" w:lineRule="auto"/>
        <w:ind w:firstLine="708"/>
        <w:rPr>
          <w:rFonts w:cstheme="minorHAnsi"/>
          <w:lang w:val="en-GB"/>
        </w:rPr>
      </w:pPr>
    </w:p>
    <w:p w:rsidR="00F1612B" w:rsidRDefault="00F1612B" w:rsidP="00BA119C">
      <w:pPr>
        <w:spacing w:line="360" w:lineRule="auto"/>
        <w:rPr>
          <w:rFonts w:cstheme="minorHAnsi"/>
          <w:b/>
          <w:lang w:val="en-GB"/>
        </w:rPr>
      </w:pPr>
    </w:p>
    <w:p w:rsidR="00F1612B" w:rsidRDefault="00F1612B" w:rsidP="00BA119C">
      <w:pPr>
        <w:spacing w:line="360" w:lineRule="auto"/>
        <w:rPr>
          <w:rFonts w:cstheme="minorHAnsi"/>
          <w:b/>
          <w:lang w:val="en-GB"/>
        </w:rPr>
      </w:pPr>
    </w:p>
    <w:p w:rsidR="00F1612B" w:rsidRDefault="00F1612B" w:rsidP="00BA119C">
      <w:pPr>
        <w:spacing w:line="360" w:lineRule="auto"/>
        <w:rPr>
          <w:rFonts w:cstheme="minorHAnsi"/>
          <w:b/>
          <w:lang w:val="en-GB"/>
        </w:rPr>
      </w:pPr>
    </w:p>
    <w:p w:rsidR="00C40569" w:rsidRPr="003C61F6" w:rsidRDefault="0054128F" w:rsidP="00BA119C">
      <w:pPr>
        <w:spacing w:line="360" w:lineRule="auto"/>
        <w:rPr>
          <w:rFonts w:cstheme="minorHAnsi"/>
          <w:b/>
          <w:sz w:val="24"/>
          <w:lang w:val="en-GB"/>
        </w:rPr>
      </w:pPr>
      <w:r w:rsidRPr="003C61F6">
        <w:rPr>
          <w:rFonts w:cstheme="minorHAnsi"/>
          <w:b/>
          <w:sz w:val="24"/>
          <w:lang w:val="en-GB"/>
        </w:rPr>
        <w:lastRenderedPageBreak/>
        <w:t>Chapter 2 –</w:t>
      </w:r>
      <w:r w:rsidR="00567F64" w:rsidRPr="003C61F6">
        <w:rPr>
          <w:rFonts w:cstheme="minorHAnsi"/>
          <w:b/>
          <w:sz w:val="24"/>
          <w:lang w:val="en-GB"/>
        </w:rPr>
        <w:t xml:space="preserve"> Literature Review</w:t>
      </w:r>
      <w:r w:rsidR="003C61F6">
        <w:rPr>
          <w:rFonts w:cstheme="minorHAnsi"/>
          <w:b/>
          <w:sz w:val="24"/>
          <w:lang w:val="en-GB"/>
        </w:rPr>
        <w:tab/>
      </w:r>
      <w:r w:rsidR="003C61F6">
        <w:rPr>
          <w:rFonts w:cstheme="minorHAnsi"/>
          <w:b/>
          <w:sz w:val="24"/>
          <w:lang w:val="en-GB"/>
        </w:rPr>
        <w:tab/>
      </w:r>
      <w:r w:rsidR="003C61F6">
        <w:rPr>
          <w:rFonts w:cstheme="minorHAnsi"/>
          <w:b/>
          <w:sz w:val="24"/>
          <w:lang w:val="en-GB"/>
        </w:rPr>
        <w:tab/>
      </w:r>
      <w:r w:rsidR="003C61F6">
        <w:rPr>
          <w:rFonts w:cstheme="minorHAnsi"/>
          <w:b/>
          <w:sz w:val="24"/>
          <w:lang w:val="en-GB"/>
        </w:rPr>
        <w:tab/>
      </w:r>
      <w:r w:rsidR="008C7180" w:rsidRPr="003C61F6">
        <w:rPr>
          <w:rFonts w:cstheme="minorHAnsi"/>
          <w:b/>
          <w:sz w:val="24"/>
          <w:lang w:val="en-GB"/>
        </w:rPr>
        <w:tab/>
      </w:r>
      <w:r w:rsidR="008C7180" w:rsidRPr="003C61F6">
        <w:rPr>
          <w:rFonts w:cstheme="minorHAnsi"/>
          <w:b/>
          <w:sz w:val="24"/>
          <w:lang w:val="en-GB"/>
        </w:rPr>
        <w:tab/>
      </w:r>
      <w:r w:rsidR="008C7180" w:rsidRPr="003C61F6">
        <w:rPr>
          <w:rFonts w:cstheme="minorHAnsi"/>
          <w:b/>
          <w:sz w:val="24"/>
          <w:lang w:val="en-GB"/>
        </w:rPr>
        <w:tab/>
      </w:r>
      <w:r w:rsidR="008C7180" w:rsidRPr="003C61F6">
        <w:rPr>
          <w:rFonts w:cstheme="minorHAnsi"/>
          <w:b/>
          <w:sz w:val="24"/>
          <w:lang w:val="en-GB"/>
        </w:rPr>
        <w:tab/>
        <w:t>14</w:t>
      </w:r>
    </w:p>
    <w:p w:rsidR="008C7180" w:rsidRPr="00BA119C" w:rsidRDefault="0054128F" w:rsidP="00BA119C">
      <w:pPr>
        <w:spacing w:line="360" w:lineRule="auto"/>
        <w:rPr>
          <w:rFonts w:cstheme="minorHAnsi"/>
          <w:lang w:val="en-GB"/>
        </w:rPr>
      </w:pPr>
      <w:r w:rsidRPr="00BA119C">
        <w:rPr>
          <w:rFonts w:cstheme="minorHAnsi"/>
          <w:lang w:val="en-GB"/>
        </w:rPr>
        <w:tab/>
      </w:r>
      <w:r w:rsidR="008C7180" w:rsidRPr="00BA119C">
        <w:rPr>
          <w:rFonts w:cstheme="minorHAnsi"/>
          <w:lang w:val="en-GB"/>
        </w:rPr>
        <w:t>1 – Basics of M&amp;A</w:t>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t>14</w:t>
      </w:r>
    </w:p>
    <w:p w:rsidR="0054128F" w:rsidRPr="00BA119C" w:rsidRDefault="008C7180" w:rsidP="00BA119C">
      <w:pPr>
        <w:spacing w:line="360" w:lineRule="auto"/>
        <w:ind w:left="708" w:firstLine="708"/>
        <w:rPr>
          <w:rFonts w:cstheme="minorHAnsi"/>
          <w:lang w:val="en-GB"/>
        </w:rPr>
      </w:pPr>
      <w:r w:rsidRPr="00BA119C">
        <w:rPr>
          <w:rFonts w:cstheme="minorHAnsi"/>
          <w:lang w:val="en-GB"/>
        </w:rPr>
        <w:t>1.</w:t>
      </w:r>
      <w:r w:rsidR="0054128F" w:rsidRPr="00BA119C">
        <w:rPr>
          <w:rFonts w:cstheme="minorHAnsi"/>
          <w:lang w:val="en-GB"/>
        </w:rPr>
        <w:t>1 – Types of M&amp;As</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003C1B9E" w:rsidRPr="00BA119C">
        <w:rPr>
          <w:rFonts w:cstheme="minorHAnsi"/>
          <w:lang w:val="en-GB"/>
        </w:rPr>
        <w:t>14</w:t>
      </w:r>
    </w:p>
    <w:p w:rsidR="0054128F" w:rsidRPr="00BA119C" w:rsidRDefault="0054128F" w:rsidP="00BA119C">
      <w:pPr>
        <w:spacing w:line="360" w:lineRule="auto"/>
        <w:rPr>
          <w:rFonts w:cstheme="minorHAnsi"/>
          <w:lang w:val="en-GB"/>
        </w:rPr>
      </w:pPr>
      <w:r w:rsidRPr="00BA119C">
        <w:rPr>
          <w:rFonts w:cstheme="minorHAnsi"/>
          <w:lang w:val="en-GB"/>
        </w:rPr>
        <w:tab/>
      </w:r>
      <w:r w:rsidR="008C7180" w:rsidRPr="00BA119C">
        <w:rPr>
          <w:rFonts w:cstheme="minorHAnsi"/>
          <w:lang w:val="en-GB"/>
        </w:rPr>
        <w:tab/>
        <w:t>1.</w:t>
      </w:r>
      <w:r w:rsidRPr="00BA119C">
        <w:rPr>
          <w:rFonts w:cstheme="minorHAnsi"/>
          <w:lang w:val="en-GB"/>
        </w:rPr>
        <w:t>2 – Advantages and disadvantages</w:t>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t>16</w:t>
      </w:r>
    </w:p>
    <w:p w:rsidR="0054128F" w:rsidRPr="00BA119C" w:rsidRDefault="0054128F" w:rsidP="00BA119C">
      <w:pPr>
        <w:spacing w:line="360" w:lineRule="auto"/>
        <w:rPr>
          <w:rFonts w:cstheme="minorHAnsi"/>
          <w:lang w:val="en-GB"/>
        </w:rPr>
      </w:pPr>
      <w:r w:rsidRPr="00BA119C">
        <w:rPr>
          <w:rFonts w:cstheme="minorHAnsi"/>
          <w:lang w:val="en-GB"/>
        </w:rPr>
        <w:tab/>
      </w:r>
      <w:r w:rsidR="008C7180" w:rsidRPr="00BA119C">
        <w:rPr>
          <w:rFonts w:cstheme="minorHAnsi"/>
          <w:lang w:val="en-GB"/>
        </w:rPr>
        <w:tab/>
        <w:t>1.</w:t>
      </w:r>
      <w:r w:rsidRPr="00BA119C">
        <w:rPr>
          <w:rFonts w:cstheme="minorHAnsi"/>
          <w:lang w:val="en-GB"/>
        </w:rPr>
        <w:t>3 – M&amp;A motives</w:t>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3C1B9E"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t>18</w:t>
      </w:r>
    </w:p>
    <w:p w:rsidR="0054128F" w:rsidRPr="00BA119C" w:rsidRDefault="0054128F" w:rsidP="00BA119C">
      <w:pPr>
        <w:spacing w:line="360" w:lineRule="auto"/>
        <w:rPr>
          <w:rFonts w:cstheme="minorHAnsi"/>
          <w:lang w:val="en-GB"/>
        </w:rPr>
      </w:pPr>
      <w:r w:rsidRPr="00BA119C">
        <w:rPr>
          <w:rFonts w:cstheme="minorHAnsi"/>
          <w:lang w:val="en-GB"/>
        </w:rPr>
        <w:tab/>
      </w:r>
      <w:r w:rsidR="008C7180" w:rsidRPr="00BA119C">
        <w:rPr>
          <w:rFonts w:cstheme="minorHAnsi"/>
          <w:lang w:val="en-GB"/>
        </w:rPr>
        <w:tab/>
        <w:t>1.</w:t>
      </w:r>
      <w:r w:rsidRPr="00BA119C">
        <w:rPr>
          <w:rFonts w:cstheme="minorHAnsi"/>
          <w:lang w:val="en-GB"/>
        </w:rPr>
        <w:t>4 – Deal premium</w:t>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t>18</w:t>
      </w:r>
    </w:p>
    <w:p w:rsidR="0054128F" w:rsidRPr="00BA119C" w:rsidRDefault="0054128F" w:rsidP="00BA119C">
      <w:pPr>
        <w:spacing w:line="360" w:lineRule="auto"/>
        <w:rPr>
          <w:rFonts w:cstheme="minorHAnsi"/>
          <w:lang w:val="en-GB"/>
        </w:rPr>
      </w:pPr>
      <w:r w:rsidRPr="00BA119C">
        <w:rPr>
          <w:rFonts w:cstheme="minorHAnsi"/>
          <w:lang w:val="en-GB"/>
        </w:rPr>
        <w:tab/>
      </w:r>
      <w:r w:rsidR="008C7180" w:rsidRPr="00BA119C">
        <w:rPr>
          <w:rFonts w:cstheme="minorHAnsi"/>
          <w:lang w:val="en-GB"/>
        </w:rPr>
        <w:t>2 – Literature Research</w:t>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t>19</w:t>
      </w:r>
    </w:p>
    <w:p w:rsidR="0054128F" w:rsidRPr="00BA119C" w:rsidRDefault="0054128F" w:rsidP="00BA119C">
      <w:pPr>
        <w:spacing w:line="360" w:lineRule="auto"/>
        <w:rPr>
          <w:rFonts w:cstheme="minorHAnsi"/>
          <w:lang w:val="en-GB"/>
        </w:rPr>
      </w:pPr>
      <w:r w:rsidRPr="00BA119C">
        <w:rPr>
          <w:rFonts w:cstheme="minorHAnsi"/>
          <w:lang w:val="en-GB"/>
        </w:rPr>
        <w:tab/>
      </w:r>
      <w:r w:rsidR="008C7180" w:rsidRPr="00BA119C">
        <w:rPr>
          <w:rFonts w:cstheme="minorHAnsi"/>
          <w:lang w:val="en-GB"/>
        </w:rPr>
        <w:tab/>
        <w:t>2.1 – Existence of overconfidence</w:t>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t>19</w:t>
      </w:r>
    </w:p>
    <w:p w:rsidR="008C7180" w:rsidRPr="00BA119C" w:rsidRDefault="008C7180" w:rsidP="00BA119C">
      <w:pPr>
        <w:spacing w:line="360" w:lineRule="auto"/>
        <w:rPr>
          <w:rFonts w:cstheme="minorHAnsi"/>
          <w:lang w:val="en-GB"/>
        </w:rPr>
      </w:pPr>
      <w:r w:rsidRPr="00BA119C">
        <w:rPr>
          <w:rFonts w:cstheme="minorHAnsi"/>
          <w:lang w:val="en-GB"/>
        </w:rPr>
        <w:tab/>
      </w:r>
      <w:r w:rsidRPr="00BA119C">
        <w:rPr>
          <w:rFonts w:cstheme="minorHAnsi"/>
          <w:lang w:val="en-GB"/>
        </w:rPr>
        <w:tab/>
        <w:t>2.2 - Ferris, Jayaraman and Sabherwel</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19</w:t>
      </w:r>
    </w:p>
    <w:p w:rsidR="008C7180" w:rsidRPr="00BA119C" w:rsidRDefault="008C7180" w:rsidP="00BA119C">
      <w:pPr>
        <w:spacing w:line="360" w:lineRule="auto"/>
        <w:rPr>
          <w:rFonts w:cstheme="minorHAnsi"/>
          <w:lang w:val="en-GB"/>
        </w:rPr>
      </w:pPr>
      <w:r w:rsidRPr="00BA119C">
        <w:rPr>
          <w:rFonts w:cstheme="minorHAnsi"/>
          <w:lang w:val="en-GB"/>
        </w:rPr>
        <w:tab/>
      </w:r>
      <w:r w:rsidRPr="00BA119C">
        <w:rPr>
          <w:rFonts w:cstheme="minorHAnsi"/>
          <w:lang w:val="en-GB"/>
        </w:rPr>
        <w:tab/>
        <w:t>2.3 – Returns</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21</w:t>
      </w:r>
    </w:p>
    <w:p w:rsidR="008C7180" w:rsidRPr="00BA119C" w:rsidRDefault="008C7180" w:rsidP="00BA119C">
      <w:pPr>
        <w:spacing w:line="360" w:lineRule="auto"/>
        <w:rPr>
          <w:rFonts w:cstheme="minorHAnsi"/>
          <w:lang w:val="en-GB"/>
        </w:rPr>
      </w:pPr>
      <w:r w:rsidRPr="00BA119C">
        <w:rPr>
          <w:rFonts w:cstheme="minorHAnsi"/>
          <w:lang w:val="en-GB"/>
        </w:rPr>
        <w:tab/>
      </w:r>
      <w:r w:rsidRPr="00BA119C">
        <w:rPr>
          <w:rFonts w:cstheme="minorHAnsi"/>
          <w:lang w:val="en-GB"/>
        </w:rPr>
        <w:tab/>
        <w:t>2.4 – Monetary Compensation</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21</w:t>
      </w:r>
    </w:p>
    <w:p w:rsidR="008C7180" w:rsidRPr="00BA119C" w:rsidRDefault="008C7180" w:rsidP="00BA119C">
      <w:pPr>
        <w:spacing w:line="360" w:lineRule="auto"/>
        <w:rPr>
          <w:rFonts w:cstheme="minorHAnsi"/>
          <w:lang w:val="en-GB"/>
        </w:rPr>
      </w:pPr>
      <w:r w:rsidRPr="00BA119C">
        <w:rPr>
          <w:rFonts w:cstheme="minorHAnsi"/>
          <w:lang w:val="en-GB"/>
        </w:rPr>
        <w:tab/>
        <w:t>3 – Hypotheses description and derivation</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23</w:t>
      </w:r>
    </w:p>
    <w:p w:rsidR="008C7180" w:rsidRPr="00BA119C" w:rsidRDefault="008C7180" w:rsidP="00BA119C">
      <w:pPr>
        <w:spacing w:line="360" w:lineRule="auto"/>
        <w:rPr>
          <w:rFonts w:cstheme="minorHAnsi"/>
          <w:lang w:val="en-GB"/>
        </w:rPr>
      </w:pPr>
      <w:r w:rsidRPr="00BA119C">
        <w:rPr>
          <w:rFonts w:cstheme="minorHAnsi"/>
          <w:lang w:val="en-GB"/>
        </w:rPr>
        <w:tab/>
        <w:t>4 – Hypotheses</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25</w:t>
      </w:r>
    </w:p>
    <w:p w:rsidR="0054128F" w:rsidRPr="003C61F6" w:rsidRDefault="008C7180" w:rsidP="00BA119C">
      <w:pPr>
        <w:spacing w:line="360" w:lineRule="auto"/>
        <w:rPr>
          <w:rFonts w:cstheme="minorHAnsi"/>
          <w:b/>
          <w:sz w:val="24"/>
          <w:lang w:val="en-GB"/>
        </w:rPr>
      </w:pPr>
      <w:r w:rsidRPr="003C61F6">
        <w:rPr>
          <w:rFonts w:cstheme="minorHAnsi"/>
          <w:b/>
          <w:sz w:val="24"/>
          <w:lang w:val="en-GB"/>
        </w:rPr>
        <w:t>Chapter 3 – Data and Methodology</w:t>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t>29</w:t>
      </w:r>
    </w:p>
    <w:p w:rsidR="0054128F" w:rsidRPr="00BA119C" w:rsidRDefault="0054128F" w:rsidP="00BA119C">
      <w:pPr>
        <w:spacing w:line="360" w:lineRule="auto"/>
        <w:rPr>
          <w:rFonts w:cstheme="minorHAnsi"/>
          <w:lang w:val="en-GB"/>
        </w:rPr>
      </w:pPr>
      <w:r w:rsidRPr="00BA119C">
        <w:rPr>
          <w:rFonts w:cstheme="minorHAnsi"/>
          <w:lang w:val="en-GB"/>
        </w:rPr>
        <w:tab/>
      </w:r>
      <w:r w:rsidR="008C7180" w:rsidRPr="00BA119C">
        <w:rPr>
          <w:rFonts w:cstheme="minorHAnsi"/>
          <w:lang w:val="en-GB"/>
        </w:rPr>
        <w:t>1 – Data specifics</w:t>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r>
      <w:r w:rsidR="008C7180" w:rsidRPr="00BA119C">
        <w:rPr>
          <w:rFonts w:cstheme="minorHAnsi"/>
          <w:lang w:val="en-GB"/>
        </w:rPr>
        <w:tab/>
        <w:t>29</w:t>
      </w:r>
    </w:p>
    <w:p w:rsidR="008C7180" w:rsidRPr="00BA119C" w:rsidRDefault="008C7180" w:rsidP="00BA119C">
      <w:pPr>
        <w:pStyle w:val="ListParagraph"/>
        <w:numPr>
          <w:ilvl w:val="1"/>
          <w:numId w:val="22"/>
        </w:numPr>
        <w:spacing w:line="360" w:lineRule="auto"/>
        <w:rPr>
          <w:rFonts w:cstheme="minorHAnsi"/>
          <w:lang w:val="en-GB"/>
        </w:rPr>
      </w:pPr>
      <w:r w:rsidRPr="00BA119C">
        <w:rPr>
          <w:rFonts w:cstheme="minorHAnsi"/>
          <w:lang w:val="en-GB"/>
        </w:rPr>
        <w:t>– Data criteria</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29</w:t>
      </w:r>
    </w:p>
    <w:p w:rsidR="008C7180" w:rsidRPr="00BA119C" w:rsidRDefault="008C7180" w:rsidP="00BA119C">
      <w:pPr>
        <w:spacing w:line="240" w:lineRule="auto"/>
        <w:ind w:left="1410"/>
        <w:rPr>
          <w:rFonts w:cstheme="minorHAnsi"/>
          <w:lang w:val="en-GB"/>
        </w:rPr>
      </w:pPr>
      <w:r w:rsidRPr="00BA119C">
        <w:rPr>
          <w:rFonts w:cstheme="minorHAnsi"/>
          <w:lang w:val="en-GB"/>
        </w:rPr>
        <w:t>1.2 – Data variables</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0031195D" w:rsidRPr="00BA119C">
        <w:rPr>
          <w:rFonts w:cstheme="minorHAnsi"/>
          <w:lang w:val="en-GB"/>
        </w:rPr>
        <w:t>30</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p>
    <w:p w:rsidR="008C7180" w:rsidRPr="00BA119C" w:rsidRDefault="008C7180" w:rsidP="00BA119C">
      <w:pPr>
        <w:spacing w:line="360" w:lineRule="auto"/>
        <w:rPr>
          <w:rFonts w:cstheme="minorHAnsi"/>
          <w:lang w:val="en-GB"/>
        </w:rPr>
      </w:pPr>
      <w:r w:rsidRPr="00BA119C">
        <w:rPr>
          <w:rFonts w:cstheme="minorHAnsi"/>
          <w:b/>
          <w:lang w:val="en-GB"/>
        </w:rPr>
        <w:tab/>
      </w:r>
      <w:r w:rsidRPr="00BA119C">
        <w:rPr>
          <w:rFonts w:cstheme="minorHAnsi"/>
          <w:lang w:val="en-GB"/>
        </w:rPr>
        <w:t>2 – Derivation (C)ARs</w:t>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t>32</w:t>
      </w:r>
    </w:p>
    <w:p w:rsidR="008C7180" w:rsidRPr="00BA119C" w:rsidRDefault="008C7180" w:rsidP="00BA119C">
      <w:pPr>
        <w:spacing w:line="360" w:lineRule="auto"/>
        <w:rPr>
          <w:rFonts w:cstheme="minorHAnsi"/>
          <w:lang w:val="en-GB"/>
        </w:rPr>
      </w:pPr>
      <w:r w:rsidRPr="00BA119C">
        <w:rPr>
          <w:rFonts w:cstheme="minorHAnsi"/>
          <w:lang w:val="en-GB"/>
        </w:rPr>
        <w:tab/>
      </w:r>
      <w:r w:rsidRPr="00BA119C">
        <w:rPr>
          <w:rFonts w:cstheme="minorHAnsi"/>
          <w:lang w:val="en-GB"/>
        </w:rPr>
        <w:tab/>
        <w:t>2.1 – Capital Asset Pricing Model</w:t>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t>32</w:t>
      </w:r>
    </w:p>
    <w:p w:rsidR="008C7180" w:rsidRPr="00BA119C" w:rsidRDefault="008C7180" w:rsidP="00BA119C">
      <w:pPr>
        <w:spacing w:line="360" w:lineRule="auto"/>
        <w:rPr>
          <w:rFonts w:cstheme="minorHAnsi"/>
          <w:lang w:val="en-GB"/>
        </w:rPr>
      </w:pPr>
      <w:r w:rsidRPr="00BA119C">
        <w:rPr>
          <w:rFonts w:cstheme="minorHAnsi"/>
          <w:lang w:val="en-GB"/>
        </w:rPr>
        <w:tab/>
      </w:r>
      <w:r w:rsidRPr="00BA119C">
        <w:rPr>
          <w:rFonts w:cstheme="minorHAnsi"/>
          <w:lang w:val="en-GB"/>
        </w:rPr>
        <w:tab/>
        <w:t>2.2 – Abnormal Returns</w:t>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t>35</w:t>
      </w:r>
    </w:p>
    <w:p w:rsidR="008C7180" w:rsidRPr="00BA119C" w:rsidRDefault="008C7180" w:rsidP="00BA119C">
      <w:pPr>
        <w:spacing w:line="360" w:lineRule="auto"/>
        <w:rPr>
          <w:rFonts w:cstheme="minorHAnsi"/>
          <w:lang w:val="en-GB"/>
        </w:rPr>
      </w:pPr>
      <w:r w:rsidRPr="00BA119C">
        <w:rPr>
          <w:rFonts w:cstheme="minorHAnsi"/>
          <w:lang w:val="en-GB"/>
        </w:rPr>
        <w:tab/>
        <w:t>3 – Methodology</w:t>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t>37</w:t>
      </w:r>
    </w:p>
    <w:p w:rsidR="008C7180" w:rsidRPr="00BA119C" w:rsidRDefault="008C7180" w:rsidP="00BA119C">
      <w:pPr>
        <w:spacing w:line="360" w:lineRule="auto"/>
        <w:rPr>
          <w:rFonts w:cstheme="minorHAnsi"/>
          <w:lang w:val="en-GB"/>
        </w:rPr>
      </w:pPr>
      <w:r w:rsidRPr="00BA119C">
        <w:rPr>
          <w:rFonts w:cstheme="minorHAnsi"/>
          <w:lang w:val="en-GB"/>
        </w:rPr>
        <w:tab/>
      </w:r>
      <w:r w:rsidRPr="00BA119C">
        <w:rPr>
          <w:rFonts w:cstheme="minorHAnsi"/>
          <w:lang w:val="en-GB"/>
        </w:rPr>
        <w:tab/>
        <w:t>3.1 – Event Study Tool</w:t>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t>37</w:t>
      </w:r>
    </w:p>
    <w:p w:rsidR="008C7180" w:rsidRPr="00BA119C" w:rsidRDefault="008C7180" w:rsidP="00BA119C">
      <w:pPr>
        <w:spacing w:line="360" w:lineRule="auto"/>
        <w:rPr>
          <w:rFonts w:cstheme="minorHAnsi"/>
          <w:lang w:val="en-GB"/>
        </w:rPr>
      </w:pPr>
      <w:r w:rsidRPr="00BA119C">
        <w:rPr>
          <w:rFonts w:cstheme="minorHAnsi"/>
          <w:lang w:val="en-GB"/>
        </w:rPr>
        <w:lastRenderedPageBreak/>
        <w:tab/>
      </w:r>
      <w:r w:rsidRPr="00BA119C">
        <w:rPr>
          <w:rFonts w:cstheme="minorHAnsi"/>
          <w:lang w:val="en-GB"/>
        </w:rPr>
        <w:tab/>
        <w:t>3.2 – T-Test</w:t>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t>38</w:t>
      </w:r>
    </w:p>
    <w:p w:rsidR="008C7180" w:rsidRPr="00BA119C" w:rsidRDefault="008C7180" w:rsidP="00BA119C">
      <w:pPr>
        <w:spacing w:line="360" w:lineRule="auto"/>
        <w:rPr>
          <w:rFonts w:cstheme="minorHAnsi"/>
          <w:lang w:val="en-GB"/>
        </w:rPr>
      </w:pPr>
      <w:r w:rsidRPr="00BA119C">
        <w:rPr>
          <w:rFonts w:cstheme="minorHAnsi"/>
          <w:lang w:val="en-GB"/>
        </w:rPr>
        <w:tab/>
      </w:r>
      <w:r w:rsidRPr="00BA119C">
        <w:rPr>
          <w:rFonts w:cstheme="minorHAnsi"/>
          <w:lang w:val="en-GB"/>
        </w:rPr>
        <w:tab/>
        <w:t>3.3 – ANOVA</w:t>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t>40</w:t>
      </w:r>
    </w:p>
    <w:p w:rsidR="008C7180" w:rsidRPr="00BA119C" w:rsidRDefault="008C7180" w:rsidP="00BA119C">
      <w:pPr>
        <w:spacing w:line="360" w:lineRule="auto"/>
        <w:rPr>
          <w:rFonts w:cstheme="minorHAnsi"/>
          <w:lang w:val="en-GB"/>
        </w:rPr>
      </w:pPr>
      <w:r w:rsidRPr="00BA119C">
        <w:rPr>
          <w:rFonts w:cstheme="minorHAnsi"/>
          <w:lang w:val="en-GB"/>
        </w:rPr>
        <w:tab/>
        <w:t>4 – Research Method</w:t>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r>
      <w:r w:rsidR="0031195D" w:rsidRPr="00BA119C">
        <w:rPr>
          <w:rFonts w:cstheme="minorHAnsi"/>
          <w:lang w:val="en-GB"/>
        </w:rPr>
        <w:tab/>
        <w:t>42</w:t>
      </w:r>
    </w:p>
    <w:p w:rsidR="0054128F" w:rsidRPr="003C61F6" w:rsidRDefault="0054128F" w:rsidP="00BA119C">
      <w:pPr>
        <w:spacing w:line="360" w:lineRule="auto"/>
        <w:rPr>
          <w:rFonts w:cstheme="minorHAnsi"/>
          <w:b/>
          <w:sz w:val="24"/>
          <w:lang w:val="en-GB"/>
        </w:rPr>
      </w:pPr>
      <w:r w:rsidRPr="003C61F6">
        <w:rPr>
          <w:rFonts w:cstheme="minorHAnsi"/>
          <w:b/>
          <w:sz w:val="24"/>
          <w:lang w:val="en-GB"/>
        </w:rPr>
        <w:t xml:space="preserve">Chapter 4 – </w:t>
      </w:r>
      <w:r w:rsidR="0031195D" w:rsidRPr="003C61F6">
        <w:rPr>
          <w:rFonts w:cstheme="minorHAnsi"/>
          <w:b/>
          <w:sz w:val="24"/>
          <w:lang w:val="en-GB"/>
        </w:rPr>
        <w:t>Results</w:t>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1195D" w:rsidRPr="003C61F6">
        <w:rPr>
          <w:rFonts w:cstheme="minorHAnsi"/>
          <w:b/>
          <w:sz w:val="24"/>
          <w:lang w:val="en-GB"/>
        </w:rPr>
        <w:tab/>
      </w:r>
      <w:r w:rsidR="003C1B9E" w:rsidRPr="003C61F6">
        <w:rPr>
          <w:rFonts w:cstheme="minorHAnsi"/>
          <w:b/>
          <w:sz w:val="24"/>
          <w:lang w:val="en-GB"/>
        </w:rPr>
        <w:tab/>
      </w:r>
      <w:r w:rsidR="003C1B9E" w:rsidRPr="003C61F6">
        <w:rPr>
          <w:rFonts w:cstheme="minorHAnsi"/>
          <w:b/>
          <w:sz w:val="24"/>
          <w:lang w:val="en-GB"/>
        </w:rPr>
        <w:tab/>
      </w:r>
      <w:r w:rsidR="0031195D" w:rsidRPr="003C61F6">
        <w:rPr>
          <w:rFonts w:cstheme="minorHAnsi"/>
          <w:b/>
          <w:sz w:val="24"/>
          <w:lang w:val="en-GB"/>
        </w:rPr>
        <w:tab/>
        <w:t>43</w:t>
      </w:r>
    </w:p>
    <w:p w:rsidR="0031195D" w:rsidRPr="00BA119C" w:rsidRDefault="0031195D" w:rsidP="00BA119C">
      <w:pPr>
        <w:spacing w:line="360" w:lineRule="auto"/>
        <w:rPr>
          <w:rFonts w:cstheme="minorHAnsi"/>
          <w:lang w:val="en-GB"/>
        </w:rPr>
      </w:pPr>
      <w:r w:rsidRPr="00BA119C">
        <w:rPr>
          <w:rFonts w:cstheme="minorHAnsi"/>
          <w:lang w:val="en-GB"/>
        </w:rPr>
        <w:tab/>
        <w:t>1 – Analysis</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43</w:t>
      </w:r>
    </w:p>
    <w:p w:rsidR="003C1B9E" w:rsidRPr="00BA119C" w:rsidRDefault="0031195D" w:rsidP="00BA119C">
      <w:pPr>
        <w:spacing w:line="360" w:lineRule="auto"/>
        <w:rPr>
          <w:rFonts w:cstheme="minorHAnsi"/>
          <w:lang w:val="en-GB"/>
        </w:rPr>
      </w:pPr>
      <w:r w:rsidRPr="00BA119C">
        <w:rPr>
          <w:rFonts w:cstheme="minorHAnsi"/>
          <w:lang w:val="en-GB"/>
        </w:rPr>
        <w:tab/>
        <w:t>2 – Conclusion</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46</w:t>
      </w:r>
    </w:p>
    <w:p w:rsidR="0031195D" w:rsidRPr="003C61F6" w:rsidRDefault="0031195D" w:rsidP="00BA119C">
      <w:pPr>
        <w:spacing w:line="360" w:lineRule="auto"/>
        <w:rPr>
          <w:rFonts w:cstheme="minorHAnsi"/>
          <w:b/>
          <w:sz w:val="24"/>
          <w:lang w:val="en-GB"/>
        </w:rPr>
      </w:pPr>
      <w:r w:rsidRPr="003C61F6">
        <w:rPr>
          <w:rFonts w:cstheme="minorHAnsi"/>
          <w:b/>
          <w:sz w:val="24"/>
          <w:lang w:val="en-GB"/>
        </w:rPr>
        <w:t>Chap</w:t>
      </w:r>
      <w:r w:rsidR="003C61F6">
        <w:rPr>
          <w:rFonts w:cstheme="minorHAnsi"/>
          <w:b/>
          <w:sz w:val="24"/>
          <w:lang w:val="en-GB"/>
        </w:rPr>
        <w:t>ter 5 – Summary and Conclusion</w:t>
      </w:r>
      <w:r w:rsid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r>
      <w:r w:rsidRPr="003C61F6">
        <w:rPr>
          <w:rFonts w:cstheme="minorHAnsi"/>
          <w:b/>
          <w:sz w:val="24"/>
          <w:lang w:val="en-GB"/>
        </w:rPr>
        <w:tab/>
        <w:t>48</w:t>
      </w:r>
    </w:p>
    <w:p w:rsidR="00C063F4" w:rsidRPr="00BA119C" w:rsidRDefault="00C063F4" w:rsidP="00BA119C">
      <w:pPr>
        <w:spacing w:line="360" w:lineRule="auto"/>
        <w:rPr>
          <w:rFonts w:cstheme="minorHAnsi"/>
          <w:lang w:val="en-GB"/>
        </w:rPr>
      </w:pPr>
      <w:r w:rsidRPr="00BA119C">
        <w:rPr>
          <w:rFonts w:cstheme="minorHAnsi"/>
          <w:lang w:val="en-GB"/>
        </w:rPr>
        <w:tab/>
        <w:t>1 – Research Question</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48</w:t>
      </w:r>
    </w:p>
    <w:p w:rsidR="00C063F4" w:rsidRPr="00BA119C" w:rsidRDefault="00C063F4" w:rsidP="00BA119C">
      <w:pPr>
        <w:spacing w:line="360" w:lineRule="auto"/>
        <w:rPr>
          <w:rFonts w:cstheme="minorHAnsi"/>
          <w:lang w:val="en-GB"/>
        </w:rPr>
      </w:pPr>
      <w:r w:rsidRPr="00BA119C">
        <w:rPr>
          <w:rFonts w:cstheme="minorHAnsi"/>
          <w:lang w:val="en-GB"/>
        </w:rPr>
        <w:tab/>
        <w:t>2 – Discussion</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49</w:t>
      </w:r>
    </w:p>
    <w:p w:rsidR="00C063F4" w:rsidRPr="00BA119C" w:rsidRDefault="00C063F4" w:rsidP="00BA119C">
      <w:pPr>
        <w:spacing w:line="360" w:lineRule="auto"/>
        <w:rPr>
          <w:rFonts w:cstheme="minorHAnsi"/>
          <w:lang w:val="en-GB"/>
        </w:rPr>
      </w:pPr>
      <w:r w:rsidRPr="00BA119C">
        <w:rPr>
          <w:rFonts w:cstheme="minorHAnsi"/>
          <w:lang w:val="en-GB"/>
        </w:rPr>
        <w:tab/>
        <w:t>3 – Recommendations for further research</w:t>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r>
      <w:r w:rsidRPr="00BA119C">
        <w:rPr>
          <w:rFonts w:cstheme="minorHAnsi"/>
          <w:lang w:val="en-GB"/>
        </w:rPr>
        <w:tab/>
        <w:t>50</w:t>
      </w:r>
    </w:p>
    <w:p w:rsidR="0031195D" w:rsidRPr="003C61F6" w:rsidRDefault="0031195D" w:rsidP="00BA119C">
      <w:pPr>
        <w:spacing w:line="360" w:lineRule="auto"/>
        <w:rPr>
          <w:rFonts w:cstheme="minorHAnsi"/>
          <w:b/>
          <w:sz w:val="24"/>
          <w:lang w:val="en-GB"/>
        </w:rPr>
      </w:pPr>
      <w:r w:rsidRPr="003C61F6">
        <w:rPr>
          <w:rFonts w:cstheme="minorHAnsi"/>
          <w:b/>
          <w:sz w:val="24"/>
          <w:lang w:val="en-GB"/>
        </w:rPr>
        <w:t xml:space="preserve">Chapter 6 – Sources </w:t>
      </w:r>
      <w:r w:rsidR="009456F2" w:rsidRPr="003C61F6">
        <w:rPr>
          <w:rFonts w:cstheme="minorHAnsi"/>
          <w:b/>
          <w:sz w:val="24"/>
          <w:lang w:val="en-GB"/>
        </w:rPr>
        <w:tab/>
      </w:r>
      <w:r w:rsidR="009456F2" w:rsidRPr="003C61F6">
        <w:rPr>
          <w:rFonts w:cstheme="minorHAnsi"/>
          <w:b/>
          <w:sz w:val="24"/>
          <w:lang w:val="en-GB"/>
        </w:rPr>
        <w:tab/>
      </w:r>
      <w:r w:rsidR="009456F2" w:rsidRPr="003C61F6">
        <w:rPr>
          <w:rFonts w:cstheme="minorHAnsi"/>
          <w:b/>
          <w:sz w:val="24"/>
          <w:lang w:val="en-GB"/>
        </w:rPr>
        <w:tab/>
      </w:r>
      <w:r w:rsidR="009456F2" w:rsidRPr="003C61F6">
        <w:rPr>
          <w:rFonts w:cstheme="minorHAnsi"/>
          <w:b/>
          <w:sz w:val="24"/>
          <w:lang w:val="en-GB"/>
        </w:rPr>
        <w:tab/>
      </w:r>
      <w:r w:rsidR="009456F2" w:rsidRPr="003C61F6">
        <w:rPr>
          <w:rFonts w:cstheme="minorHAnsi"/>
          <w:b/>
          <w:sz w:val="24"/>
          <w:lang w:val="en-GB"/>
        </w:rPr>
        <w:tab/>
      </w:r>
      <w:r w:rsidR="009456F2" w:rsidRPr="003C61F6">
        <w:rPr>
          <w:rFonts w:cstheme="minorHAnsi"/>
          <w:b/>
          <w:sz w:val="24"/>
          <w:lang w:val="en-GB"/>
        </w:rPr>
        <w:tab/>
      </w:r>
      <w:r w:rsidR="009456F2" w:rsidRPr="003C61F6">
        <w:rPr>
          <w:rFonts w:cstheme="minorHAnsi"/>
          <w:b/>
          <w:sz w:val="24"/>
          <w:lang w:val="en-GB"/>
        </w:rPr>
        <w:tab/>
      </w:r>
      <w:r w:rsidR="009456F2" w:rsidRPr="003C61F6">
        <w:rPr>
          <w:rFonts w:cstheme="minorHAnsi"/>
          <w:b/>
          <w:sz w:val="24"/>
          <w:lang w:val="en-GB"/>
        </w:rPr>
        <w:tab/>
      </w:r>
      <w:r w:rsidR="009456F2" w:rsidRPr="003C61F6">
        <w:rPr>
          <w:rFonts w:cstheme="minorHAnsi"/>
          <w:b/>
          <w:sz w:val="24"/>
          <w:lang w:val="en-GB"/>
        </w:rPr>
        <w:tab/>
      </w:r>
      <w:r w:rsidR="009456F2" w:rsidRPr="003C61F6">
        <w:rPr>
          <w:rFonts w:cstheme="minorHAnsi"/>
          <w:b/>
          <w:sz w:val="24"/>
          <w:lang w:val="en-GB"/>
        </w:rPr>
        <w:tab/>
        <w:t>51</w:t>
      </w:r>
    </w:p>
    <w:p w:rsidR="003C1B9E" w:rsidRPr="003C61F6" w:rsidRDefault="0031195D" w:rsidP="00BA119C">
      <w:pPr>
        <w:spacing w:line="360" w:lineRule="auto"/>
        <w:rPr>
          <w:rFonts w:cstheme="minorHAnsi"/>
          <w:b/>
          <w:sz w:val="24"/>
          <w:lang w:val="en-GB"/>
        </w:rPr>
      </w:pPr>
      <w:r w:rsidRPr="003C61F6">
        <w:rPr>
          <w:rFonts w:cstheme="minorHAnsi"/>
          <w:b/>
          <w:sz w:val="24"/>
          <w:lang w:val="en-GB"/>
        </w:rPr>
        <w:t>Chapter 7</w:t>
      </w:r>
      <w:r w:rsidR="003C1B9E" w:rsidRPr="003C61F6">
        <w:rPr>
          <w:rFonts w:cstheme="minorHAnsi"/>
          <w:b/>
          <w:sz w:val="24"/>
          <w:lang w:val="en-GB"/>
        </w:rPr>
        <w:t xml:space="preserve"> – Appendix </w:t>
      </w:r>
      <w:r w:rsidR="003C61F6">
        <w:rPr>
          <w:rFonts w:cstheme="minorHAnsi"/>
          <w:b/>
          <w:sz w:val="24"/>
          <w:lang w:val="en-GB"/>
        </w:rPr>
        <w:tab/>
      </w:r>
      <w:r w:rsidR="003C61F6">
        <w:rPr>
          <w:rFonts w:cstheme="minorHAnsi"/>
          <w:b/>
          <w:sz w:val="24"/>
          <w:lang w:val="en-GB"/>
        </w:rPr>
        <w:tab/>
      </w:r>
      <w:r w:rsidR="00C45DA4">
        <w:rPr>
          <w:rFonts w:cstheme="minorHAnsi"/>
          <w:b/>
          <w:sz w:val="24"/>
          <w:lang w:val="en-GB"/>
        </w:rPr>
        <w:tab/>
      </w:r>
      <w:r w:rsidR="00C45DA4">
        <w:rPr>
          <w:rFonts w:cstheme="minorHAnsi"/>
          <w:b/>
          <w:sz w:val="24"/>
          <w:lang w:val="en-GB"/>
        </w:rPr>
        <w:tab/>
      </w:r>
      <w:r w:rsidR="00C45DA4">
        <w:rPr>
          <w:rFonts w:cstheme="minorHAnsi"/>
          <w:b/>
          <w:sz w:val="24"/>
          <w:lang w:val="en-GB"/>
        </w:rPr>
        <w:tab/>
      </w:r>
      <w:r w:rsidR="00C45DA4">
        <w:rPr>
          <w:rFonts w:cstheme="minorHAnsi"/>
          <w:b/>
          <w:sz w:val="24"/>
          <w:lang w:val="en-GB"/>
        </w:rPr>
        <w:tab/>
      </w:r>
      <w:r w:rsidR="00C45DA4">
        <w:rPr>
          <w:rFonts w:cstheme="minorHAnsi"/>
          <w:b/>
          <w:sz w:val="24"/>
          <w:lang w:val="en-GB"/>
        </w:rPr>
        <w:tab/>
      </w:r>
      <w:r w:rsidR="00C45DA4">
        <w:rPr>
          <w:rFonts w:cstheme="minorHAnsi"/>
          <w:b/>
          <w:sz w:val="24"/>
          <w:lang w:val="en-GB"/>
        </w:rPr>
        <w:tab/>
      </w:r>
      <w:r w:rsidR="00C45DA4">
        <w:rPr>
          <w:rFonts w:cstheme="minorHAnsi"/>
          <w:b/>
          <w:sz w:val="24"/>
          <w:lang w:val="en-GB"/>
        </w:rPr>
        <w:tab/>
        <w:t>55</w:t>
      </w:r>
    </w:p>
    <w:p w:rsidR="0054128F" w:rsidRPr="00C40569" w:rsidRDefault="0054128F" w:rsidP="005A062F">
      <w:pPr>
        <w:spacing w:line="360" w:lineRule="auto"/>
        <w:rPr>
          <w:rFonts w:cstheme="minorHAnsi"/>
          <w:lang w:val="en-GB"/>
        </w:rPr>
      </w:pPr>
    </w:p>
    <w:p w:rsidR="00182D9A" w:rsidRPr="00C40569" w:rsidRDefault="00182D9A" w:rsidP="005A062F">
      <w:pPr>
        <w:spacing w:line="360" w:lineRule="auto"/>
        <w:rPr>
          <w:rFonts w:cstheme="minorHAnsi"/>
          <w:lang w:val="en-GB"/>
        </w:rPr>
      </w:pPr>
    </w:p>
    <w:p w:rsidR="00182D9A" w:rsidRPr="00C40569" w:rsidRDefault="00182D9A" w:rsidP="005A062F">
      <w:pPr>
        <w:spacing w:line="360" w:lineRule="auto"/>
        <w:rPr>
          <w:rFonts w:cstheme="minorHAnsi"/>
          <w:lang w:val="en-GB"/>
        </w:rPr>
      </w:pPr>
    </w:p>
    <w:p w:rsidR="00182D9A" w:rsidRPr="00C40569" w:rsidRDefault="00182D9A" w:rsidP="005A062F">
      <w:pPr>
        <w:spacing w:line="360" w:lineRule="auto"/>
        <w:rPr>
          <w:rFonts w:cstheme="minorHAnsi"/>
          <w:lang w:val="en-GB"/>
        </w:rPr>
      </w:pPr>
      <w:r w:rsidRPr="00C40569">
        <w:rPr>
          <w:rFonts w:cstheme="minorHAnsi"/>
          <w:lang w:val="en-GB"/>
        </w:rPr>
        <w:br/>
      </w:r>
    </w:p>
    <w:p w:rsidR="00182D9A" w:rsidRPr="00182D9A" w:rsidRDefault="00182D9A" w:rsidP="005A062F">
      <w:pPr>
        <w:spacing w:line="360" w:lineRule="auto"/>
        <w:rPr>
          <w:rFonts w:cstheme="minorHAnsi"/>
          <w:lang w:val="en-GB"/>
        </w:rPr>
      </w:pPr>
      <w:r w:rsidRPr="00182D9A">
        <w:rPr>
          <w:rFonts w:cstheme="minorHAnsi"/>
          <w:lang w:val="en-GB"/>
        </w:rPr>
        <w:br w:type="page"/>
      </w:r>
      <w:r w:rsidRPr="00182D9A">
        <w:rPr>
          <w:rFonts w:cstheme="minorHAnsi"/>
          <w:lang w:val="en-GB"/>
        </w:rPr>
        <w:lastRenderedPageBreak/>
        <w:t xml:space="preserve"> </w:t>
      </w:r>
    </w:p>
    <w:p w:rsidR="001664A0" w:rsidRDefault="001664A0" w:rsidP="005A062F">
      <w:pPr>
        <w:pStyle w:val="Heading1"/>
        <w:numPr>
          <w:ilvl w:val="0"/>
          <w:numId w:val="0"/>
        </w:numPr>
        <w:spacing w:line="360" w:lineRule="auto"/>
        <w:jc w:val="right"/>
        <w:rPr>
          <w:rFonts w:asciiTheme="minorHAnsi" w:hAnsiTheme="minorHAnsi" w:cstheme="minorHAnsi"/>
          <w:sz w:val="32"/>
        </w:rPr>
      </w:pPr>
      <w:bookmarkStart w:id="7" w:name="_Toc200538602"/>
    </w:p>
    <w:p w:rsidR="00182D9A" w:rsidRPr="001664A0" w:rsidRDefault="00182D9A" w:rsidP="005A062F">
      <w:pPr>
        <w:pStyle w:val="Heading1"/>
        <w:numPr>
          <w:ilvl w:val="0"/>
          <w:numId w:val="0"/>
        </w:numPr>
        <w:spacing w:line="360" w:lineRule="auto"/>
        <w:jc w:val="right"/>
        <w:rPr>
          <w:rFonts w:asciiTheme="minorHAnsi" w:hAnsiTheme="minorHAnsi" w:cstheme="minorHAnsi"/>
          <w:sz w:val="32"/>
        </w:rPr>
      </w:pPr>
      <w:bookmarkStart w:id="8" w:name="_Toc390633788"/>
      <w:r w:rsidRPr="001664A0">
        <w:rPr>
          <w:rFonts w:asciiTheme="minorHAnsi" w:hAnsiTheme="minorHAnsi" w:cstheme="minorHAnsi"/>
          <w:sz w:val="32"/>
        </w:rPr>
        <w:t>LIST OF TABLES</w:t>
      </w:r>
      <w:bookmarkEnd w:id="7"/>
      <w:bookmarkEnd w:id="8"/>
    </w:p>
    <w:p w:rsidR="001664A0" w:rsidRPr="001664A0" w:rsidRDefault="001664A0" w:rsidP="005A062F">
      <w:pPr>
        <w:spacing w:line="360" w:lineRule="auto"/>
        <w:jc w:val="right"/>
        <w:rPr>
          <w:b/>
          <w:sz w:val="32"/>
          <w:szCs w:val="32"/>
          <w:lang w:val="en-GB"/>
        </w:rPr>
      </w:pPr>
      <w:r w:rsidRPr="001664A0">
        <w:rPr>
          <w:b/>
          <w:sz w:val="32"/>
          <w:szCs w:val="32"/>
          <w:lang w:val="en-GB"/>
        </w:rPr>
        <w:t>________________________________________________________</w:t>
      </w:r>
    </w:p>
    <w:p w:rsidR="001664A0" w:rsidRDefault="001664A0" w:rsidP="005A062F">
      <w:pPr>
        <w:spacing w:line="360" w:lineRule="auto"/>
        <w:rPr>
          <w:rFonts w:cstheme="minorHAnsi"/>
          <w:lang w:val="en-GB"/>
        </w:rPr>
      </w:pPr>
    </w:p>
    <w:p w:rsidR="00327FAD" w:rsidRDefault="00327FAD" w:rsidP="005A062F">
      <w:pPr>
        <w:spacing w:line="360" w:lineRule="auto"/>
        <w:rPr>
          <w:lang w:val="en-GB"/>
        </w:rPr>
      </w:pPr>
      <w:r w:rsidRPr="00182D9A">
        <w:rPr>
          <w:rFonts w:cstheme="minorHAnsi"/>
          <w:lang w:val="en-GB"/>
        </w:rPr>
        <w:t xml:space="preserve">Table </w:t>
      </w:r>
      <w:r>
        <w:rPr>
          <w:rFonts w:cstheme="minorHAnsi"/>
          <w:lang w:val="en-GB"/>
        </w:rPr>
        <w:t>2.1</w:t>
      </w:r>
      <w:r w:rsidRPr="00182D9A">
        <w:rPr>
          <w:rFonts w:cstheme="minorHAnsi"/>
          <w:lang w:val="en-GB"/>
        </w:rPr>
        <w:tab/>
      </w:r>
      <w:r>
        <w:rPr>
          <w:lang w:val="en-GB"/>
        </w:rPr>
        <w:t>Most important Contributions of different autho</w:t>
      </w:r>
      <w:r w:rsidR="008F0E13">
        <w:rPr>
          <w:lang w:val="en-GB"/>
        </w:rPr>
        <w:t>rs to the Literature Research</w:t>
      </w:r>
      <w:r w:rsidR="008F0E13">
        <w:rPr>
          <w:lang w:val="en-GB"/>
        </w:rPr>
        <w:tab/>
        <w:t>22</w:t>
      </w:r>
    </w:p>
    <w:p w:rsidR="00327FAD" w:rsidRDefault="00327FAD" w:rsidP="005A062F">
      <w:pPr>
        <w:spacing w:line="360" w:lineRule="auto"/>
        <w:rPr>
          <w:rFonts w:cstheme="minorHAnsi"/>
          <w:lang w:val="en-GB"/>
        </w:rPr>
      </w:pPr>
      <w:r>
        <w:rPr>
          <w:rFonts w:cstheme="minorHAnsi"/>
          <w:lang w:val="en-GB"/>
        </w:rPr>
        <w:t>Table 3.1</w:t>
      </w:r>
      <w:r>
        <w:rPr>
          <w:rFonts w:cstheme="minorHAnsi"/>
          <w:lang w:val="en-GB"/>
        </w:rPr>
        <w:tab/>
      </w:r>
      <w:r>
        <w:rPr>
          <w:lang w:val="en-GB"/>
        </w:rPr>
        <w:t>Data</w:t>
      </w:r>
      <w:r w:rsidR="008F0E13">
        <w:rPr>
          <w:lang w:val="en-GB"/>
        </w:rPr>
        <w:t xml:space="preserve"> Variables Specified</w:t>
      </w:r>
      <w:r w:rsidR="008F0E13">
        <w:rPr>
          <w:lang w:val="en-GB"/>
        </w:rPr>
        <w:tab/>
      </w:r>
      <w:r w:rsidR="008F0E13">
        <w:rPr>
          <w:lang w:val="en-GB"/>
        </w:rPr>
        <w:tab/>
      </w:r>
      <w:r w:rsidR="008F0E13">
        <w:rPr>
          <w:lang w:val="en-GB"/>
        </w:rPr>
        <w:tab/>
      </w:r>
      <w:r w:rsidR="008F0E13">
        <w:rPr>
          <w:lang w:val="en-GB"/>
        </w:rPr>
        <w:tab/>
      </w:r>
      <w:r w:rsidR="008F0E13">
        <w:rPr>
          <w:lang w:val="en-GB"/>
        </w:rPr>
        <w:tab/>
      </w:r>
      <w:r w:rsidR="008F0E13">
        <w:rPr>
          <w:lang w:val="en-GB"/>
        </w:rPr>
        <w:tab/>
      </w:r>
      <w:r w:rsidR="008F0E13">
        <w:rPr>
          <w:lang w:val="en-GB"/>
        </w:rPr>
        <w:tab/>
        <w:t>30-31</w:t>
      </w:r>
    </w:p>
    <w:p w:rsidR="00182D9A" w:rsidRDefault="00327FAD" w:rsidP="005A062F">
      <w:pPr>
        <w:spacing w:line="360" w:lineRule="auto"/>
        <w:rPr>
          <w:rFonts w:cstheme="minorHAnsi"/>
          <w:lang w:val="en-GB"/>
        </w:rPr>
      </w:pPr>
      <w:r>
        <w:rPr>
          <w:rFonts w:cstheme="minorHAnsi"/>
          <w:lang w:val="en-GB"/>
        </w:rPr>
        <w:t>Table 3.2</w:t>
      </w:r>
      <w:r w:rsidR="00182D9A" w:rsidRPr="00182D9A">
        <w:rPr>
          <w:rFonts w:cstheme="minorHAnsi"/>
          <w:lang w:val="en-GB"/>
        </w:rPr>
        <w:tab/>
      </w:r>
      <w:r w:rsidR="00BD5330">
        <w:rPr>
          <w:rFonts w:cstheme="minorHAnsi"/>
          <w:shd w:val="clear" w:color="auto" w:fill="FFFFFF"/>
          <w:lang w:val="en-GB"/>
        </w:rPr>
        <w:t>Assumptions CAPM</w:t>
      </w:r>
      <w:r w:rsidR="00182D9A" w:rsidRPr="00182D9A">
        <w:rPr>
          <w:rFonts w:cstheme="minorHAnsi"/>
          <w:lang w:val="en-GB"/>
        </w:rPr>
        <w:tab/>
      </w:r>
      <w:r w:rsidR="00182D9A" w:rsidRPr="00182D9A">
        <w:rPr>
          <w:rFonts w:cstheme="minorHAnsi"/>
          <w:lang w:val="en-GB"/>
        </w:rPr>
        <w:tab/>
      </w:r>
      <w:r w:rsidR="00182D9A" w:rsidRPr="00182D9A">
        <w:rPr>
          <w:rFonts w:cstheme="minorHAnsi"/>
          <w:lang w:val="en-GB"/>
        </w:rPr>
        <w:tab/>
      </w:r>
      <w:r w:rsidR="008F0E13">
        <w:rPr>
          <w:rFonts w:cstheme="minorHAnsi"/>
          <w:lang w:val="en-GB"/>
        </w:rPr>
        <w:tab/>
      </w:r>
      <w:r w:rsidR="008F0E13">
        <w:rPr>
          <w:rFonts w:cstheme="minorHAnsi"/>
          <w:lang w:val="en-GB"/>
        </w:rPr>
        <w:tab/>
      </w:r>
      <w:r w:rsidR="008F0E13">
        <w:rPr>
          <w:rFonts w:cstheme="minorHAnsi"/>
          <w:lang w:val="en-GB"/>
        </w:rPr>
        <w:tab/>
      </w:r>
      <w:r w:rsidR="008F0E13">
        <w:rPr>
          <w:rFonts w:cstheme="minorHAnsi"/>
          <w:lang w:val="en-GB"/>
        </w:rPr>
        <w:tab/>
      </w:r>
      <w:r w:rsidR="008F0E13">
        <w:rPr>
          <w:rFonts w:cstheme="minorHAnsi"/>
          <w:lang w:val="en-GB"/>
        </w:rPr>
        <w:tab/>
        <w:t>32</w:t>
      </w:r>
    </w:p>
    <w:p w:rsidR="00182D9A" w:rsidRPr="00182D9A" w:rsidRDefault="00182D9A" w:rsidP="005A062F">
      <w:pPr>
        <w:spacing w:line="360" w:lineRule="auto"/>
        <w:rPr>
          <w:rFonts w:cstheme="minorHAnsi"/>
          <w:lang w:val="en-GB"/>
        </w:rPr>
      </w:pPr>
    </w:p>
    <w:p w:rsidR="00182D9A" w:rsidRPr="00182D9A" w:rsidRDefault="00182D9A" w:rsidP="005A062F">
      <w:pPr>
        <w:spacing w:line="360" w:lineRule="auto"/>
        <w:rPr>
          <w:rFonts w:cstheme="minorHAnsi"/>
          <w:lang w:val="en-GB"/>
        </w:rPr>
      </w:pPr>
    </w:p>
    <w:p w:rsidR="001664A0" w:rsidRDefault="00182D9A" w:rsidP="005A062F">
      <w:pPr>
        <w:pStyle w:val="Heading1"/>
        <w:numPr>
          <w:ilvl w:val="0"/>
          <w:numId w:val="0"/>
        </w:numPr>
        <w:spacing w:line="360" w:lineRule="auto"/>
        <w:jc w:val="right"/>
        <w:rPr>
          <w:rFonts w:asciiTheme="minorHAnsi" w:hAnsiTheme="minorHAnsi" w:cstheme="minorHAnsi"/>
        </w:rPr>
      </w:pPr>
      <w:r w:rsidRPr="00182D9A">
        <w:rPr>
          <w:rFonts w:asciiTheme="minorHAnsi" w:hAnsiTheme="minorHAnsi" w:cstheme="minorHAnsi"/>
        </w:rPr>
        <w:br w:type="page"/>
      </w:r>
      <w:bookmarkStart w:id="9" w:name="_Toc200538603"/>
    </w:p>
    <w:p w:rsidR="001664A0" w:rsidRDefault="001664A0" w:rsidP="005A062F">
      <w:pPr>
        <w:pStyle w:val="Heading1"/>
        <w:numPr>
          <w:ilvl w:val="0"/>
          <w:numId w:val="0"/>
        </w:numPr>
        <w:spacing w:line="360" w:lineRule="auto"/>
        <w:jc w:val="right"/>
        <w:rPr>
          <w:rFonts w:asciiTheme="minorHAnsi" w:hAnsiTheme="minorHAnsi" w:cstheme="minorHAnsi"/>
        </w:rPr>
      </w:pPr>
    </w:p>
    <w:p w:rsidR="001664A0" w:rsidRDefault="001664A0" w:rsidP="005A062F">
      <w:pPr>
        <w:pStyle w:val="Heading1"/>
        <w:numPr>
          <w:ilvl w:val="0"/>
          <w:numId w:val="0"/>
        </w:numPr>
        <w:spacing w:line="360" w:lineRule="auto"/>
        <w:jc w:val="right"/>
        <w:rPr>
          <w:rFonts w:asciiTheme="minorHAnsi" w:hAnsiTheme="minorHAnsi" w:cstheme="minorHAnsi"/>
        </w:rPr>
      </w:pPr>
    </w:p>
    <w:p w:rsidR="00182D9A" w:rsidRPr="001664A0" w:rsidRDefault="00182D9A" w:rsidP="005A062F">
      <w:pPr>
        <w:pStyle w:val="Heading1"/>
        <w:numPr>
          <w:ilvl w:val="0"/>
          <w:numId w:val="0"/>
        </w:numPr>
        <w:spacing w:line="360" w:lineRule="auto"/>
        <w:jc w:val="right"/>
        <w:rPr>
          <w:rFonts w:asciiTheme="minorHAnsi" w:hAnsiTheme="minorHAnsi" w:cstheme="minorHAnsi"/>
          <w:sz w:val="32"/>
        </w:rPr>
      </w:pPr>
      <w:bookmarkStart w:id="10" w:name="_Toc390633789"/>
      <w:r w:rsidRPr="001664A0">
        <w:rPr>
          <w:rFonts w:asciiTheme="minorHAnsi" w:hAnsiTheme="minorHAnsi" w:cstheme="minorHAnsi"/>
          <w:sz w:val="32"/>
        </w:rPr>
        <w:t>LIST OF FIGURES</w:t>
      </w:r>
      <w:bookmarkEnd w:id="9"/>
      <w:bookmarkEnd w:id="10"/>
    </w:p>
    <w:p w:rsidR="00182D9A" w:rsidRPr="001664A0" w:rsidRDefault="001664A0" w:rsidP="005A062F">
      <w:pPr>
        <w:spacing w:line="360" w:lineRule="auto"/>
        <w:jc w:val="right"/>
        <w:rPr>
          <w:rFonts w:cstheme="minorHAnsi"/>
          <w:b/>
          <w:sz w:val="32"/>
          <w:szCs w:val="32"/>
          <w:lang w:val="en-GB"/>
        </w:rPr>
      </w:pPr>
      <w:r w:rsidRPr="001664A0">
        <w:rPr>
          <w:rFonts w:cstheme="minorHAnsi"/>
          <w:b/>
          <w:sz w:val="32"/>
          <w:szCs w:val="32"/>
          <w:lang w:val="en-GB"/>
        </w:rPr>
        <w:t>________________________________________________________</w:t>
      </w:r>
    </w:p>
    <w:p w:rsidR="001664A0" w:rsidRDefault="001664A0" w:rsidP="005A062F">
      <w:pPr>
        <w:spacing w:line="360" w:lineRule="auto"/>
        <w:rPr>
          <w:rFonts w:cstheme="minorHAnsi"/>
          <w:lang w:val="en-GB"/>
        </w:rPr>
      </w:pPr>
    </w:p>
    <w:p w:rsidR="00182D9A" w:rsidRPr="00182D9A" w:rsidRDefault="00182D9A" w:rsidP="005A062F">
      <w:pPr>
        <w:spacing w:line="360" w:lineRule="auto"/>
        <w:rPr>
          <w:rFonts w:cstheme="minorHAnsi"/>
          <w:lang w:val="en-GB"/>
        </w:rPr>
      </w:pPr>
      <w:r w:rsidRPr="00182D9A">
        <w:rPr>
          <w:rFonts w:cstheme="minorHAnsi"/>
          <w:lang w:val="en-GB"/>
        </w:rPr>
        <w:t>Figure 1.1</w:t>
      </w:r>
      <w:r w:rsidRPr="00182D9A">
        <w:rPr>
          <w:rFonts w:cstheme="minorHAnsi"/>
          <w:lang w:val="en-GB"/>
        </w:rPr>
        <w:tab/>
      </w:r>
      <w:r w:rsidR="00BD5330">
        <w:rPr>
          <w:lang w:val="en-GB"/>
        </w:rPr>
        <w:t>Value and number of M&amp;As worldwide</w:t>
      </w:r>
      <w:r w:rsidRPr="00182D9A">
        <w:rPr>
          <w:rFonts w:cstheme="minorHAnsi"/>
          <w:lang w:val="en-GB"/>
        </w:rPr>
        <w:tab/>
      </w:r>
      <w:r w:rsidRPr="00182D9A">
        <w:rPr>
          <w:rFonts w:cstheme="minorHAnsi"/>
          <w:lang w:val="en-GB"/>
        </w:rPr>
        <w:tab/>
      </w:r>
      <w:r w:rsidR="002977C9">
        <w:rPr>
          <w:rFonts w:cstheme="minorHAnsi"/>
          <w:lang w:val="en-GB"/>
        </w:rPr>
        <w:tab/>
      </w:r>
      <w:r w:rsidR="002977C9">
        <w:rPr>
          <w:rFonts w:cstheme="minorHAnsi"/>
          <w:lang w:val="en-GB"/>
        </w:rPr>
        <w:tab/>
      </w:r>
      <w:r w:rsidR="002977C9">
        <w:rPr>
          <w:rFonts w:cstheme="minorHAnsi"/>
          <w:lang w:val="en-GB"/>
        </w:rPr>
        <w:tab/>
      </w:r>
      <w:r w:rsidR="002977C9">
        <w:rPr>
          <w:rFonts w:cstheme="minorHAnsi"/>
          <w:lang w:val="en-GB"/>
        </w:rPr>
        <w:tab/>
        <w:t>8</w:t>
      </w:r>
    </w:p>
    <w:p w:rsidR="00182D9A" w:rsidRPr="00182D9A" w:rsidRDefault="00182D9A" w:rsidP="005A062F">
      <w:pPr>
        <w:spacing w:line="360" w:lineRule="auto"/>
        <w:rPr>
          <w:rFonts w:cstheme="minorHAnsi"/>
          <w:lang w:val="en-GB"/>
        </w:rPr>
      </w:pPr>
      <w:r w:rsidRPr="00182D9A">
        <w:rPr>
          <w:rFonts w:cstheme="minorHAnsi"/>
          <w:lang w:val="en-GB"/>
        </w:rPr>
        <w:t>Figure 1.2</w:t>
      </w:r>
      <w:r w:rsidRPr="00182D9A">
        <w:rPr>
          <w:rFonts w:cstheme="minorHAnsi"/>
          <w:lang w:val="en-GB"/>
        </w:rPr>
        <w:tab/>
      </w:r>
      <w:r w:rsidR="00BD5330">
        <w:rPr>
          <w:lang w:val="en-GB"/>
        </w:rPr>
        <w:t>Value and number of M&amp;As in Europe</w:t>
      </w:r>
      <w:r w:rsidRPr="00182D9A">
        <w:rPr>
          <w:rFonts w:cstheme="minorHAnsi"/>
          <w:lang w:val="en-GB"/>
        </w:rPr>
        <w:tab/>
      </w:r>
      <w:r w:rsidRPr="00182D9A">
        <w:rPr>
          <w:rFonts w:cstheme="minorHAnsi"/>
          <w:lang w:val="en-GB"/>
        </w:rPr>
        <w:tab/>
      </w:r>
      <w:r w:rsidR="002977C9">
        <w:rPr>
          <w:rFonts w:cstheme="minorHAnsi"/>
          <w:lang w:val="en-GB"/>
        </w:rPr>
        <w:tab/>
      </w:r>
      <w:r w:rsidR="002977C9">
        <w:rPr>
          <w:rFonts w:cstheme="minorHAnsi"/>
          <w:lang w:val="en-GB"/>
        </w:rPr>
        <w:tab/>
      </w:r>
      <w:r w:rsidR="002977C9">
        <w:rPr>
          <w:rFonts w:cstheme="minorHAnsi"/>
          <w:lang w:val="en-GB"/>
        </w:rPr>
        <w:tab/>
      </w:r>
      <w:r w:rsidR="002977C9">
        <w:rPr>
          <w:rFonts w:cstheme="minorHAnsi"/>
          <w:lang w:val="en-GB"/>
        </w:rPr>
        <w:tab/>
        <w:t>9</w:t>
      </w:r>
    </w:p>
    <w:p w:rsidR="00BD5330" w:rsidRDefault="00182D9A" w:rsidP="005A062F">
      <w:pPr>
        <w:spacing w:line="360" w:lineRule="auto"/>
        <w:rPr>
          <w:rFonts w:cstheme="minorHAnsi"/>
          <w:lang w:val="en-GB"/>
        </w:rPr>
      </w:pPr>
      <w:r w:rsidRPr="00182D9A">
        <w:rPr>
          <w:rFonts w:cstheme="minorHAnsi"/>
          <w:lang w:val="en-GB"/>
        </w:rPr>
        <w:t xml:space="preserve">Figure </w:t>
      </w:r>
      <w:r w:rsidR="00DE1D11">
        <w:rPr>
          <w:rFonts w:cstheme="minorHAnsi"/>
          <w:lang w:val="en-GB"/>
        </w:rPr>
        <w:t>1.3</w:t>
      </w:r>
      <w:r w:rsidRPr="00182D9A">
        <w:rPr>
          <w:rFonts w:cstheme="minorHAnsi"/>
          <w:lang w:val="en-GB"/>
        </w:rPr>
        <w:tab/>
      </w:r>
      <w:r w:rsidR="00BD5330" w:rsidRPr="00F7515D">
        <w:rPr>
          <w:lang w:val="en-GB"/>
        </w:rPr>
        <w:t xml:space="preserve">The </w:t>
      </w:r>
      <w:r w:rsidR="00BD5330">
        <w:rPr>
          <w:lang w:val="en-GB"/>
        </w:rPr>
        <w:t xml:space="preserve">most important acquiring </w:t>
      </w:r>
      <w:r w:rsidR="00BD5330" w:rsidRPr="00F7515D">
        <w:rPr>
          <w:lang w:val="en-GB"/>
        </w:rPr>
        <w:t>countries</w:t>
      </w:r>
      <w:r w:rsidRPr="00182D9A">
        <w:rPr>
          <w:rFonts w:cstheme="minorHAnsi"/>
          <w:lang w:val="en-GB"/>
        </w:rPr>
        <w:tab/>
      </w:r>
      <w:r w:rsidRPr="00182D9A">
        <w:rPr>
          <w:rFonts w:cstheme="minorHAnsi"/>
          <w:lang w:val="en-GB"/>
        </w:rPr>
        <w:tab/>
      </w:r>
      <w:r w:rsidR="002977C9">
        <w:rPr>
          <w:rFonts w:cstheme="minorHAnsi"/>
          <w:lang w:val="en-GB"/>
        </w:rPr>
        <w:tab/>
      </w:r>
      <w:r w:rsidR="002977C9">
        <w:rPr>
          <w:rFonts w:cstheme="minorHAnsi"/>
          <w:lang w:val="en-GB"/>
        </w:rPr>
        <w:tab/>
      </w:r>
      <w:r w:rsidR="002977C9">
        <w:rPr>
          <w:rFonts w:cstheme="minorHAnsi"/>
          <w:lang w:val="en-GB"/>
        </w:rPr>
        <w:tab/>
        <w:t>11</w:t>
      </w:r>
    </w:p>
    <w:p w:rsidR="00DE1D11" w:rsidRDefault="00327FAD" w:rsidP="005A062F">
      <w:pPr>
        <w:spacing w:line="360" w:lineRule="auto"/>
        <w:rPr>
          <w:rFonts w:cstheme="minorHAnsi"/>
          <w:lang w:val="en-GB"/>
        </w:rPr>
      </w:pPr>
      <w:r>
        <w:rPr>
          <w:rFonts w:cstheme="minorHAnsi"/>
          <w:lang w:val="en-GB"/>
        </w:rPr>
        <w:t>Figure 3</w:t>
      </w:r>
      <w:r w:rsidR="00DE1D11">
        <w:rPr>
          <w:rFonts w:cstheme="minorHAnsi"/>
          <w:lang w:val="en-GB"/>
        </w:rPr>
        <w:t>.1</w:t>
      </w:r>
      <w:r w:rsidR="00BD5330">
        <w:rPr>
          <w:rFonts w:cstheme="minorHAnsi"/>
          <w:lang w:val="en-GB"/>
        </w:rPr>
        <w:tab/>
      </w:r>
      <w:r w:rsidR="00BD5330">
        <w:rPr>
          <w:rFonts w:cstheme="minorHAnsi"/>
          <w:shd w:val="clear" w:color="auto" w:fill="FFFFFF"/>
          <w:lang w:val="en-GB"/>
        </w:rPr>
        <w:t>Security Market Line</w:t>
      </w:r>
      <w:r w:rsidR="002977C9">
        <w:rPr>
          <w:rFonts w:cstheme="minorHAnsi"/>
          <w:shd w:val="clear" w:color="auto" w:fill="FFFFFF"/>
          <w:lang w:val="en-GB"/>
        </w:rPr>
        <w:tab/>
      </w:r>
      <w:r w:rsidR="002977C9">
        <w:rPr>
          <w:rFonts w:cstheme="minorHAnsi"/>
          <w:shd w:val="clear" w:color="auto" w:fill="FFFFFF"/>
          <w:lang w:val="en-GB"/>
        </w:rPr>
        <w:tab/>
      </w:r>
      <w:r w:rsidR="002977C9">
        <w:rPr>
          <w:rFonts w:cstheme="minorHAnsi"/>
          <w:shd w:val="clear" w:color="auto" w:fill="FFFFFF"/>
          <w:lang w:val="en-GB"/>
        </w:rPr>
        <w:tab/>
      </w:r>
      <w:r w:rsidR="002977C9">
        <w:rPr>
          <w:rFonts w:cstheme="minorHAnsi"/>
          <w:shd w:val="clear" w:color="auto" w:fill="FFFFFF"/>
          <w:lang w:val="en-GB"/>
        </w:rPr>
        <w:tab/>
      </w:r>
      <w:r w:rsidR="002977C9">
        <w:rPr>
          <w:rFonts w:cstheme="minorHAnsi"/>
          <w:shd w:val="clear" w:color="auto" w:fill="FFFFFF"/>
          <w:lang w:val="en-GB"/>
        </w:rPr>
        <w:tab/>
      </w:r>
      <w:r w:rsidR="002977C9">
        <w:rPr>
          <w:rFonts w:cstheme="minorHAnsi"/>
          <w:shd w:val="clear" w:color="auto" w:fill="FFFFFF"/>
          <w:lang w:val="en-GB"/>
        </w:rPr>
        <w:tab/>
      </w:r>
      <w:r w:rsidR="002977C9">
        <w:rPr>
          <w:rFonts w:cstheme="minorHAnsi"/>
          <w:shd w:val="clear" w:color="auto" w:fill="FFFFFF"/>
          <w:lang w:val="en-GB"/>
        </w:rPr>
        <w:tab/>
      </w:r>
      <w:r w:rsidR="002977C9">
        <w:rPr>
          <w:rFonts w:cstheme="minorHAnsi"/>
          <w:shd w:val="clear" w:color="auto" w:fill="FFFFFF"/>
          <w:lang w:val="en-GB"/>
        </w:rPr>
        <w:tab/>
      </w:r>
      <w:r w:rsidR="00255E25">
        <w:rPr>
          <w:rFonts w:cstheme="minorHAnsi"/>
          <w:shd w:val="clear" w:color="auto" w:fill="FFFFFF"/>
          <w:lang w:val="en-GB"/>
        </w:rPr>
        <w:t>33</w:t>
      </w:r>
    </w:p>
    <w:p w:rsidR="00DE1D11" w:rsidRPr="00182D9A" w:rsidRDefault="00327FAD" w:rsidP="005A062F">
      <w:pPr>
        <w:spacing w:line="360" w:lineRule="auto"/>
        <w:rPr>
          <w:rFonts w:cstheme="minorHAnsi"/>
          <w:lang w:val="en-GB"/>
        </w:rPr>
      </w:pPr>
      <w:r>
        <w:rPr>
          <w:rFonts w:cstheme="minorHAnsi"/>
          <w:lang w:val="en-GB"/>
        </w:rPr>
        <w:t>Figure 3.2</w:t>
      </w:r>
      <w:r w:rsidR="00BD5330">
        <w:rPr>
          <w:rFonts w:cstheme="minorHAnsi"/>
          <w:lang w:val="en-GB"/>
        </w:rPr>
        <w:tab/>
      </w:r>
      <w:r w:rsidR="00BD5330">
        <w:rPr>
          <w:rFonts w:eastAsiaTheme="minorEastAsia" w:cstheme="minorHAnsi"/>
          <w:lang w:val="en-GB"/>
        </w:rPr>
        <w:t>ANOVA Summary</w:t>
      </w:r>
      <w:r w:rsidR="002977C9">
        <w:rPr>
          <w:rFonts w:eastAsiaTheme="minorEastAsia" w:cstheme="minorHAnsi"/>
          <w:lang w:val="en-GB"/>
        </w:rPr>
        <w:tab/>
      </w:r>
      <w:r w:rsidR="002977C9">
        <w:rPr>
          <w:rFonts w:eastAsiaTheme="minorEastAsia" w:cstheme="minorHAnsi"/>
          <w:lang w:val="en-GB"/>
        </w:rPr>
        <w:tab/>
      </w:r>
      <w:r w:rsidR="002977C9">
        <w:rPr>
          <w:rFonts w:eastAsiaTheme="minorEastAsia" w:cstheme="minorHAnsi"/>
          <w:lang w:val="en-GB"/>
        </w:rPr>
        <w:tab/>
      </w:r>
      <w:r w:rsidR="002977C9">
        <w:rPr>
          <w:rFonts w:eastAsiaTheme="minorEastAsia" w:cstheme="minorHAnsi"/>
          <w:lang w:val="en-GB"/>
        </w:rPr>
        <w:tab/>
      </w:r>
      <w:r w:rsidR="002977C9">
        <w:rPr>
          <w:rFonts w:eastAsiaTheme="minorEastAsia" w:cstheme="minorHAnsi"/>
          <w:lang w:val="en-GB"/>
        </w:rPr>
        <w:tab/>
      </w:r>
      <w:r w:rsidR="002977C9">
        <w:rPr>
          <w:rFonts w:eastAsiaTheme="minorEastAsia" w:cstheme="minorHAnsi"/>
          <w:lang w:val="en-GB"/>
        </w:rPr>
        <w:tab/>
      </w:r>
      <w:r w:rsidR="002977C9">
        <w:rPr>
          <w:rFonts w:eastAsiaTheme="minorEastAsia" w:cstheme="minorHAnsi"/>
          <w:lang w:val="en-GB"/>
        </w:rPr>
        <w:tab/>
      </w:r>
      <w:r w:rsidR="002977C9">
        <w:rPr>
          <w:rFonts w:eastAsiaTheme="minorEastAsia" w:cstheme="minorHAnsi"/>
          <w:lang w:val="en-GB"/>
        </w:rPr>
        <w:tab/>
        <w:t>41</w:t>
      </w:r>
    </w:p>
    <w:p w:rsidR="00182D9A" w:rsidRPr="00182D9A" w:rsidRDefault="00182D9A" w:rsidP="005A062F">
      <w:pPr>
        <w:spacing w:line="360" w:lineRule="auto"/>
        <w:rPr>
          <w:lang w:val="en-GB"/>
        </w:rPr>
      </w:pPr>
    </w:p>
    <w:p w:rsidR="001E1EEF" w:rsidRDefault="001E1EEF" w:rsidP="005A062F">
      <w:pPr>
        <w:spacing w:line="360" w:lineRule="auto"/>
        <w:rPr>
          <w:b/>
          <w:sz w:val="32"/>
          <w:szCs w:val="32"/>
          <w:lang w:val="en-GB"/>
        </w:rPr>
      </w:pPr>
    </w:p>
    <w:p w:rsidR="001E1EEF" w:rsidRDefault="001E1EEF" w:rsidP="005A062F">
      <w:pPr>
        <w:spacing w:line="360" w:lineRule="auto"/>
        <w:rPr>
          <w:b/>
          <w:sz w:val="32"/>
          <w:szCs w:val="32"/>
          <w:lang w:val="en-GB"/>
        </w:rPr>
      </w:pPr>
    </w:p>
    <w:p w:rsidR="00182D9A" w:rsidRDefault="00182D9A" w:rsidP="005A062F">
      <w:pPr>
        <w:spacing w:line="360" w:lineRule="auto"/>
        <w:rPr>
          <w:b/>
          <w:sz w:val="32"/>
          <w:szCs w:val="32"/>
          <w:lang w:val="en-GB"/>
        </w:rPr>
      </w:pPr>
      <w:r>
        <w:rPr>
          <w:b/>
          <w:sz w:val="32"/>
          <w:szCs w:val="32"/>
          <w:lang w:val="en-GB"/>
        </w:rPr>
        <w:br w:type="page"/>
      </w:r>
    </w:p>
    <w:p w:rsidR="002528A6" w:rsidRDefault="002528A6" w:rsidP="005A062F">
      <w:pPr>
        <w:spacing w:line="360" w:lineRule="auto"/>
        <w:rPr>
          <w:b/>
          <w:sz w:val="32"/>
          <w:szCs w:val="32"/>
          <w:lang w:val="en-GB"/>
        </w:rPr>
      </w:pPr>
    </w:p>
    <w:p w:rsidR="00182D9A" w:rsidRDefault="00182D9A" w:rsidP="005A062F">
      <w:pPr>
        <w:spacing w:line="360" w:lineRule="auto"/>
        <w:rPr>
          <w:b/>
          <w:sz w:val="32"/>
          <w:szCs w:val="32"/>
          <w:lang w:val="en-GB"/>
        </w:rPr>
      </w:pPr>
    </w:p>
    <w:p w:rsidR="004977D7" w:rsidRPr="00150429" w:rsidRDefault="004977D7" w:rsidP="005A062F">
      <w:pPr>
        <w:spacing w:line="360" w:lineRule="auto"/>
        <w:jc w:val="right"/>
        <w:rPr>
          <w:b/>
          <w:sz w:val="32"/>
          <w:szCs w:val="32"/>
          <w:lang w:val="en-GB"/>
        </w:rPr>
      </w:pPr>
      <w:r w:rsidRPr="00150429">
        <w:rPr>
          <w:b/>
          <w:sz w:val="32"/>
          <w:szCs w:val="32"/>
          <w:lang w:val="en-GB"/>
        </w:rPr>
        <w:t>CHAPTER 1 – INTRODUCTION</w:t>
      </w:r>
    </w:p>
    <w:p w:rsidR="004977D7" w:rsidRPr="001664A0" w:rsidRDefault="004977D7" w:rsidP="005A062F">
      <w:pPr>
        <w:spacing w:line="360" w:lineRule="auto"/>
        <w:jc w:val="both"/>
        <w:rPr>
          <w:b/>
          <w:sz w:val="32"/>
          <w:szCs w:val="32"/>
          <w:lang w:val="en-GB"/>
        </w:rPr>
      </w:pPr>
      <w:r w:rsidRPr="001664A0">
        <w:rPr>
          <w:b/>
          <w:sz w:val="32"/>
          <w:szCs w:val="32"/>
          <w:lang w:val="en-GB"/>
        </w:rPr>
        <w:t>________________________________________________________</w:t>
      </w:r>
    </w:p>
    <w:p w:rsidR="004977D7" w:rsidRDefault="004977D7" w:rsidP="005A062F">
      <w:pPr>
        <w:spacing w:line="360" w:lineRule="auto"/>
        <w:jc w:val="both"/>
        <w:rPr>
          <w:lang w:val="en-GB"/>
        </w:rPr>
      </w:pPr>
    </w:p>
    <w:p w:rsidR="004977D7" w:rsidRDefault="004977D7" w:rsidP="005A062F">
      <w:pPr>
        <w:spacing w:line="360" w:lineRule="auto"/>
        <w:jc w:val="both"/>
        <w:rPr>
          <w:lang w:val="en-GB"/>
        </w:rPr>
      </w:pPr>
      <w:r>
        <w:rPr>
          <w:lang w:val="en-GB"/>
        </w:rPr>
        <w:t xml:space="preserve">Ever since the beginning of the financial crisis in 2007 the absolute number of mergers and acquisitions (M&amp;As) all around the world declined with nearly 30% </w:t>
      </w:r>
      <w:sdt>
        <w:sdtPr>
          <w:rPr>
            <w:lang w:val="en-GB"/>
          </w:rPr>
          <w:id w:val="6290366"/>
          <w:citation/>
        </w:sdtPr>
        <w:sdtContent>
          <w:r w:rsidR="00067D34">
            <w:rPr>
              <w:lang w:val="en-GB"/>
            </w:rPr>
            <w:fldChar w:fldCharType="begin"/>
          </w:r>
          <w:r w:rsidRPr="006531D5">
            <w:rPr>
              <w:lang w:val="en-GB"/>
            </w:rPr>
            <w:instrText xml:space="preserve"> CITATION Ins13 \l 1043 </w:instrText>
          </w:r>
          <w:r w:rsidR="00067D34">
            <w:rPr>
              <w:lang w:val="en-GB"/>
            </w:rPr>
            <w:fldChar w:fldCharType="separate"/>
          </w:r>
          <w:r w:rsidRPr="006531D5">
            <w:rPr>
              <w:noProof/>
              <w:lang w:val="en-GB"/>
            </w:rPr>
            <w:t>(Institute of Mergers, 2013)</w:t>
          </w:r>
          <w:r w:rsidR="00067D34">
            <w:rPr>
              <w:lang w:val="en-GB"/>
            </w:rPr>
            <w:fldChar w:fldCharType="end"/>
          </w:r>
        </w:sdtContent>
      </w:sdt>
      <w:r>
        <w:rPr>
          <w:lang w:val="en-GB"/>
        </w:rPr>
        <w:t xml:space="preserve">. Even more steadily declining since is the monetary value of these deals, declining from 2007 from just below 5.000 billion USD to a mere 2.000 billion USD total by the end of 2013 </w:t>
      </w:r>
      <w:sdt>
        <w:sdtPr>
          <w:rPr>
            <w:lang w:val="en-GB"/>
          </w:rPr>
          <w:id w:val="6290367"/>
          <w:citation/>
        </w:sdtPr>
        <w:sdtContent>
          <w:r w:rsidR="00067D34">
            <w:rPr>
              <w:lang w:val="en-GB"/>
            </w:rPr>
            <w:fldChar w:fldCharType="begin"/>
          </w:r>
          <w:r w:rsidRPr="006531D5">
            <w:rPr>
              <w:lang w:val="en-GB"/>
            </w:rPr>
            <w:instrText xml:space="preserve"> CITATION Ins13 \l 1043 </w:instrText>
          </w:r>
          <w:r w:rsidR="00067D34">
            <w:rPr>
              <w:lang w:val="en-GB"/>
            </w:rPr>
            <w:fldChar w:fldCharType="separate"/>
          </w:r>
          <w:r w:rsidRPr="006531D5">
            <w:rPr>
              <w:noProof/>
              <w:lang w:val="en-GB"/>
            </w:rPr>
            <w:t>(Institute of Mergers, 2013)</w:t>
          </w:r>
          <w:r w:rsidR="00067D34">
            <w:rPr>
              <w:lang w:val="en-GB"/>
            </w:rPr>
            <w:fldChar w:fldCharType="end"/>
          </w:r>
        </w:sdtContent>
      </w:sdt>
      <w:r>
        <w:rPr>
          <w:lang w:val="en-GB"/>
        </w:rPr>
        <w:t>. Also, these numbers are to be found in Figure 1.1 below</w:t>
      </w:r>
      <w:sdt>
        <w:sdtPr>
          <w:rPr>
            <w:lang w:val="en-GB"/>
          </w:rPr>
          <w:id w:val="6290370"/>
          <w:citation/>
        </w:sdtPr>
        <w:sdtContent>
          <w:r w:rsidR="00067D34">
            <w:rPr>
              <w:lang w:val="en-GB"/>
            </w:rPr>
            <w:fldChar w:fldCharType="begin"/>
          </w:r>
          <w:r w:rsidRPr="003C33F9">
            <w:rPr>
              <w:lang w:val="en-GB"/>
            </w:rPr>
            <w:instrText xml:space="preserve"> CITATION Ins13 \l 1043 </w:instrText>
          </w:r>
          <w:r w:rsidR="00067D34">
            <w:rPr>
              <w:lang w:val="en-GB"/>
            </w:rPr>
            <w:fldChar w:fldCharType="separate"/>
          </w:r>
          <w:r w:rsidRPr="003C33F9">
            <w:rPr>
              <w:noProof/>
              <w:lang w:val="en-GB"/>
            </w:rPr>
            <w:t xml:space="preserve"> (Institute of Mergers, 2013)</w:t>
          </w:r>
          <w:r w:rsidR="00067D34">
            <w:rPr>
              <w:lang w:val="en-GB"/>
            </w:rPr>
            <w:fldChar w:fldCharType="end"/>
          </w:r>
        </w:sdtContent>
      </w:sdt>
      <w:r>
        <w:rPr>
          <w:lang w:val="en-GB"/>
        </w:rPr>
        <w:t xml:space="preserve">. This strong decline is likely to be caused by the financial crisis. Other sources go beyond the simple observation of the number and value of M&amp;As declining and try to find a reason for this. One of the explanations is that companies in the financial crisis have more trouble staying in business as before, which sounds obvious, and therefore are not willing to take the additional risks of merging with or acquiring another firm. </w:t>
      </w:r>
    </w:p>
    <w:p w:rsidR="004977D7" w:rsidRDefault="004977D7" w:rsidP="005A062F">
      <w:pPr>
        <w:spacing w:line="360" w:lineRule="auto"/>
        <w:jc w:val="both"/>
        <w:rPr>
          <w:lang w:val="en-GB"/>
        </w:rPr>
      </w:pPr>
    </w:p>
    <w:p w:rsidR="001A753B" w:rsidRDefault="004977D7" w:rsidP="005A062F">
      <w:pPr>
        <w:spacing w:line="360" w:lineRule="auto"/>
        <w:jc w:val="center"/>
        <w:rPr>
          <w:lang w:val="en-GB"/>
        </w:rPr>
      </w:pPr>
      <w:r>
        <w:rPr>
          <w:noProof/>
          <w:lang w:val="en-US"/>
        </w:rPr>
        <w:drawing>
          <wp:anchor distT="0" distB="0" distL="114300" distR="114300" simplePos="0" relativeHeight="251659264" behindDoc="1" locked="0" layoutInCell="1" allowOverlap="1">
            <wp:simplePos x="0" y="0"/>
            <wp:positionH relativeFrom="column">
              <wp:posOffset>-62865</wp:posOffset>
            </wp:positionH>
            <wp:positionV relativeFrom="paragraph">
              <wp:posOffset>243840</wp:posOffset>
            </wp:positionV>
            <wp:extent cx="5701030" cy="2923540"/>
            <wp:effectExtent l="19050" t="0" r="0" b="0"/>
            <wp:wrapTight wrapText="bothSides">
              <wp:wrapPolygon edited="0">
                <wp:start x="-72" y="0"/>
                <wp:lineTo x="-72" y="21394"/>
                <wp:lineTo x="21581" y="21394"/>
                <wp:lineTo x="21581" y="0"/>
                <wp:lineTo x="-72" y="0"/>
              </wp:wrapPolygon>
            </wp:wrapTight>
            <wp:docPr id="3" name="Afbeelding 1" descr="C:\Users\Gebruiker\Documents\Universiteit\Scriptie\figure_announced mergers &amp; acquisitions (worldw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bruiker\Documents\Universiteit\Scriptie\figure_announced mergers &amp; acquisitions (worldwide).jpg"/>
                    <pic:cNvPicPr>
                      <a:picLocks noChangeAspect="1" noChangeArrowheads="1"/>
                    </pic:cNvPicPr>
                  </pic:nvPicPr>
                  <pic:blipFill>
                    <a:blip r:embed="rId9" cstate="print"/>
                    <a:srcRect/>
                    <a:stretch>
                      <a:fillRect/>
                    </a:stretch>
                  </pic:blipFill>
                  <pic:spPr bwMode="auto">
                    <a:xfrm>
                      <a:off x="0" y="0"/>
                      <a:ext cx="5701030" cy="2923540"/>
                    </a:xfrm>
                    <a:prstGeom prst="rect">
                      <a:avLst/>
                    </a:prstGeom>
                    <a:noFill/>
                    <a:ln w="9525">
                      <a:noFill/>
                      <a:miter lim="800000"/>
                      <a:headEnd/>
                      <a:tailEnd/>
                    </a:ln>
                  </pic:spPr>
                </pic:pic>
              </a:graphicData>
            </a:graphic>
          </wp:anchor>
        </w:drawing>
      </w:r>
      <w:r>
        <w:rPr>
          <w:lang w:val="en-GB"/>
        </w:rPr>
        <w:t>Figure 1.1: Value and number of M&amp;As worldwide</w:t>
      </w:r>
    </w:p>
    <w:p w:rsidR="004977D7" w:rsidRPr="001A753B" w:rsidRDefault="004977D7" w:rsidP="005A062F">
      <w:pPr>
        <w:spacing w:line="360" w:lineRule="auto"/>
        <w:ind w:firstLine="708"/>
        <w:rPr>
          <w:lang w:val="en-GB"/>
        </w:rPr>
      </w:pPr>
      <w:r w:rsidRPr="00D70AAC">
        <w:rPr>
          <w:b/>
          <w:sz w:val="24"/>
          <w:lang w:val="en-GB"/>
        </w:rPr>
        <w:lastRenderedPageBreak/>
        <w:t>1 - European M&amp;A</w:t>
      </w:r>
    </w:p>
    <w:p w:rsidR="004977D7" w:rsidRDefault="004977D7" w:rsidP="005A062F">
      <w:pPr>
        <w:spacing w:line="360" w:lineRule="auto"/>
        <w:jc w:val="both"/>
        <w:rPr>
          <w:lang w:val="en-GB"/>
        </w:rPr>
      </w:pPr>
      <w:r>
        <w:rPr>
          <w:lang w:val="en-GB"/>
        </w:rPr>
        <w:t>As visible in Figure 1.2 below, Europe shows roughly the same patterns in deal value and number of M&amp;As when comparing with the ‘worldwide’ number</w:t>
      </w:r>
      <w:r w:rsidR="0004153A">
        <w:rPr>
          <w:lang w:val="en-GB"/>
        </w:rPr>
        <w:t>s</w:t>
      </w:r>
      <w:r>
        <w:rPr>
          <w:lang w:val="en-GB"/>
        </w:rPr>
        <w:t xml:space="preserve"> above. Europe’s peak is also in 2007 with a cumulative M&amp;A value of nearly 1.800 billion EUR, distributed over just over 18.000 M&amp;As </w:t>
      </w:r>
      <w:sdt>
        <w:sdtPr>
          <w:rPr>
            <w:lang w:val="en-GB"/>
          </w:rPr>
          <w:id w:val="36275091"/>
          <w:citation/>
        </w:sdtPr>
        <w:sdtContent>
          <w:r w:rsidR="00067D34">
            <w:rPr>
              <w:lang w:val="en-GB"/>
            </w:rPr>
            <w:fldChar w:fldCharType="begin"/>
          </w:r>
          <w:r w:rsidRPr="00661143">
            <w:rPr>
              <w:lang w:val="en-GB"/>
            </w:rPr>
            <w:instrText xml:space="preserve"> CITATION Ins13 \l 1043 </w:instrText>
          </w:r>
          <w:r w:rsidR="00067D34">
            <w:rPr>
              <w:lang w:val="en-GB"/>
            </w:rPr>
            <w:fldChar w:fldCharType="separate"/>
          </w:r>
          <w:r w:rsidRPr="00661143">
            <w:rPr>
              <w:noProof/>
              <w:lang w:val="en-GB"/>
            </w:rPr>
            <w:t>(Institute of Mergers, 2013)</w:t>
          </w:r>
          <w:r w:rsidR="00067D34">
            <w:rPr>
              <w:lang w:val="en-GB"/>
            </w:rPr>
            <w:fldChar w:fldCharType="end"/>
          </w:r>
        </w:sdtContent>
      </w:sdt>
      <w:r>
        <w:rPr>
          <w:lang w:val="en-GB"/>
        </w:rPr>
        <w:t xml:space="preserve">. The same observation as in the previous graph can be made; the number of deals does not seem to decline that much, it is the deal value that is the problem. When the deal value drops this extreme, in comparison to the absolute number of M&amp;As, this implies that the average value of an M&amp;A decreased in the last couple of years. </w:t>
      </w:r>
    </w:p>
    <w:p w:rsidR="001A753B" w:rsidRDefault="001A753B" w:rsidP="005A062F">
      <w:pPr>
        <w:spacing w:line="360" w:lineRule="auto"/>
        <w:jc w:val="both"/>
        <w:rPr>
          <w:lang w:val="en-GB"/>
        </w:rPr>
      </w:pPr>
    </w:p>
    <w:p w:rsidR="004977D7" w:rsidRDefault="004977D7" w:rsidP="005A062F">
      <w:pPr>
        <w:spacing w:line="360" w:lineRule="auto"/>
        <w:jc w:val="center"/>
        <w:rPr>
          <w:lang w:val="en-GB"/>
        </w:rPr>
      </w:pPr>
      <w:r>
        <w:rPr>
          <w:lang w:val="en-GB"/>
        </w:rPr>
        <w:t>Figure 1.2: Value and number of M&amp;As in Europe</w:t>
      </w:r>
    </w:p>
    <w:p w:rsidR="004977D7" w:rsidRDefault="001A753B" w:rsidP="005A062F">
      <w:pPr>
        <w:spacing w:line="360" w:lineRule="auto"/>
        <w:jc w:val="both"/>
        <w:rPr>
          <w:lang w:val="en-GB"/>
        </w:rPr>
      </w:pPr>
      <w:r>
        <w:rPr>
          <w:noProof/>
          <w:lang w:val="en-US"/>
        </w:rPr>
        <w:drawing>
          <wp:anchor distT="0" distB="0" distL="114300" distR="114300" simplePos="0" relativeHeight="251660288" behindDoc="1" locked="0" layoutInCell="1" allowOverlap="1">
            <wp:simplePos x="0" y="0"/>
            <wp:positionH relativeFrom="column">
              <wp:posOffset>-9525</wp:posOffset>
            </wp:positionH>
            <wp:positionV relativeFrom="paragraph">
              <wp:posOffset>51435</wp:posOffset>
            </wp:positionV>
            <wp:extent cx="5849620" cy="3008630"/>
            <wp:effectExtent l="19050" t="0" r="0" b="0"/>
            <wp:wrapTight wrapText="bothSides">
              <wp:wrapPolygon edited="0">
                <wp:start x="-70" y="0"/>
                <wp:lineTo x="-70" y="21472"/>
                <wp:lineTo x="21595" y="21472"/>
                <wp:lineTo x="21595" y="0"/>
                <wp:lineTo x="-70" y="0"/>
              </wp:wrapPolygon>
            </wp:wrapTight>
            <wp:docPr id="5" name="Afbeelding 1" descr="http://www.imaa-institute.org/images/figure_announced%20mergers%20&amp;%20acquisitions%20(euro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maa-institute.org/images/figure_announced%20mergers%20&amp;%20acquisitions%20(europe).jpg"/>
                    <pic:cNvPicPr>
                      <a:picLocks noChangeAspect="1" noChangeArrowheads="1"/>
                    </pic:cNvPicPr>
                  </pic:nvPicPr>
                  <pic:blipFill>
                    <a:blip r:embed="rId10" cstate="print"/>
                    <a:srcRect/>
                    <a:stretch>
                      <a:fillRect/>
                    </a:stretch>
                  </pic:blipFill>
                  <pic:spPr bwMode="auto">
                    <a:xfrm>
                      <a:off x="0" y="0"/>
                      <a:ext cx="5849620" cy="3008630"/>
                    </a:xfrm>
                    <a:prstGeom prst="rect">
                      <a:avLst/>
                    </a:prstGeom>
                    <a:noFill/>
                    <a:ln w="9525">
                      <a:noFill/>
                      <a:miter lim="800000"/>
                      <a:headEnd/>
                      <a:tailEnd/>
                    </a:ln>
                  </pic:spPr>
                </pic:pic>
              </a:graphicData>
            </a:graphic>
          </wp:anchor>
        </w:drawing>
      </w:r>
    </w:p>
    <w:p w:rsidR="004977D7" w:rsidRDefault="004977D7" w:rsidP="005A062F">
      <w:pPr>
        <w:spacing w:line="360" w:lineRule="auto"/>
        <w:jc w:val="both"/>
        <w:rPr>
          <w:b/>
          <w:sz w:val="24"/>
          <w:lang w:val="en-GB"/>
        </w:rPr>
      </w:pPr>
    </w:p>
    <w:p w:rsidR="004977D7" w:rsidRDefault="004977D7" w:rsidP="005A062F">
      <w:pPr>
        <w:spacing w:line="360" w:lineRule="auto"/>
        <w:jc w:val="both"/>
        <w:rPr>
          <w:b/>
          <w:sz w:val="24"/>
          <w:lang w:val="en-GB"/>
        </w:rPr>
      </w:pPr>
    </w:p>
    <w:p w:rsidR="004977D7" w:rsidRDefault="004977D7" w:rsidP="005A062F">
      <w:pPr>
        <w:spacing w:line="360" w:lineRule="auto"/>
        <w:jc w:val="both"/>
        <w:rPr>
          <w:b/>
          <w:sz w:val="24"/>
          <w:lang w:val="en-GB"/>
        </w:rPr>
      </w:pPr>
    </w:p>
    <w:p w:rsidR="004977D7" w:rsidRDefault="004977D7" w:rsidP="005A062F">
      <w:pPr>
        <w:spacing w:line="360" w:lineRule="auto"/>
        <w:jc w:val="both"/>
        <w:rPr>
          <w:b/>
          <w:sz w:val="24"/>
          <w:lang w:val="en-GB"/>
        </w:rPr>
      </w:pPr>
    </w:p>
    <w:p w:rsidR="001A753B" w:rsidRDefault="001A753B" w:rsidP="005A062F">
      <w:pPr>
        <w:spacing w:line="360" w:lineRule="auto"/>
        <w:rPr>
          <w:b/>
          <w:sz w:val="24"/>
          <w:lang w:val="en-GB"/>
        </w:rPr>
      </w:pPr>
      <w:r>
        <w:rPr>
          <w:b/>
          <w:sz w:val="24"/>
          <w:lang w:val="en-GB"/>
        </w:rPr>
        <w:br w:type="page"/>
      </w:r>
    </w:p>
    <w:p w:rsidR="001A753B" w:rsidRPr="00D70AAC" w:rsidRDefault="001A753B" w:rsidP="005A062F">
      <w:pPr>
        <w:spacing w:line="360" w:lineRule="auto"/>
        <w:ind w:firstLine="708"/>
        <w:jc w:val="both"/>
        <w:rPr>
          <w:b/>
          <w:sz w:val="24"/>
          <w:lang w:val="en-GB"/>
        </w:rPr>
      </w:pPr>
      <w:r>
        <w:rPr>
          <w:b/>
          <w:sz w:val="24"/>
          <w:lang w:val="en-GB"/>
        </w:rPr>
        <w:lastRenderedPageBreak/>
        <w:t>2</w:t>
      </w:r>
      <w:r w:rsidRPr="00D70AAC">
        <w:rPr>
          <w:b/>
          <w:sz w:val="24"/>
          <w:lang w:val="en-GB"/>
        </w:rPr>
        <w:t xml:space="preserve"> - Aim of the Study</w:t>
      </w:r>
    </w:p>
    <w:p w:rsidR="001A753B" w:rsidRDefault="001A753B" w:rsidP="005A062F">
      <w:pPr>
        <w:spacing w:line="360" w:lineRule="auto"/>
        <w:jc w:val="both"/>
        <w:rPr>
          <w:lang w:val="en-GB"/>
        </w:rPr>
      </w:pPr>
      <w:r>
        <w:rPr>
          <w:lang w:val="en-GB"/>
        </w:rPr>
        <w:t>The</w:t>
      </w:r>
      <w:r w:rsidRPr="00362BD9">
        <w:rPr>
          <w:lang w:val="en-GB"/>
        </w:rPr>
        <w:t xml:space="preserve"> purpose of this </w:t>
      </w:r>
      <w:r>
        <w:rPr>
          <w:lang w:val="en-GB"/>
        </w:rPr>
        <w:t>thesis</w:t>
      </w:r>
      <w:r w:rsidRPr="00362BD9">
        <w:rPr>
          <w:lang w:val="en-GB"/>
        </w:rPr>
        <w:t xml:space="preserve"> is to find out whether having more idle cash leads to more impulsive reactions </w:t>
      </w:r>
      <w:r>
        <w:rPr>
          <w:lang w:val="en-GB"/>
        </w:rPr>
        <w:t xml:space="preserve">or overconfidence </w:t>
      </w:r>
      <w:r w:rsidRPr="00362BD9">
        <w:rPr>
          <w:lang w:val="en-GB"/>
        </w:rPr>
        <w:t xml:space="preserve">regarding </w:t>
      </w:r>
      <w:r>
        <w:rPr>
          <w:lang w:val="en-GB"/>
        </w:rPr>
        <w:t>M&amp;As</w:t>
      </w:r>
      <w:r w:rsidRPr="00362BD9">
        <w:rPr>
          <w:lang w:val="en-GB"/>
        </w:rPr>
        <w:t xml:space="preserve"> and therefore inferior </w:t>
      </w:r>
      <w:r w:rsidRPr="0061110E">
        <w:rPr>
          <w:lang w:val="en-GB"/>
        </w:rPr>
        <w:t>choices. In</w:t>
      </w:r>
      <w:r>
        <w:rPr>
          <w:lang w:val="en-GB"/>
        </w:rPr>
        <w:t xml:space="preserve"> other words, by summing the </w:t>
      </w:r>
      <w:r w:rsidR="00111CCB">
        <w:rPr>
          <w:lang w:val="en-GB"/>
        </w:rPr>
        <w:t>abnormal returns (</w:t>
      </w:r>
      <w:r w:rsidRPr="0061110E">
        <w:rPr>
          <w:lang w:val="en-GB"/>
        </w:rPr>
        <w:t>AR</w:t>
      </w:r>
      <w:r w:rsidR="00111CCB">
        <w:rPr>
          <w:lang w:val="en-GB"/>
        </w:rPr>
        <w:t>)</w:t>
      </w:r>
      <w:r w:rsidRPr="0061110E">
        <w:rPr>
          <w:lang w:val="en-GB"/>
        </w:rPr>
        <w:t xml:space="preserve"> for the acquiring and the target firm, the value added or destroyed for society is measured. On the basis of this value added or destroyed, the research question will</w:t>
      </w:r>
      <w:r>
        <w:rPr>
          <w:lang w:val="en-GB"/>
        </w:rPr>
        <w:t xml:space="preserve"> be answered. Therefore, the research question of this thesis is as follows:</w:t>
      </w:r>
    </w:p>
    <w:p w:rsidR="001A753B" w:rsidRDefault="001A753B" w:rsidP="005A062F">
      <w:pPr>
        <w:spacing w:line="360" w:lineRule="auto"/>
        <w:jc w:val="both"/>
        <w:rPr>
          <w:b/>
          <w:i/>
          <w:lang w:val="en-GB"/>
        </w:rPr>
      </w:pPr>
      <w:r>
        <w:rPr>
          <w:b/>
          <w:i/>
          <w:lang w:val="en-GB"/>
        </w:rPr>
        <w:t>Do cash rich companies make inferior decisions regarding merger and acquisition deals in comparison with other non cash rich companies, and if so, why?</w:t>
      </w:r>
    </w:p>
    <w:p w:rsidR="001A753B" w:rsidRDefault="001A753B" w:rsidP="005A062F">
      <w:pPr>
        <w:spacing w:line="360" w:lineRule="auto"/>
        <w:ind w:left="708"/>
        <w:jc w:val="both"/>
        <w:rPr>
          <w:b/>
          <w:i/>
          <w:lang w:val="en-GB"/>
        </w:rPr>
      </w:pPr>
      <w:r>
        <w:rPr>
          <w:b/>
          <w:i/>
          <w:lang w:val="en-GB"/>
        </w:rPr>
        <w:t>H</w:t>
      </w:r>
      <w:r>
        <w:rPr>
          <w:b/>
          <w:i/>
          <w:vertAlign w:val="subscript"/>
          <w:lang w:val="en-GB"/>
        </w:rPr>
        <w:t>0</w:t>
      </w:r>
      <w:r>
        <w:rPr>
          <w:b/>
          <w:i/>
          <w:lang w:val="en-GB"/>
        </w:rPr>
        <w:t>: Companies with more idle cash make inferior M&amp;A decisions in comparison with companies with less idle cash.</w:t>
      </w:r>
    </w:p>
    <w:p w:rsidR="001A753B" w:rsidRPr="004977D7" w:rsidRDefault="001A753B" w:rsidP="005A062F">
      <w:pPr>
        <w:spacing w:line="360" w:lineRule="auto"/>
        <w:ind w:left="708"/>
        <w:jc w:val="both"/>
        <w:rPr>
          <w:b/>
          <w:i/>
          <w:lang w:val="en-GB"/>
        </w:rPr>
      </w:pPr>
    </w:p>
    <w:p w:rsidR="004977D7" w:rsidRPr="00D70AAC" w:rsidRDefault="001A753B" w:rsidP="005A062F">
      <w:pPr>
        <w:spacing w:line="360" w:lineRule="auto"/>
        <w:ind w:left="708"/>
        <w:jc w:val="both"/>
        <w:rPr>
          <w:sz w:val="24"/>
          <w:lang w:val="en-GB"/>
        </w:rPr>
      </w:pPr>
      <w:r>
        <w:rPr>
          <w:b/>
          <w:sz w:val="24"/>
          <w:lang w:val="en-GB"/>
        </w:rPr>
        <w:t>3</w:t>
      </w:r>
      <w:r w:rsidR="004977D7" w:rsidRPr="00D70AAC">
        <w:rPr>
          <w:b/>
          <w:sz w:val="24"/>
          <w:lang w:val="en-GB"/>
        </w:rPr>
        <w:t xml:space="preserve"> </w:t>
      </w:r>
      <w:r w:rsidR="004977D7">
        <w:rPr>
          <w:b/>
          <w:sz w:val="24"/>
          <w:lang w:val="en-GB"/>
        </w:rPr>
        <w:t>-</w:t>
      </w:r>
      <w:r w:rsidR="004977D7" w:rsidRPr="00D70AAC">
        <w:rPr>
          <w:b/>
          <w:sz w:val="24"/>
          <w:lang w:val="en-GB"/>
        </w:rPr>
        <w:t xml:space="preserve"> The shift from Conventional to Behavioural </w:t>
      </w:r>
    </w:p>
    <w:p w:rsidR="004977D7" w:rsidRDefault="004977D7" w:rsidP="005A062F">
      <w:pPr>
        <w:spacing w:line="360" w:lineRule="auto"/>
        <w:jc w:val="both"/>
        <w:rPr>
          <w:lang w:val="en-GB"/>
        </w:rPr>
      </w:pPr>
      <w:r>
        <w:rPr>
          <w:lang w:val="en-GB"/>
        </w:rPr>
        <w:t xml:space="preserve">In this thesis the focus will move from conventional explanations and research criteria to the possible behavioural explanations. To be more precise, the effects of having more idle cash against the situation of having less idle cash on M&amp;As will be researched. The reason for this is that the idea exists that companies who have less idle cash take more care with their decisions than companies with more idle cash. This can probably be imputed to the fact that companies with more idle cash act more impulsive, or think they are better, have better knowledge and more expertise than they actually have, resulting in overconfidence </w:t>
      </w:r>
      <w:sdt>
        <w:sdtPr>
          <w:rPr>
            <w:lang w:val="en-GB"/>
          </w:rPr>
          <w:id w:val="36275092"/>
          <w:citation/>
        </w:sdtPr>
        <w:sdtContent>
          <w:r w:rsidR="00067D34">
            <w:rPr>
              <w:lang w:val="en-GB"/>
            </w:rPr>
            <w:fldChar w:fldCharType="begin"/>
          </w:r>
          <w:r w:rsidRPr="00661143">
            <w:rPr>
              <w:lang w:val="en-GB"/>
            </w:rPr>
            <w:instrText xml:space="preserve"> CITATION Nad12 \l 1043 </w:instrText>
          </w:r>
          <w:r w:rsidR="00067D34">
            <w:rPr>
              <w:lang w:val="en-GB"/>
            </w:rPr>
            <w:fldChar w:fldCharType="separate"/>
          </w:r>
          <w:r w:rsidRPr="00661143">
            <w:rPr>
              <w:noProof/>
              <w:lang w:val="en-GB"/>
            </w:rPr>
            <w:t>(Stechyshyna, 2012)</w:t>
          </w:r>
          <w:r w:rsidR="00067D34">
            <w:rPr>
              <w:lang w:val="en-GB"/>
            </w:rPr>
            <w:fldChar w:fldCharType="end"/>
          </w:r>
        </w:sdtContent>
      </w:sdt>
      <w:r>
        <w:rPr>
          <w:lang w:val="en-GB"/>
        </w:rPr>
        <w:t>. First of all, this thesis researches if there are any differences between companies with more and companies with less idle cash. After that, possible reasons, like the ones mentioned here, are researched.</w:t>
      </w:r>
    </w:p>
    <w:p w:rsidR="004977D7" w:rsidRPr="00D70AAC" w:rsidRDefault="004977D7" w:rsidP="005A062F">
      <w:pPr>
        <w:spacing w:line="360" w:lineRule="auto"/>
        <w:ind w:firstLine="708"/>
        <w:rPr>
          <w:b/>
          <w:sz w:val="24"/>
          <w:lang w:val="en-GB"/>
        </w:rPr>
      </w:pPr>
      <w:r>
        <w:rPr>
          <w:b/>
          <w:sz w:val="24"/>
          <w:lang w:val="en-GB"/>
        </w:rPr>
        <w:br w:type="page"/>
      </w:r>
      <w:r w:rsidR="001A753B">
        <w:rPr>
          <w:b/>
          <w:sz w:val="24"/>
          <w:lang w:val="en-GB"/>
        </w:rPr>
        <w:lastRenderedPageBreak/>
        <w:t>4</w:t>
      </w:r>
      <w:r w:rsidRPr="00D70AAC">
        <w:rPr>
          <w:b/>
          <w:sz w:val="24"/>
          <w:lang w:val="en-GB"/>
        </w:rPr>
        <w:t xml:space="preserve"> - Research Area</w:t>
      </w:r>
    </w:p>
    <w:p w:rsidR="004977D7" w:rsidRPr="00BA1ED6" w:rsidRDefault="004977D7" w:rsidP="005A062F">
      <w:pPr>
        <w:spacing w:line="360" w:lineRule="auto"/>
        <w:jc w:val="both"/>
        <w:rPr>
          <w:lang w:val="en-GB"/>
        </w:rPr>
      </w:pPr>
      <w:r>
        <w:rPr>
          <w:lang w:val="en-GB"/>
        </w:rPr>
        <w:t>For this research, the acquirer as well as the target firm ha</w:t>
      </w:r>
      <w:r w:rsidR="00111CCB">
        <w:rPr>
          <w:lang w:val="en-GB"/>
        </w:rPr>
        <w:t>ve</w:t>
      </w:r>
      <w:r>
        <w:rPr>
          <w:lang w:val="en-GB"/>
        </w:rPr>
        <w:t xml:space="preserve"> to be </w:t>
      </w:r>
      <w:r w:rsidR="00111CCB">
        <w:rPr>
          <w:lang w:val="en-GB"/>
        </w:rPr>
        <w:t xml:space="preserve">located </w:t>
      </w:r>
      <w:r>
        <w:rPr>
          <w:lang w:val="en-GB"/>
        </w:rPr>
        <w:t>in Europe. This is for the desire to research European countries. This desire to research European co</w:t>
      </w:r>
      <w:r w:rsidR="00111CCB">
        <w:rPr>
          <w:lang w:val="en-GB"/>
        </w:rPr>
        <w:t>mpanies</w:t>
      </w:r>
      <w:r>
        <w:rPr>
          <w:lang w:val="en-GB"/>
        </w:rPr>
        <w:t xml:space="preserve"> arises from the fact that a lot of studies researched American co</w:t>
      </w:r>
      <w:r w:rsidR="00111CCB">
        <w:rPr>
          <w:lang w:val="en-GB"/>
        </w:rPr>
        <w:t>mpanies</w:t>
      </w:r>
      <w:r>
        <w:rPr>
          <w:lang w:val="en-GB"/>
        </w:rPr>
        <w:t>. Thinking it is important to try and find the same negative relationship between overconfidence and inferior M&amp;As in Eur</w:t>
      </w:r>
      <w:r w:rsidR="006C7D44">
        <w:rPr>
          <w:lang w:val="en-GB"/>
        </w:rPr>
        <w:t>ope as Malmendier and Tate (2008</w:t>
      </w:r>
      <w:r>
        <w:rPr>
          <w:lang w:val="en-GB"/>
        </w:rPr>
        <w:t xml:space="preserve">) and Morck, Shleifer and Vishny (1990) found </w:t>
      </w:r>
      <w:r w:rsidR="00111CCB">
        <w:rPr>
          <w:lang w:val="en-GB"/>
        </w:rPr>
        <w:t>for</w:t>
      </w:r>
      <w:r>
        <w:rPr>
          <w:lang w:val="en-GB"/>
        </w:rPr>
        <w:t xml:space="preserve"> American companies, the choice is made for European companies. An important notice is that more than 50% of the researched acquirers are from only six different countries</w:t>
      </w:r>
      <w:r w:rsidR="006C50AE">
        <w:rPr>
          <w:lang w:val="en-GB"/>
        </w:rPr>
        <w:t>, Switzerland, Finland, Germany, Sweden, the Netherlands and the United Kingdom</w:t>
      </w:r>
      <w:r>
        <w:rPr>
          <w:lang w:val="en-GB"/>
        </w:rPr>
        <w:t>.</w:t>
      </w:r>
      <w:r w:rsidR="006C50AE">
        <w:rPr>
          <w:lang w:val="en-GB"/>
        </w:rPr>
        <w:t xml:space="preserve"> This is not entirely accidental, as the first five countries mentioned are t</w:t>
      </w:r>
      <w:r>
        <w:rPr>
          <w:lang w:val="en-GB"/>
        </w:rPr>
        <w:t>he top five countries with the most competitive economies, according to the</w:t>
      </w:r>
      <w:r w:rsidR="006C50AE">
        <w:rPr>
          <w:lang w:val="en-GB"/>
        </w:rPr>
        <w:t xml:space="preserve"> Global Competitiveness Report</w:t>
      </w:r>
      <w:sdt>
        <w:sdtPr>
          <w:rPr>
            <w:lang w:val="en-GB"/>
          </w:rPr>
          <w:id w:val="1022150"/>
          <w:citation/>
        </w:sdtPr>
        <w:sdtContent>
          <w:r w:rsidR="00067D34">
            <w:rPr>
              <w:lang w:val="en-GB"/>
            </w:rPr>
            <w:fldChar w:fldCharType="begin"/>
          </w:r>
          <w:r w:rsidRPr="00BA1ED6">
            <w:rPr>
              <w:lang w:val="en-GB"/>
            </w:rPr>
            <w:instrText xml:space="preserve"> CITATION Sch14 \l 1043 </w:instrText>
          </w:r>
          <w:r w:rsidR="00067D34">
            <w:rPr>
              <w:lang w:val="en-GB"/>
            </w:rPr>
            <w:fldChar w:fldCharType="separate"/>
          </w:r>
          <w:r w:rsidRPr="00BA1ED6">
            <w:rPr>
              <w:noProof/>
              <w:lang w:val="en-GB"/>
            </w:rPr>
            <w:t xml:space="preserve"> (Schwab, 2013-2014)</w:t>
          </w:r>
          <w:r w:rsidR="00067D34">
            <w:rPr>
              <w:lang w:val="en-GB"/>
            </w:rPr>
            <w:fldChar w:fldCharType="end"/>
          </w:r>
        </w:sdtContent>
      </w:sdt>
      <w:r>
        <w:rPr>
          <w:lang w:val="en-GB"/>
        </w:rPr>
        <w:t xml:space="preserve">. The </w:t>
      </w:r>
      <w:r w:rsidR="006C50AE">
        <w:rPr>
          <w:lang w:val="en-GB"/>
        </w:rPr>
        <w:t xml:space="preserve">sixth </w:t>
      </w:r>
      <w:r>
        <w:rPr>
          <w:lang w:val="en-GB"/>
        </w:rPr>
        <w:t xml:space="preserve">country </w:t>
      </w:r>
      <w:r w:rsidR="006C50AE">
        <w:rPr>
          <w:lang w:val="en-GB"/>
        </w:rPr>
        <w:t xml:space="preserve">is the United Kingdom, the country </w:t>
      </w:r>
      <w:r>
        <w:rPr>
          <w:lang w:val="en-GB"/>
        </w:rPr>
        <w:t xml:space="preserve">with the </w:t>
      </w:r>
      <w:r w:rsidR="006C50AE">
        <w:rPr>
          <w:lang w:val="en-GB"/>
        </w:rPr>
        <w:t>highest absolute number of</w:t>
      </w:r>
      <w:r>
        <w:rPr>
          <w:lang w:val="en-GB"/>
        </w:rPr>
        <w:t xml:space="preserve"> M&amp;As </w:t>
      </w:r>
      <w:sdt>
        <w:sdtPr>
          <w:rPr>
            <w:lang w:val="en-GB"/>
          </w:rPr>
          <w:id w:val="1022151"/>
          <w:citation/>
        </w:sdtPr>
        <w:sdtContent>
          <w:r w:rsidR="00067D34">
            <w:rPr>
              <w:lang w:val="en-GB"/>
            </w:rPr>
            <w:fldChar w:fldCharType="begin"/>
          </w:r>
          <w:r w:rsidR="00A20FDF" w:rsidRPr="00A20FDF">
            <w:rPr>
              <w:lang w:val="en-US"/>
            </w:rPr>
            <w:instrText xml:space="preserve"> CITATION Jam13 \l 1043  </w:instrText>
          </w:r>
          <w:r w:rsidR="00067D34">
            <w:rPr>
              <w:lang w:val="en-GB"/>
            </w:rPr>
            <w:fldChar w:fldCharType="separate"/>
          </w:r>
          <w:r w:rsidR="00A20FDF" w:rsidRPr="00A20FDF">
            <w:rPr>
              <w:noProof/>
              <w:lang w:val="en-US"/>
            </w:rPr>
            <w:t>(Kilduff, 2013)</w:t>
          </w:r>
          <w:r w:rsidR="00067D34">
            <w:rPr>
              <w:lang w:val="en-GB"/>
            </w:rPr>
            <w:fldChar w:fldCharType="end"/>
          </w:r>
        </w:sdtContent>
      </w:sdt>
      <w:r>
        <w:rPr>
          <w:lang w:val="en-GB"/>
        </w:rPr>
        <w:t>. The</w:t>
      </w:r>
      <w:r w:rsidR="006C50AE">
        <w:rPr>
          <w:lang w:val="en-GB"/>
        </w:rPr>
        <w:t>se</w:t>
      </w:r>
      <w:r>
        <w:rPr>
          <w:lang w:val="en-GB"/>
        </w:rPr>
        <w:t xml:space="preserve"> countries are indicated in yellow in Figure 1.</w:t>
      </w:r>
      <w:r w:rsidR="005E404A">
        <w:rPr>
          <w:lang w:val="en-GB"/>
        </w:rPr>
        <w:t xml:space="preserve"> The target countries are not concentrated in a few countries like the acquirers, they are more equally distributed in the whole of Europe.</w:t>
      </w:r>
    </w:p>
    <w:p w:rsidR="004977D7" w:rsidRPr="00F7515D" w:rsidRDefault="004977D7" w:rsidP="005A062F">
      <w:pPr>
        <w:spacing w:line="360" w:lineRule="auto"/>
        <w:ind w:firstLine="708"/>
        <w:jc w:val="center"/>
        <w:rPr>
          <w:lang w:val="en-GB"/>
        </w:rPr>
      </w:pPr>
      <w:r w:rsidRPr="00F7515D">
        <w:rPr>
          <w:lang w:val="en-GB"/>
        </w:rPr>
        <w:t xml:space="preserve">Figure 1.3: The </w:t>
      </w:r>
      <w:r w:rsidR="006C50AE">
        <w:rPr>
          <w:lang w:val="en-GB"/>
        </w:rPr>
        <w:t xml:space="preserve">most important </w:t>
      </w:r>
      <w:r>
        <w:rPr>
          <w:lang w:val="en-GB"/>
        </w:rPr>
        <w:t xml:space="preserve">acquiring </w:t>
      </w:r>
      <w:r w:rsidRPr="00F7515D">
        <w:rPr>
          <w:lang w:val="en-GB"/>
        </w:rPr>
        <w:t xml:space="preserve">countries </w:t>
      </w:r>
      <w:r>
        <w:rPr>
          <w:lang w:val="en-GB"/>
        </w:rPr>
        <w:t>(indicated in yellow)</w:t>
      </w:r>
    </w:p>
    <w:p w:rsidR="004977D7" w:rsidRDefault="004977D7" w:rsidP="005A062F">
      <w:pPr>
        <w:spacing w:line="360" w:lineRule="auto"/>
        <w:jc w:val="both"/>
        <w:rPr>
          <w:b/>
          <w:lang w:val="en-GB"/>
        </w:rPr>
      </w:pPr>
      <w:r>
        <w:rPr>
          <w:b/>
          <w:noProof/>
          <w:lang w:val="en-US"/>
        </w:rPr>
        <w:drawing>
          <wp:anchor distT="0" distB="0" distL="114300" distR="114300" simplePos="0" relativeHeight="251661312" behindDoc="1" locked="0" layoutInCell="1" allowOverlap="1">
            <wp:simplePos x="0" y="0"/>
            <wp:positionH relativeFrom="column">
              <wp:posOffset>245110</wp:posOffset>
            </wp:positionH>
            <wp:positionV relativeFrom="paragraph">
              <wp:posOffset>146685</wp:posOffset>
            </wp:positionV>
            <wp:extent cx="4952365" cy="3168015"/>
            <wp:effectExtent l="19050" t="0" r="635" b="0"/>
            <wp:wrapTight wrapText="bothSides">
              <wp:wrapPolygon edited="0">
                <wp:start x="-83" y="0"/>
                <wp:lineTo x="-83" y="21431"/>
                <wp:lineTo x="21603" y="21431"/>
                <wp:lineTo x="21603" y="0"/>
                <wp:lineTo x="-83" y="0"/>
              </wp:wrapPolygon>
            </wp:wrapTight>
            <wp:docPr id="6" name="Afbeelding 1" descr="C:\Users\Gebruiker\Documents\Universiteit\Scriptie\map_europe (bewerkt in Pai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bruiker\Documents\Universiteit\Scriptie\map_europe (bewerkt in Paint).gif"/>
                    <pic:cNvPicPr>
                      <a:picLocks noChangeAspect="1" noChangeArrowheads="1"/>
                    </pic:cNvPicPr>
                  </pic:nvPicPr>
                  <pic:blipFill>
                    <a:blip r:embed="rId11" cstate="print"/>
                    <a:srcRect/>
                    <a:stretch>
                      <a:fillRect/>
                    </a:stretch>
                  </pic:blipFill>
                  <pic:spPr bwMode="auto">
                    <a:xfrm>
                      <a:off x="0" y="0"/>
                      <a:ext cx="4952365" cy="3168015"/>
                    </a:xfrm>
                    <a:prstGeom prst="rect">
                      <a:avLst/>
                    </a:prstGeom>
                    <a:noFill/>
                    <a:ln w="9525">
                      <a:noFill/>
                      <a:miter lim="800000"/>
                      <a:headEnd/>
                      <a:tailEnd/>
                    </a:ln>
                  </pic:spPr>
                </pic:pic>
              </a:graphicData>
            </a:graphic>
          </wp:anchor>
        </w:drawing>
      </w:r>
    </w:p>
    <w:p w:rsidR="004977D7" w:rsidRDefault="004977D7" w:rsidP="005A062F">
      <w:pPr>
        <w:spacing w:line="360" w:lineRule="auto"/>
        <w:jc w:val="both"/>
        <w:rPr>
          <w:b/>
          <w:lang w:val="en-GB"/>
        </w:rPr>
      </w:pPr>
    </w:p>
    <w:p w:rsidR="004977D7" w:rsidRDefault="004977D7" w:rsidP="005A062F">
      <w:pPr>
        <w:spacing w:line="360" w:lineRule="auto"/>
        <w:jc w:val="both"/>
        <w:rPr>
          <w:b/>
          <w:lang w:val="en-GB"/>
        </w:rPr>
      </w:pPr>
    </w:p>
    <w:p w:rsidR="004977D7" w:rsidRDefault="004977D7" w:rsidP="005A062F">
      <w:pPr>
        <w:spacing w:line="360" w:lineRule="auto"/>
        <w:jc w:val="both"/>
        <w:rPr>
          <w:b/>
          <w:lang w:val="en-GB"/>
        </w:rPr>
      </w:pPr>
    </w:p>
    <w:p w:rsidR="004977D7" w:rsidRDefault="004977D7" w:rsidP="005A062F">
      <w:pPr>
        <w:spacing w:line="360" w:lineRule="auto"/>
        <w:rPr>
          <w:b/>
          <w:lang w:val="en-GB"/>
        </w:rPr>
      </w:pPr>
      <w:r>
        <w:rPr>
          <w:b/>
          <w:lang w:val="en-GB"/>
        </w:rPr>
        <w:br w:type="page"/>
      </w:r>
    </w:p>
    <w:p w:rsidR="004977D7" w:rsidRPr="00D70AAC" w:rsidRDefault="001A753B" w:rsidP="005A062F">
      <w:pPr>
        <w:spacing w:line="360" w:lineRule="auto"/>
        <w:ind w:firstLine="708"/>
        <w:rPr>
          <w:b/>
          <w:sz w:val="24"/>
          <w:lang w:val="en-GB"/>
        </w:rPr>
      </w:pPr>
      <w:r>
        <w:rPr>
          <w:b/>
          <w:sz w:val="24"/>
          <w:lang w:val="en-GB"/>
        </w:rPr>
        <w:lastRenderedPageBreak/>
        <w:t>5</w:t>
      </w:r>
      <w:r w:rsidR="004977D7" w:rsidRPr="00D70AAC">
        <w:rPr>
          <w:b/>
          <w:sz w:val="24"/>
          <w:lang w:val="en-GB"/>
        </w:rPr>
        <w:t xml:space="preserve"> - Research Specifics</w:t>
      </w:r>
    </w:p>
    <w:p w:rsidR="004977D7" w:rsidRDefault="004977D7" w:rsidP="005A062F">
      <w:pPr>
        <w:spacing w:line="360" w:lineRule="auto"/>
        <w:jc w:val="both"/>
        <w:rPr>
          <w:lang w:val="en-GB"/>
        </w:rPr>
      </w:pPr>
      <w:r>
        <w:rPr>
          <w:lang w:val="en-GB"/>
        </w:rPr>
        <w:t>Under the current conditions, the M&amp;As are more and more often becoming the last resort for the owner of a company to continue its business in the way he envisions it</w:t>
      </w:r>
      <w:sdt>
        <w:sdtPr>
          <w:rPr>
            <w:lang w:val="en-GB"/>
          </w:rPr>
          <w:id w:val="6290368"/>
          <w:citation/>
        </w:sdtPr>
        <w:sdtContent>
          <w:r w:rsidR="00067D34">
            <w:rPr>
              <w:lang w:val="en-GB"/>
            </w:rPr>
            <w:fldChar w:fldCharType="begin"/>
          </w:r>
          <w:r w:rsidR="00F83BC2" w:rsidRPr="00F83BC2">
            <w:rPr>
              <w:lang w:val="en-US"/>
            </w:rPr>
            <w:instrText xml:space="preserve"> CITATION Mar13 \l 1043  </w:instrText>
          </w:r>
          <w:r w:rsidR="00067D34">
            <w:rPr>
              <w:lang w:val="en-GB"/>
            </w:rPr>
            <w:fldChar w:fldCharType="separate"/>
          </w:r>
          <w:r w:rsidR="00F83BC2" w:rsidRPr="00F83BC2">
            <w:rPr>
              <w:noProof/>
              <w:lang w:val="en-US"/>
            </w:rPr>
            <w:t xml:space="preserve"> (Marchan, 2013)</w:t>
          </w:r>
          <w:r w:rsidR="00067D34">
            <w:rPr>
              <w:lang w:val="en-GB"/>
            </w:rPr>
            <w:fldChar w:fldCharType="end"/>
          </w:r>
        </w:sdtContent>
      </w:sdt>
      <w:r>
        <w:rPr>
          <w:lang w:val="en-GB"/>
        </w:rPr>
        <w:t xml:space="preserve">. All in all, the financial crisis has massively changed the character of M&amp;As, making a very clear difference in pre- and post-financial crises takeovers. This distinction is partially caused by the fact that after the initial hit of the financial crisis the M&amp;A market did not recover, this market is still feeling the impact from the very start of the financial crisis. After a short revival around 2010 in both the absolute number and value of the M&amp;As, both these number started to decline even further. Nowadays, they are nearly at the lowest point ever after the start of the financial crisis, indicating the market for M&amp;As still suffers heavily from the financial crisis </w:t>
      </w:r>
      <w:sdt>
        <w:sdtPr>
          <w:rPr>
            <w:lang w:val="en-GB"/>
          </w:rPr>
          <w:id w:val="6290369"/>
          <w:citation/>
        </w:sdtPr>
        <w:sdtContent>
          <w:r w:rsidR="00067D34">
            <w:rPr>
              <w:lang w:val="en-GB"/>
            </w:rPr>
            <w:fldChar w:fldCharType="begin"/>
          </w:r>
          <w:r w:rsidR="00F83BC2" w:rsidRPr="00146CDE">
            <w:rPr>
              <w:lang w:val="en-US"/>
            </w:rPr>
            <w:instrText xml:space="preserve"> CITATION Mid12 \l 1043  </w:instrText>
          </w:r>
          <w:r w:rsidR="00067D34">
            <w:rPr>
              <w:lang w:val="en-GB"/>
            </w:rPr>
            <w:fldChar w:fldCharType="separate"/>
          </w:r>
          <w:r w:rsidR="00F83BC2" w:rsidRPr="00146CDE">
            <w:rPr>
              <w:noProof/>
              <w:lang w:val="en-US"/>
            </w:rPr>
            <w:t>(Mider, Campbell, &amp; Chan, 2012)</w:t>
          </w:r>
          <w:r w:rsidR="00067D34">
            <w:rPr>
              <w:lang w:val="en-GB"/>
            </w:rPr>
            <w:fldChar w:fldCharType="end"/>
          </w:r>
        </w:sdtContent>
      </w:sdt>
      <w:r>
        <w:rPr>
          <w:lang w:val="en-GB"/>
        </w:rPr>
        <w:t xml:space="preserve">. </w:t>
      </w:r>
    </w:p>
    <w:p w:rsidR="004977D7" w:rsidRDefault="004977D7" w:rsidP="005A062F">
      <w:pPr>
        <w:spacing w:line="360" w:lineRule="auto"/>
        <w:jc w:val="both"/>
        <w:rPr>
          <w:lang w:val="en-GB"/>
        </w:rPr>
      </w:pPr>
      <w:r>
        <w:rPr>
          <w:lang w:val="en-GB"/>
        </w:rPr>
        <w:t>The abovementioned facts are responsible for the fact that this thesis will focus on the year</w:t>
      </w:r>
      <w:r w:rsidR="001A753B">
        <w:rPr>
          <w:lang w:val="en-GB"/>
        </w:rPr>
        <w:t>s</w:t>
      </w:r>
      <w:r>
        <w:rPr>
          <w:lang w:val="en-GB"/>
        </w:rPr>
        <w:t xml:space="preserve"> before the crisis, and the most recent year</w:t>
      </w:r>
      <w:r w:rsidR="001A753B">
        <w:rPr>
          <w:lang w:val="en-GB"/>
        </w:rPr>
        <w:t>s</w:t>
      </w:r>
      <w:r>
        <w:rPr>
          <w:lang w:val="en-GB"/>
        </w:rPr>
        <w:t xml:space="preserve"> of which data is available as year</w:t>
      </w:r>
      <w:r w:rsidR="001A753B">
        <w:rPr>
          <w:lang w:val="en-GB"/>
        </w:rPr>
        <w:t>s</w:t>
      </w:r>
      <w:r>
        <w:rPr>
          <w:lang w:val="en-GB"/>
        </w:rPr>
        <w:t xml:space="preserve"> of comparison, as this is most representative due to the change in reasons for M&amp;As explained earlier. Therefore, the years this thesis will focus on are 2006-2007, also partially because this are the peak years regarding absolute number and value of the M&amp;As, with more than 18.000 takeovers with a combined value of just below 1.800 billion EUR in for example 2007. Also important for the research is to compare the acquired results regarding 2006-2007 to other years. The years chosen for this purpose are 2011-2012, this will let the research cover </w:t>
      </w:r>
      <w:r w:rsidR="0004153A">
        <w:rPr>
          <w:lang w:val="en-GB"/>
        </w:rPr>
        <w:t>four</w:t>
      </w:r>
      <w:r>
        <w:rPr>
          <w:lang w:val="en-GB"/>
        </w:rPr>
        <w:t xml:space="preserve"> years. </w:t>
      </w:r>
      <w:r w:rsidR="0004153A">
        <w:rPr>
          <w:lang w:val="en-GB"/>
        </w:rPr>
        <w:t>T</w:t>
      </w:r>
      <w:r>
        <w:rPr>
          <w:lang w:val="en-GB"/>
        </w:rPr>
        <w:t xml:space="preserve">he most important reason for the choice </w:t>
      </w:r>
      <w:r w:rsidR="0004153A">
        <w:rPr>
          <w:lang w:val="en-GB"/>
        </w:rPr>
        <w:t>to use the</w:t>
      </w:r>
      <w:r>
        <w:rPr>
          <w:lang w:val="en-GB"/>
        </w:rPr>
        <w:t xml:space="preserve"> years 2011-2012 is that it are the last possible year</w:t>
      </w:r>
      <w:r w:rsidR="0004153A">
        <w:rPr>
          <w:lang w:val="en-GB"/>
        </w:rPr>
        <w:t>s</w:t>
      </w:r>
      <w:r>
        <w:rPr>
          <w:lang w:val="en-GB"/>
        </w:rPr>
        <w:t xml:space="preserve"> from which data is available without too much data reduction. </w:t>
      </w:r>
    </w:p>
    <w:p w:rsidR="004977D7" w:rsidRDefault="004977D7" w:rsidP="005A062F">
      <w:pPr>
        <w:spacing w:line="360" w:lineRule="auto"/>
        <w:jc w:val="both"/>
        <w:rPr>
          <w:lang w:val="en-GB"/>
        </w:rPr>
      </w:pPr>
      <w:r>
        <w:rPr>
          <w:lang w:val="en-GB"/>
        </w:rPr>
        <w:t xml:space="preserve">Another important restriction of the research is the fact that banks, saving institutions and credit institutions are left out. This is because this kind of firms are known to be different in terms of policy and obligations to release information. </w:t>
      </w:r>
    </w:p>
    <w:p w:rsidR="004977D7" w:rsidRDefault="004977D7" w:rsidP="005A062F">
      <w:pPr>
        <w:spacing w:line="360" w:lineRule="auto"/>
        <w:ind w:left="708"/>
        <w:jc w:val="both"/>
        <w:rPr>
          <w:lang w:val="en-GB"/>
        </w:rPr>
      </w:pPr>
      <w:r>
        <w:rPr>
          <w:b/>
          <w:sz w:val="24"/>
          <w:lang w:val="en-GB"/>
        </w:rPr>
        <w:br/>
      </w:r>
    </w:p>
    <w:p w:rsidR="004977D7" w:rsidRDefault="004977D7" w:rsidP="005A062F">
      <w:pPr>
        <w:spacing w:line="360" w:lineRule="auto"/>
        <w:rPr>
          <w:lang w:val="en-GB"/>
        </w:rPr>
      </w:pPr>
      <w:r>
        <w:rPr>
          <w:lang w:val="en-GB"/>
        </w:rPr>
        <w:br w:type="page"/>
      </w:r>
    </w:p>
    <w:p w:rsidR="004977D7" w:rsidRPr="00D70AAC" w:rsidRDefault="001A753B" w:rsidP="005A062F">
      <w:pPr>
        <w:spacing w:line="360" w:lineRule="auto"/>
        <w:ind w:firstLine="708"/>
        <w:jc w:val="both"/>
        <w:rPr>
          <w:b/>
          <w:sz w:val="24"/>
          <w:lang w:val="en-GB"/>
        </w:rPr>
      </w:pPr>
      <w:r>
        <w:rPr>
          <w:b/>
          <w:sz w:val="24"/>
          <w:lang w:val="en-GB"/>
        </w:rPr>
        <w:lastRenderedPageBreak/>
        <w:t>6</w:t>
      </w:r>
      <w:r w:rsidR="004977D7" w:rsidRPr="00D70AAC">
        <w:rPr>
          <w:b/>
          <w:sz w:val="24"/>
          <w:lang w:val="en-GB"/>
        </w:rPr>
        <w:t xml:space="preserve"> - Link with Existing Literature</w:t>
      </w:r>
    </w:p>
    <w:p w:rsidR="005136EA" w:rsidRDefault="005136EA" w:rsidP="005A062F">
      <w:pPr>
        <w:spacing w:line="360" w:lineRule="auto"/>
        <w:jc w:val="both"/>
        <w:rPr>
          <w:lang w:val="en-GB"/>
        </w:rPr>
      </w:pPr>
      <w:r>
        <w:rPr>
          <w:lang w:val="en-GB"/>
        </w:rPr>
        <w:t xml:space="preserve">Traditionally, corporate finance studies assume that managers and investors have preferences and beliefs that are fully rational. A relatively new stream of research in corporate finance relieves this assumption and examines less-than-rational behaviour from the perspective of managers or investors. </w:t>
      </w:r>
      <w:r w:rsidR="004977D7">
        <w:rPr>
          <w:lang w:val="en-GB"/>
        </w:rPr>
        <w:t xml:space="preserve">Several papers, like the ones of Malmendier and Tate (2006), Doukas and Petmezas (2006), Ferris, Jayaraman and Sabherwel (2012) as well as Morck, Shleifer and Vishny (1990) acknowledge the presence of something called overconfidence by the CEO, or by the company. These CEOs, or companies, overestimate their own ability to generate returns, resulting in overpaying for their target firms and eventually having been involved in a value-destroying </w:t>
      </w:r>
      <w:r w:rsidR="00203C01">
        <w:rPr>
          <w:lang w:val="en-GB"/>
        </w:rPr>
        <w:t>M&amp;A</w:t>
      </w:r>
      <w:r w:rsidR="004977D7">
        <w:rPr>
          <w:lang w:val="en-GB"/>
        </w:rPr>
        <w:t xml:space="preserve"> </w:t>
      </w:r>
      <w:sdt>
        <w:sdtPr>
          <w:rPr>
            <w:lang w:val="en-GB"/>
          </w:rPr>
          <w:id w:val="6290371"/>
          <w:citation/>
        </w:sdtPr>
        <w:sdtContent>
          <w:r w:rsidR="00067D34">
            <w:rPr>
              <w:lang w:val="en-GB"/>
            </w:rPr>
            <w:fldChar w:fldCharType="begin"/>
          </w:r>
          <w:r w:rsidR="00A67D15" w:rsidRPr="00A67D15">
            <w:rPr>
              <w:lang w:val="en-GB"/>
            </w:rPr>
            <w:instrText xml:space="preserve"> CITATION Mal06 \l 1043  </w:instrText>
          </w:r>
          <w:r w:rsidR="00067D34">
            <w:rPr>
              <w:lang w:val="en-GB"/>
            </w:rPr>
            <w:fldChar w:fldCharType="separate"/>
          </w:r>
          <w:r w:rsidR="00A67D15" w:rsidRPr="00A67D15">
            <w:rPr>
              <w:noProof/>
              <w:lang w:val="en-GB"/>
            </w:rPr>
            <w:t>(Malmendier &amp; Tate, 2008)</w:t>
          </w:r>
          <w:r w:rsidR="00067D34">
            <w:rPr>
              <w:lang w:val="en-GB"/>
            </w:rPr>
            <w:fldChar w:fldCharType="end"/>
          </w:r>
        </w:sdtContent>
      </w:sdt>
      <w:r w:rsidR="004977D7">
        <w:rPr>
          <w:lang w:val="en-GB"/>
        </w:rPr>
        <w:t>. The paper of John A. Doukas and Dimitris Petmezas (2006) even presumes that overconfident bidders realize lower returns on their investments</w:t>
      </w:r>
      <w:r w:rsidR="00203C01">
        <w:rPr>
          <w:lang w:val="en-GB"/>
        </w:rPr>
        <w:t xml:space="preserve"> than economically rational bidders,</w:t>
      </w:r>
      <w:r w:rsidR="004977D7">
        <w:rPr>
          <w:lang w:val="en-GB"/>
        </w:rPr>
        <w:t xml:space="preserve"> regarding M&amp;As </w:t>
      </w:r>
      <w:sdt>
        <w:sdtPr>
          <w:rPr>
            <w:lang w:val="en-GB"/>
          </w:rPr>
          <w:id w:val="6290372"/>
          <w:citation/>
        </w:sdtPr>
        <w:sdtContent>
          <w:r w:rsidR="00067D34">
            <w:rPr>
              <w:lang w:val="en-GB"/>
            </w:rPr>
            <w:fldChar w:fldCharType="begin"/>
          </w:r>
          <w:r w:rsidR="00A0519A" w:rsidRPr="00A0519A">
            <w:rPr>
              <w:lang w:val="en-US"/>
            </w:rPr>
            <w:instrText xml:space="preserve"> CITATION Dou \l 1043  </w:instrText>
          </w:r>
          <w:r w:rsidR="00067D34">
            <w:rPr>
              <w:lang w:val="en-GB"/>
            </w:rPr>
            <w:fldChar w:fldCharType="separate"/>
          </w:r>
          <w:r w:rsidR="00A0519A" w:rsidRPr="00A0519A">
            <w:rPr>
              <w:noProof/>
              <w:lang w:val="en-US"/>
            </w:rPr>
            <w:t>(Doukas &amp; Petmezas, 2006)</w:t>
          </w:r>
          <w:r w:rsidR="00067D34">
            <w:rPr>
              <w:lang w:val="en-GB"/>
            </w:rPr>
            <w:fldChar w:fldCharType="end"/>
          </w:r>
        </w:sdtContent>
      </w:sdt>
      <w:r w:rsidR="004977D7">
        <w:rPr>
          <w:lang w:val="en-GB"/>
        </w:rPr>
        <w:t xml:space="preserve">. </w:t>
      </w:r>
      <w:r w:rsidR="00A67D15">
        <w:rPr>
          <w:lang w:val="en-GB"/>
        </w:rPr>
        <w:t xml:space="preserve">However, </w:t>
      </w:r>
      <w:r>
        <w:rPr>
          <w:lang w:val="en-GB"/>
        </w:rPr>
        <w:t xml:space="preserve">not all </w:t>
      </w:r>
      <w:r w:rsidR="00A67D15">
        <w:rPr>
          <w:lang w:val="en-GB"/>
        </w:rPr>
        <w:t xml:space="preserve">the previous researchers agree in this aspect. Hirshleiver, Low and Teoh (2012) found for example that at the same time, overconfidence makes managers better innovators, which can be beneficial for companies operating in industries where innovation is important </w:t>
      </w:r>
      <w:sdt>
        <w:sdtPr>
          <w:rPr>
            <w:lang w:val="en-GB"/>
          </w:rPr>
          <w:id w:val="1339791"/>
          <w:citation/>
        </w:sdtPr>
        <w:sdtContent>
          <w:r w:rsidR="00067D34">
            <w:rPr>
              <w:lang w:val="en-GB"/>
            </w:rPr>
            <w:fldChar w:fldCharType="begin"/>
          </w:r>
          <w:r w:rsidR="00A67D15" w:rsidRPr="00A67D15">
            <w:rPr>
              <w:lang w:val="en-GB"/>
            </w:rPr>
            <w:instrText xml:space="preserve"> CITATION Hir12 \l 1043 </w:instrText>
          </w:r>
          <w:r w:rsidR="00067D34">
            <w:rPr>
              <w:lang w:val="en-GB"/>
            </w:rPr>
            <w:fldChar w:fldCharType="separate"/>
          </w:r>
          <w:r w:rsidR="00A67D15" w:rsidRPr="00A67D15">
            <w:rPr>
              <w:noProof/>
              <w:lang w:val="en-GB"/>
            </w:rPr>
            <w:t>(Hirschleiver, Low, &amp; Teoh, 2012)</w:t>
          </w:r>
          <w:r w:rsidR="00067D34">
            <w:rPr>
              <w:lang w:val="en-GB"/>
            </w:rPr>
            <w:fldChar w:fldCharType="end"/>
          </w:r>
        </w:sdtContent>
      </w:sdt>
      <w:r w:rsidR="00A67D15">
        <w:rPr>
          <w:lang w:val="en-GB"/>
        </w:rPr>
        <w:t>.</w:t>
      </w:r>
      <w:r>
        <w:rPr>
          <w:lang w:val="en-GB"/>
        </w:rPr>
        <w:t xml:space="preserve"> </w:t>
      </w:r>
      <w:r w:rsidR="00F94970">
        <w:rPr>
          <w:lang w:val="en-GB"/>
        </w:rPr>
        <w:t>Additionally</w:t>
      </w:r>
      <w:r>
        <w:rPr>
          <w:lang w:val="en-GB"/>
        </w:rPr>
        <w:t xml:space="preserve">, Roussanov and Savor (2012) found that other factors, like marriage and status can also influence the performance of the CEOs </w:t>
      </w:r>
      <w:sdt>
        <w:sdtPr>
          <w:rPr>
            <w:lang w:val="en-GB"/>
          </w:rPr>
          <w:id w:val="1339792"/>
          <w:citation/>
        </w:sdtPr>
        <w:sdtContent>
          <w:r w:rsidR="00067D34">
            <w:rPr>
              <w:lang w:val="en-GB"/>
            </w:rPr>
            <w:fldChar w:fldCharType="begin"/>
          </w:r>
          <w:r w:rsidRPr="005136EA">
            <w:rPr>
              <w:lang w:val="en-GB"/>
            </w:rPr>
            <w:instrText xml:space="preserve"> CITATION Rou12 \l 1043 </w:instrText>
          </w:r>
          <w:r w:rsidR="00067D34">
            <w:rPr>
              <w:lang w:val="en-GB"/>
            </w:rPr>
            <w:fldChar w:fldCharType="separate"/>
          </w:r>
          <w:r w:rsidRPr="005136EA">
            <w:rPr>
              <w:noProof/>
              <w:lang w:val="en-GB"/>
            </w:rPr>
            <w:t>(Roussanov &amp; Savor, 2012)</w:t>
          </w:r>
          <w:r w:rsidR="00067D34">
            <w:rPr>
              <w:lang w:val="en-GB"/>
            </w:rPr>
            <w:fldChar w:fldCharType="end"/>
          </w:r>
        </w:sdtContent>
      </w:sdt>
      <w:r>
        <w:rPr>
          <w:lang w:val="en-GB"/>
        </w:rPr>
        <w:t xml:space="preserve">. </w:t>
      </w:r>
      <w:r w:rsidR="00A67D15">
        <w:rPr>
          <w:lang w:val="en-GB"/>
        </w:rPr>
        <w:t xml:space="preserve"> </w:t>
      </w:r>
    </w:p>
    <w:p w:rsidR="004977D7" w:rsidRDefault="004977D7" w:rsidP="005136EA">
      <w:pPr>
        <w:spacing w:line="360" w:lineRule="auto"/>
        <w:jc w:val="both"/>
        <w:rPr>
          <w:lang w:val="en-GB"/>
        </w:rPr>
      </w:pPr>
      <w:r>
        <w:rPr>
          <w:lang w:val="en-GB"/>
        </w:rPr>
        <w:t xml:space="preserve">In another paper, from Stephan P. Ferris, Narayanan Jayaraman and Sanjiv Sabherwal (2012), it is concluded that overconfidence leads to more M&amp;As as opposed to the situation of a normal amount of confidence. This higher than normal amount of M&amp;As, logically, comes at the expense of quality </w:t>
      </w:r>
      <w:sdt>
        <w:sdtPr>
          <w:rPr>
            <w:lang w:val="en-GB"/>
          </w:rPr>
          <w:id w:val="6290373"/>
          <w:citation/>
        </w:sdtPr>
        <w:sdtContent>
          <w:r w:rsidR="00067D34">
            <w:rPr>
              <w:lang w:val="en-GB"/>
            </w:rPr>
            <w:fldChar w:fldCharType="begin"/>
          </w:r>
          <w:r w:rsidR="00C45DA4" w:rsidRPr="00C45DA4">
            <w:rPr>
              <w:lang w:val="en-GB"/>
            </w:rPr>
            <w:instrText xml:space="preserve"> CITATION Fer \l 1043  </w:instrText>
          </w:r>
          <w:r w:rsidR="00067D34">
            <w:rPr>
              <w:lang w:val="en-GB"/>
            </w:rPr>
            <w:fldChar w:fldCharType="separate"/>
          </w:r>
          <w:r w:rsidR="00C45DA4" w:rsidRPr="00C45DA4">
            <w:rPr>
              <w:noProof/>
              <w:lang w:val="en-GB"/>
            </w:rPr>
            <w:t>(Ferris, Jayaraman, &amp; Sabherwal, 2012)</w:t>
          </w:r>
          <w:r w:rsidR="00067D34">
            <w:rPr>
              <w:lang w:val="en-GB"/>
            </w:rPr>
            <w:fldChar w:fldCharType="end"/>
          </w:r>
        </w:sdtContent>
      </w:sdt>
      <w:r>
        <w:rPr>
          <w:lang w:val="en-GB"/>
        </w:rPr>
        <w:t>. In this context, Malmendier and Tate (2006) found that overconfident CEOs more often choose for diversifying M&amp;As. Exactly these diversifying M&amp;As are what results in negative announcement returns</w:t>
      </w:r>
      <w:sdt>
        <w:sdtPr>
          <w:rPr>
            <w:lang w:val="en-GB"/>
          </w:rPr>
          <w:id w:val="36275095"/>
          <w:citation/>
        </w:sdtPr>
        <w:sdtContent>
          <w:r w:rsidR="00067D34">
            <w:rPr>
              <w:lang w:val="en-GB"/>
            </w:rPr>
            <w:fldChar w:fldCharType="begin"/>
          </w:r>
          <w:r w:rsidR="00D853B9" w:rsidRPr="00D853B9">
            <w:rPr>
              <w:lang w:val="en-GB"/>
            </w:rPr>
            <w:instrText xml:space="preserve"> CITATION Mor90 \l 1043  </w:instrText>
          </w:r>
          <w:r w:rsidR="00067D34">
            <w:rPr>
              <w:lang w:val="en-GB"/>
            </w:rPr>
            <w:fldChar w:fldCharType="separate"/>
          </w:r>
          <w:r w:rsidR="00D853B9" w:rsidRPr="00D853B9">
            <w:rPr>
              <w:noProof/>
              <w:lang w:val="en-GB"/>
            </w:rPr>
            <w:t xml:space="preserve"> (Morck, Shleifer, &amp; Vishny, 1990)</w:t>
          </w:r>
          <w:r w:rsidR="00067D34">
            <w:rPr>
              <w:lang w:val="en-GB"/>
            </w:rPr>
            <w:fldChar w:fldCharType="end"/>
          </w:r>
        </w:sdtContent>
      </w:sdt>
      <w:r>
        <w:rPr>
          <w:lang w:val="en-GB"/>
        </w:rPr>
        <w:t>. All these papers, and many more examples, suggest a negative relationship between the (cumulative) abnormal returns ((C)AR</w:t>
      </w:r>
      <w:r w:rsidR="0004153A">
        <w:rPr>
          <w:lang w:val="en-GB"/>
        </w:rPr>
        <w:t>s</w:t>
      </w:r>
      <w:r>
        <w:rPr>
          <w:lang w:val="en-GB"/>
        </w:rPr>
        <w:t>) of the M&amp;As and overconfidence of th</w:t>
      </w:r>
      <w:r w:rsidR="0004153A">
        <w:rPr>
          <w:lang w:val="en-GB"/>
        </w:rPr>
        <w:t>e CEO or acquiring company. O</w:t>
      </w:r>
      <w:r>
        <w:rPr>
          <w:lang w:val="en-GB"/>
        </w:rPr>
        <w:t>verconfidence may arise from having mo</w:t>
      </w:r>
      <w:r w:rsidR="0004153A">
        <w:rPr>
          <w:lang w:val="en-GB"/>
        </w:rPr>
        <w:t>re idle cash. Therefore, t</w:t>
      </w:r>
      <w:r>
        <w:rPr>
          <w:lang w:val="en-GB"/>
        </w:rPr>
        <w:t xml:space="preserve">he aim of this thesis is to define the relationship between the amount of idle cash and performance as measured by (C)AR of the acquiring firms in the M&amp;As.      </w:t>
      </w:r>
    </w:p>
    <w:p w:rsidR="001933F6" w:rsidRDefault="001933F6" w:rsidP="005A062F">
      <w:pPr>
        <w:spacing w:line="360" w:lineRule="auto"/>
        <w:rPr>
          <w:b/>
          <w:sz w:val="32"/>
          <w:lang w:val="en-GB"/>
        </w:rPr>
      </w:pPr>
    </w:p>
    <w:p w:rsidR="002528A6" w:rsidRDefault="002528A6" w:rsidP="005A062F">
      <w:pPr>
        <w:spacing w:line="360" w:lineRule="auto"/>
        <w:rPr>
          <w:b/>
          <w:sz w:val="32"/>
          <w:lang w:val="en-GB"/>
        </w:rPr>
      </w:pPr>
    </w:p>
    <w:p w:rsidR="003A0C1E" w:rsidRDefault="003A0C1E" w:rsidP="003A0C1E">
      <w:pPr>
        <w:spacing w:line="360" w:lineRule="auto"/>
        <w:jc w:val="right"/>
        <w:rPr>
          <w:b/>
          <w:sz w:val="32"/>
          <w:lang w:val="en-GB"/>
        </w:rPr>
      </w:pPr>
    </w:p>
    <w:p w:rsidR="005136EA" w:rsidRDefault="005136EA" w:rsidP="003A0C1E">
      <w:pPr>
        <w:spacing w:line="360" w:lineRule="auto"/>
        <w:jc w:val="right"/>
        <w:rPr>
          <w:b/>
          <w:sz w:val="32"/>
          <w:lang w:val="en-GB"/>
        </w:rPr>
      </w:pPr>
    </w:p>
    <w:p w:rsidR="003A0C1E" w:rsidRDefault="003A0C1E" w:rsidP="003A0C1E">
      <w:pPr>
        <w:spacing w:line="360" w:lineRule="auto"/>
        <w:jc w:val="right"/>
        <w:rPr>
          <w:b/>
          <w:sz w:val="32"/>
          <w:lang w:val="en-GB"/>
        </w:rPr>
      </w:pPr>
      <w:r>
        <w:rPr>
          <w:b/>
          <w:sz w:val="32"/>
          <w:lang w:val="en-GB"/>
        </w:rPr>
        <w:t>CHAPTER 2</w:t>
      </w:r>
      <w:r w:rsidR="005D7183">
        <w:rPr>
          <w:b/>
          <w:sz w:val="32"/>
          <w:lang w:val="en-GB"/>
        </w:rPr>
        <w:t xml:space="preserve"> – LITE</w:t>
      </w:r>
      <w:r>
        <w:rPr>
          <w:b/>
          <w:sz w:val="32"/>
          <w:lang w:val="en-GB"/>
        </w:rPr>
        <w:t>RATURE</w:t>
      </w:r>
      <w:r w:rsidR="005D7183">
        <w:rPr>
          <w:b/>
          <w:sz w:val="32"/>
          <w:lang w:val="en-GB"/>
        </w:rPr>
        <w:t xml:space="preserve"> REVIEW</w:t>
      </w:r>
    </w:p>
    <w:p w:rsidR="003A0C1E" w:rsidRDefault="003A0C1E" w:rsidP="003A0C1E">
      <w:pPr>
        <w:spacing w:line="360" w:lineRule="auto"/>
        <w:jc w:val="right"/>
        <w:rPr>
          <w:b/>
          <w:sz w:val="32"/>
          <w:lang w:val="en-GB"/>
        </w:rPr>
      </w:pPr>
      <w:r>
        <w:rPr>
          <w:b/>
          <w:sz w:val="32"/>
          <w:lang w:val="en-GB"/>
        </w:rPr>
        <w:t>________________________________________________________</w:t>
      </w:r>
    </w:p>
    <w:p w:rsidR="003A0C1E" w:rsidRDefault="003A0C1E" w:rsidP="003A0C1E">
      <w:pPr>
        <w:spacing w:line="360" w:lineRule="auto"/>
        <w:rPr>
          <w:lang w:val="en-GB"/>
        </w:rPr>
      </w:pPr>
    </w:p>
    <w:p w:rsidR="003A0C1E" w:rsidRDefault="003A0C1E" w:rsidP="003A0C1E">
      <w:pPr>
        <w:spacing w:line="360" w:lineRule="auto"/>
        <w:jc w:val="both"/>
        <w:rPr>
          <w:lang w:val="en-GB"/>
        </w:rPr>
      </w:pPr>
      <w:r w:rsidRPr="00C27A4D">
        <w:rPr>
          <w:lang w:val="en-GB"/>
        </w:rPr>
        <w:t xml:space="preserve">In order to extend the short literature overview given in 1.6, a more extensive literature research will be </w:t>
      </w:r>
      <w:r w:rsidR="00327FAD">
        <w:rPr>
          <w:lang w:val="en-GB"/>
        </w:rPr>
        <w:t>executed</w:t>
      </w:r>
      <w:r w:rsidRPr="00C27A4D">
        <w:rPr>
          <w:lang w:val="en-GB"/>
        </w:rPr>
        <w:t xml:space="preserve">. </w:t>
      </w:r>
      <w:r>
        <w:rPr>
          <w:lang w:val="en-GB"/>
        </w:rPr>
        <w:t xml:space="preserve">A literature research in advance of the empirical research can be worthy, as some earlier research results approve the null-hypotheses of the main research question and others contradict . </w:t>
      </w:r>
    </w:p>
    <w:p w:rsidR="003A0C1E" w:rsidRDefault="003A0C1E" w:rsidP="003A0C1E">
      <w:pPr>
        <w:spacing w:line="360" w:lineRule="auto"/>
        <w:jc w:val="both"/>
        <w:rPr>
          <w:lang w:val="en-GB"/>
        </w:rPr>
      </w:pPr>
      <w:r>
        <w:rPr>
          <w:lang w:val="en-GB"/>
        </w:rPr>
        <w:t xml:space="preserve">Prior to the literature research, it can be helpful for the overall understanding to discuss and explain some of the basics of M&amp;As, this will include the discussion of types, advantages and disadvantages, motives and an explanation about the deal premium. </w:t>
      </w:r>
    </w:p>
    <w:p w:rsidR="003A0C1E" w:rsidRDefault="003A0C1E" w:rsidP="003A0C1E">
      <w:pPr>
        <w:spacing w:line="360" w:lineRule="auto"/>
        <w:jc w:val="both"/>
        <w:rPr>
          <w:lang w:val="en-GB"/>
        </w:rPr>
      </w:pPr>
      <w:r>
        <w:rPr>
          <w:lang w:val="en-GB"/>
        </w:rPr>
        <w:t>At the end of this chapter, the hypotheses are derived from the literature and will be explained.</w:t>
      </w:r>
    </w:p>
    <w:p w:rsidR="003A0C1E" w:rsidRDefault="003A0C1E" w:rsidP="003A0C1E">
      <w:pPr>
        <w:spacing w:line="360" w:lineRule="auto"/>
        <w:jc w:val="both"/>
        <w:rPr>
          <w:lang w:val="en-GB"/>
        </w:rPr>
      </w:pPr>
    </w:p>
    <w:p w:rsidR="003A0C1E" w:rsidRDefault="003A0C1E" w:rsidP="003A0C1E">
      <w:pPr>
        <w:spacing w:line="240" w:lineRule="auto"/>
        <w:ind w:firstLine="708"/>
        <w:jc w:val="both"/>
        <w:rPr>
          <w:b/>
          <w:sz w:val="24"/>
          <w:lang w:val="en-GB"/>
        </w:rPr>
      </w:pPr>
      <w:r w:rsidRPr="00200032">
        <w:rPr>
          <w:b/>
          <w:sz w:val="24"/>
          <w:lang w:val="en-GB"/>
        </w:rPr>
        <w:t xml:space="preserve">1 – </w:t>
      </w:r>
      <w:r>
        <w:rPr>
          <w:b/>
          <w:sz w:val="24"/>
          <w:lang w:val="en-GB"/>
        </w:rPr>
        <w:t>Basics of M&amp;As</w:t>
      </w:r>
    </w:p>
    <w:p w:rsidR="003A0C1E" w:rsidRPr="00200032" w:rsidRDefault="003A0C1E" w:rsidP="003A0C1E">
      <w:pPr>
        <w:spacing w:line="240" w:lineRule="auto"/>
        <w:ind w:left="708" w:firstLine="708"/>
        <w:jc w:val="both"/>
        <w:rPr>
          <w:b/>
          <w:sz w:val="24"/>
          <w:lang w:val="en-GB"/>
        </w:rPr>
      </w:pPr>
      <w:r>
        <w:rPr>
          <w:b/>
          <w:sz w:val="24"/>
          <w:lang w:val="en-GB"/>
        </w:rPr>
        <w:t>1.1 – M&amp;A types</w:t>
      </w:r>
    </w:p>
    <w:p w:rsidR="003A0C1E" w:rsidRDefault="003A0C1E" w:rsidP="003A0C1E">
      <w:pPr>
        <w:spacing w:line="360" w:lineRule="auto"/>
        <w:jc w:val="both"/>
        <w:rPr>
          <w:lang w:val="en-GB"/>
        </w:rPr>
      </w:pPr>
      <w:r>
        <w:rPr>
          <w:lang w:val="en-GB"/>
        </w:rPr>
        <w:t>There are three different kinds of M&amp;As to distinguish</w:t>
      </w:r>
      <w:sdt>
        <w:sdtPr>
          <w:rPr>
            <w:lang w:val="en-GB"/>
          </w:rPr>
          <w:id w:val="16567650"/>
          <w:citation/>
        </w:sdtPr>
        <w:sdtContent>
          <w:r w:rsidR="00067D34">
            <w:rPr>
              <w:lang w:val="en-GB"/>
            </w:rPr>
            <w:fldChar w:fldCharType="begin"/>
          </w:r>
          <w:r w:rsidR="00227C02" w:rsidRPr="00227C02">
            <w:rPr>
              <w:lang w:val="en-GB"/>
            </w:rPr>
            <w:instrText xml:space="preserve"> CITATION DeM11 \l 1043  </w:instrText>
          </w:r>
          <w:r w:rsidR="00067D34">
            <w:rPr>
              <w:lang w:val="en-GB"/>
            </w:rPr>
            <w:fldChar w:fldCharType="separate"/>
          </w:r>
          <w:r w:rsidR="00227C02" w:rsidRPr="00227C02">
            <w:rPr>
              <w:noProof/>
              <w:lang w:val="en-GB"/>
            </w:rPr>
            <w:t xml:space="preserve"> (DeMarzo &amp; Berk, 2011)</w:t>
          </w:r>
          <w:r w:rsidR="00067D34">
            <w:rPr>
              <w:lang w:val="en-GB"/>
            </w:rPr>
            <w:fldChar w:fldCharType="end"/>
          </w:r>
        </w:sdtContent>
      </w:sdt>
      <w:r>
        <w:rPr>
          <w:lang w:val="en-GB"/>
        </w:rPr>
        <w:t>:</w:t>
      </w:r>
    </w:p>
    <w:p w:rsidR="003A0C1E" w:rsidRPr="00463BF3" w:rsidRDefault="003A0C1E" w:rsidP="003A0C1E">
      <w:pPr>
        <w:pStyle w:val="ListParagraph"/>
        <w:numPr>
          <w:ilvl w:val="0"/>
          <w:numId w:val="4"/>
        </w:numPr>
        <w:spacing w:line="360" w:lineRule="auto"/>
        <w:jc w:val="both"/>
        <w:rPr>
          <w:lang w:val="en-GB"/>
        </w:rPr>
      </w:pPr>
      <w:r w:rsidRPr="00463BF3">
        <w:rPr>
          <w:lang w:val="en-GB"/>
        </w:rPr>
        <w:t xml:space="preserve">Horizontal integration, where two </w:t>
      </w:r>
      <w:r>
        <w:rPr>
          <w:lang w:val="en-GB"/>
        </w:rPr>
        <w:t xml:space="preserve">similar </w:t>
      </w:r>
      <w:r w:rsidRPr="00463BF3">
        <w:rPr>
          <w:lang w:val="en-GB"/>
        </w:rPr>
        <w:t>companies in the same industry decide to continue business together.</w:t>
      </w:r>
      <w:r>
        <w:rPr>
          <w:lang w:val="en-GB"/>
        </w:rPr>
        <w:t xml:space="preserve"> This therefore concerns two companies at the same level in the value chain, for example both manufacturing or transport companies. This horizontal integration enables the company to share resources and most likely, to achieve economies of scale. </w:t>
      </w:r>
      <w:sdt>
        <w:sdtPr>
          <w:rPr>
            <w:lang w:val="en-GB"/>
          </w:rPr>
          <w:id w:val="16567651"/>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r>
        <w:rPr>
          <w:lang w:val="en-GB"/>
        </w:rPr>
        <w:t xml:space="preserve"> </w:t>
      </w:r>
    </w:p>
    <w:p w:rsidR="003A0C1E" w:rsidRPr="00463BF3" w:rsidRDefault="003A0C1E" w:rsidP="003A0C1E">
      <w:pPr>
        <w:pStyle w:val="ListParagraph"/>
        <w:numPr>
          <w:ilvl w:val="0"/>
          <w:numId w:val="4"/>
        </w:numPr>
        <w:spacing w:line="360" w:lineRule="auto"/>
        <w:jc w:val="both"/>
        <w:rPr>
          <w:lang w:val="en-GB"/>
        </w:rPr>
      </w:pPr>
      <w:r w:rsidRPr="00463BF3">
        <w:rPr>
          <w:lang w:val="en-GB"/>
        </w:rPr>
        <w:t>Vertical integration, where two companies who are not in the same industry, but are (in different stages) in the same supply chain, decide to continue business together.</w:t>
      </w:r>
      <w:r>
        <w:rPr>
          <w:lang w:val="en-GB"/>
        </w:rPr>
        <w:t xml:space="preserve"> This can for example result in one company taking over the company that provided him with the semi-finished products used in their production process. Obviously, this can be very beneficial as </w:t>
      </w:r>
      <w:r>
        <w:rPr>
          <w:lang w:val="en-GB"/>
        </w:rPr>
        <w:lastRenderedPageBreak/>
        <w:t xml:space="preserve">the manufacturing company does no longer have to pay the margin over the production costs of these semi-finished products. Therefore, this can lead to cost reduction, also in other departments, like the possible reduction in transport costs for example. </w:t>
      </w:r>
      <w:sdt>
        <w:sdtPr>
          <w:rPr>
            <w:lang w:val="en-GB"/>
          </w:rPr>
          <w:id w:val="16567652"/>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p>
    <w:p w:rsidR="003A0C1E" w:rsidRDefault="003A0C1E" w:rsidP="003A0C1E">
      <w:pPr>
        <w:pStyle w:val="ListParagraph"/>
        <w:numPr>
          <w:ilvl w:val="0"/>
          <w:numId w:val="4"/>
        </w:numPr>
        <w:spacing w:line="360" w:lineRule="auto"/>
        <w:jc w:val="both"/>
        <w:rPr>
          <w:lang w:val="en-GB"/>
        </w:rPr>
      </w:pPr>
      <w:r>
        <w:rPr>
          <w:lang w:val="en-GB"/>
        </w:rPr>
        <w:t>Conglomerate merger</w:t>
      </w:r>
      <w:r w:rsidRPr="00463BF3">
        <w:rPr>
          <w:lang w:val="en-GB"/>
        </w:rPr>
        <w:t xml:space="preserve">, where two completely </w:t>
      </w:r>
      <w:r>
        <w:rPr>
          <w:lang w:val="en-GB"/>
        </w:rPr>
        <w:t xml:space="preserve">strategically </w:t>
      </w:r>
      <w:r w:rsidRPr="00463BF3">
        <w:rPr>
          <w:lang w:val="en-GB"/>
        </w:rPr>
        <w:t>unrelated companies join forces</w:t>
      </w:r>
      <w:r>
        <w:rPr>
          <w:lang w:val="en-GB"/>
        </w:rPr>
        <w:t xml:space="preserve">. Actually, the only utility of this kind of M&amp;A is to create a presence in multiple markets. </w:t>
      </w:r>
      <w:sdt>
        <w:sdtPr>
          <w:rPr>
            <w:lang w:val="en-GB"/>
          </w:rPr>
          <w:id w:val="2057219"/>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p>
    <w:p w:rsidR="003A0C1E" w:rsidRDefault="003A0C1E" w:rsidP="003A0C1E">
      <w:pPr>
        <w:spacing w:line="360" w:lineRule="auto"/>
        <w:jc w:val="both"/>
        <w:rPr>
          <w:lang w:val="en-GB"/>
        </w:rPr>
      </w:pPr>
      <w:r>
        <w:rPr>
          <w:lang w:val="en-GB"/>
        </w:rPr>
        <w:t xml:space="preserve">The difference between these three kinds of M&amp;As is not important whatsoever in answering the research question and therefore is not taken into account in the rest of the thesis, as all of these three kinds of mergers will be present in the dataset. </w:t>
      </w:r>
    </w:p>
    <w:p w:rsidR="003A0C1E" w:rsidRDefault="003A0C1E" w:rsidP="003A0C1E">
      <w:pPr>
        <w:spacing w:line="360" w:lineRule="auto"/>
        <w:jc w:val="both"/>
        <w:rPr>
          <w:lang w:val="en-GB"/>
        </w:rPr>
      </w:pPr>
      <w:r>
        <w:rPr>
          <w:lang w:val="en-GB"/>
        </w:rPr>
        <w:t xml:space="preserve">Furthermore, a possible distinction between M&amp;As can be made on the basis of the attitude of the takeover. Some takeovers have a hostile attitude, where the managers of the target firm tries to resist the buyers interest and does not want to join forces, but eventually has to because of the current owners. Other takeovers have </w:t>
      </w:r>
      <w:r w:rsidR="003D569F">
        <w:rPr>
          <w:lang w:val="en-GB"/>
        </w:rPr>
        <w:t xml:space="preserve">a </w:t>
      </w:r>
      <w:r>
        <w:rPr>
          <w:lang w:val="en-GB"/>
        </w:rPr>
        <w:t xml:space="preserve">friendly nature, where both companies are willing to merge. </w:t>
      </w:r>
      <w:sdt>
        <w:sdtPr>
          <w:rPr>
            <w:lang w:val="en-GB"/>
          </w:rPr>
          <w:id w:val="2057221"/>
          <w:citation/>
        </w:sdtPr>
        <w:sdtContent>
          <w:r w:rsidR="00067D34">
            <w:fldChar w:fldCharType="begin"/>
          </w:r>
          <w:r w:rsidR="00A0519A" w:rsidRPr="00A0519A">
            <w:rPr>
              <w:lang w:val="en-US"/>
            </w:rPr>
            <w:instrText xml:space="preserve"> CITATION Inv \l 1043  </w:instrText>
          </w:r>
          <w:r w:rsidR="00067D34">
            <w:fldChar w:fldCharType="separate"/>
          </w:r>
          <w:r w:rsidR="00A0519A" w:rsidRPr="00A0519A">
            <w:rPr>
              <w:noProof/>
              <w:lang w:val="en-US"/>
            </w:rPr>
            <w:t>(McClure, 2009)</w:t>
          </w:r>
          <w:r w:rsidR="00067D34">
            <w:fldChar w:fldCharType="end"/>
          </w:r>
        </w:sdtContent>
      </w:sdt>
      <w:r>
        <w:rPr>
          <w:lang w:val="en-GB"/>
        </w:rPr>
        <w:t xml:space="preserve"> Also, this distinction is not taken into account in the rest of the thesis, as it is unimportant to answer the research question as well. </w:t>
      </w:r>
    </w:p>
    <w:p w:rsidR="003A0C1E" w:rsidRDefault="003A0C1E" w:rsidP="003A0C1E">
      <w:pPr>
        <w:spacing w:line="360" w:lineRule="auto"/>
        <w:jc w:val="both"/>
        <w:rPr>
          <w:lang w:val="en-GB"/>
        </w:rPr>
      </w:pPr>
      <w:r>
        <w:rPr>
          <w:lang w:val="en-GB"/>
        </w:rPr>
        <w:tab/>
      </w:r>
    </w:p>
    <w:p w:rsidR="00140F80" w:rsidRDefault="00140F80" w:rsidP="003A0C1E">
      <w:pPr>
        <w:spacing w:line="360" w:lineRule="auto"/>
        <w:ind w:left="708" w:firstLine="708"/>
        <w:jc w:val="both"/>
        <w:rPr>
          <w:b/>
          <w:sz w:val="24"/>
          <w:lang w:val="en-GB"/>
        </w:rPr>
      </w:pPr>
    </w:p>
    <w:p w:rsidR="00140F80" w:rsidRDefault="00140F80" w:rsidP="003A0C1E">
      <w:pPr>
        <w:spacing w:line="360" w:lineRule="auto"/>
        <w:ind w:left="708" w:firstLine="708"/>
        <w:jc w:val="both"/>
        <w:rPr>
          <w:b/>
          <w:sz w:val="24"/>
          <w:lang w:val="en-GB"/>
        </w:rPr>
      </w:pPr>
    </w:p>
    <w:p w:rsidR="00140F80" w:rsidRDefault="00140F80" w:rsidP="003A0C1E">
      <w:pPr>
        <w:spacing w:line="360" w:lineRule="auto"/>
        <w:ind w:left="708" w:firstLine="708"/>
        <w:jc w:val="both"/>
        <w:rPr>
          <w:b/>
          <w:sz w:val="24"/>
          <w:lang w:val="en-GB"/>
        </w:rPr>
      </w:pPr>
    </w:p>
    <w:p w:rsidR="00140F80" w:rsidRDefault="00140F80" w:rsidP="003A0C1E">
      <w:pPr>
        <w:spacing w:line="360" w:lineRule="auto"/>
        <w:ind w:left="708" w:firstLine="708"/>
        <w:jc w:val="both"/>
        <w:rPr>
          <w:b/>
          <w:sz w:val="24"/>
          <w:lang w:val="en-GB"/>
        </w:rPr>
      </w:pPr>
    </w:p>
    <w:p w:rsidR="00140F80" w:rsidRDefault="00140F80">
      <w:pPr>
        <w:rPr>
          <w:b/>
          <w:sz w:val="24"/>
          <w:lang w:val="en-GB"/>
        </w:rPr>
      </w:pPr>
      <w:r>
        <w:rPr>
          <w:b/>
          <w:sz w:val="24"/>
          <w:lang w:val="en-GB"/>
        </w:rPr>
        <w:br w:type="page"/>
      </w:r>
    </w:p>
    <w:p w:rsidR="003A0C1E" w:rsidRPr="00200032" w:rsidRDefault="003A0C1E" w:rsidP="003A0C1E">
      <w:pPr>
        <w:spacing w:line="360" w:lineRule="auto"/>
        <w:ind w:left="708" w:firstLine="708"/>
        <w:jc w:val="both"/>
        <w:rPr>
          <w:b/>
          <w:lang w:val="en-GB"/>
        </w:rPr>
      </w:pPr>
      <w:r>
        <w:rPr>
          <w:b/>
          <w:sz w:val="24"/>
          <w:lang w:val="en-GB"/>
        </w:rPr>
        <w:lastRenderedPageBreak/>
        <w:t>1.</w:t>
      </w:r>
      <w:r w:rsidRPr="00200032">
        <w:rPr>
          <w:b/>
          <w:sz w:val="24"/>
          <w:lang w:val="en-GB"/>
        </w:rPr>
        <w:t>2 – Advantages and Disadvantages</w:t>
      </w:r>
    </w:p>
    <w:p w:rsidR="003A0C1E" w:rsidRDefault="003A0C1E" w:rsidP="003A0C1E">
      <w:pPr>
        <w:spacing w:line="360" w:lineRule="auto"/>
        <w:jc w:val="both"/>
        <w:rPr>
          <w:lang w:val="en-GB"/>
        </w:rPr>
      </w:pPr>
      <w:r>
        <w:rPr>
          <w:lang w:val="en-GB"/>
        </w:rPr>
        <w:t>What is important are the reasons to merge with or acquire other companies. A takeover can bring many advantages, to both companies. Just to mention a few:</w:t>
      </w:r>
    </w:p>
    <w:p w:rsidR="003A0C1E" w:rsidRPr="00B65AEE" w:rsidRDefault="003A0C1E" w:rsidP="003A0C1E">
      <w:pPr>
        <w:pStyle w:val="ListParagraph"/>
        <w:numPr>
          <w:ilvl w:val="0"/>
          <w:numId w:val="5"/>
        </w:numPr>
        <w:spacing w:line="360" w:lineRule="auto"/>
        <w:jc w:val="both"/>
        <w:rPr>
          <w:lang w:val="en-GB"/>
        </w:rPr>
      </w:pPr>
      <w:r w:rsidRPr="00484A90">
        <w:rPr>
          <w:lang w:val="en-GB"/>
        </w:rPr>
        <w:t>Economies of scale and scope</w:t>
      </w:r>
      <w:r>
        <w:rPr>
          <w:lang w:val="en-GB"/>
        </w:rPr>
        <w:t xml:space="preserve">; as mentioned before, this is common in horizontal M&amp;As. It basically means reducing costs by operating on a higher level. This may sound questionable, but when one considers that the unit costs will stay equal, but the fixed costs can be divided over a larger number of units, the costs will decrease. This can result in lower price and maintaining the same margin, or maintaining the same prices and taking advantage of the higher margin. </w:t>
      </w:r>
      <w:r w:rsidR="003D569F">
        <w:rPr>
          <w:lang w:val="en-GB"/>
        </w:rPr>
        <w:t>It is possible to make these kind of cost reductions in for example marketing, distribution etc.</w:t>
      </w:r>
      <w:r>
        <w:rPr>
          <w:lang w:val="en-GB"/>
        </w:rPr>
        <w:t xml:space="preserve"> </w:t>
      </w:r>
      <w:sdt>
        <w:sdtPr>
          <w:rPr>
            <w:lang w:val="en-GB"/>
          </w:rPr>
          <w:id w:val="16567656"/>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r>
        <w:rPr>
          <w:lang w:val="en-GB"/>
        </w:rPr>
        <w:t xml:space="preserve"> </w:t>
      </w:r>
    </w:p>
    <w:p w:rsidR="003A0C1E" w:rsidRPr="00484A90" w:rsidRDefault="003A0C1E" w:rsidP="003A0C1E">
      <w:pPr>
        <w:pStyle w:val="ListParagraph"/>
        <w:numPr>
          <w:ilvl w:val="0"/>
          <w:numId w:val="5"/>
        </w:numPr>
        <w:spacing w:line="360" w:lineRule="auto"/>
        <w:jc w:val="both"/>
        <w:rPr>
          <w:lang w:val="en-GB"/>
        </w:rPr>
      </w:pPr>
      <w:r w:rsidRPr="00484A90">
        <w:rPr>
          <w:lang w:val="en-GB"/>
        </w:rPr>
        <w:t>Expertise</w:t>
      </w:r>
      <w:r>
        <w:rPr>
          <w:lang w:val="en-GB"/>
        </w:rPr>
        <w:t>;</w:t>
      </w:r>
      <w:r w:rsidRPr="00484A90">
        <w:rPr>
          <w:lang w:val="en-GB"/>
        </w:rPr>
        <w:t xml:space="preserve"> with a takeover the acquirer brings possible experts and therewith expertise from the target firm over to their firm. </w:t>
      </w:r>
      <w:r>
        <w:rPr>
          <w:lang w:val="en-GB"/>
        </w:rPr>
        <w:t xml:space="preserve">The knowledge of the experts the acquirer brings to their company could otherwise have been used against them, when the expert had still been employed in the target company. </w:t>
      </w:r>
      <w:sdt>
        <w:sdtPr>
          <w:rPr>
            <w:lang w:val="en-GB"/>
          </w:rPr>
          <w:id w:val="16567655"/>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p>
    <w:p w:rsidR="003A0C1E" w:rsidRPr="003A0C1E" w:rsidRDefault="003A0C1E" w:rsidP="003A0C1E">
      <w:pPr>
        <w:pStyle w:val="ListParagraph"/>
        <w:numPr>
          <w:ilvl w:val="0"/>
          <w:numId w:val="5"/>
        </w:numPr>
        <w:spacing w:line="360" w:lineRule="auto"/>
        <w:jc w:val="both"/>
        <w:rPr>
          <w:lang w:val="en-GB"/>
        </w:rPr>
      </w:pPr>
      <w:r w:rsidRPr="00484A90">
        <w:rPr>
          <w:lang w:val="en-GB"/>
        </w:rPr>
        <w:t>Ga</w:t>
      </w:r>
      <w:r>
        <w:rPr>
          <w:lang w:val="en-GB"/>
        </w:rPr>
        <w:t>ins in market share;</w:t>
      </w:r>
      <w:r w:rsidRPr="00484A90">
        <w:rPr>
          <w:lang w:val="en-GB"/>
        </w:rPr>
        <w:t xml:space="preserve"> </w:t>
      </w:r>
      <w:r>
        <w:rPr>
          <w:lang w:val="en-GB"/>
        </w:rPr>
        <w:t>when taking over a firm in the same industry the sales and the consumer file will enlarge. This results in a gain in market share, which can be positive for the company in numerous ways. In a more extreme case, when there is a low number of competitors before the M&amp;A, the M&amp;A can possibly even result in the case</w:t>
      </w:r>
      <w:r w:rsidRPr="00484A90">
        <w:rPr>
          <w:lang w:val="en-GB"/>
        </w:rPr>
        <w:t xml:space="preserve"> of a monopoly.</w:t>
      </w:r>
      <w:r>
        <w:rPr>
          <w:lang w:val="en-GB"/>
        </w:rPr>
        <w:t xml:space="preserve"> </w:t>
      </w:r>
      <w:sdt>
        <w:sdtPr>
          <w:rPr>
            <w:lang w:val="en-GB"/>
          </w:rPr>
          <w:id w:val="16567654"/>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p>
    <w:p w:rsidR="003A0C1E" w:rsidRPr="00484A90" w:rsidRDefault="003A0C1E" w:rsidP="003A0C1E">
      <w:pPr>
        <w:pStyle w:val="ListParagraph"/>
        <w:numPr>
          <w:ilvl w:val="0"/>
          <w:numId w:val="5"/>
        </w:numPr>
        <w:spacing w:line="360" w:lineRule="auto"/>
        <w:jc w:val="both"/>
        <w:rPr>
          <w:lang w:val="en-GB"/>
        </w:rPr>
      </w:pPr>
      <w:r w:rsidRPr="00484A90">
        <w:rPr>
          <w:lang w:val="en-GB"/>
        </w:rPr>
        <w:t>Tax savings</w:t>
      </w:r>
      <w:r>
        <w:rPr>
          <w:lang w:val="en-GB"/>
        </w:rPr>
        <w:t>; as a company is obliged to pay taxes over profits, but does not get a restitution of tax when making losses, a M&amp;A can be the solution. This is because, when making a profit in one division, and making a loss in another division, these can be offset when merged and little or no tax is paid. However, in the situation that the companies are not merged, tax over the full profit has to be paid.</w:t>
      </w:r>
      <w:sdt>
        <w:sdtPr>
          <w:rPr>
            <w:lang w:val="en-GB"/>
          </w:rPr>
          <w:id w:val="16567653"/>
          <w:citation/>
        </w:sdtPr>
        <w:sdtContent>
          <w:r w:rsidR="00067D34">
            <w:rPr>
              <w:lang w:val="en-GB"/>
            </w:rPr>
            <w:fldChar w:fldCharType="begin"/>
          </w:r>
          <w:r w:rsidR="00227C02" w:rsidRPr="00227C02">
            <w:rPr>
              <w:lang w:val="en-GB"/>
            </w:rPr>
            <w:instrText xml:space="preserve"> CITATION DeM11 \l 1043  </w:instrText>
          </w:r>
          <w:r w:rsidR="00067D34">
            <w:rPr>
              <w:lang w:val="en-GB"/>
            </w:rPr>
            <w:fldChar w:fldCharType="separate"/>
          </w:r>
          <w:r w:rsidR="00227C02" w:rsidRPr="00227C02">
            <w:rPr>
              <w:noProof/>
              <w:lang w:val="en-GB"/>
            </w:rPr>
            <w:t xml:space="preserve"> </w:t>
          </w:r>
          <w:r w:rsidR="00227C02">
            <w:rPr>
              <w:noProof/>
            </w:rPr>
            <w:t>(DeMarzo &amp; Berk, 2011)</w:t>
          </w:r>
          <w:r w:rsidR="00067D34">
            <w:rPr>
              <w:lang w:val="en-GB"/>
            </w:rPr>
            <w:fldChar w:fldCharType="end"/>
          </w:r>
        </w:sdtContent>
      </w:sdt>
      <w:r>
        <w:rPr>
          <w:lang w:val="en-GB"/>
        </w:rPr>
        <w:t xml:space="preserve">  </w:t>
      </w:r>
      <w:r w:rsidRPr="00484A90">
        <w:rPr>
          <w:lang w:val="en-GB"/>
        </w:rPr>
        <w:t xml:space="preserve"> </w:t>
      </w:r>
    </w:p>
    <w:p w:rsidR="003A0C1E" w:rsidRDefault="003A0C1E" w:rsidP="003A0C1E">
      <w:pPr>
        <w:pStyle w:val="ListParagraph"/>
        <w:numPr>
          <w:ilvl w:val="0"/>
          <w:numId w:val="5"/>
        </w:numPr>
        <w:spacing w:line="360" w:lineRule="auto"/>
        <w:jc w:val="both"/>
        <w:rPr>
          <w:lang w:val="en-GB"/>
        </w:rPr>
      </w:pPr>
      <w:r w:rsidRPr="00484A90">
        <w:rPr>
          <w:lang w:val="en-GB"/>
        </w:rPr>
        <w:t xml:space="preserve">Earnings growth, it is possible that after the merger of two companies the earnings per share are higher than the two premerger earnings combined, even when the merger did not create any economic value. </w:t>
      </w:r>
      <w:sdt>
        <w:sdtPr>
          <w:rPr>
            <w:lang w:val="en-GB"/>
          </w:rPr>
          <w:id w:val="2057222"/>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p>
    <w:p w:rsidR="00EE347C" w:rsidRDefault="00B44FD6" w:rsidP="003A0C1E">
      <w:pPr>
        <w:pStyle w:val="ListParagraph"/>
        <w:numPr>
          <w:ilvl w:val="0"/>
          <w:numId w:val="5"/>
        </w:numPr>
        <w:spacing w:line="360" w:lineRule="auto"/>
        <w:jc w:val="both"/>
        <w:rPr>
          <w:lang w:val="en-GB"/>
        </w:rPr>
      </w:pPr>
      <w:r>
        <w:rPr>
          <w:lang w:val="en-GB"/>
        </w:rPr>
        <w:t>Another, different, advantage of a M&amp;A can be the creation of shareholder value</w:t>
      </w:r>
      <w:r w:rsidR="00FB577C">
        <w:rPr>
          <w:lang w:val="en-GB"/>
        </w:rPr>
        <w:t>, shown by Andrade, Mitchell and Stafford (2001)</w:t>
      </w:r>
      <w:r>
        <w:rPr>
          <w:lang w:val="en-GB"/>
        </w:rPr>
        <w:t>. This most of time occurs o</w:t>
      </w:r>
      <w:r w:rsidR="00FB577C">
        <w:rPr>
          <w:lang w:val="en-GB"/>
        </w:rPr>
        <w:t xml:space="preserve">n behalf of the target firms, who accrues the most gains </w:t>
      </w:r>
      <w:sdt>
        <w:sdtPr>
          <w:rPr>
            <w:lang w:val="en-GB"/>
          </w:rPr>
          <w:id w:val="15715930"/>
          <w:citation/>
        </w:sdtPr>
        <w:sdtContent>
          <w:r w:rsidR="00067D34">
            <w:rPr>
              <w:lang w:val="en-GB"/>
            </w:rPr>
            <w:fldChar w:fldCharType="begin"/>
          </w:r>
          <w:r w:rsidR="00F83BC2" w:rsidRPr="00146CDE">
            <w:rPr>
              <w:lang w:val="en-US"/>
            </w:rPr>
            <w:instrText xml:space="preserve"> CITATION And01 \l 1043  </w:instrText>
          </w:r>
          <w:r w:rsidR="00067D34">
            <w:rPr>
              <w:lang w:val="en-GB"/>
            </w:rPr>
            <w:fldChar w:fldCharType="separate"/>
          </w:r>
          <w:r w:rsidR="00F83BC2" w:rsidRPr="00146CDE">
            <w:rPr>
              <w:noProof/>
              <w:lang w:val="en-US"/>
            </w:rPr>
            <w:t>(Andrade, Mitchell, &amp; Stafford, 2001)</w:t>
          </w:r>
          <w:r w:rsidR="00067D34">
            <w:rPr>
              <w:lang w:val="en-GB"/>
            </w:rPr>
            <w:fldChar w:fldCharType="end"/>
          </w:r>
        </w:sdtContent>
      </w:sdt>
      <w:r w:rsidR="00FB577C">
        <w:rPr>
          <w:lang w:val="en-GB"/>
        </w:rPr>
        <w:t>.</w:t>
      </w:r>
    </w:p>
    <w:p w:rsidR="009156C2" w:rsidRDefault="009156C2" w:rsidP="00EE347C">
      <w:pPr>
        <w:spacing w:line="360" w:lineRule="auto"/>
        <w:jc w:val="both"/>
        <w:rPr>
          <w:lang w:val="en-GB"/>
        </w:rPr>
      </w:pPr>
    </w:p>
    <w:p w:rsidR="00B44FD6" w:rsidRPr="00EE347C" w:rsidRDefault="00EE347C" w:rsidP="00EE347C">
      <w:pPr>
        <w:spacing w:line="360" w:lineRule="auto"/>
        <w:jc w:val="both"/>
        <w:rPr>
          <w:lang w:val="en-GB"/>
        </w:rPr>
      </w:pPr>
      <w:r>
        <w:rPr>
          <w:lang w:val="en-GB"/>
        </w:rPr>
        <w:lastRenderedPageBreak/>
        <w:t xml:space="preserve">The paper of Healy, Palepu and Rubak (1990) shows that these advantages are not only theoretical, but also observable in practice. In their research of the 50 largest M&amp;As they found results that indicate that the merged firms have significant improvements in for example asset productivity relative to their industries after the merger, resulting in higher cash-flows </w:t>
      </w:r>
      <w:sdt>
        <w:sdtPr>
          <w:rPr>
            <w:lang w:val="en-GB"/>
          </w:rPr>
          <w:id w:val="15715931"/>
          <w:citation/>
        </w:sdtPr>
        <w:sdtContent>
          <w:r w:rsidR="00067D34">
            <w:rPr>
              <w:lang w:val="en-GB"/>
            </w:rPr>
            <w:fldChar w:fldCharType="begin"/>
          </w:r>
          <w:r w:rsidR="00F83BC2" w:rsidRPr="00146CDE">
            <w:rPr>
              <w:lang w:val="en-US"/>
            </w:rPr>
            <w:instrText xml:space="preserve"> CITATION Hea90 \l 1043  </w:instrText>
          </w:r>
          <w:r w:rsidR="00067D34">
            <w:rPr>
              <w:lang w:val="en-GB"/>
            </w:rPr>
            <w:fldChar w:fldCharType="separate"/>
          </w:r>
          <w:r w:rsidR="00F83BC2" w:rsidRPr="00146CDE">
            <w:rPr>
              <w:noProof/>
              <w:lang w:val="en-US"/>
            </w:rPr>
            <w:t>(Healy, Palepu, &amp; Rubak, 1990)</w:t>
          </w:r>
          <w:r w:rsidR="00067D34">
            <w:rPr>
              <w:lang w:val="en-GB"/>
            </w:rPr>
            <w:fldChar w:fldCharType="end"/>
          </w:r>
        </w:sdtContent>
      </w:sdt>
      <w:r>
        <w:rPr>
          <w:lang w:val="en-GB"/>
        </w:rPr>
        <w:t xml:space="preserve">. </w:t>
      </w:r>
      <w:r w:rsidR="00FB577C" w:rsidRPr="00EE347C">
        <w:rPr>
          <w:lang w:val="en-GB"/>
        </w:rPr>
        <w:t xml:space="preserve"> </w:t>
      </w:r>
    </w:p>
    <w:p w:rsidR="003A0C1E" w:rsidRDefault="003A0C1E" w:rsidP="003A0C1E">
      <w:pPr>
        <w:spacing w:line="360" w:lineRule="auto"/>
        <w:jc w:val="both"/>
        <w:rPr>
          <w:lang w:val="en-GB"/>
        </w:rPr>
      </w:pPr>
      <w:r>
        <w:rPr>
          <w:lang w:val="en-GB"/>
        </w:rPr>
        <w:t xml:space="preserve">Of course, no M&amp;A comes without disadvantages: </w:t>
      </w:r>
    </w:p>
    <w:p w:rsidR="003A0C1E" w:rsidRPr="00E6265F" w:rsidRDefault="003A0C1E" w:rsidP="003A0C1E">
      <w:pPr>
        <w:pStyle w:val="ListParagraph"/>
        <w:numPr>
          <w:ilvl w:val="0"/>
          <w:numId w:val="10"/>
        </w:numPr>
        <w:spacing w:line="360" w:lineRule="auto"/>
        <w:jc w:val="both"/>
        <w:rPr>
          <w:lang w:val="en-GB"/>
        </w:rPr>
      </w:pPr>
      <w:r w:rsidRPr="00E6265F">
        <w:rPr>
          <w:lang w:val="en-GB"/>
        </w:rPr>
        <w:t xml:space="preserve">Costs; very simple, a M&amp;A is expensive and has, on the moment of acquisition, yet to prove to be worth the costs. This always carries a risk. </w:t>
      </w:r>
      <w:sdt>
        <w:sdtPr>
          <w:rPr>
            <w:lang w:val="en-GB"/>
          </w:rPr>
          <w:id w:val="16567657"/>
          <w:citation/>
        </w:sdtPr>
        <w:sdtContent>
          <w:fldSimple w:instr=" CITATION DeM11 \l 1043  ">
            <w:r w:rsidR="00227C02">
              <w:rPr>
                <w:noProof/>
              </w:rPr>
              <w:t>(DeMarzo &amp; Berk, 2011)</w:t>
            </w:r>
          </w:fldSimple>
        </w:sdtContent>
      </w:sdt>
    </w:p>
    <w:p w:rsidR="003A0C1E" w:rsidRPr="00E6265F" w:rsidRDefault="003A0C1E" w:rsidP="003A0C1E">
      <w:pPr>
        <w:pStyle w:val="ListParagraph"/>
        <w:numPr>
          <w:ilvl w:val="0"/>
          <w:numId w:val="10"/>
        </w:numPr>
        <w:spacing w:line="360" w:lineRule="auto"/>
        <w:jc w:val="both"/>
        <w:rPr>
          <w:lang w:val="en-GB"/>
        </w:rPr>
      </w:pPr>
      <w:r w:rsidRPr="00E6265F">
        <w:rPr>
          <w:lang w:val="en-GB"/>
        </w:rPr>
        <w:t xml:space="preserve">Agency problems; as the concern grows more conflicting interests are going to </w:t>
      </w:r>
      <w:r>
        <w:rPr>
          <w:lang w:val="en-GB"/>
        </w:rPr>
        <w:t xml:space="preserve">be </w:t>
      </w:r>
      <w:r w:rsidRPr="00E6265F">
        <w:rPr>
          <w:lang w:val="en-GB"/>
        </w:rPr>
        <w:t>influential. In small companies it is rather simple to keep a close eye on these problems, however, if the company continues to grow this become more difficult. Inevitably, this will lead to higher agency costs, wh</w:t>
      </w:r>
      <w:r>
        <w:rPr>
          <w:lang w:val="en-GB"/>
        </w:rPr>
        <w:t>ich of course are not desirable</w:t>
      </w:r>
      <w:r w:rsidRPr="00E6265F">
        <w:rPr>
          <w:lang w:val="en-GB"/>
        </w:rPr>
        <w:t>.</w:t>
      </w:r>
      <w:r>
        <w:rPr>
          <w:lang w:val="en-GB"/>
        </w:rPr>
        <w:t xml:space="preserve"> </w:t>
      </w:r>
      <w:sdt>
        <w:sdtPr>
          <w:rPr>
            <w:lang w:val="en-GB"/>
          </w:rPr>
          <w:id w:val="16567658"/>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p>
    <w:p w:rsidR="003A0C1E" w:rsidRPr="00E6265F" w:rsidRDefault="003A0C1E" w:rsidP="003A0C1E">
      <w:pPr>
        <w:pStyle w:val="ListParagraph"/>
        <w:numPr>
          <w:ilvl w:val="0"/>
          <w:numId w:val="10"/>
        </w:numPr>
        <w:spacing w:line="360" w:lineRule="auto"/>
        <w:jc w:val="both"/>
        <w:rPr>
          <w:lang w:val="en-GB"/>
        </w:rPr>
      </w:pPr>
      <w:r w:rsidRPr="00E6265F">
        <w:rPr>
          <w:lang w:val="en-GB"/>
        </w:rPr>
        <w:t>Employee retention; this is very common in horizontal mergers, where employees of the two companies involved are likely to perform similar jobs. At the moment the M&amp;A is announced, they know that some of their jobs will be laid off and excess employees will be fired. This can possibly result in employees seeking for another job</w:t>
      </w:r>
      <w:r>
        <w:rPr>
          <w:lang w:val="en-GB"/>
        </w:rPr>
        <w:t>, even before the actual takeover takes place</w:t>
      </w:r>
      <w:r w:rsidRPr="00E6265F">
        <w:rPr>
          <w:lang w:val="en-GB"/>
        </w:rPr>
        <w:t xml:space="preserve">. </w:t>
      </w:r>
      <w:sdt>
        <w:sdtPr>
          <w:rPr>
            <w:lang w:val="en-GB"/>
          </w:rPr>
          <w:id w:val="3747738"/>
          <w:citation/>
        </w:sdtPr>
        <w:sdtContent>
          <w:r w:rsidR="00067D34">
            <w:fldChar w:fldCharType="begin"/>
          </w:r>
          <w:r w:rsidR="00227C02" w:rsidRPr="00227C02">
            <w:rPr>
              <w:lang w:val="en-GB"/>
            </w:rPr>
            <w:instrText xml:space="preserve"> CITATION DeM11 \l 1043  </w:instrText>
          </w:r>
          <w:r w:rsidR="00067D34">
            <w:fldChar w:fldCharType="separate"/>
          </w:r>
          <w:r w:rsidR="00227C02">
            <w:rPr>
              <w:noProof/>
            </w:rPr>
            <w:t>(DeMarzo &amp; Berk, 2011)</w:t>
          </w:r>
          <w:r w:rsidR="00067D34">
            <w:fldChar w:fldCharType="end"/>
          </w:r>
        </w:sdtContent>
      </w:sdt>
    </w:p>
    <w:p w:rsidR="003A0C1E" w:rsidRDefault="003A0C1E" w:rsidP="005D7183">
      <w:pPr>
        <w:spacing w:line="360" w:lineRule="auto"/>
        <w:jc w:val="both"/>
        <w:rPr>
          <w:lang w:val="en-GB"/>
        </w:rPr>
      </w:pPr>
      <w:r>
        <w:rPr>
          <w:lang w:val="en-GB"/>
        </w:rPr>
        <w:t xml:space="preserve"> All together, it is the intention of a M&amp;A that the advantages offset the disadvantages, otherwise the M&amp;A will not be done. However, not all advantages and disadvantages are perfectly predictable, and therefore every M&amp;A carries some risk. To reduce this risk expectations about the various factors are tried to be made. Although, this also is not risk free, it does reduce the risk somehow </w:t>
      </w:r>
      <w:sdt>
        <w:sdtPr>
          <w:rPr>
            <w:lang w:val="en-GB"/>
          </w:rPr>
          <w:id w:val="3747740"/>
          <w:citation/>
        </w:sdtPr>
        <w:sdtContent>
          <w:r w:rsidR="00067D34">
            <w:rPr>
              <w:lang w:val="en-GB"/>
            </w:rPr>
            <w:fldChar w:fldCharType="begin"/>
          </w:r>
          <w:r w:rsidR="00227C02" w:rsidRPr="00227C02">
            <w:rPr>
              <w:lang w:val="en-GB"/>
            </w:rPr>
            <w:instrText xml:space="preserve"> CITATION Bes10 \l 1043  </w:instrText>
          </w:r>
          <w:r w:rsidR="00067D34">
            <w:rPr>
              <w:lang w:val="en-GB"/>
            </w:rPr>
            <w:fldChar w:fldCharType="separate"/>
          </w:r>
          <w:r w:rsidR="00227C02" w:rsidRPr="00227C02">
            <w:rPr>
              <w:noProof/>
              <w:lang w:val="en-GB"/>
            </w:rPr>
            <w:t>(Besanko, Dranove, Shanley, &amp; Schaefer, 2010)</w:t>
          </w:r>
          <w:r w:rsidR="00067D34">
            <w:rPr>
              <w:lang w:val="en-GB"/>
            </w:rPr>
            <w:fldChar w:fldCharType="end"/>
          </w:r>
        </w:sdtContent>
      </w:sdt>
      <w:r>
        <w:rPr>
          <w:lang w:val="en-GB"/>
        </w:rPr>
        <w:t xml:space="preserve">. When companies act more impulsive, these pre-research could possibly be done less accurate and can result in an inferior M&amp;A choice. A reason for a company to act more impulsive is having more idle cash. Therefore, this thesis researches if cash rich companies make inferior M&amp;A decisions as opposed to companies with less idle cash. </w:t>
      </w:r>
    </w:p>
    <w:p w:rsidR="001A6050" w:rsidRDefault="001A6050" w:rsidP="003A0C1E">
      <w:pPr>
        <w:spacing w:line="360" w:lineRule="auto"/>
        <w:ind w:left="708" w:firstLine="708"/>
        <w:rPr>
          <w:b/>
          <w:sz w:val="24"/>
          <w:lang w:val="en-GB"/>
        </w:rPr>
      </w:pPr>
    </w:p>
    <w:p w:rsidR="00140F80" w:rsidRDefault="00140F80">
      <w:pPr>
        <w:rPr>
          <w:b/>
          <w:sz w:val="24"/>
          <w:lang w:val="en-GB"/>
        </w:rPr>
      </w:pPr>
      <w:r>
        <w:rPr>
          <w:b/>
          <w:sz w:val="24"/>
          <w:lang w:val="en-GB"/>
        </w:rPr>
        <w:br w:type="page"/>
      </w:r>
    </w:p>
    <w:p w:rsidR="003A0C1E" w:rsidRPr="003A0C1E" w:rsidRDefault="003A0C1E" w:rsidP="003A0C1E">
      <w:pPr>
        <w:spacing w:line="360" w:lineRule="auto"/>
        <w:ind w:left="708" w:firstLine="708"/>
        <w:rPr>
          <w:lang w:val="en-GB"/>
        </w:rPr>
      </w:pPr>
      <w:r>
        <w:rPr>
          <w:b/>
          <w:sz w:val="24"/>
          <w:lang w:val="en-GB"/>
        </w:rPr>
        <w:lastRenderedPageBreak/>
        <w:t>1.</w:t>
      </w:r>
      <w:r w:rsidRPr="00200032">
        <w:rPr>
          <w:b/>
          <w:sz w:val="24"/>
          <w:lang w:val="en-GB"/>
        </w:rPr>
        <w:t>3 – M&amp;A Motives</w:t>
      </w:r>
    </w:p>
    <w:p w:rsidR="003A0C1E" w:rsidRDefault="003A0C1E" w:rsidP="003A0C1E">
      <w:pPr>
        <w:spacing w:line="360" w:lineRule="auto"/>
        <w:jc w:val="both"/>
        <w:rPr>
          <w:lang w:val="en-GB"/>
        </w:rPr>
      </w:pPr>
      <w:r>
        <w:rPr>
          <w:lang w:val="en-GB"/>
        </w:rPr>
        <w:t>A M&amp;A deal is made, as said earlier, when the advantages outweigh the disadvantages, but more important is the reason why the firms would participate in a M&amp;A at all. There are three main motives for a company to be part of a M&amp;A:</w:t>
      </w:r>
    </w:p>
    <w:p w:rsidR="003A0C1E" w:rsidRPr="00CA156C" w:rsidRDefault="003A0C1E" w:rsidP="003A0C1E">
      <w:pPr>
        <w:pStyle w:val="ListParagraph"/>
        <w:numPr>
          <w:ilvl w:val="0"/>
          <w:numId w:val="13"/>
        </w:numPr>
        <w:spacing w:line="360" w:lineRule="auto"/>
        <w:jc w:val="both"/>
        <w:rPr>
          <w:lang w:val="en-GB"/>
        </w:rPr>
      </w:pPr>
      <w:r w:rsidRPr="00CA156C">
        <w:rPr>
          <w:lang w:val="en-GB"/>
        </w:rPr>
        <w:t>Strategic motives; this is the most straightforward motive, as it is focused on the improvement and development of the company. With this kind of M&amp;As the acquirer is trying to achieve a competitive advantage over other companies in the same business, when regarding horizontal or vertical integration.</w:t>
      </w:r>
      <w:r>
        <w:rPr>
          <w:lang w:val="en-GB"/>
        </w:rPr>
        <w:t xml:space="preserve"> </w:t>
      </w:r>
      <w:sdt>
        <w:sdtPr>
          <w:rPr>
            <w:lang w:val="en-GB"/>
          </w:rPr>
          <w:id w:val="16567660"/>
          <w:citation/>
        </w:sdtPr>
        <w:sdtContent>
          <w:r w:rsidR="00067D34">
            <w:fldChar w:fldCharType="begin"/>
          </w:r>
          <w:r w:rsidRPr="00BD5330">
            <w:rPr>
              <w:lang w:val="en-GB"/>
            </w:rPr>
            <w:instrText xml:space="preserve"> CITATION Joh11 \l 1043 </w:instrText>
          </w:r>
          <w:r w:rsidR="00067D34">
            <w:fldChar w:fldCharType="separate"/>
          </w:r>
          <w:r>
            <w:rPr>
              <w:noProof/>
            </w:rPr>
            <w:t>(Johnson, Whittington, &amp; Scholes, 2011)</w:t>
          </w:r>
          <w:r w:rsidR="00067D34">
            <w:fldChar w:fldCharType="end"/>
          </w:r>
        </w:sdtContent>
      </w:sdt>
    </w:p>
    <w:p w:rsidR="003A0C1E" w:rsidRPr="00CA156C" w:rsidRDefault="003A0C1E" w:rsidP="003A0C1E">
      <w:pPr>
        <w:pStyle w:val="ListParagraph"/>
        <w:numPr>
          <w:ilvl w:val="0"/>
          <w:numId w:val="13"/>
        </w:numPr>
        <w:spacing w:line="360" w:lineRule="auto"/>
        <w:jc w:val="both"/>
        <w:rPr>
          <w:lang w:val="en-GB"/>
        </w:rPr>
      </w:pPr>
      <w:r w:rsidRPr="00CA156C">
        <w:rPr>
          <w:lang w:val="en-GB"/>
        </w:rPr>
        <w:t xml:space="preserve">Financial motives; the company is focused on making the best use of the financial resources to satisfy the shareholders to the best of their capabilities. Therefore, this motive is highly concerned with the improvement of the financial performance by the M&amp;A. </w:t>
      </w:r>
      <w:sdt>
        <w:sdtPr>
          <w:rPr>
            <w:lang w:val="en-GB"/>
          </w:rPr>
          <w:id w:val="16567661"/>
          <w:citation/>
        </w:sdtPr>
        <w:sdtContent>
          <w:r w:rsidR="00067D34">
            <w:fldChar w:fldCharType="begin"/>
          </w:r>
          <w:r w:rsidRPr="00BD5330">
            <w:rPr>
              <w:lang w:val="en-GB"/>
            </w:rPr>
            <w:instrText xml:space="preserve"> CITATION Joh11 \l 1043 </w:instrText>
          </w:r>
          <w:r w:rsidR="00067D34">
            <w:fldChar w:fldCharType="separate"/>
          </w:r>
          <w:r>
            <w:rPr>
              <w:noProof/>
            </w:rPr>
            <w:t>(Johnson, Whittington, &amp; Scholes, 2011)</w:t>
          </w:r>
          <w:r w:rsidR="00067D34">
            <w:fldChar w:fldCharType="end"/>
          </w:r>
        </w:sdtContent>
      </w:sdt>
    </w:p>
    <w:p w:rsidR="003A0C1E" w:rsidRPr="005D7183" w:rsidRDefault="003A0C1E" w:rsidP="003A0C1E">
      <w:pPr>
        <w:pStyle w:val="ListParagraph"/>
        <w:numPr>
          <w:ilvl w:val="0"/>
          <w:numId w:val="13"/>
        </w:numPr>
        <w:spacing w:line="360" w:lineRule="auto"/>
        <w:jc w:val="both"/>
        <w:rPr>
          <w:lang w:val="en-GB"/>
        </w:rPr>
      </w:pPr>
      <w:r w:rsidRPr="00CA156C">
        <w:rPr>
          <w:lang w:val="en-GB"/>
        </w:rPr>
        <w:t xml:space="preserve">Managerial motives; the managers are focused on self-interest. Actually, this is the worst motive for a M&amp;A to happen, as the managers only intend to use it in their best interest, monetary or something different. The managers in M&amp;As with this motive do not necessarily perform this M&amp;A for the interest of the shareholders. </w:t>
      </w:r>
      <w:sdt>
        <w:sdtPr>
          <w:rPr>
            <w:lang w:val="en-GB"/>
          </w:rPr>
          <w:id w:val="16567662"/>
          <w:citation/>
        </w:sdtPr>
        <w:sdtContent>
          <w:r w:rsidR="00067D34">
            <w:fldChar w:fldCharType="begin"/>
          </w:r>
          <w:r w:rsidRPr="00BD5330">
            <w:rPr>
              <w:lang w:val="en-GB"/>
            </w:rPr>
            <w:instrText xml:space="preserve"> CITATION Joh11 \l 1043 </w:instrText>
          </w:r>
          <w:r w:rsidR="00067D34">
            <w:fldChar w:fldCharType="separate"/>
          </w:r>
          <w:r>
            <w:rPr>
              <w:noProof/>
            </w:rPr>
            <w:t>(Johnson, Whittington, &amp; Scholes, 2011)</w:t>
          </w:r>
          <w:r w:rsidR="00067D34">
            <w:fldChar w:fldCharType="end"/>
          </w:r>
        </w:sdtContent>
      </w:sdt>
    </w:p>
    <w:p w:rsidR="00140F80" w:rsidRDefault="00140F80" w:rsidP="003A0C1E">
      <w:pPr>
        <w:spacing w:line="360" w:lineRule="auto"/>
        <w:ind w:left="708" w:firstLine="708"/>
        <w:jc w:val="both"/>
        <w:rPr>
          <w:b/>
          <w:sz w:val="24"/>
          <w:lang w:val="en-GB"/>
        </w:rPr>
      </w:pPr>
    </w:p>
    <w:p w:rsidR="003A0C1E" w:rsidRPr="00200032" w:rsidRDefault="003A0C1E" w:rsidP="003A0C1E">
      <w:pPr>
        <w:spacing w:line="360" w:lineRule="auto"/>
        <w:ind w:left="708" w:firstLine="708"/>
        <w:jc w:val="both"/>
        <w:rPr>
          <w:b/>
          <w:sz w:val="24"/>
          <w:lang w:val="en-GB"/>
        </w:rPr>
      </w:pPr>
      <w:r>
        <w:rPr>
          <w:b/>
          <w:sz w:val="24"/>
          <w:lang w:val="en-GB"/>
        </w:rPr>
        <w:t>1.</w:t>
      </w:r>
      <w:r w:rsidRPr="00200032">
        <w:rPr>
          <w:b/>
          <w:sz w:val="24"/>
          <w:lang w:val="en-GB"/>
        </w:rPr>
        <w:t>4 – Deal Premium</w:t>
      </w:r>
    </w:p>
    <w:p w:rsidR="005D7183" w:rsidRDefault="003A0C1E" w:rsidP="003A0C1E">
      <w:pPr>
        <w:spacing w:line="360" w:lineRule="auto"/>
        <w:jc w:val="both"/>
        <w:rPr>
          <w:lang w:val="en-GB"/>
        </w:rPr>
      </w:pPr>
      <w:r>
        <w:rPr>
          <w:lang w:val="en-GB"/>
        </w:rPr>
        <w:t xml:space="preserve">When a firm takes over another firm, the acquirer nearly always </w:t>
      </w:r>
      <w:r w:rsidRPr="0035762A">
        <w:rPr>
          <w:lang w:val="en-GB"/>
        </w:rPr>
        <w:t>pays a premium (</w:t>
      </w:r>
      <w:r w:rsidRPr="0035762A">
        <w:rPr>
          <w:rFonts w:cstheme="minorHAnsi"/>
          <w:lang w:val="en-GB"/>
        </w:rPr>
        <w:t>ϕ</w:t>
      </w:r>
      <w:r w:rsidRPr="0035762A">
        <w:rPr>
          <w:lang w:val="en-GB"/>
        </w:rPr>
        <w:t>), more</w:t>
      </w:r>
      <w:r w:rsidRPr="0035762A">
        <w:rPr>
          <w:sz w:val="24"/>
          <w:lang w:val="en-GB"/>
        </w:rPr>
        <w:t xml:space="preserve"> </w:t>
      </w:r>
      <w:r>
        <w:rPr>
          <w:lang w:val="en-GB"/>
        </w:rPr>
        <w:t xml:space="preserve">than the value of the company, to the target firm </w:t>
      </w:r>
      <w:sdt>
        <w:sdtPr>
          <w:rPr>
            <w:lang w:val="en-GB"/>
          </w:rPr>
          <w:id w:val="2057223"/>
          <w:citation/>
        </w:sdtPr>
        <w:sdtContent>
          <w:r w:rsidR="00067D34">
            <w:rPr>
              <w:lang w:val="en-GB"/>
            </w:rPr>
            <w:fldChar w:fldCharType="begin"/>
          </w:r>
          <w:r w:rsidR="00227C02" w:rsidRPr="00227C02">
            <w:rPr>
              <w:lang w:val="en-GB"/>
            </w:rPr>
            <w:instrText xml:space="preserve"> CITATION DeM11 \l 1043  </w:instrText>
          </w:r>
          <w:r w:rsidR="00067D34">
            <w:rPr>
              <w:lang w:val="en-GB"/>
            </w:rPr>
            <w:fldChar w:fldCharType="separate"/>
          </w:r>
          <w:r w:rsidR="00227C02" w:rsidRPr="00227C02">
            <w:rPr>
              <w:noProof/>
              <w:lang w:val="en-GB"/>
            </w:rPr>
            <w:t>(DeMarzo &amp; Berk, 2011)</w:t>
          </w:r>
          <w:r w:rsidR="00067D34">
            <w:rPr>
              <w:lang w:val="en-GB"/>
            </w:rPr>
            <w:fldChar w:fldCharType="end"/>
          </w:r>
        </w:sdtContent>
      </w:sdt>
      <w:r>
        <w:rPr>
          <w:lang w:val="en-GB"/>
        </w:rPr>
        <w:t xml:space="preserve">. Of course, when acquiring another company, the acquirer thinks the advantages will offset the disadvantages. </w:t>
      </w:r>
      <w:r w:rsidR="003D569F">
        <w:rPr>
          <w:lang w:val="en-GB"/>
        </w:rPr>
        <w:t>In that case</w:t>
      </w:r>
      <w:r>
        <w:rPr>
          <w:lang w:val="en-GB"/>
        </w:rPr>
        <w:t xml:space="preserve">, the net result of the M&amp;A is expected to be beneficial for the acquirer. When he announces his willingness to take over the target firm, this target firm knows this and wants a monetary compensation for this; the deal premium </w:t>
      </w:r>
      <w:sdt>
        <w:sdtPr>
          <w:rPr>
            <w:lang w:val="en-GB"/>
          </w:rPr>
          <w:id w:val="3747739"/>
          <w:citation/>
        </w:sdtPr>
        <w:sdtContent>
          <w:r w:rsidR="00067D34">
            <w:rPr>
              <w:lang w:val="en-GB"/>
            </w:rPr>
            <w:fldChar w:fldCharType="begin"/>
          </w:r>
          <w:r w:rsidR="00227C02" w:rsidRPr="00227C02">
            <w:rPr>
              <w:lang w:val="en-GB"/>
            </w:rPr>
            <w:instrText xml:space="preserve"> CITATION Bes10 \l 1043  </w:instrText>
          </w:r>
          <w:r w:rsidR="00067D34">
            <w:rPr>
              <w:lang w:val="en-GB"/>
            </w:rPr>
            <w:fldChar w:fldCharType="separate"/>
          </w:r>
          <w:r w:rsidR="00227C02" w:rsidRPr="00227C02">
            <w:rPr>
              <w:noProof/>
              <w:lang w:val="en-GB"/>
            </w:rPr>
            <w:t>(Besanko, Dranove, Shanley, &amp; Schaefer, 2010)</w:t>
          </w:r>
          <w:r w:rsidR="00067D34">
            <w:rPr>
              <w:lang w:val="en-GB"/>
            </w:rPr>
            <w:fldChar w:fldCharType="end"/>
          </w:r>
        </w:sdtContent>
      </w:sdt>
      <w:r>
        <w:rPr>
          <w:lang w:val="en-GB"/>
        </w:rPr>
        <w:t>. This usually results in the target company’s stock going up. This can also be used as an indicator of a good or bad M&amp;A decision.</w:t>
      </w:r>
    </w:p>
    <w:p w:rsidR="001A6050" w:rsidRDefault="001A6050" w:rsidP="005D7183">
      <w:pPr>
        <w:spacing w:line="360" w:lineRule="auto"/>
        <w:ind w:firstLine="708"/>
        <w:jc w:val="both"/>
        <w:rPr>
          <w:b/>
          <w:sz w:val="24"/>
          <w:lang w:val="en-GB"/>
        </w:rPr>
      </w:pPr>
    </w:p>
    <w:p w:rsidR="00140F80" w:rsidRDefault="00140F80">
      <w:pPr>
        <w:rPr>
          <w:b/>
          <w:sz w:val="24"/>
          <w:lang w:val="en-GB"/>
        </w:rPr>
      </w:pPr>
      <w:r>
        <w:rPr>
          <w:b/>
          <w:sz w:val="24"/>
          <w:lang w:val="en-GB"/>
        </w:rPr>
        <w:br w:type="page"/>
      </w:r>
    </w:p>
    <w:p w:rsidR="005D7183" w:rsidRPr="005D7183" w:rsidRDefault="00567F64" w:rsidP="005D7183">
      <w:pPr>
        <w:spacing w:line="360" w:lineRule="auto"/>
        <w:ind w:firstLine="708"/>
        <w:jc w:val="both"/>
        <w:rPr>
          <w:lang w:val="en-GB"/>
        </w:rPr>
      </w:pPr>
      <w:r>
        <w:rPr>
          <w:b/>
          <w:sz w:val="24"/>
          <w:lang w:val="en-GB"/>
        </w:rPr>
        <w:lastRenderedPageBreak/>
        <w:t xml:space="preserve"> </w:t>
      </w:r>
      <w:r w:rsidR="005D7183" w:rsidRPr="005D7183">
        <w:rPr>
          <w:b/>
          <w:sz w:val="24"/>
          <w:lang w:val="en-GB"/>
        </w:rPr>
        <w:t>2 – Literature Research</w:t>
      </w:r>
    </w:p>
    <w:p w:rsidR="003A0C1E" w:rsidRPr="003A0C1E" w:rsidRDefault="00327FAD" w:rsidP="003A0C1E">
      <w:pPr>
        <w:spacing w:line="360" w:lineRule="auto"/>
        <w:jc w:val="both"/>
        <w:rPr>
          <w:lang w:val="en-GB"/>
        </w:rPr>
      </w:pPr>
      <w:r>
        <w:rPr>
          <w:lang w:val="en-GB"/>
        </w:rPr>
        <w:t>The abovementioned basics of M&amp;As should be enough to understand the meaning and intention of the research. Therefore, now will be proceeded with the official literature research. The results of multiple researches on this subject will be discussed, as these results continue to contradict each other.</w:t>
      </w:r>
      <w:r w:rsidR="005D7183">
        <w:rPr>
          <w:lang w:val="en-GB"/>
        </w:rPr>
        <w:t xml:space="preserve"> First, the very existence of overconfidence will be researched, after which the results of the leading paper of Ferris, Jayaraman and Sabherwel will be compared to those of other researches.</w:t>
      </w:r>
    </w:p>
    <w:p w:rsidR="005D7183" w:rsidRDefault="005D7183" w:rsidP="005D7183">
      <w:pPr>
        <w:spacing w:line="360" w:lineRule="auto"/>
        <w:ind w:left="708" w:firstLine="708"/>
        <w:jc w:val="both"/>
        <w:rPr>
          <w:b/>
          <w:sz w:val="24"/>
          <w:lang w:val="en-GB"/>
        </w:rPr>
      </w:pPr>
    </w:p>
    <w:p w:rsidR="003A0C1E" w:rsidRPr="001B7243" w:rsidRDefault="00567F64" w:rsidP="005D7183">
      <w:pPr>
        <w:spacing w:line="360" w:lineRule="auto"/>
        <w:ind w:left="708" w:firstLine="708"/>
        <w:jc w:val="both"/>
        <w:rPr>
          <w:b/>
          <w:sz w:val="24"/>
          <w:lang w:val="en-GB"/>
        </w:rPr>
      </w:pPr>
      <w:r>
        <w:rPr>
          <w:b/>
          <w:sz w:val="24"/>
          <w:lang w:val="en-GB"/>
        </w:rPr>
        <w:t xml:space="preserve"> </w:t>
      </w:r>
      <w:r w:rsidR="003A0C1E">
        <w:rPr>
          <w:b/>
          <w:sz w:val="24"/>
          <w:lang w:val="en-GB"/>
        </w:rPr>
        <w:t>2</w:t>
      </w:r>
      <w:r w:rsidR="005D7183">
        <w:rPr>
          <w:b/>
          <w:sz w:val="24"/>
          <w:lang w:val="en-GB"/>
        </w:rPr>
        <w:t>.1</w:t>
      </w:r>
      <w:r w:rsidR="003A0C1E" w:rsidRPr="001B7243">
        <w:rPr>
          <w:b/>
          <w:sz w:val="24"/>
          <w:lang w:val="en-GB"/>
        </w:rPr>
        <w:t xml:space="preserve"> – Existence of Overconfidence</w:t>
      </w:r>
    </w:p>
    <w:p w:rsidR="003A0C1E" w:rsidRDefault="00856F76" w:rsidP="003A0C1E">
      <w:pPr>
        <w:spacing w:line="360" w:lineRule="auto"/>
        <w:jc w:val="both"/>
        <w:rPr>
          <w:lang w:val="en-GB"/>
        </w:rPr>
      </w:pPr>
      <w:r>
        <w:rPr>
          <w:lang w:val="en-GB"/>
        </w:rPr>
        <w:t>Before the start of the literature research the</w:t>
      </w:r>
      <w:r w:rsidR="003A0C1E">
        <w:rPr>
          <w:lang w:val="en-GB"/>
        </w:rPr>
        <w:t xml:space="preserve"> very existence of overconfident firms</w:t>
      </w:r>
      <w:r>
        <w:rPr>
          <w:lang w:val="en-GB"/>
        </w:rPr>
        <w:t xml:space="preserve"> has to be </w:t>
      </w:r>
      <w:r w:rsidR="00851B57">
        <w:rPr>
          <w:lang w:val="en-GB"/>
        </w:rPr>
        <w:t>acknowledged</w:t>
      </w:r>
      <w:r w:rsidR="003A0C1E">
        <w:rPr>
          <w:lang w:val="en-GB"/>
        </w:rPr>
        <w:t xml:space="preserve">. This evidence is given in the paper of Yu (2013), where the main research included the origin and very existence of CEO confidence. This paper concluded with the facts that there definitely is something called CEO overconfidence and that is does influence the company in many ways, some good, some not so good </w:t>
      </w:r>
      <w:sdt>
        <w:sdtPr>
          <w:rPr>
            <w:lang w:val="en-GB"/>
          </w:rPr>
          <w:id w:val="804677"/>
          <w:citation/>
        </w:sdtPr>
        <w:sdtContent>
          <w:r w:rsidR="00067D34">
            <w:rPr>
              <w:lang w:val="en-GB"/>
            </w:rPr>
            <w:fldChar w:fldCharType="begin"/>
          </w:r>
          <w:r w:rsidR="003A0C1E" w:rsidRPr="00C27A4D">
            <w:rPr>
              <w:lang w:val="en-GB"/>
            </w:rPr>
            <w:instrText xml:space="preserve"> CITATION YuC13 \l 1043 </w:instrText>
          </w:r>
          <w:r w:rsidR="00067D34">
            <w:rPr>
              <w:lang w:val="en-GB"/>
            </w:rPr>
            <w:fldChar w:fldCharType="separate"/>
          </w:r>
          <w:r w:rsidR="003A0C1E" w:rsidRPr="00C27A4D">
            <w:rPr>
              <w:noProof/>
              <w:lang w:val="en-GB"/>
            </w:rPr>
            <w:t>(Yu, 2013)</w:t>
          </w:r>
          <w:r w:rsidR="00067D34">
            <w:rPr>
              <w:lang w:val="en-GB"/>
            </w:rPr>
            <w:fldChar w:fldCharType="end"/>
          </w:r>
        </w:sdtContent>
      </w:sdt>
      <w:r w:rsidR="003A0C1E">
        <w:rPr>
          <w:lang w:val="en-GB"/>
        </w:rPr>
        <w:t xml:space="preserve">. </w:t>
      </w:r>
      <w:r w:rsidR="001A2526">
        <w:rPr>
          <w:lang w:val="en-GB"/>
        </w:rPr>
        <w:t xml:space="preserve"> Especially this overconfidence exist in entrepreneurs and founder-managers (as opposed to new-venture managers) </w:t>
      </w:r>
      <w:sdt>
        <w:sdtPr>
          <w:rPr>
            <w:lang w:val="en-GB"/>
          </w:rPr>
          <w:id w:val="15715917"/>
          <w:citation/>
        </w:sdtPr>
        <w:sdtContent>
          <w:r w:rsidR="00067D34">
            <w:rPr>
              <w:lang w:val="en-GB"/>
            </w:rPr>
            <w:fldChar w:fldCharType="begin"/>
          </w:r>
          <w:r w:rsidR="00F83BC2" w:rsidRPr="00146CDE">
            <w:rPr>
              <w:lang w:val="en-US"/>
            </w:rPr>
            <w:instrText xml:space="preserve"> CITATION For05 \l 1043  </w:instrText>
          </w:r>
          <w:r w:rsidR="00067D34">
            <w:rPr>
              <w:lang w:val="en-GB"/>
            </w:rPr>
            <w:fldChar w:fldCharType="separate"/>
          </w:r>
          <w:r w:rsidR="00F83BC2" w:rsidRPr="00146CDE">
            <w:rPr>
              <w:noProof/>
              <w:lang w:val="en-US"/>
            </w:rPr>
            <w:t>(Forbes, 2005)</w:t>
          </w:r>
          <w:r w:rsidR="00067D34">
            <w:rPr>
              <w:lang w:val="en-GB"/>
            </w:rPr>
            <w:fldChar w:fldCharType="end"/>
          </w:r>
        </w:sdtContent>
      </w:sdt>
      <w:r w:rsidR="001A2526">
        <w:rPr>
          <w:lang w:val="en-GB"/>
        </w:rPr>
        <w:t xml:space="preserve">.  </w:t>
      </w:r>
    </w:p>
    <w:p w:rsidR="005D7183" w:rsidRDefault="005D7183" w:rsidP="003A0C1E">
      <w:pPr>
        <w:spacing w:line="360" w:lineRule="auto"/>
        <w:jc w:val="both"/>
        <w:rPr>
          <w:lang w:val="en-GB"/>
        </w:rPr>
      </w:pPr>
    </w:p>
    <w:p w:rsidR="003A0C1E" w:rsidRPr="001B7243" w:rsidRDefault="00567F64" w:rsidP="005D7183">
      <w:pPr>
        <w:spacing w:line="360" w:lineRule="auto"/>
        <w:ind w:left="708" w:firstLine="708"/>
        <w:jc w:val="both"/>
        <w:rPr>
          <w:b/>
          <w:sz w:val="24"/>
          <w:lang w:val="en-GB"/>
        </w:rPr>
      </w:pPr>
      <w:r>
        <w:rPr>
          <w:b/>
          <w:sz w:val="24"/>
          <w:lang w:val="en-GB"/>
        </w:rPr>
        <w:t xml:space="preserve"> </w:t>
      </w:r>
      <w:r w:rsidR="005D7183">
        <w:rPr>
          <w:b/>
          <w:sz w:val="24"/>
          <w:lang w:val="en-GB"/>
        </w:rPr>
        <w:t>2.2</w:t>
      </w:r>
      <w:r w:rsidR="003A0C1E" w:rsidRPr="001B7243">
        <w:rPr>
          <w:b/>
          <w:sz w:val="24"/>
          <w:lang w:val="en-GB"/>
        </w:rPr>
        <w:t xml:space="preserve"> - Ferris, Jay</w:t>
      </w:r>
      <w:r w:rsidR="003A0C1E">
        <w:rPr>
          <w:b/>
          <w:sz w:val="24"/>
          <w:lang w:val="en-GB"/>
        </w:rPr>
        <w:t xml:space="preserve">araman and Sabherwal </w:t>
      </w:r>
      <w:r w:rsidR="003A0C1E" w:rsidRPr="001B7243">
        <w:rPr>
          <w:b/>
          <w:sz w:val="24"/>
          <w:lang w:val="en-GB"/>
        </w:rPr>
        <w:tab/>
      </w:r>
    </w:p>
    <w:p w:rsidR="003A0C1E" w:rsidRDefault="003A0C1E" w:rsidP="003A0C1E">
      <w:pPr>
        <w:spacing w:line="360" w:lineRule="auto"/>
        <w:jc w:val="both"/>
        <w:rPr>
          <w:lang w:val="en-GB"/>
        </w:rPr>
      </w:pPr>
      <w:r>
        <w:rPr>
          <w:lang w:val="en-GB"/>
        </w:rPr>
        <w:t xml:space="preserve">The next important step is the analysis of the paper of Ferris, Jayaraman and Sabherwal (2012) who did an extensive research to the effects of CEO overconfidence and came to many results, three of which will discussed more detailed. Some of these results are approved by other papers, while some others are disproving with the results found in their paper.  </w:t>
      </w:r>
    </w:p>
    <w:p w:rsidR="003A0C1E" w:rsidRDefault="003A0C1E" w:rsidP="003A0C1E">
      <w:pPr>
        <w:spacing w:line="360" w:lineRule="auto"/>
        <w:jc w:val="both"/>
        <w:rPr>
          <w:lang w:val="en-GB"/>
        </w:rPr>
      </w:pPr>
      <w:r>
        <w:rPr>
          <w:lang w:val="en-GB"/>
        </w:rPr>
        <w:t>The first interesting find</w:t>
      </w:r>
      <w:r w:rsidR="00851B57">
        <w:rPr>
          <w:lang w:val="en-GB"/>
        </w:rPr>
        <w:t>ing</w:t>
      </w:r>
      <w:r>
        <w:rPr>
          <w:lang w:val="en-GB"/>
        </w:rPr>
        <w:t xml:space="preserve"> in the their research is that the overconfidence of a CEO influences the absolute number of M&amp;As by a company in a positive way, meaning that companies with such an overconfident CEO engage in more M&amp;As than a company in which an economically rational CEO makes the decisions regarding the M&amp;As </w:t>
      </w:r>
      <w:sdt>
        <w:sdtPr>
          <w:rPr>
            <w:lang w:val="en-GB"/>
          </w:rPr>
          <w:id w:val="804678"/>
          <w:citation/>
        </w:sdtPr>
        <w:sdtContent>
          <w:r w:rsidR="00067D34">
            <w:rPr>
              <w:lang w:val="en-GB"/>
            </w:rPr>
            <w:fldChar w:fldCharType="begin"/>
          </w:r>
          <w:r w:rsidR="00C45DA4" w:rsidRPr="00C45DA4">
            <w:rPr>
              <w:lang w:val="en-GB"/>
            </w:rPr>
            <w:instrText xml:space="preserve"> CITATION Fer \l 1043  </w:instrText>
          </w:r>
          <w:r w:rsidR="00067D34">
            <w:rPr>
              <w:lang w:val="en-GB"/>
            </w:rPr>
            <w:fldChar w:fldCharType="separate"/>
          </w:r>
          <w:r w:rsidR="00C45DA4" w:rsidRPr="00C45DA4">
            <w:rPr>
              <w:noProof/>
              <w:lang w:val="en-GB"/>
            </w:rPr>
            <w:t>(Ferris, Jayaraman, &amp; Sabherwal, 2012)</w:t>
          </w:r>
          <w:r w:rsidR="00067D34">
            <w:rPr>
              <w:lang w:val="en-GB"/>
            </w:rPr>
            <w:fldChar w:fldCharType="end"/>
          </w:r>
        </w:sdtContent>
      </w:sdt>
      <w:r>
        <w:rPr>
          <w:lang w:val="en-GB"/>
        </w:rPr>
        <w:t>. This first interesting result is approved by</w:t>
      </w:r>
      <w:r w:rsidR="00851B57">
        <w:rPr>
          <w:lang w:val="en-GB"/>
        </w:rPr>
        <w:t xml:space="preserve"> </w:t>
      </w:r>
      <w:r>
        <w:rPr>
          <w:lang w:val="en-GB"/>
        </w:rPr>
        <w:t>Bressane and Verini Maia (2010) in their paper on the impact of CEO overconfidence on M&amp;As, in which they made use of large sample of nearly 9.000 M&amp;A deals. They clearly state that the</w:t>
      </w:r>
      <w:r w:rsidR="00851B57">
        <w:rPr>
          <w:lang w:val="en-GB"/>
        </w:rPr>
        <w:t>y</w:t>
      </w:r>
      <w:r>
        <w:rPr>
          <w:lang w:val="en-GB"/>
        </w:rPr>
        <w:t xml:space="preserve"> found a positive relationship between the overconfidence of a CEO and the number of M&amp;A deals for that specific firm or company </w:t>
      </w:r>
      <w:sdt>
        <w:sdtPr>
          <w:rPr>
            <w:lang w:val="en-GB"/>
          </w:rPr>
          <w:id w:val="804679"/>
          <w:citation/>
        </w:sdtPr>
        <w:sdtContent>
          <w:r w:rsidR="00067D34">
            <w:rPr>
              <w:lang w:val="en-GB"/>
            </w:rPr>
            <w:fldChar w:fldCharType="begin"/>
          </w:r>
          <w:r w:rsidR="00227C02" w:rsidRPr="00227C02">
            <w:rPr>
              <w:lang w:val="en-GB"/>
            </w:rPr>
            <w:instrText xml:space="preserve"> CITATION Bre10 \l 1043  </w:instrText>
          </w:r>
          <w:r w:rsidR="00067D34">
            <w:rPr>
              <w:lang w:val="en-GB"/>
            </w:rPr>
            <w:fldChar w:fldCharType="separate"/>
          </w:r>
          <w:r w:rsidR="00227C02" w:rsidRPr="00227C02">
            <w:rPr>
              <w:noProof/>
              <w:lang w:val="en-GB"/>
            </w:rPr>
            <w:t>(Bressane &amp; Maia, 2010)</w:t>
          </w:r>
          <w:r w:rsidR="00067D34">
            <w:rPr>
              <w:lang w:val="en-GB"/>
            </w:rPr>
            <w:fldChar w:fldCharType="end"/>
          </w:r>
        </w:sdtContent>
      </w:sdt>
      <w:r>
        <w:rPr>
          <w:lang w:val="en-GB"/>
        </w:rPr>
        <w:t xml:space="preserve">. </w:t>
      </w:r>
      <w:r w:rsidR="00BC2A8A">
        <w:rPr>
          <w:lang w:val="en-GB"/>
        </w:rPr>
        <w:t xml:space="preserve">Also, Malmendier and Tate (2005) agree on this and state that overconfident CEOs are significantly more responsive to </w:t>
      </w:r>
      <w:r w:rsidR="00BC2A8A">
        <w:rPr>
          <w:lang w:val="en-GB"/>
        </w:rPr>
        <w:lastRenderedPageBreak/>
        <w:t xml:space="preserve">cash flows </w:t>
      </w:r>
      <w:sdt>
        <w:sdtPr>
          <w:rPr>
            <w:lang w:val="en-GB"/>
          </w:rPr>
          <w:id w:val="15715919"/>
          <w:citation/>
        </w:sdtPr>
        <w:sdtContent>
          <w:r w:rsidR="00067D34">
            <w:fldChar w:fldCharType="begin"/>
          </w:r>
          <w:r w:rsidR="00F2048E" w:rsidRPr="00A0519A">
            <w:rPr>
              <w:lang w:val="en-US"/>
            </w:rPr>
            <w:instrText xml:space="preserve"> CITATION Mal05 \l 1043  </w:instrText>
          </w:r>
          <w:r w:rsidR="00067D34">
            <w:fldChar w:fldCharType="separate"/>
          </w:r>
          <w:r w:rsidR="00F83BC2" w:rsidRPr="00A0519A">
            <w:rPr>
              <w:noProof/>
              <w:lang w:val="en-US"/>
            </w:rPr>
            <w:t>(Malemendier &amp; Tate, 2005)</w:t>
          </w:r>
          <w:r w:rsidR="00067D34">
            <w:fldChar w:fldCharType="end"/>
          </w:r>
        </w:sdtContent>
      </w:sdt>
      <w:r w:rsidR="00BC2A8A">
        <w:rPr>
          <w:lang w:val="en-GB"/>
        </w:rPr>
        <w:t xml:space="preserve">. </w:t>
      </w:r>
      <w:r>
        <w:rPr>
          <w:lang w:val="en-GB"/>
        </w:rPr>
        <w:t xml:space="preserve">Also, a paper written by the University of Edinburgh, of which the author is unknown, tested empirically for this and found the exact same results as Bressane and Maia did </w:t>
      </w:r>
      <w:sdt>
        <w:sdtPr>
          <w:rPr>
            <w:lang w:val="en-GB"/>
          </w:rPr>
          <w:id w:val="804681"/>
          <w:citation/>
        </w:sdtPr>
        <w:sdtContent>
          <w:r w:rsidR="00067D34">
            <w:rPr>
              <w:lang w:val="en-GB"/>
            </w:rPr>
            <w:fldChar w:fldCharType="begin"/>
          </w:r>
          <w:r w:rsidRPr="000C2445">
            <w:rPr>
              <w:lang w:val="en-GB"/>
            </w:rPr>
            <w:instrText xml:space="preserve"> CITATION Unk08 \l 1043 </w:instrText>
          </w:r>
          <w:r w:rsidR="00067D34">
            <w:rPr>
              <w:lang w:val="en-GB"/>
            </w:rPr>
            <w:fldChar w:fldCharType="separate"/>
          </w:r>
          <w:r w:rsidRPr="000C2445">
            <w:rPr>
              <w:noProof/>
              <w:lang w:val="en-GB"/>
            </w:rPr>
            <w:t>(Unknown, 2008)</w:t>
          </w:r>
          <w:r w:rsidR="00067D34">
            <w:rPr>
              <w:lang w:val="en-GB"/>
            </w:rPr>
            <w:fldChar w:fldCharType="end"/>
          </w:r>
        </w:sdtContent>
      </w:sdt>
      <w:r>
        <w:rPr>
          <w:lang w:val="en-GB"/>
        </w:rPr>
        <w:t xml:space="preserve">. However, El Allali (2009) found evidence against this result found in the abovementioned papers. His paper suggests that there is no influence from an overconfident CEO on the number of M&amp;As </w:t>
      </w:r>
      <w:sdt>
        <w:sdtPr>
          <w:rPr>
            <w:lang w:val="en-GB"/>
          </w:rPr>
          <w:id w:val="804682"/>
          <w:citation/>
        </w:sdtPr>
        <w:sdtContent>
          <w:r w:rsidR="00067D34">
            <w:rPr>
              <w:lang w:val="en-GB"/>
            </w:rPr>
            <w:fldChar w:fldCharType="begin"/>
          </w:r>
          <w:r w:rsidRPr="00A724C1">
            <w:rPr>
              <w:lang w:val="en-GB"/>
            </w:rPr>
            <w:instrText xml:space="preserve"> CITATION ELA09 \l 1043 </w:instrText>
          </w:r>
          <w:r w:rsidR="00067D34">
            <w:rPr>
              <w:lang w:val="en-GB"/>
            </w:rPr>
            <w:fldChar w:fldCharType="separate"/>
          </w:r>
          <w:r w:rsidRPr="00A724C1">
            <w:rPr>
              <w:noProof/>
              <w:lang w:val="en-GB"/>
            </w:rPr>
            <w:t>(EL Allali, 2009)</w:t>
          </w:r>
          <w:r w:rsidR="00067D34">
            <w:rPr>
              <w:lang w:val="en-GB"/>
            </w:rPr>
            <w:fldChar w:fldCharType="end"/>
          </w:r>
        </w:sdtContent>
      </w:sdt>
      <w:r>
        <w:rPr>
          <w:lang w:val="en-GB"/>
        </w:rPr>
        <w:t xml:space="preserve">.  </w:t>
      </w:r>
    </w:p>
    <w:p w:rsidR="003A0C1E" w:rsidRDefault="003A0C1E" w:rsidP="003A0C1E">
      <w:pPr>
        <w:spacing w:line="360" w:lineRule="auto"/>
        <w:jc w:val="both"/>
        <w:rPr>
          <w:lang w:val="en-GB"/>
        </w:rPr>
      </w:pPr>
      <w:r>
        <w:rPr>
          <w:lang w:val="en-GB"/>
        </w:rPr>
        <w:t xml:space="preserve">The second main result of the paper of Ferris, Jayaraman and Sabherwal (2012) is that they found strong evidence that overconfident CEOs engage in diversifying acquisitions with a higher frequency than economically rational CEOs. As diversifying M&amp;As induce fewer advantages when compared to horizontal or vertical integration, this can be an indicator of inferior M&amp;A decisions </w:t>
      </w:r>
      <w:sdt>
        <w:sdtPr>
          <w:rPr>
            <w:lang w:val="en-GB"/>
          </w:rPr>
          <w:id w:val="804684"/>
          <w:citation/>
        </w:sdtPr>
        <w:sdtContent>
          <w:r w:rsidR="00067D34">
            <w:rPr>
              <w:lang w:val="en-GB"/>
            </w:rPr>
            <w:fldChar w:fldCharType="begin"/>
          </w:r>
          <w:r w:rsidR="00227C02" w:rsidRPr="00227C02">
            <w:rPr>
              <w:lang w:val="en-GB"/>
            </w:rPr>
            <w:instrText xml:space="preserve"> CITATION Bes10 \l 1043  </w:instrText>
          </w:r>
          <w:r w:rsidR="00067D34">
            <w:rPr>
              <w:lang w:val="en-GB"/>
            </w:rPr>
            <w:fldChar w:fldCharType="separate"/>
          </w:r>
          <w:r w:rsidR="00227C02" w:rsidRPr="00227C02">
            <w:rPr>
              <w:noProof/>
              <w:lang w:val="en-GB"/>
            </w:rPr>
            <w:t>(Besanko, Dranove, Shanley, &amp; Schaefer, 2010)</w:t>
          </w:r>
          <w:r w:rsidR="00067D34">
            <w:rPr>
              <w:lang w:val="en-GB"/>
            </w:rPr>
            <w:fldChar w:fldCharType="end"/>
          </w:r>
        </w:sdtContent>
      </w:sdt>
      <w:r>
        <w:rPr>
          <w:lang w:val="en-GB"/>
        </w:rPr>
        <w:t xml:space="preserve">. The finding of more diversifying M&amp;As is confirmed by the paper of Malmendier and Tate (2006), who also found this exact same result. They also proved empirically what Besanko, Dranove, Shanley and Shaefer (2010) stated about the quantity of advantages from the different kinds of M&amp;As; diversifying M&amp;As result in less advantages for the concern as a whole </w:t>
      </w:r>
      <w:sdt>
        <w:sdtPr>
          <w:rPr>
            <w:lang w:val="en-GB"/>
          </w:rPr>
          <w:id w:val="804685"/>
          <w:citation/>
        </w:sdtPr>
        <w:sdtContent>
          <w:r w:rsidR="00067D34">
            <w:fldChar w:fldCharType="begin"/>
          </w:r>
          <w:r w:rsidR="00A67D15" w:rsidRPr="00A67D15">
            <w:rPr>
              <w:lang w:val="en-GB"/>
            </w:rPr>
            <w:instrText xml:space="preserve"> CITATION Mal06 \l 1043  </w:instrText>
          </w:r>
          <w:r w:rsidR="00067D34">
            <w:fldChar w:fldCharType="separate"/>
          </w:r>
          <w:r w:rsidR="00A67D15" w:rsidRPr="00A67D15">
            <w:rPr>
              <w:noProof/>
              <w:lang w:val="en-GB"/>
            </w:rPr>
            <w:t>(Malmendier &amp; Tate, 2008)</w:t>
          </w:r>
          <w:r w:rsidR="00067D34">
            <w:fldChar w:fldCharType="end"/>
          </w:r>
        </w:sdtContent>
      </w:sdt>
      <w:r>
        <w:rPr>
          <w:lang w:val="en-GB"/>
        </w:rPr>
        <w:t xml:space="preserve">. This last statement was the very subject of the paper of Morck, Shleifer and Vishny (1990), who empirically researched the quality of the different kinds of M&amp;As and found that diversifying M&amp;A deals resulted in lower returns </w:t>
      </w:r>
      <w:sdt>
        <w:sdtPr>
          <w:rPr>
            <w:lang w:val="en-GB"/>
          </w:rPr>
          <w:id w:val="804739"/>
          <w:citation/>
        </w:sdtPr>
        <w:sdtContent>
          <w:r w:rsidR="00067D34">
            <w:fldChar w:fldCharType="begin"/>
          </w:r>
          <w:r w:rsidR="00D853B9" w:rsidRPr="00D853B9">
            <w:rPr>
              <w:lang w:val="en-GB"/>
            </w:rPr>
            <w:instrText xml:space="preserve"> CITATION Mor90 \l 1043  </w:instrText>
          </w:r>
          <w:r w:rsidR="00067D34">
            <w:fldChar w:fldCharType="separate"/>
          </w:r>
          <w:r w:rsidR="00D853B9" w:rsidRPr="00D853B9">
            <w:rPr>
              <w:noProof/>
              <w:lang w:val="en-GB"/>
            </w:rPr>
            <w:t>(Morck, Shleifer, &amp; Vishny, 1990)</w:t>
          </w:r>
          <w:r w:rsidR="00067D34">
            <w:fldChar w:fldCharType="end"/>
          </w:r>
        </w:sdtContent>
      </w:sdt>
      <w:r>
        <w:rPr>
          <w:lang w:val="en-GB"/>
        </w:rPr>
        <w:t xml:space="preserve">. </w:t>
      </w:r>
    </w:p>
    <w:p w:rsidR="003A0C1E" w:rsidRDefault="003A0C1E" w:rsidP="00BA119C">
      <w:pPr>
        <w:spacing w:line="360" w:lineRule="auto"/>
        <w:jc w:val="both"/>
        <w:rPr>
          <w:lang w:val="en-GB"/>
        </w:rPr>
      </w:pPr>
      <w:r>
        <w:rPr>
          <w:lang w:val="en-GB"/>
        </w:rPr>
        <w:t xml:space="preserve">This means that when the results of the papers of Malmendier and Tate (2006) and Morck, Shleifer and Vishny (1990) are combined, one can induce that overconfident CEOs make M&amp;A decisions which result in lower returns. This can be explained by the fact that overconfident CEOs engage in more diversifying M&amp;As and that exactly these kind of M&amp;As are responsible for lower returns </w:t>
      </w:r>
      <w:sdt>
        <w:sdtPr>
          <w:rPr>
            <w:lang w:val="en-GB"/>
          </w:rPr>
          <w:id w:val="25399383"/>
          <w:citation/>
        </w:sdtPr>
        <w:sdtContent>
          <w:r w:rsidR="00067D34">
            <w:rPr>
              <w:lang w:val="en-GB"/>
            </w:rPr>
            <w:fldChar w:fldCharType="begin"/>
          </w:r>
          <w:r w:rsidR="00C45DA4" w:rsidRPr="00C45DA4">
            <w:rPr>
              <w:lang w:val="en-GB"/>
            </w:rPr>
            <w:instrText xml:space="preserve"> CITATION Fer \l 1043  </w:instrText>
          </w:r>
          <w:r w:rsidR="00067D34">
            <w:rPr>
              <w:lang w:val="en-GB"/>
            </w:rPr>
            <w:fldChar w:fldCharType="separate"/>
          </w:r>
          <w:r w:rsidR="00C45DA4" w:rsidRPr="00C45DA4">
            <w:rPr>
              <w:noProof/>
              <w:lang w:val="en-GB"/>
            </w:rPr>
            <w:t>(Ferris, Jayaraman, &amp; Sabherwal, 2012)</w:t>
          </w:r>
          <w:r w:rsidR="00067D34">
            <w:rPr>
              <w:lang w:val="en-GB"/>
            </w:rPr>
            <w:fldChar w:fldCharType="end"/>
          </w:r>
        </w:sdtContent>
      </w:sdt>
      <w:r>
        <w:rPr>
          <w:lang w:val="en-GB"/>
        </w:rPr>
        <w:t xml:space="preserve">. However, there is some discussion around this. </w:t>
      </w:r>
    </w:p>
    <w:p w:rsidR="003A0C1E" w:rsidRDefault="003A0C1E" w:rsidP="00140F80">
      <w:pPr>
        <w:spacing w:line="360" w:lineRule="auto"/>
        <w:jc w:val="both"/>
        <w:rPr>
          <w:lang w:val="en-GB"/>
        </w:rPr>
      </w:pPr>
      <w:r>
        <w:rPr>
          <w:lang w:val="en-GB"/>
        </w:rPr>
        <w:t xml:space="preserve">The last main result deriving from the research of Ferris, Jayaraman and Sabherwal (2012) is that they found that overconfident CEOs more often than economically rational CEOs use cash as the method of payment in the M&amp;A </w:t>
      </w:r>
      <w:sdt>
        <w:sdtPr>
          <w:rPr>
            <w:lang w:val="en-GB"/>
          </w:rPr>
          <w:id w:val="804848"/>
          <w:citation/>
        </w:sdtPr>
        <w:sdtContent>
          <w:r w:rsidR="00067D34">
            <w:rPr>
              <w:lang w:val="en-GB"/>
            </w:rPr>
            <w:fldChar w:fldCharType="begin"/>
          </w:r>
          <w:r w:rsidR="00C45DA4" w:rsidRPr="00C45DA4">
            <w:rPr>
              <w:lang w:val="en-GB"/>
            </w:rPr>
            <w:instrText xml:space="preserve"> CITATION Fer \l 1043  </w:instrText>
          </w:r>
          <w:r w:rsidR="00067D34">
            <w:rPr>
              <w:lang w:val="en-GB"/>
            </w:rPr>
            <w:fldChar w:fldCharType="separate"/>
          </w:r>
          <w:r w:rsidR="00C45DA4" w:rsidRPr="00C45DA4">
            <w:rPr>
              <w:noProof/>
              <w:lang w:val="en-GB"/>
            </w:rPr>
            <w:t>(Ferris, Jayaraman, &amp; Sabherwal, 2012)</w:t>
          </w:r>
          <w:r w:rsidR="00067D34">
            <w:rPr>
              <w:lang w:val="en-GB"/>
            </w:rPr>
            <w:fldChar w:fldCharType="end"/>
          </w:r>
        </w:sdtContent>
      </w:sdt>
      <w:r>
        <w:rPr>
          <w:lang w:val="en-GB"/>
        </w:rPr>
        <w:t xml:space="preserve">. This connects perfectly to this research as it is researched if having more idle cash as opposed to situation of having less idle cash influences the M&amp;A decisions. As having more idle cash leads to more confidence, and sometimes overconfidence, paying with cash may be an indicator of having more cash and therefore the probability of being overconfident </w:t>
      </w:r>
      <w:sdt>
        <w:sdtPr>
          <w:rPr>
            <w:lang w:val="en-GB"/>
          </w:rPr>
          <w:id w:val="804692"/>
          <w:citation/>
        </w:sdtPr>
        <w:sdtContent>
          <w:r w:rsidR="00067D34">
            <w:rPr>
              <w:lang w:val="en-GB"/>
            </w:rPr>
            <w:fldChar w:fldCharType="begin"/>
          </w:r>
          <w:r w:rsidRPr="001618B8">
            <w:rPr>
              <w:lang w:val="en-GB"/>
            </w:rPr>
            <w:instrText xml:space="preserve"> CITATION Nad12 \l 1043 </w:instrText>
          </w:r>
          <w:r w:rsidR="00067D34">
            <w:rPr>
              <w:lang w:val="en-GB"/>
            </w:rPr>
            <w:fldChar w:fldCharType="separate"/>
          </w:r>
          <w:r w:rsidRPr="001618B8">
            <w:rPr>
              <w:noProof/>
              <w:lang w:val="en-GB"/>
            </w:rPr>
            <w:t>(Stechyshyna, 2012)</w:t>
          </w:r>
          <w:r w:rsidR="00067D34">
            <w:rPr>
              <w:lang w:val="en-GB"/>
            </w:rPr>
            <w:fldChar w:fldCharType="end"/>
          </w:r>
        </w:sdtContent>
      </w:sdt>
      <w:r>
        <w:rPr>
          <w:lang w:val="en-GB"/>
        </w:rPr>
        <w:t xml:space="preserve">. </w:t>
      </w:r>
    </w:p>
    <w:p w:rsidR="005D7183" w:rsidRDefault="005D7183" w:rsidP="003A0C1E">
      <w:pPr>
        <w:spacing w:line="360" w:lineRule="auto"/>
        <w:ind w:firstLine="708"/>
        <w:jc w:val="both"/>
        <w:rPr>
          <w:b/>
          <w:sz w:val="24"/>
          <w:lang w:val="en-GB"/>
        </w:rPr>
      </w:pPr>
    </w:p>
    <w:p w:rsidR="00140F80" w:rsidRDefault="00140F80">
      <w:pPr>
        <w:rPr>
          <w:b/>
          <w:sz w:val="24"/>
          <w:lang w:val="en-GB"/>
        </w:rPr>
      </w:pPr>
      <w:r>
        <w:rPr>
          <w:b/>
          <w:sz w:val="24"/>
          <w:lang w:val="en-GB"/>
        </w:rPr>
        <w:br w:type="page"/>
      </w:r>
    </w:p>
    <w:p w:rsidR="003A0C1E" w:rsidRPr="001B7243" w:rsidRDefault="005D7183" w:rsidP="005D7183">
      <w:pPr>
        <w:spacing w:line="360" w:lineRule="auto"/>
        <w:ind w:left="708" w:firstLine="708"/>
        <w:jc w:val="both"/>
        <w:rPr>
          <w:b/>
          <w:sz w:val="24"/>
          <w:lang w:val="en-GB"/>
        </w:rPr>
      </w:pPr>
      <w:r>
        <w:rPr>
          <w:b/>
          <w:sz w:val="24"/>
          <w:lang w:val="en-GB"/>
        </w:rPr>
        <w:lastRenderedPageBreak/>
        <w:t>2.3</w:t>
      </w:r>
      <w:r w:rsidR="003A0C1E" w:rsidRPr="001B7243">
        <w:rPr>
          <w:b/>
          <w:sz w:val="24"/>
          <w:lang w:val="en-GB"/>
        </w:rPr>
        <w:t xml:space="preserve"> - Returns</w:t>
      </w:r>
    </w:p>
    <w:p w:rsidR="003A0C1E" w:rsidRDefault="003A0C1E" w:rsidP="003A0C1E">
      <w:pPr>
        <w:spacing w:line="360" w:lineRule="auto"/>
        <w:jc w:val="both"/>
        <w:rPr>
          <w:lang w:val="en-GB"/>
        </w:rPr>
      </w:pPr>
      <w:r>
        <w:rPr>
          <w:lang w:val="en-GB"/>
        </w:rPr>
        <w:t xml:space="preserve">Another important step in the literature research is the discussion of the difference between M&amp;As executed by overconfident CEOs and M&amp;As executed by economically rational CEOs regarding the returns. Also in this area, the researchers are not at the same wavelength. Doukas and Petmezas (2006) found that overconfidence in CEOs leads to lower returns </w:t>
      </w:r>
      <w:sdt>
        <w:sdtPr>
          <w:rPr>
            <w:lang w:val="en-GB"/>
          </w:rPr>
          <w:id w:val="804693"/>
          <w:citation/>
        </w:sdtPr>
        <w:sdtContent>
          <w:r w:rsidR="00067D34">
            <w:rPr>
              <w:lang w:val="en-GB"/>
            </w:rPr>
            <w:fldChar w:fldCharType="begin"/>
          </w:r>
          <w:r w:rsidR="00A0519A" w:rsidRPr="00A0519A">
            <w:rPr>
              <w:lang w:val="en-US"/>
            </w:rPr>
            <w:instrText xml:space="preserve"> CITATION Dou \l 1043  </w:instrText>
          </w:r>
          <w:r w:rsidR="00067D34">
            <w:rPr>
              <w:lang w:val="en-GB"/>
            </w:rPr>
            <w:fldChar w:fldCharType="separate"/>
          </w:r>
          <w:r w:rsidR="00A0519A" w:rsidRPr="00A0519A">
            <w:rPr>
              <w:noProof/>
              <w:lang w:val="en-US"/>
            </w:rPr>
            <w:t>(Doukas &amp; Petmezas, 2006)</w:t>
          </w:r>
          <w:r w:rsidR="00067D34">
            <w:rPr>
              <w:lang w:val="en-GB"/>
            </w:rPr>
            <w:fldChar w:fldCharType="end"/>
          </w:r>
        </w:sdtContent>
      </w:sdt>
      <w:r>
        <w:rPr>
          <w:lang w:val="en-GB"/>
        </w:rPr>
        <w:t xml:space="preserve">.  This finding confirmed the earlier </w:t>
      </w:r>
      <w:r w:rsidR="00851B57">
        <w:rPr>
          <w:lang w:val="en-GB"/>
        </w:rPr>
        <w:t xml:space="preserve">findings, </w:t>
      </w:r>
      <w:r>
        <w:rPr>
          <w:lang w:val="en-GB"/>
        </w:rPr>
        <w:t>induce</w:t>
      </w:r>
      <w:r w:rsidR="00851B57">
        <w:rPr>
          <w:lang w:val="en-GB"/>
        </w:rPr>
        <w:t>d</w:t>
      </w:r>
      <w:r>
        <w:rPr>
          <w:lang w:val="en-GB"/>
        </w:rPr>
        <w:t xml:space="preserve"> </w:t>
      </w:r>
      <w:r w:rsidR="00851B57">
        <w:rPr>
          <w:lang w:val="en-GB"/>
        </w:rPr>
        <w:t xml:space="preserve">from the </w:t>
      </w:r>
      <w:r>
        <w:rPr>
          <w:lang w:val="en-GB"/>
        </w:rPr>
        <w:t xml:space="preserve">results </w:t>
      </w:r>
      <w:r w:rsidR="00851B57">
        <w:rPr>
          <w:lang w:val="en-GB"/>
        </w:rPr>
        <w:t>of</w:t>
      </w:r>
      <w:r>
        <w:rPr>
          <w:lang w:val="en-GB"/>
        </w:rPr>
        <w:t xml:space="preserve"> the </w:t>
      </w:r>
      <w:r w:rsidR="00851B57">
        <w:rPr>
          <w:lang w:val="en-GB"/>
        </w:rPr>
        <w:t>researches</w:t>
      </w:r>
      <w:r>
        <w:rPr>
          <w:lang w:val="en-GB"/>
        </w:rPr>
        <w:t xml:space="preserve"> of Malmendier and Tate (2006) and Morck, Shleifer and Vishny (1990). Also, the paper of Ferris, Jayaraman and Sabherwal (2012) confirms these lower returns with the M&amp;As performed by overconfident CEOs, despite the fact that they do not state this explicitly. They only induce it from stating that an increasing amount of M&amp;As will come at the expense of quality. As they confirmed this increase in number of M&amp;A deals, they indirectly state that M&amp;As performed by overconfident CEOs are inferior to those executed by economically rational CEOs </w:t>
      </w:r>
      <w:sdt>
        <w:sdtPr>
          <w:rPr>
            <w:lang w:val="en-GB"/>
          </w:rPr>
          <w:id w:val="25399382"/>
          <w:citation/>
        </w:sdtPr>
        <w:sdtContent>
          <w:r w:rsidR="00067D34">
            <w:rPr>
              <w:lang w:val="en-GB"/>
            </w:rPr>
            <w:fldChar w:fldCharType="begin"/>
          </w:r>
          <w:r w:rsidR="00C45DA4" w:rsidRPr="00C45DA4">
            <w:rPr>
              <w:lang w:val="en-GB"/>
            </w:rPr>
            <w:instrText xml:space="preserve"> CITATION Fer \l 1043  </w:instrText>
          </w:r>
          <w:r w:rsidR="00067D34">
            <w:rPr>
              <w:lang w:val="en-GB"/>
            </w:rPr>
            <w:fldChar w:fldCharType="separate"/>
          </w:r>
          <w:r w:rsidR="00C45DA4" w:rsidRPr="00C45DA4">
            <w:rPr>
              <w:noProof/>
              <w:lang w:val="en-GB"/>
            </w:rPr>
            <w:t>(Ferris, Jayaraman, &amp; Sabherwal, 2012)</w:t>
          </w:r>
          <w:r w:rsidR="00067D34">
            <w:rPr>
              <w:lang w:val="en-GB"/>
            </w:rPr>
            <w:fldChar w:fldCharType="end"/>
          </w:r>
        </w:sdtContent>
      </w:sdt>
      <w:r>
        <w:rPr>
          <w:lang w:val="en-GB"/>
        </w:rPr>
        <w:t xml:space="preserve">. However, as in all discussions, some disagree with this. Tarik El Allali (2009) found no direct evidence for lower returns in his empirical research of M&amp;A quality </w:t>
      </w:r>
      <w:sdt>
        <w:sdtPr>
          <w:rPr>
            <w:lang w:val="en-GB"/>
          </w:rPr>
          <w:id w:val="25399381"/>
          <w:citation/>
        </w:sdtPr>
        <w:sdtContent>
          <w:r w:rsidR="00067D34">
            <w:rPr>
              <w:lang w:val="en-GB"/>
            </w:rPr>
            <w:fldChar w:fldCharType="begin"/>
          </w:r>
          <w:r w:rsidRPr="00D30829">
            <w:rPr>
              <w:lang w:val="en-GB"/>
            </w:rPr>
            <w:instrText xml:space="preserve"> CITATION ELA09 \l 1043 </w:instrText>
          </w:r>
          <w:r w:rsidR="00067D34">
            <w:rPr>
              <w:lang w:val="en-GB"/>
            </w:rPr>
            <w:fldChar w:fldCharType="separate"/>
          </w:r>
          <w:r w:rsidRPr="00D30829">
            <w:rPr>
              <w:noProof/>
              <w:lang w:val="en-GB"/>
            </w:rPr>
            <w:t>(EL Allali, 2009)</w:t>
          </w:r>
          <w:r w:rsidR="00067D34">
            <w:rPr>
              <w:lang w:val="en-GB"/>
            </w:rPr>
            <w:fldChar w:fldCharType="end"/>
          </w:r>
        </w:sdtContent>
      </w:sdt>
      <w:r>
        <w:rPr>
          <w:lang w:val="en-GB"/>
        </w:rPr>
        <w:t xml:space="preserve">. </w:t>
      </w:r>
    </w:p>
    <w:p w:rsidR="003A0C1E" w:rsidRDefault="003A0C1E" w:rsidP="003A0C1E">
      <w:pPr>
        <w:spacing w:line="360" w:lineRule="auto"/>
        <w:jc w:val="both"/>
        <w:rPr>
          <w:lang w:val="en-GB"/>
        </w:rPr>
      </w:pPr>
      <w:r>
        <w:rPr>
          <w:lang w:val="en-GB"/>
        </w:rPr>
        <w:tab/>
      </w:r>
    </w:p>
    <w:p w:rsidR="003A0C1E" w:rsidRPr="00140F80" w:rsidRDefault="005D7183" w:rsidP="00140F80">
      <w:pPr>
        <w:ind w:firstLine="708"/>
        <w:rPr>
          <w:b/>
          <w:sz w:val="24"/>
          <w:lang w:val="en-GB"/>
        </w:rPr>
      </w:pPr>
      <w:r>
        <w:rPr>
          <w:b/>
          <w:sz w:val="24"/>
          <w:lang w:val="en-GB"/>
        </w:rPr>
        <w:t>2.4</w:t>
      </w:r>
      <w:r w:rsidR="003A0C1E" w:rsidRPr="001B7243">
        <w:rPr>
          <w:b/>
          <w:sz w:val="24"/>
          <w:lang w:val="en-GB"/>
        </w:rPr>
        <w:t xml:space="preserve"> – Monetary Compensation</w:t>
      </w:r>
    </w:p>
    <w:p w:rsidR="003A0C1E" w:rsidRDefault="003A0C1E" w:rsidP="003A0C1E">
      <w:pPr>
        <w:spacing w:line="360" w:lineRule="auto"/>
        <w:jc w:val="both"/>
        <w:rPr>
          <w:lang w:val="en-GB"/>
        </w:rPr>
      </w:pPr>
      <w:r>
        <w:rPr>
          <w:lang w:val="en-GB"/>
        </w:rPr>
        <w:t>Another aspect of a M&amp;A deal is the monetary equivalent of what is paid for the takeover. The term monetary equivalent is used as it is possible to take over another firm with stocks or shares, then no cash transactions would be involved. As this aspect of a M&amp;A is researched, specifically in hypotheses 4, it is important to take into account and search for earlier results in this area. However, not much research is done in the field of monetary compensation for a takeover, therefore this research will be pretty controversial in that area. Only Malmendier and Tate (2006) found noteworthy results regarding this, and they concluded that overconfident CEOs often overpay for their M&amp;As as they overestimate their own capacities</w:t>
      </w:r>
      <w:r w:rsidR="00BC2A8A">
        <w:rPr>
          <w:lang w:val="en-GB"/>
        </w:rPr>
        <w:t xml:space="preserve"> </w:t>
      </w:r>
      <w:sdt>
        <w:sdtPr>
          <w:rPr>
            <w:lang w:val="en-GB"/>
          </w:rPr>
          <w:id w:val="15715924"/>
          <w:citation/>
        </w:sdtPr>
        <w:sdtContent>
          <w:r w:rsidR="00067D34">
            <w:fldChar w:fldCharType="begin"/>
          </w:r>
          <w:r w:rsidR="00A67D15" w:rsidRPr="00A67D15">
            <w:rPr>
              <w:lang w:val="en-GB"/>
            </w:rPr>
            <w:instrText xml:space="preserve"> CITATION Mal06 \l 1043  </w:instrText>
          </w:r>
          <w:r w:rsidR="00067D34">
            <w:fldChar w:fldCharType="separate"/>
          </w:r>
          <w:r w:rsidR="00A67D15" w:rsidRPr="00A67D15">
            <w:rPr>
              <w:noProof/>
              <w:lang w:val="en-GB"/>
            </w:rPr>
            <w:t>(Malmendier &amp; Tate, 2008)</w:t>
          </w:r>
          <w:r w:rsidR="00067D34">
            <w:fldChar w:fldCharType="end"/>
          </w:r>
        </w:sdtContent>
      </w:sdt>
      <w:r>
        <w:rPr>
          <w:lang w:val="en-GB"/>
        </w:rPr>
        <w:t xml:space="preserve">. </w:t>
      </w:r>
      <w:r w:rsidR="00BC2A8A">
        <w:rPr>
          <w:lang w:val="en-GB"/>
        </w:rPr>
        <w:t xml:space="preserve">Also, important to note are the findings of Roll (1986) with his hubris hypothesis. He states that hubris takes part of individual’s decisions and can explain why bidding firms pay too much for their targets; it is because these firms overestimate the positive aspects of the purchase and underestimate the negative ones </w:t>
      </w:r>
      <w:sdt>
        <w:sdtPr>
          <w:rPr>
            <w:lang w:val="en-GB"/>
          </w:rPr>
          <w:id w:val="15715922"/>
          <w:citation/>
        </w:sdtPr>
        <w:sdtContent>
          <w:r w:rsidR="00067D34">
            <w:fldChar w:fldCharType="begin"/>
          </w:r>
          <w:r w:rsidR="00F2048E" w:rsidRPr="00A0519A">
            <w:rPr>
              <w:lang w:val="en-US"/>
            </w:rPr>
            <w:instrText xml:space="preserve"> CITATION Rol86 \l 1043  </w:instrText>
          </w:r>
          <w:r w:rsidR="00067D34">
            <w:fldChar w:fldCharType="separate"/>
          </w:r>
          <w:r w:rsidR="00F83BC2" w:rsidRPr="00A0519A">
            <w:rPr>
              <w:noProof/>
              <w:lang w:val="en-US"/>
            </w:rPr>
            <w:t>(Roll, 1986)</w:t>
          </w:r>
          <w:r w:rsidR="00067D34">
            <w:fldChar w:fldCharType="end"/>
          </w:r>
        </w:sdtContent>
      </w:sdt>
      <w:r w:rsidR="00BC2A8A">
        <w:rPr>
          <w:lang w:val="en-GB"/>
        </w:rPr>
        <w:t xml:space="preserve">. </w:t>
      </w:r>
    </w:p>
    <w:p w:rsidR="003A0C1E" w:rsidRDefault="003A0C1E" w:rsidP="003A0C1E">
      <w:pPr>
        <w:spacing w:line="360" w:lineRule="auto"/>
        <w:jc w:val="both"/>
        <w:rPr>
          <w:lang w:val="en-GB"/>
        </w:rPr>
      </w:pPr>
      <w:r>
        <w:rPr>
          <w:lang w:val="en-GB"/>
        </w:rPr>
        <w:t xml:space="preserve">All in all, it can be easily concluded that the literature research is indecisive. </w:t>
      </w:r>
    </w:p>
    <w:p w:rsidR="001A6050" w:rsidRDefault="001A6050">
      <w:pPr>
        <w:rPr>
          <w:lang w:val="en-GB"/>
        </w:rPr>
      </w:pPr>
      <w:r>
        <w:rPr>
          <w:lang w:val="en-GB"/>
        </w:rPr>
        <w:br w:type="page"/>
      </w:r>
    </w:p>
    <w:p w:rsidR="003A0C1E" w:rsidRPr="00C27A4D" w:rsidRDefault="003A0C1E" w:rsidP="003A0C1E">
      <w:pPr>
        <w:spacing w:line="360" w:lineRule="auto"/>
        <w:rPr>
          <w:lang w:val="en-GB"/>
        </w:rPr>
      </w:pPr>
      <w:r>
        <w:rPr>
          <w:lang w:val="en-GB"/>
        </w:rPr>
        <w:lastRenderedPageBreak/>
        <w:t>Table 2.1: Most important Contributions of different authors to the Literature Research</w:t>
      </w:r>
    </w:p>
    <w:tbl>
      <w:tblPr>
        <w:tblStyle w:val="Lichtearcering1"/>
        <w:tblW w:w="9322" w:type="dxa"/>
        <w:tblLook w:val="04A0"/>
      </w:tblPr>
      <w:tblGrid>
        <w:gridCol w:w="3070"/>
        <w:gridCol w:w="6252"/>
      </w:tblGrid>
      <w:tr w:rsidR="003A0C1E" w:rsidTr="00F1612B">
        <w:trPr>
          <w:cnfStyle w:val="100000000000"/>
        </w:trPr>
        <w:tc>
          <w:tcPr>
            <w:cnfStyle w:val="001000000000"/>
            <w:tcW w:w="3070" w:type="dxa"/>
          </w:tcPr>
          <w:p w:rsidR="003A0C1E" w:rsidRPr="00F1612B" w:rsidRDefault="003A0C1E" w:rsidP="0079257D">
            <w:pPr>
              <w:spacing w:line="360" w:lineRule="auto"/>
              <w:jc w:val="center"/>
              <w:rPr>
                <w:lang w:val="en-GB"/>
              </w:rPr>
            </w:pPr>
            <w:r w:rsidRPr="00F1612B">
              <w:rPr>
                <w:lang w:val="en-GB"/>
              </w:rPr>
              <w:t>Author(s)</w:t>
            </w:r>
          </w:p>
        </w:tc>
        <w:tc>
          <w:tcPr>
            <w:tcW w:w="6252" w:type="dxa"/>
          </w:tcPr>
          <w:p w:rsidR="003A0C1E" w:rsidRPr="00F1612B" w:rsidRDefault="003A0C1E" w:rsidP="0079257D">
            <w:pPr>
              <w:spacing w:line="360" w:lineRule="auto"/>
              <w:jc w:val="center"/>
              <w:cnfStyle w:val="100000000000"/>
              <w:rPr>
                <w:b w:val="0"/>
              </w:rPr>
            </w:pPr>
            <w:r w:rsidRPr="00F1612B">
              <w:rPr>
                <w:b w:val="0"/>
              </w:rPr>
              <w:t>Most Important Contributions</w:t>
            </w:r>
          </w:p>
        </w:tc>
      </w:tr>
      <w:tr w:rsidR="003A0C1E" w:rsidRPr="00F94970" w:rsidTr="00F1612B">
        <w:trPr>
          <w:cnfStyle w:val="000000100000"/>
        </w:trPr>
        <w:tc>
          <w:tcPr>
            <w:cnfStyle w:val="001000000000"/>
            <w:tcW w:w="3070" w:type="dxa"/>
          </w:tcPr>
          <w:p w:rsidR="003A0C1E" w:rsidRPr="00F1612B" w:rsidRDefault="00067D34" w:rsidP="0079257D">
            <w:pPr>
              <w:spacing w:line="360" w:lineRule="auto"/>
              <w:rPr>
                <w:b w:val="0"/>
                <w:lang w:val="en-GB"/>
              </w:rPr>
            </w:pPr>
            <w:sdt>
              <w:sdtPr>
                <w:rPr>
                  <w:lang w:val="en-GB"/>
                </w:rPr>
                <w:id w:val="804676"/>
                <w:citation/>
              </w:sdtPr>
              <w:sdtContent>
                <w:r w:rsidRPr="00F1612B">
                  <w:rPr>
                    <w:lang w:val="en-GB"/>
                  </w:rPr>
                  <w:fldChar w:fldCharType="begin"/>
                </w:r>
                <w:r w:rsidR="003A0C1E" w:rsidRPr="00F1612B">
                  <w:rPr>
                    <w:b w:val="0"/>
                  </w:rPr>
                  <w:instrText xml:space="preserve"> CITATION YuC13 \l 1043 </w:instrText>
                </w:r>
                <w:r w:rsidRPr="00F1612B">
                  <w:rPr>
                    <w:lang w:val="en-GB"/>
                  </w:rPr>
                  <w:fldChar w:fldCharType="separate"/>
                </w:r>
                <w:r w:rsidR="003A0C1E" w:rsidRPr="00F1612B">
                  <w:rPr>
                    <w:b w:val="0"/>
                    <w:noProof/>
                  </w:rPr>
                  <w:t>(Yu, 2013)</w:t>
                </w:r>
                <w:r w:rsidRPr="00F1612B">
                  <w:rPr>
                    <w:lang w:val="en-GB"/>
                  </w:rPr>
                  <w:fldChar w:fldCharType="end"/>
                </w:r>
              </w:sdtContent>
            </w:sdt>
          </w:p>
        </w:tc>
        <w:tc>
          <w:tcPr>
            <w:tcW w:w="6252" w:type="dxa"/>
          </w:tcPr>
          <w:p w:rsidR="001A2526" w:rsidRPr="00F1612B" w:rsidRDefault="003A0C1E" w:rsidP="0079257D">
            <w:pPr>
              <w:spacing w:line="360" w:lineRule="auto"/>
              <w:cnfStyle w:val="000000100000"/>
              <w:rPr>
                <w:b/>
                <w:lang w:val="en-GB"/>
              </w:rPr>
            </w:pPr>
            <w:r w:rsidRPr="00F1612B">
              <w:rPr>
                <w:b/>
                <w:lang w:val="en-GB"/>
              </w:rPr>
              <w:t>Found evidence for the existence of overconfidence.</w:t>
            </w:r>
          </w:p>
        </w:tc>
      </w:tr>
      <w:tr w:rsidR="001A2526" w:rsidRPr="00F94970" w:rsidTr="00F1612B">
        <w:tc>
          <w:tcPr>
            <w:cnfStyle w:val="001000000000"/>
            <w:tcW w:w="3070" w:type="dxa"/>
          </w:tcPr>
          <w:p w:rsidR="001A2526" w:rsidRPr="00F1612B" w:rsidRDefault="00067D34" w:rsidP="00F83BC2">
            <w:pPr>
              <w:spacing w:line="360" w:lineRule="auto"/>
              <w:rPr>
                <w:b w:val="0"/>
                <w:lang w:val="en-GB"/>
              </w:rPr>
            </w:pPr>
            <w:sdt>
              <w:sdtPr>
                <w:rPr>
                  <w:lang w:val="en-GB"/>
                </w:rPr>
                <w:id w:val="15715918"/>
                <w:citation/>
              </w:sdtPr>
              <w:sdtContent>
                <w:r w:rsidRPr="00F1612B">
                  <w:fldChar w:fldCharType="begin"/>
                </w:r>
                <w:r w:rsidR="00A372EF" w:rsidRPr="00F1612B">
                  <w:rPr>
                    <w:b w:val="0"/>
                  </w:rPr>
                  <w:instrText xml:space="preserve"> CITATION For05 \l 1043  </w:instrText>
                </w:r>
                <w:r w:rsidRPr="00F1612B">
                  <w:fldChar w:fldCharType="separate"/>
                </w:r>
                <w:r w:rsidR="00F83BC2" w:rsidRPr="00F1612B">
                  <w:rPr>
                    <w:b w:val="0"/>
                    <w:noProof/>
                  </w:rPr>
                  <w:t>(Forbes, 2005)</w:t>
                </w:r>
                <w:r w:rsidRPr="00F1612B">
                  <w:fldChar w:fldCharType="end"/>
                </w:r>
              </w:sdtContent>
            </w:sdt>
          </w:p>
        </w:tc>
        <w:tc>
          <w:tcPr>
            <w:tcW w:w="6252" w:type="dxa"/>
          </w:tcPr>
          <w:p w:rsidR="001A2526" w:rsidRPr="00F1612B" w:rsidRDefault="001A2526" w:rsidP="0079257D">
            <w:pPr>
              <w:spacing w:line="360" w:lineRule="auto"/>
              <w:jc w:val="both"/>
              <w:cnfStyle w:val="000000000000"/>
              <w:rPr>
                <w:b/>
                <w:lang w:val="en-GB"/>
              </w:rPr>
            </w:pPr>
            <w:r w:rsidRPr="00F1612B">
              <w:rPr>
                <w:b/>
                <w:lang w:val="en-GB"/>
              </w:rPr>
              <w:t xml:space="preserve">Overconfidence is especially present in entrepreneurs and founder-managers. </w:t>
            </w:r>
          </w:p>
        </w:tc>
      </w:tr>
      <w:tr w:rsidR="003A0C1E" w:rsidRPr="00F94970" w:rsidTr="00F1612B">
        <w:trPr>
          <w:cnfStyle w:val="000000100000"/>
        </w:trPr>
        <w:tc>
          <w:tcPr>
            <w:cnfStyle w:val="001000000000"/>
            <w:tcW w:w="3070" w:type="dxa"/>
          </w:tcPr>
          <w:p w:rsidR="003A0C1E" w:rsidRPr="00F1612B" w:rsidRDefault="00067D34" w:rsidP="00C45DA4">
            <w:pPr>
              <w:spacing w:line="360" w:lineRule="auto"/>
              <w:rPr>
                <w:b w:val="0"/>
                <w:lang w:val="en-GB"/>
              </w:rPr>
            </w:pPr>
            <w:sdt>
              <w:sdtPr>
                <w:rPr>
                  <w:lang w:val="en-GB"/>
                </w:rPr>
                <w:id w:val="804721"/>
                <w:citation/>
              </w:sdtPr>
              <w:sdtContent>
                <w:fldSimple w:instr=" CITATION Fer \l 1043  ">
                  <w:r w:rsidR="00C45DA4">
                    <w:rPr>
                      <w:noProof/>
                    </w:rPr>
                    <w:t>(Ferris, Jayaraman, &amp; Sabherwal, 2012)</w:t>
                  </w:r>
                </w:fldSimple>
              </w:sdtContent>
            </w:sdt>
          </w:p>
        </w:tc>
        <w:tc>
          <w:tcPr>
            <w:tcW w:w="6252" w:type="dxa"/>
          </w:tcPr>
          <w:p w:rsidR="003A0C1E" w:rsidRPr="00F1612B" w:rsidRDefault="003A0C1E" w:rsidP="0079257D">
            <w:pPr>
              <w:spacing w:line="360" w:lineRule="auto"/>
              <w:jc w:val="both"/>
              <w:cnfStyle w:val="000000100000"/>
              <w:rPr>
                <w:lang w:val="en-GB"/>
              </w:rPr>
            </w:pPr>
            <w:r w:rsidRPr="00F1612B">
              <w:rPr>
                <w:b/>
                <w:lang w:val="en-GB"/>
              </w:rPr>
              <w:t xml:space="preserve">Researched and evidenced that CEO overconfidence explains the increase in number of M&amp;As, frequency of diversifying acquisitions, and the use of cash to finance a merger deal. They also found that overconfidence does not say anything about the quality of the M&amp;As (they are only implying that </w:t>
            </w:r>
            <w:r w:rsidR="00F1612B" w:rsidRPr="00F1612B">
              <w:rPr>
                <w:b/>
                <w:lang w:val="en-GB"/>
              </w:rPr>
              <w:t>more M&amp;A</w:t>
            </w:r>
            <w:r w:rsidRPr="00F1612B">
              <w:rPr>
                <w:b/>
                <w:lang w:val="en-GB"/>
              </w:rPr>
              <w:t>s come at the cost of quality).</w:t>
            </w:r>
          </w:p>
        </w:tc>
      </w:tr>
      <w:tr w:rsidR="003A0C1E" w:rsidRPr="00F94970" w:rsidTr="00F1612B">
        <w:tc>
          <w:tcPr>
            <w:cnfStyle w:val="001000000000"/>
            <w:tcW w:w="3070" w:type="dxa"/>
          </w:tcPr>
          <w:p w:rsidR="003A0C1E" w:rsidRPr="00F1612B" w:rsidRDefault="00067D34" w:rsidP="00227C02">
            <w:pPr>
              <w:spacing w:line="360" w:lineRule="auto"/>
              <w:rPr>
                <w:b w:val="0"/>
                <w:lang w:val="en-GB"/>
              </w:rPr>
            </w:pPr>
            <w:sdt>
              <w:sdtPr>
                <w:rPr>
                  <w:lang w:val="en-GB"/>
                </w:rPr>
                <w:id w:val="804670"/>
                <w:citation/>
              </w:sdtPr>
              <w:sdtContent>
                <w:fldSimple w:instr=" CITATION Bre10 \l 1043  ">
                  <w:r w:rsidR="00227C02">
                    <w:rPr>
                      <w:noProof/>
                    </w:rPr>
                    <w:t>(Bressane &amp; Maia, 2010)</w:t>
                  </w:r>
                </w:fldSimple>
              </w:sdtContent>
            </w:sdt>
          </w:p>
        </w:tc>
        <w:tc>
          <w:tcPr>
            <w:tcW w:w="6252" w:type="dxa"/>
          </w:tcPr>
          <w:p w:rsidR="003A0C1E" w:rsidRPr="00F1612B" w:rsidRDefault="003A0C1E" w:rsidP="0079257D">
            <w:pPr>
              <w:spacing w:line="360" w:lineRule="auto"/>
              <w:jc w:val="both"/>
              <w:cnfStyle w:val="000000000000"/>
              <w:rPr>
                <w:b/>
                <w:lang w:val="en-GB"/>
              </w:rPr>
            </w:pPr>
            <w:r w:rsidRPr="00F1612B">
              <w:rPr>
                <w:b/>
                <w:lang w:val="en-GB"/>
              </w:rPr>
              <w:t>Found evidence that overconfident CEOs are more likely to perform M&amp;As than economically rational CEOs.</w:t>
            </w:r>
          </w:p>
        </w:tc>
      </w:tr>
      <w:tr w:rsidR="003A0C1E" w:rsidRPr="00F94970" w:rsidTr="00F1612B">
        <w:trPr>
          <w:cnfStyle w:val="000000100000"/>
        </w:trPr>
        <w:tc>
          <w:tcPr>
            <w:cnfStyle w:val="001000000000"/>
            <w:tcW w:w="3070" w:type="dxa"/>
          </w:tcPr>
          <w:p w:rsidR="003A0C1E" w:rsidRPr="00F1612B" w:rsidRDefault="003A0C1E" w:rsidP="0079257D">
            <w:pPr>
              <w:spacing w:line="360" w:lineRule="auto"/>
              <w:rPr>
                <w:b w:val="0"/>
                <w:lang w:val="en-GB"/>
              </w:rPr>
            </w:pPr>
            <w:r w:rsidRPr="00F1612B">
              <w:rPr>
                <w:b w:val="0"/>
                <w:lang w:val="en-GB"/>
              </w:rPr>
              <w:t xml:space="preserve">University of Edinburgh </w:t>
            </w:r>
            <w:sdt>
              <w:sdtPr>
                <w:rPr>
                  <w:lang w:val="en-GB"/>
                </w:rPr>
                <w:id w:val="804669"/>
                <w:citation/>
              </w:sdtPr>
              <w:sdtContent>
                <w:r w:rsidR="00067D34" w:rsidRPr="00F1612B">
                  <w:rPr>
                    <w:lang w:val="en-GB"/>
                  </w:rPr>
                  <w:fldChar w:fldCharType="begin"/>
                </w:r>
                <w:r w:rsidRPr="00F1612B">
                  <w:rPr>
                    <w:b w:val="0"/>
                    <w:lang w:val="en-GB"/>
                  </w:rPr>
                  <w:instrText xml:space="preserve"> CITATION Unk08 \l 1043 </w:instrText>
                </w:r>
                <w:r w:rsidR="00067D34" w:rsidRPr="00F1612B">
                  <w:rPr>
                    <w:lang w:val="en-GB"/>
                  </w:rPr>
                  <w:fldChar w:fldCharType="separate"/>
                </w:r>
                <w:r w:rsidRPr="00F1612B">
                  <w:rPr>
                    <w:b w:val="0"/>
                    <w:noProof/>
                    <w:lang w:val="en-GB"/>
                  </w:rPr>
                  <w:t>(Unknown, 2008)</w:t>
                </w:r>
                <w:r w:rsidR="00067D34" w:rsidRPr="00F1612B">
                  <w:rPr>
                    <w:lang w:val="en-GB"/>
                  </w:rPr>
                  <w:fldChar w:fldCharType="end"/>
                </w:r>
              </w:sdtContent>
            </w:sdt>
          </w:p>
        </w:tc>
        <w:tc>
          <w:tcPr>
            <w:tcW w:w="6252" w:type="dxa"/>
          </w:tcPr>
          <w:p w:rsidR="003A0C1E" w:rsidRPr="00F1612B" w:rsidRDefault="003A0C1E" w:rsidP="0079257D">
            <w:pPr>
              <w:spacing w:line="360" w:lineRule="auto"/>
              <w:jc w:val="both"/>
              <w:cnfStyle w:val="000000100000"/>
              <w:rPr>
                <w:b/>
                <w:lang w:val="en-GB"/>
              </w:rPr>
            </w:pPr>
            <w:r w:rsidRPr="00F1612B">
              <w:rPr>
                <w:b/>
                <w:lang w:val="en-GB"/>
              </w:rPr>
              <w:t>Evidenced that overconfident CEOs are more likely to conduct M&amp;As than economically rational CEOs.</w:t>
            </w:r>
          </w:p>
        </w:tc>
      </w:tr>
      <w:tr w:rsidR="003A0C1E" w:rsidRPr="00F94970" w:rsidTr="00F1612B">
        <w:tc>
          <w:tcPr>
            <w:cnfStyle w:val="001000000000"/>
            <w:tcW w:w="3070" w:type="dxa"/>
          </w:tcPr>
          <w:p w:rsidR="003A0C1E" w:rsidRPr="00F1612B" w:rsidRDefault="00067D34" w:rsidP="0079257D">
            <w:pPr>
              <w:spacing w:line="360" w:lineRule="auto"/>
              <w:rPr>
                <w:b w:val="0"/>
                <w:lang w:val="en-GB"/>
              </w:rPr>
            </w:pPr>
            <w:sdt>
              <w:sdtPr>
                <w:rPr>
                  <w:lang w:val="en-GB"/>
                </w:rPr>
                <w:id w:val="804671"/>
                <w:citation/>
              </w:sdtPr>
              <w:sdtContent>
                <w:r w:rsidRPr="00F1612B">
                  <w:rPr>
                    <w:lang w:val="en-GB"/>
                  </w:rPr>
                  <w:fldChar w:fldCharType="begin"/>
                </w:r>
                <w:r w:rsidR="003A0C1E" w:rsidRPr="00F1612B">
                  <w:rPr>
                    <w:b w:val="0"/>
                  </w:rPr>
                  <w:instrText xml:space="preserve"> CITATION ELA09 \l 1043 </w:instrText>
                </w:r>
                <w:r w:rsidRPr="00F1612B">
                  <w:rPr>
                    <w:lang w:val="en-GB"/>
                  </w:rPr>
                  <w:fldChar w:fldCharType="separate"/>
                </w:r>
                <w:r w:rsidR="003A0C1E" w:rsidRPr="00F1612B">
                  <w:rPr>
                    <w:b w:val="0"/>
                    <w:noProof/>
                  </w:rPr>
                  <w:t>(EL Allali, 2009)</w:t>
                </w:r>
                <w:r w:rsidRPr="00F1612B">
                  <w:rPr>
                    <w:lang w:val="en-GB"/>
                  </w:rPr>
                  <w:fldChar w:fldCharType="end"/>
                </w:r>
              </w:sdtContent>
            </w:sdt>
          </w:p>
        </w:tc>
        <w:tc>
          <w:tcPr>
            <w:tcW w:w="6252" w:type="dxa"/>
          </w:tcPr>
          <w:p w:rsidR="003A0C1E" w:rsidRPr="00F1612B" w:rsidRDefault="003A0C1E" w:rsidP="0079257D">
            <w:pPr>
              <w:spacing w:line="360" w:lineRule="auto"/>
              <w:jc w:val="both"/>
              <w:cnfStyle w:val="000000000000"/>
              <w:rPr>
                <w:b/>
                <w:lang w:val="en-GB"/>
              </w:rPr>
            </w:pPr>
            <w:r w:rsidRPr="00F1612B">
              <w:rPr>
                <w:b/>
                <w:lang w:val="en-GB"/>
              </w:rPr>
              <w:t>Found evidence that there is no significant influence of overconfident CEOs on M&amp;As in both number and quality of the deals.</w:t>
            </w:r>
          </w:p>
        </w:tc>
      </w:tr>
      <w:tr w:rsidR="00BC2A8A" w:rsidRPr="00F94970" w:rsidTr="00F1612B">
        <w:trPr>
          <w:cnfStyle w:val="000000100000"/>
        </w:trPr>
        <w:tc>
          <w:tcPr>
            <w:cnfStyle w:val="001000000000"/>
            <w:tcW w:w="3070" w:type="dxa"/>
          </w:tcPr>
          <w:p w:rsidR="00BC2A8A" w:rsidRPr="00F1612B" w:rsidRDefault="00067D34" w:rsidP="00F83BC2">
            <w:pPr>
              <w:spacing w:line="360" w:lineRule="auto"/>
              <w:rPr>
                <w:b w:val="0"/>
                <w:lang w:val="en-GB"/>
              </w:rPr>
            </w:pPr>
            <w:sdt>
              <w:sdtPr>
                <w:rPr>
                  <w:lang w:val="en-GB"/>
                </w:rPr>
                <w:id w:val="15715920"/>
                <w:citation/>
              </w:sdtPr>
              <w:sdtContent>
                <w:r w:rsidRPr="00F1612B">
                  <w:fldChar w:fldCharType="begin"/>
                </w:r>
                <w:r w:rsidR="00A372EF" w:rsidRPr="00F1612B">
                  <w:rPr>
                    <w:b w:val="0"/>
                  </w:rPr>
                  <w:instrText xml:space="preserve"> CITATION Mal05 \l 1043  </w:instrText>
                </w:r>
                <w:r w:rsidRPr="00F1612B">
                  <w:fldChar w:fldCharType="separate"/>
                </w:r>
                <w:r w:rsidR="00F83BC2" w:rsidRPr="00F1612B">
                  <w:rPr>
                    <w:b w:val="0"/>
                    <w:noProof/>
                  </w:rPr>
                  <w:t>(Malemendier &amp; Tate, 2005)</w:t>
                </w:r>
                <w:r w:rsidRPr="00F1612B">
                  <w:fldChar w:fldCharType="end"/>
                </w:r>
              </w:sdtContent>
            </w:sdt>
          </w:p>
        </w:tc>
        <w:tc>
          <w:tcPr>
            <w:tcW w:w="6252" w:type="dxa"/>
          </w:tcPr>
          <w:p w:rsidR="00BC2A8A" w:rsidRPr="00F1612B" w:rsidRDefault="00F1612B" w:rsidP="0079257D">
            <w:pPr>
              <w:spacing w:line="360" w:lineRule="auto"/>
              <w:jc w:val="both"/>
              <w:cnfStyle w:val="000000100000"/>
              <w:rPr>
                <w:b/>
                <w:lang w:val="en-GB"/>
              </w:rPr>
            </w:pPr>
            <w:r w:rsidRPr="00F1612B">
              <w:rPr>
                <w:b/>
                <w:lang w:val="en-GB"/>
              </w:rPr>
              <w:t>Proved that o</w:t>
            </w:r>
            <w:r w:rsidR="00BC2A8A" w:rsidRPr="00F1612B">
              <w:rPr>
                <w:b/>
                <w:lang w:val="en-GB"/>
              </w:rPr>
              <w:t>verconfident CEOs are significantly more responsive to cash flows.</w:t>
            </w:r>
          </w:p>
        </w:tc>
      </w:tr>
      <w:tr w:rsidR="003A0C1E" w:rsidRPr="00F94970" w:rsidTr="00F1612B">
        <w:tc>
          <w:tcPr>
            <w:cnfStyle w:val="001000000000"/>
            <w:tcW w:w="3070" w:type="dxa"/>
          </w:tcPr>
          <w:p w:rsidR="003A0C1E" w:rsidRPr="00A67D15" w:rsidRDefault="00067D34" w:rsidP="00A67D15">
            <w:pPr>
              <w:spacing w:line="360" w:lineRule="auto"/>
              <w:rPr>
                <w:b w:val="0"/>
                <w:lang w:val="en-GB"/>
              </w:rPr>
            </w:pPr>
            <w:sdt>
              <w:sdtPr>
                <w:rPr>
                  <w:lang w:val="en-GB"/>
                </w:rPr>
                <w:id w:val="804674"/>
                <w:citation/>
              </w:sdtPr>
              <w:sdtContent>
                <w:r w:rsidRPr="00A67D15">
                  <w:fldChar w:fldCharType="begin"/>
                </w:r>
                <w:r w:rsidR="00A67D15" w:rsidRPr="00A67D15">
                  <w:rPr>
                    <w:b w:val="0"/>
                  </w:rPr>
                  <w:instrText xml:space="preserve"> CITATION Mal06 \l 1043  </w:instrText>
                </w:r>
                <w:r w:rsidRPr="00A67D15">
                  <w:fldChar w:fldCharType="separate"/>
                </w:r>
                <w:r w:rsidR="00A67D15" w:rsidRPr="00A67D15">
                  <w:rPr>
                    <w:b w:val="0"/>
                    <w:noProof/>
                  </w:rPr>
                  <w:t>(Malmendier &amp; Tate, 2008)</w:t>
                </w:r>
                <w:r w:rsidRPr="00A67D15">
                  <w:fldChar w:fldCharType="end"/>
                </w:r>
              </w:sdtContent>
            </w:sdt>
          </w:p>
        </w:tc>
        <w:tc>
          <w:tcPr>
            <w:tcW w:w="6252" w:type="dxa"/>
          </w:tcPr>
          <w:p w:rsidR="003A0C1E" w:rsidRPr="00F1612B" w:rsidRDefault="003A0C1E" w:rsidP="0079257D">
            <w:pPr>
              <w:spacing w:line="360" w:lineRule="auto"/>
              <w:jc w:val="both"/>
              <w:cnfStyle w:val="000000000000"/>
              <w:rPr>
                <w:lang w:val="en-GB"/>
              </w:rPr>
            </w:pPr>
            <w:r w:rsidRPr="00F1612B">
              <w:rPr>
                <w:b/>
                <w:lang w:val="en-GB"/>
              </w:rPr>
              <w:t xml:space="preserve">Found that CEO overconfidence explains the higher frequency of diversifying acquisitions and is the reason why CEOs possibly overpay for the M&amp;A; overestimation of their own capacities. </w:t>
            </w:r>
          </w:p>
        </w:tc>
      </w:tr>
      <w:tr w:rsidR="003A0C1E" w:rsidRPr="00F94970" w:rsidTr="00F1612B">
        <w:trPr>
          <w:cnfStyle w:val="000000100000"/>
        </w:trPr>
        <w:tc>
          <w:tcPr>
            <w:cnfStyle w:val="001000000000"/>
            <w:tcW w:w="3070" w:type="dxa"/>
          </w:tcPr>
          <w:p w:rsidR="003A0C1E" w:rsidRPr="00F1612B" w:rsidRDefault="00067D34" w:rsidP="00D853B9">
            <w:pPr>
              <w:spacing w:line="360" w:lineRule="auto"/>
              <w:rPr>
                <w:b w:val="0"/>
                <w:lang w:val="en-GB"/>
              </w:rPr>
            </w:pPr>
            <w:sdt>
              <w:sdtPr>
                <w:rPr>
                  <w:lang w:val="en-GB"/>
                </w:rPr>
                <w:id w:val="804675"/>
                <w:citation/>
              </w:sdtPr>
              <w:sdtContent>
                <w:fldSimple w:instr=" CITATION Mor90 \l 1043  ">
                  <w:r w:rsidR="00D853B9">
                    <w:rPr>
                      <w:noProof/>
                    </w:rPr>
                    <w:t>(Morck, Shleifer, &amp; Vishny, 1990)</w:t>
                  </w:r>
                </w:fldSimple>
              </w:sdtContent>
            </w:sdt>
          </w:p>
        </w:tc>
        <w:tc>
          <w:tcPr>
            <w:tcW w:w="6252" w:type="dxa"/>
          </w:tcPr>
          <w:p w:rsidR="003A0C1E" w:rsidRPr="00F1612B" w:rsidRDefault="003A0C1E" w:rsidP="0079257D">
            <w:pPr>
              <w:spacing w:line="360" w:lineRule="auto"/>
              <w:jc w:val="both"/>
              <w:cnfStyle w:val="000000100000"/>
              <w:rPr>
                <w:b/>
                <w:lang w:val="en-GB"/>
              </w:rPr>
            </w:pPr>
            <w:r w:rsidRPr="00F1612B">
              <w:rPr>
                <w:b/>
                <w:lang w:val="en-GB"/>
              </w:rPr>
              <w:t xml:space="preserve">Proved that diversifying M&amp;As show lower returns. </w:t>
            </w:r>
          </w:p>
        </w:tc>
      </w:tr>
      <w:tr w:rsidR="003A0C1E" w:rsidRPr="00F94970" w:rsidTr="00F1612B">
        <w:tc>
          <w:tcPr>
            <w:cnfStyle w:val="001000000000"/>
            <w:tcW w:w="3070" w:type="dxa"/>
          </w:tcPr>
          <w:p w:rsidR="003A0C1E" w:rsidRPr="00F1612B" w:rsidRDefault="00067D34" w:rsidP="0079257D">
            <w:pPr>
              <w:spacing w:line="360" w:lineRule="auto"/>
              <w:rPr>
                <w:b w:val="0"/>
                <w:lang w:val="en-GB"/>
              </w:rPr>
            </w:pPr>
            <w:sdt>
              <w:sdtPr>
                <w:rPr>
                  <w:lang w:val="en-GB"/>
                </w:rPr>
                <w:id w:val="804738"/>
                <w:citation/>
              </w:sdtPr>
              <w:sdtContent>
                <w:r w:rsidRPr="00F1612B">
                  <w:rPr>
                    <w:lang w:val="en-GB"/>
                  </w:rPr>
                  <w:fldChar w:fldCharType="begin"/>
                </w:r>
                <w:r w:rsidR="003A0C1E" w:rsidRPr="00F1612B">
                  <w:rPr>
                    <w:b w:val="0"/>
                    <w:lang w:val="en-GB"/>
                  </w:rPr>
                  <w:instrText xml:space="preserve"> CITATION Nad12 \l 1043 </w:instrText>
                </w:r>
                <w:r w:rsidRPr="00F1612B">
                  <w:rPr>
                    <w:lang w:val="en-GB"/>
                  </w:rPr>
                  <w:fldChar w:fldCharType="separate"/>
                </w:r>
                <w:r w:rsidR="003A0C1E" w:rsidRPr="00F1612B">
                  <w:rPr>
                    <w:b w:val="0"/>
                    <w:noProof/>
                    <w:lang w:val="en-GB"/>
                  </w:rPr>
                  <w:t>(S</w:t>
                </w:r>
                <w:r w:rsidR="003A0C1E" w:rsidRPr="00F1612B">
                  <w:rPr>
                    <w:b w:val="0"/>
                    <w:noProof/>
                  </w:rPr>
                  <w:t>techyshyna, 2012)</w:t>
                </w:r>
                <w:r w:rsidRPr="00F1612B">
                  <w:rPr>
                    <w:lang w:val="en-GB"/>
                  </w:rPr>
                  <w:fldChar w:fldCharType="end"/>
                </w:r>
              </w:sdtContent>
            </w:sdt>
          </w:p>
        </w:tc>
        <w:tc>
          <w:tcPr>
            <w:tcW w:w="6252" w:type="dxa"/>
          </w:tcPr>
          <w:p w:rsidR="003A0C1E" w:rsidRPr="00F1612B" w:rsidRDefault="003A0C1E" w:rsidP="0079257D">
            <w:pPr>
              <w:spacing w:line="360" w:lineRule="auto"/>
              <w:jc w:val="both"/>
              <w:cnfStyle w:val="000000000000"/>
              <w:rPr>
                <w:b/>
                <w:lang w:val="en-GB"/>
              </w:rPr>
            </w:pPr>
            <w:r w:rsidRPr="00F1612B">
              <w:rPr>
                <w:b/>
                <w:lang w:val="en-GB"/>
              </w:rPr>
              <w:t xml:space="preserve">Found evidence that having more idle cash can lead to overconfidence. </w:t>
            </w:r>
          </w:p>
        </w:tc>
      </w:tr>
      <w:tr w:rsidR="003A0C1E" w:rsidRPr="00F94970" w:rsidTr="00F1612B">
        <w:trPr>
          <w:cnfStyle w:val="000000100000"/>
        </w:trPr>
        <w:tc>
          <w:tcPr>
            <w:cnfStyle w:val="001000000000"/>
            <w:tcW w:w="3070" w:type="dxa"/>
          </w:tcPr>
          <w:p w:rsidR="003A0C1E" w:rsidRPr="00F1612B" w:rsidRDefault="00067D34" w:rsidP="00A0519A">
            <w:pPr>
              <w:spacing w:line="360" w:lineRule="auto"/>
              <w:rPr>
                <w:b w:val="0"/>
                <w:lang w:val="en-GB"/>
              </w:rPr>
            </w:pPr>
            <w:sdt>
              <w:sdtPr>
                <w:rPr>
                  <w:lang w:val="en-GB"/>
                </w:rPr>
                <w:id w:val="804673"/>
                <w:citation/>
              </w:sdtPr>
              <w:sdtContent>
                <w:r w:rsidRPr="00F1612B">
                  <w:fldChar w:fldCharType="begin"/>
                </w:r>
                <w:r w:rsidR="00A372EF" w:rsidRPr="00F1612B">
                  <w:rPr>
                    <w:b w:val="0"/>
                  </w:rPr>
                  <w:instrText xml:space="preserve"> CITATION Dou \l 1043  </w:instrText>
                </w:r>
                <w:r w:rsidRPr="00F1612B">
                  <w:fldChar w:fldCharType="separate"/>
                </w:r>
                <w:r w:rsidR="00A0519A" w:rsidRPr="00F1612B">
                  <w:rPr>
                    <w:b w:val="0"/>
                    <w:noProof/>
                  </w:rPr>
                  <w:t>(Doukas &amp; Petmezas, 2006)</w:t>
                </w:r>
                <w:r w:rsidRPr="00F1612B">
                  <w:fldChar w:fldCharType="end"/>
                </w:r>
              </w:sdtContent>
            </w:sdt>
          </w:p>
        </w:tc>
        <w:tc>
          <w:tcPr>
            <w:tcW w:w="6252" w:type="dxa"/>
          </w:tcPr>
          <w:p w:rsidR="003A0C1E" w:rsidRPr="00F1612B" w:rsidRDefault="003A0C1E" w:rsidP="0079257D">
            <w:pPr>
              <w:spacing w:line="360" w:lineRule="auto"/>
              <w:jc w:val="both"/>
              <w:cnfStyle w:val="000000100000"/>
              <w:rPr>
                <w:b/>
                <w:lang w:val="en-GB"/>
              </w:rPr>
            </w:pPr>
            <w:r w:rsidRPr="00F1612B">
              <w:rPr>
                <w:b/>
                <w:lang w:val="en-GB"/>
              </w:rPr>
              <w:t>Found that overconfident CEOs achieve lower returns than economically rational CEOs.</w:t>
            </w:r>
          </w:p>
        </w:tc>
      </w:tr>
      <w:tr w:rsidR="00BC2A8A" w:rsidRPr="00F94970" w:rsidTr="00F1612B">
        <w:tc>
          <w:tcPr>
            <w:cnfStyle w:val="001000000000"/>
            <w:tcW w:w="3070" w:type="dxa"/>
          </w:tcPr>
          <w:p w:rsidR="00BC2A8A" w:rsidRPr="00F1612B" w:rsidRDefault="00067D34" w:rsidP="00F83BC2">
            <w:pPr>
              <w:spacing w:line="360" w:lineRule="auto"/>
              <w:rPr>
                <w:b w:val="0"/>
                <w:lang w:val="en-GB"/>
              </w:rPr>
            </w:pPr>
            <w:sdt>
              <w:sdtPr>
                <w:rPr>
                  <w:lang w:val="en-GB"/>
                </w:rPr>
                <w:id w:val="15715923"/>
                <w:citation/>
              </w:sdtPr>
              <w:sdtContent>
                <w:r w:rsidRPr="00F1612B">
                  <w:fldChar w:fldCharType="begin"/>
                </w:r>
                <w:r w:rsidR="00A372EF" w:rsidRPr="00F1612B">
                  <w:rPr>
                    <w:b w:val="0"/>
                  </w:rPr>
                  <w:instrText xml:space="preserve"> CITATION Rol86 \l 1043  </w:instrText>
                </w:r>
                <w:r w:rsidRPr="00F1612B">
                  <w:fldChar w:fldCharType="separate"/>
                </w:r>
                <w:r w:rsidR="00F83BC2" w:rsidRPr="00F1612B">
                  <w:rPr>
                    <w:b w:val="0"/>
                    <w:noProof/>
                  </w:rPr>
                  <w:t>(Roll, 1986)</w:t>
                </w:r>
                <w:r w:rsidRPr="00F1612B">
                  <w:fldChar w:fldCharType="end"/>
                </w:r>
              </w:sdtContent>
            </w:sdt>
          </w:p>
        </w:tc>
        <w:tc>
          <w:tcPr>
            <w:tcW w:w="6252" w:type="dxa"/>
          </w:tcPr>
          <w:p w:rsidR="00BC2A8A" w:rsidRPr="00F1612B" w:rsidRDefault="00F1612B" w:rsidP="00F1612B">
            <w:pPr>
              <w:spacing w:line="360" w:lineRule="auto"/>
              <w:jc w:val="both"/>
              <w:cnfStyle w:val="000000000000"/>
              <w:rPr>
                <w:b/>
                <w:lang w:val="en-GB"/>
              </w:rPr>
            </w:pPr>
            <w:r>
              <w:rPr>
                <w:b/>
                <w:lang w:val="en-GB"/>
              </w:rPr>
              <w:t xml:space="preserve">Found the </w:t>
            </w:r>
            <w:r w:rsidR="00BC2A8A" w:rsidRPr="00F1612B">
              <w:rPr>
                <w:b/>
                <w:lang w:val="en-GB"/>
              </w:rPr>
              <w:t>Hubris</w:t>
            </w:r>
            <w:r w:rsidRPr="00F1612B">
              <w:rPr>
                <w:b/>
                <w:lang w:val="en-GB"/>
              </w:rPr>
              <w:t xml:space="preserve"> hypothesis</w:t>
            </w:r>
            <w:r>
              <w:rPr>
                <w:b/>
                <w:lang w:val="en-GB"/>
              </w:rPr>
              <w:t>;</w:t>
            </w:r>
            <w:r w:rsidR="00BC2A8A" w:rsidRPr="00F1612B">
              <w:rPr>
                <w:b/>
                <w:lang w:val="en-GB"/>
              </w:rPr>
              <w:t xml:space="preserve"> makes bidding firms overestimate the positive aspects and underestimate the negative aspects of takeovers.</w:t>
            </w:r>
          </w:p>
        </w:tc>
      </w:tr>
    </w:tbl>
    <w:p w:rsidR="00327FAD" w:rsidRDefault="00567F64" w:rsidP="00B44FD6">
      <w:pPr>
        <w:ind w:firstLine="708"/>
        <w:rPr>
          <w:b/>
          <w:sz w:val="24"/>
          <w:lang w:val="en-GB"/>
        </w:rPr>
      </w:pPr>
      <w:r>
        <w:rPr>
          <w:b/>
          <w:sz w:val="24"/>
          <w:lang w:val="en-GB"/>
        </w:rPr>
        <w:lastRenderedPageBreak/>
        <w:t xml:space="preserve"> </w:t>
      </w:r>
      <w:r w:rsidR="005D7183">
        <w:rPr>
          <w:b/>
          <w:sz w:val="24"/>
          <w:lang w:val="en-GB"/>
        </w:rPr>
        <w:t>3</w:t>
      </w:r>
      <w:r w:rsidR="00327FAD" w:rsidRPr="00D70AAC">
        <w:rPr>
          <w:b/>
          <w:sz w:val="24"/>
          <w:lang w:val="en-GB"/>
        </w:rPr>
        <w:t xml:space="preserve"> - Hypotheses Description</w:t>
      </w:r>
      <w:r w:rsidR="00327FAD">
        <w:rPr>
          <w:b/>
          <w:sz w:val="24"/>
          <w:lang w:val="en-GB"/>
        </w:rPr>
        <w:t xml:space="preserve"> and Derivation</w:t>
      </w:r>
    </w:p>
    <w:p w:rsidR="005136EA" w:rsidRPr="00B44FD6" w:rsidRDefault="005136EA" w:rsidP="00B44FD6">
      <w:pPr>
        <w:ind w:firstLine="708"/>
        <w:rPr>
          <w:b/>
          <w:sz w:val="32"/>
          <w:lang w:val="en-GB"/>
        </w:rPr>
      </w:pPr>
    </w:p>
    <w:p w:rsidR="000E5F32" w:rsidRDefault="00327FAD" w:rsidP="000E5F32">
      <w:pPr>
        <w:spacing w:line="360" w:lineRule="auto"/>
        <w:jc w:val="both"/>
        <w:rPr>
          <w:lang w:val="en-GB"/>
        </w:rPr>
      </w:pPr>
      <w:r>
        <w:rPr>
          <w:lang w:val="en-GB"/>
        </w:rPr>
        <w:t xml:space="preserve">Now, that literature research has been completed specific hypotheses </w:t>
      </w:r>
      <w:r w:rsidR="0079257D">
        <w:rPr>
          <w:lang w:val="en-GB"/>
        </w:rPr>
        <w:t xml:space="preserve">can </w:t>
      </w:r>
      <w:r>
        <w:rPr>
          <w:lang w:val="en-GB"/>
        </w:rPr>
        <w:t xml:space="preserve">be derived from this. </w:t>
      </w:r>
      <w:r w:rsidR="000E5F32">
        <w:rPr>
          <w:lang w:val="en-GB"/>
        </w:rPr>
        <w:t xml:space="preserve">In this thesis it is researched if companies with more idle cash make such decisions regarding M&amp;As that they suffer significant disadvantages when compared to companies with less idle cash, possibly as a result of overconfidence. So, actually the outcome and results of the M&amp;As between these two groups are analysed and compared. This comparison is done on the basis (cumulative) abnormal returns. </w:t>
      </w:r>
    </w:p>
    <w:p w:rsidR="000E5F32" w:rsidRDefault="000E5F32" w:rsidP="000E5F32">
      <w:pPr>
        <w:spacing w:line="360" w:lineRule="auto"/>
        <w:jc w:val="both"/>
        <w:rPr>
          <w:lang w:val="en-GB"/>
        </w:rPr>
      </w:pPr>
      <w:r>
        <w:rPr>
          <w:lang w:val="en-GB"/>
        </w:rPr>
        <w:t xml:space="preserve">The underlying thought to this is that when there is more idle cash in a company, this company is likely to be less cautious and more likely to take more rigorous decisions which are thought to be inferior to well-thought decisions made by companies who act less impulsive; the companies with less idle cash. </w:t>
      </w:r>
    </w:p>
    <w:p w:rsidR="000E5F32" w:rsidRDefault="000E5F32" w:rsidP="000E5F32">
      <w:pPr>
        <w:spacing w:line="360" w:lineRule="auto"/>
        <w:jc w:val="both"/>
        <w:rPr>
          <w:lang w:val="en-GB"/>
        </w:rPr>
      </w:pPr>
      <w:r>
        <w:rPr>
          <w:lang w:val="en-GB"/>
        </w:rPr>
        <w:t xml:space="preserve">This research will start with finding the (C)AR for both the acquiring and target firm. The returns of the two firms that belong together in the same M&amp;A will be added, which results in a number reflecting the value added for society as a whole. This number can either be positive or negative, depending on if the M&amp;A created value, or destroyed value. In the experimental and control group, the average contribution to society is calculated and compared. This analysis will be done for the years 2006-2007 and 2011-2012. This will result in making conclusions about the fact if the firms with more idle cash make inferior choices regarding M&amp;As as opposed to firms with less idle cash, measured by (C)AR. </w:t>
      </w:r>
    </w:p>
    <w:p w:rsidR="00F1612B" w:rsidRDefault="00F1612B">
      <w:pPr>
        <w:rPr>
          <w:lang w:val="en-GB"/>
        </w:rPr>
      </w:pPr>
      <w:r>
        <w:rPr>
          <w:lang w:val="en-GB"/>
        </w:rPr>
        <w:br w:type="page"/>
      </w:r>
    </w:p>
    <w:p w:rsidR="000E5F32" w:rsidRPr="00A05717" w:rsidRDefault="000E5F32" w:rsidP="000E5F32">
      <w:pPr>
        <w:spacing w:line="360" w:lineRule="auto"/>
        <w:jc w:val="both"/>
        <w:rPr>
          <w:lang w:val="en-GB"/>
        </w:rPr>
      </w:pPr>
      <w:r>
        <w:rPr>
          <w:lang w:val="en-GB"/>
        </w:rPr>
        <w:lastRenderedPageBreak/>
        <w:t xml:space="preserve">Although the expectation is that in both 2006-2007 and 2011-2012 the firms with more idle cash, the experimental group, will make inferior decisions regarding M&amp;As, as measured by the (C)ARs, it is still important for the research to measure and analyse both these years. This is of such importance that a hypothesis is dedicated to this part of the research, because with those results it will become possible to make statements about the development of the </w:t>
      </w:r>
      <w:r w:rsidR="0079257D">
        <w:rPr>
          <w:lang w:val="en-GB"/>
        </w:rPr>
        <w:t>performance</w:t>
      </w:r>
      <w:r>
        <w:rPr>
          <w:lang w:val="en-GB"/>
        </w:rPr>
        <w:t xml:space="preserve"> in M&amp;As by the firms with more idle cash, as well for the firms with less idle cash. The latter is actually not of such importance as the former, because the firms with less idle cash are expected to remain reasonably stable over time in terms of value added to society by the M&amp;As. In t</w:t>
      </w:r>
      <w:r w:rsidR="00D3415B">
        <w:rPr>
          <w:lang w:val="en-GB"/>
        </w:rPr>
        <w:t>he experimental group, however,</w:t>
      </w:r>
      <w:r>
        <w:rPr>
          <w:lang w:val="en-GB"/>
        </w:rPr>
        <w:t xml:space="preserve"> it is expected that a trend towards less inferior decisions will be observed, possibly as a result of learning from past fail</w:t>
      </w:r>
      <w:r w:rsidR="00063D39">
        <w:rPr>
          <w:lang w:val="en-GB"/>
        </w:rPr>
        <w:t>ures and the fact that CEOs beca</w:t>
      </w:r>
      <w:r>
        <w:rPr>
          <w:lang w:val="en-GB"/>
        </w:rPr>
        <w:t>me more cautious.</w:t>
      </w:r>
      <w:r w:rsidR="0079257D">
        <w:rPr>
          <w:lang w:val="en-GB"/>
        </w:rPr>
        <w:t xml:space="preserve"> However, even though this reasoning seems straight, Doukas and Petmezas (2007) found evidence of so called ‘serial acquirers’ performing worse </w:t>
      </w:r>
      <w:sdt>
        <w:sdtPr>
          <w:rPr>
            <w:lang w:val="en-GB"/>
          </w:rPr>
          <w:id w:val="15715916"/>
          <w:citation/>
        </w:sdtPr>
        <w:sdtContent>
          <w:r w:rsidR="00067D34">
            <w:fldChar w:fldCharType="begin"/>
          </w:r>
          <w:r w:rsidR="00F2048E" w:rsidRPr="00A0519A">
            <w:rPr>
              <w:lang w:val="en-US"/>
            </w:rPr>
            <w:instrText xml:space="preserve"> CITATION Dou07 \l 1043  </w:instrText>
          </w:r>
          <w:r w:rsidR="00067D34">
            <w:fldChar w:fldCharType="separate"/>
          </w:r>
          <w:r w:rsidR="00F83BC2" w:rsidRPr="00A0519A">
            <w:rPr>
              <w:noProof/>
              <w:lang w:val="en-US"/>
            </w:rPr>
            <w:t>(Doukas &amp; Petmezas, 2007)</w:t>
          </w:r>
          <w:r w:rsidR="00067D34">
            <w:fldChar w:fldCharType="end"/>
          </w:r>
        </w:sdtContent>
      </w:sdt>
      <w:r w:rsidR="0079257D">
        <w:rPr>
          <w:lang w:val="en-GB"/>
        </w:rPr>
        <w:t>. They found that multiple acquisitions resulted in lower wealth effects. As this contradicts the abovementioned thoughts, it will be valuable for the rese</w:t>
      </w:r>
      <w:r w:rsidR="00DB535B">
        <w:rPr>
          <w:lang w:val="en-GB"/>
        </w:rPr>
        <w:t xml:space="preserve">arch to include this. So, Doukas and Petmezas (2007) found evidence of serial acquirers performing worse. This research actually reasoned that more M&amp;As by the same acquirer will result in better performance, possibly due to learning effects. Therefore, the third hypothesis includes this part of the research. </w:t>
      </w:r>
    </w:p>
    <w:p w:rsidR="000E5F32" w:rsidRPr="0052516D" w:rsidRDefault="000E5F32" w:rsidP="000E5F32">
      <w:pPr>
        <w:spacing w:line="360" w:lineRule="auto"/>
        <w:jc w:val="both"/>
        <w:rPr>
          <w:lang w:val="en-GB"/>
        </w:rPr>
      </w:pPr>
      <w:r>
        <w:rPr>
          <w:lang w:val="en-GB"/>
        </w:rPr>
        <w:t xml:space="preserve">The earlier discussed premiums </w:t>
      </w:r>
      <w:r w:rsidR="005F790F">
        <w:rPr>
          <w:lang w:val="en-GB"/>
        </w:rPr>
        <w:t xml:space="preserve">are also an important step in the research. Therefore it will be researched if the cash rich companies pay, compared to the cash poor companies, a higher deal premium. As it is important to take the size of the M&amp;A into account, the deal premium will be divided by the deal value to obtain a ratio which is easy to work with. </w:t>
      </w:r>
      <w:r>
        <w:rPr>
          <w:lang w:val="en-GB"/>
        </w:rPr>
        <w:t xml:space="preserve">This </w:t>
      </w:r>
      <w:r w:rsidR="005F790F">
        <w:rPr>
          <w:lang w:val="en-GB"/>
        </w:rPr>
        <w:t xml:space="preserve">aspect </w:t>
      </w:r>
      <w:r>
        <w:rPr>
          <w:lang w:val="en-GB"/>
        </w:rPr>
        <w:t xml:space="preserve">does not reflect the ‘quality’ of the target firm in the same way as the other components of the research does, but it does reflect the ‘quality’ of the choice made by the management of the acquiring firm. As the research question mentions, the research is about inferior decision, and as long as the monetary premium is part of the decision, this also can lead to an inferior decision, for example in the case when the acquirer overpays. </w:t>
      </w:r>
    </w:p>
    <w:p w:rsidR="000E5F32" w:rsidRDefault="000E5F32" w:rsidP="000E5F32">
      <w:pPr>
        <w:spacing w:line="360" w:lineRule="auto"/>
        <w:jc w:val="both"/>
        <w:rPr>
          <w:lang w:val="en-GB"/>
        </w:rPr>
      </w:pPr>
      <w:r>
        <w:rPr>
          <w:lang w:val="en-GB"/>
        </w:rPr>
        <w:br w:type="page"/>
      </w:r>
    </w:p>
    <w:p w:rsidR="000E5F32" w:rsidRPr="00E33E30" w:rsidRDefault="00567F64" w:rsidP="000E5F32">
      <w:pPr>
        <w:spacing w:line="360" w:lineRule="auto"/>
        <w:ind w:firstLine="708"/>
        <w:rPr>
          <w:lang w:val="en-GB"/>
        </w:rPr>
      </w:pPr>
      <w:r>
        <w:rPr>
          <w:b/>
          <w:sz w:val="24"/>
          <w:lang w:val="en-GB"/>
        </w:rPr>
        <w:lastRenderedPageBreak/>
        <w:t xml:space="preserve"> </w:t>
      </w:r>
      <w:r w:rsidR="005D7183">
        <w:rPr>
          <w:b/>
          <w:sz w:val="24"/>
          <w:lang w:val="en-GB"/>
        </w:rPr>
        <w:t>4</w:t>
      </w:r>
      <w:r w:rsidR="000E5F32" w:rsidRPr="00D70AAC">
        <w:rPr>
          <w:b/>
          <w:sz w:val="24"/>
          <w:lang w:val="en-GB"/>
        </w:rPr>
        <w:t xml:space="preserve"> - The Hypotheses</w:t>
      </w:r>
    </w:p>
    <w:p w:rsidR="000E5F32" w:rsidRDefault="000E5F32" w:rsidP="000E5F32">
      <w:pPr>
        <w:spacing w:line="360" w:lineRule="auto"/>
        <w:jc w:val="both"/>
        <w:rPr>
          <w:lang w:val="en-GB"/>
        </w:rPr>
      </w:pPr>
      <w:r>
        <w:rPr>
          <w:lang w:val="en-GB"/>
        </w:rPr>
        <w:t xml:space="preserve">This research will be done on the basis of the following hypotheses. After each hypothesis the statistical representations, including explanations of the applied abbreviations, which eases testing, are stated.  </w:t>
      </w:r>
    </w:p>
    <w:p w:rsidR="000E5F32" w:rsidRDefault="000E5F32" w:rsidP="000E5F32">
      <w:pPr>
        <w:spacing w:line="360" w:lineRule="auto"/>
        <w:jc w:val="both"/>
        <w:rPr>
          <w:b/>
          <w:lang w:val="en-GB"/>
        </w:rPr>
      </w:pPr>
    </w:p>
    <w:p w:rsidR="000E5F32" w:rsidRPr="00C74598" w:rsidRDefault="000E5F32" w:rsidP="000E5F32">
      <w:pPr>
        <w:spacing w:line="360" w:lineRule="auto"/>
        <w:jc w:val="both"/>
        <w:rPr>
          <w:b/>
          <w:lang w:val="en-GB"/>
        </w:rPr>
      </w:pPr>
      <w:r w:rsidRPr="00C74598">
        <w:rPr>
          <w:b/>
          <w:lang w:val="en-GB"/>
        </w:rPr>
        <w:t>Hypothesis 1</w:t>
      </w:r>
    </w:p>
    <w:p w:rsidR="000E5F32" w:rsidRDefault="000E5F32" w:rsidP="000E5F32">
      <w:pPr>
        <w:spacing w:line="360" w:lineRule="auto"/>
        <w:jc w:val="both"/>
        <w:rPr>
          <w:lang w:val="en-GB"/>
        </w:rPr>
      </w:pPr>
      <w:r>
        <w:rPr>
          <w:lang w:val="en-GB"/>
        </w:rPr>
        <w:t>This first hypothesis researches the situation in 2006-2007. It compares the value added or destroyed to society from the experimental group to the control group. This value added or destroyed component is calculated by taking the sum of the</w:t>
      </w:r>
      <w:r w:rsidRPr="00D54C69">
        <w:rPr>
          <w:lang w:val="en-GB"/>
        </w:rPr>
        <w:t xml:space="preserve"> </w:t>
      </w:r>
      <w:r>
        <w:rPr>
          <w:lang w:val="en-GB"/>
        </w:rPr>
        <w:t>CAR from the acquirer and target firm. The experimental group is expected to show less or more negative value added than the control group. This results in the following hypothesis:</w:t>
      </w:r>
    </w:p>
    <w:p w:rsidR="000E5F32" w:rsidRDefault="000E5F32" w:rsidP="000E5F32">
      <w:pPr>
        <w:spacing w:line="360" w:lineRule="auto"/>
        <w:rPr>
          <w:lang w:val="en-GB"/>
        </w:rPr>
      </w:pPr>
    </w:p>
    <w:p w:rsidR="000E5F32" w:rsidRDefault="000E5F32" w:rsidP="000E5F32">
      <w:pPr>
        <w:spacing w:line="360" w:lineRule="auto"/>
        <w:jc w:val="both"/>
        <w:rPr>
          <w:b/>
          <w:i/>
          <w:lang w:val="en-GB"/>
        </w:rPr>
      </w:pPr>
      <w:r w:rsidRPr="00C74598">
        <w:rPr>
          <w:b/>
          <w:i/>
          <w:lang w:val="en-GB"/>
        </w:rPr>
        <w:t xml:space="preserve">The total value added for society in M&amp;A deals is lower in the experimental group than in the control group in </w:t>
      </w:r>
      <w:r>
        <w:rPr>
          <w:b/>
          <w:i/>
          <w:lang w:val="en-GB"/>
        </w:rPr>
        <w:t>2006-2007</w:t>
      </w:r>
      <w:r w:rsidRPr="00C74598">
        <w:rPr>
          <w:b/>
          <w:i/>
          <w:lang w:val="en-GB"/>
        </w:rPr>
        <w:t xml:space="preserve">. </w:t>
      </w:r>
    </w:p>
    <w:p w:rsidR="000E5F32" w:rsidRPr="00C74598" w:rsidRDefault="000E5F32" w:rsidP="000E5F32">
      <w:pPr>
        <w:spacing w:line="360" w:lineRule="auto"/>
        <w:jc w:val="both"/>
        <w:rPr>
          <w:b/>
          <w:i/>
          <w:lang w:val="en-GB"/>
        </w:rPr>
      </w:pPr>
    </w:p>
    <w:p w:rsidR="000E5F32" w:rsidRPr="00D54C69" w:rsidRDefault="000E5F32" w:rsidP="000E5F32">
      <w:pPr>
        <w:spacing w:line="360" w:lineRule="auto"/>
        <w:jc w:val="both"/>
        <w:rPr>
          <w:i/>
          <w:lang w:val="en-GB"/>
        </w:rPr>
      </w:pPr>
      <w:r w:rsidRPr="00D54C69">
        <w:rPr>
          <w:i/>
          <w:lang w:val="en-GB"/>
        </w:rPr>
        <w:t>H1</w:t>
      </w:r>
      <w:r>
        <w:rPr>
          <w:i/>
          <w:vertAlign w:val="subscript"/>
          <w:lang w:val="en-GB"/>
        </w:rPr>
        <w:t>0</w:t>
      </w:r>
      <w:r>
        <w:rPr>
          <w:i/>
          <w:lang w:val="en-GB"/>
        </w:rPr>
        <w:t>:</w:t>
      </w:r>
      <w:r w:rsidRPr="00D54C69">
        <w:rPr>
          <w:i/>
          <w:lang w:val="en-GB"/>
        </w:rPr>
        <w:t xml:space="preserve"> </w:t>
      </w:r>
      <w:r>
        <w:rPr>
          <w:i/>
          <w:lang w:val="en-GB"/>
        </w:rPr>
        <w:tab/>
        <w:t>AVA</w:t>
      </w:r>
      <w:r w:rsidR="00856F76">
        <w:rPr>
          <w:i/>
          <w:vertAlign w:val="subscript"/>
          <w:lang w:val="en-GB"/>
        </w:rPr>
        <w:t>2006-2007, 2</w:t>
      </w:r>
      <w:r w:rsidR="00856F76">
        <w:rPr>
          <w:i/>
          <w:lang w:val="en-GB"/>
        </w:rPr>
        <w:t xml:space="preserve"> </w:t>
      </w:r>
      <w:r w:rsidRPr="00D54C69">
        <w:rPr>
          <w:i/>
          <w:lang w:val="en-GB"/>
        </w:rPr>
        <w:t xml:space="preserve">– </w:t>
      </w:r>
      <w:r w:rsidRPr="00856F76">
        <w:rPr>
          <w:i/>
          <w:lang w:val="en-GB"/>
        </w:rPr>
        <w:t>AVA</w:t>
      </w:r>
      <w:r w:rsidR="00856F76">
        <w:rPr>
          <w:i/>
          <w:vertAlign w:val="subscript"/>
          <w:lang w:val="en-GB"/>
        </w:rPr>
        <w:t>2006-2007,1</w:t>
      </w:r>
      <w:r w:rsidRPr="00D54C69">
        <w:rPr>
          <w:i/>
          <w:lang w:val="en-GB"/>
        </w:rPr>
        <w:t xml:space="preserve"> = 0 </w:t>
      </w:r>
    </w:p>
    <w:p w:rsidR="000E5F32" w:rsidRPr="00D54C69" w:rsidRDefault="000E5F32" w:rsidP="000E5F32">
      <w:pPr>
        <w:spacing w:line="360" w:lineRule="auto"/>
        <w:jc w:val="both"/>
        <w:rPr>
          <w:i/>
          <w:lang w:val="en-GB"/>
        </w:rPr>
      </w:pPr>
      <w:r w:rsidRPr="00D54C69">
        <w:rPr>
          <w:i/>
          <w:lang w:val="en-GB"/>
        </w:rPr>
        <w:t>H1</w:t>
      </w:r>
      <w:r w:rsidRPr="00D54C69">
        <w:rPr>
          <w:i/>
          <w:vertAlign w:val="subscript"/>
          <w:lang w:val="en-GB"/>
        </w:rPr>
        <w:t>1</w:t>
      </w:r>
      <w:r>
        <w:rPr>
          <w:i/>
          <w:lang w:val="en-GB"/>
        </w:rPr>
        <w:t>:</w:t>
      </w:r>
      <w:r w:rsidRPr="00D54C69">
        <w:rPr>
          <w:i/>
          <w:lang w:val="en-GB"/>
        </w:rPr>
        <w:t xml:space="preserve"> </w:t>
      </w:r>
      <w:r>
        <w:rPr>
          <w:i/>
          <w:lang w:val="en-GB"/>
        </w:rPr>
        <w:tab/>
      </w:r>
      <w:r w:rsidRPr="00856F76">
        <w:rPr>
          <w:i/>
          <w:lang w:val="en-GB"/>
        </w:rPr>
        <w:t>AVA</w:t>
      </w:r>
      <w:r w:rsidR="00856F76">
        <w:rPr>
          <w:i/>
          <w:vertAlign w:val="subscript"/>
          <w:lang w:val="en-GB"/>
        </w:rPr>
        <w:t>2006-2007,2</w:t>
      </w:r>
      <w:r w:rsidR="00856F76">
        <w:rPr>
          <w:i/>
          <w:lang w:val="en-GB"/>
        </w:rPr>
        <w:t xml:space="preserve"> </w:t>
      </w:r>
      <w:r w:rsidRPr="00D54C69">
        <w:rPr>
          <w:i/>
          <w:lang w:val="en-GB"/>
        </w:rPr>
        <w:t xml:space="preserve"> – AVA</w:t>
      </w:r>
      <w:r w:rsidR="00856F76">
        <w:rPr>
          <w:i/>
          <w:vertAlign w:val="subscript"/>
          <w:lang w:val="en-GB"/>
        </w:rPr>
        <w:t xml:space="preserve">2006-2007,1 </w:t>
      </w:r>
      <w:r w:rsidRPr="00D54C69">
        <w:rPr>
          <w:i/>
          <w:lang w:val="en-GB"/>
        </w:rPr>
        <w:t>&gt; 0</w:t>
      </w:r>
    </w:p>
    <w:p w:rsidR="000E5F32" w:rsidRDefault="000E5F32" w:rsidP="000E5F32">
      <w:pPr>
        <w:spacing w:line="360" w:lineRule="auto"/>
        <w:ind w:firstLine="708"/>
        <w:jc w:val="both"/>
        <w:rPr>
          <w:i/>
          <w:lang w:val="en-GB"/>
        </w:rPr>
      </w:pPr>
      <w:r>
        <w:rPr>
          <w:i/>
          <w:lang w:val="en-GB"/>
        </w:rPr>
        <w:t>Where;</w:t>
      </w:r>
    </w:p>
    <w:p w:rsidR="000E5F32" w:rsidRDefault="00856F76" w:rsidP="000E5F32">
      <w:pPr>
        <w:spacing w:line="360" w:lineRule="auto"/>
        <w:ind w:firstLine="708"/>
        <w:jc w:val="both"/>
        <w:rPr>
          <w:i/>
          <w:lang w:val="en-GB"/>
        </w:rPr>
      </w:pPr>
      <w:r w:rsidRPr="00856F76">
        <w:rPr>
          <w:i/>
          <w:lang w:val="en-GB"/>
        </w:rPr>
        <w:t>AVA</w:t>
      </w:r>
      <w:r>
        <w:rPr>
          <w:i/>
          <w:vertAlign w:val="subscript"/>
          <w:lang w:val="en-GB"/>
        </w:rPr>
        <w:t>2006-2007,1</w:t>
      </w:r>
      <w:r>
        <w:rPr>
          <w:i/>
          <w:lang w:val="en-GB"/>
        </w:rPr>
        <w:tab/>
      </w:r>
      <w:r w:rsidR="000E5F32">
        <w:rPr>
          <w:i/>
          <w:lang w:val="en-GB"/>
        </w:rPr>
        <w:t xml:space="preserve">= </w:t>
      </w:r>
      <w:r w:rsidR="000E5F32">
        <w:rPr>
          <w:i/>
          <w:lang w:val="en-GB"/>
        </w:rPr>
        <w:tab/>
        <w:t>Average Value Added in 2006-2007 in the experimental group;</w:t>
      </w:r>
    </w:p>
    <w:p w:rsidR="000E5F32" w:rsidRDefault="00856F76" w:rsidP="000E5F32">
      <w:pPr>
        <w:spacing w:line="360" w:lineRule="auto"/>
        <w:ind w:firstLine="708"/>
        <w:jc w:val="both"/>
        <w:rPr>
          <w:i/>
          <w:lang w:val="en-GB"/>
        </w:rPr>
      </w:pPr>
      <w:r>
        <w:rPr>
          <w:i/>
          <w:lang w:val="en-GB"/>
        </w:rPr>
        <w:t>AVA</w:t>
      </w:r>
      <w:r>
        <w:rPr>
          <w:i/>
          <w:vertAlign w:val="subscript"/>
          <w:lang w:val="en-GB"/>
        </w:rPr>
        <w:t>2006-2007, 2</w:t>
      </w:r>
      <w:r w:rsidR="000E5F32">
        <w:rPr>
          <w:i/>
          <w:lang w:val="en-GB"/>
        </w:rPr>
        <w:tab/>
        <w:t xml:space="preserve">=  </w:t>
      </w:r>
      <w:r w:rsidR="000E5F32">
        <w:rPr>
          <w:i/>
          <w:lang w:val="en-GB"/>
        </w:rPr>
        <w:tab/>
        <w:t>Average Value Added in 2006-2007 in the control group.</w:t>
      </w:r>
    </w:p>
    <w:p w:rsidR="000E5F32" w:rsidRPr="00F0526C" w:rsidRDefault="000E5F32" w:rsidP="000E5F32">
      <w:pPr>
        <w:spacing w:line="360" w:lineRule="auto"/>
        <w:ind w:firstLine="708"/>
        <w:jc w:val="both"/>
        <w:rPr>
          <w:i/>
          <w:lang w:val="en-GB"/>
        </w:rPr>
      </w:pPr>
      <w:r>
        <w:rPr>
          <w:i/>
          <w:lang w:val="en-GB"/>
        </w:rPr>
        <w:t>Hypothesis 1 implies the expectation of rejection of H1</w:t>
      </w:r>
      <w:r>
        <w:rPr>
          <w:i/>
          <w:vertAlign w:val="subscript"/>
          <w:lang w:val="en-GB"/>
        </w:rPr>
        <w:t>0</w:t>
      </w:r>
      <w:r>
        <w:rPr>
          <w:i/>
          <w:lang w:val="en-GB"/>
        </w:rPr>
        <w:t>.</w:t>
      </w:r>
    </w:p>
    <w:p w:rsidR="000E5F32" w:rsidRPr="00255C3A" w:rsidRDefault="000E5F32" w:rsidP="000E5F32">
      <w:pPr>
        <w:spacing w:line="360" w:lineRule="auto"/>
        <w:rPr>
          <w:i/>
          <w:lang w:val="en-GB"/>
        </w:rPr>
      </w:pPr>
    </w:p>
    <w:p w:rsidR="000E5F32" w:rsidRDefault="000E5F32" w:rsidP="000E5F32">
      <w:pPr>
        <w:spacing w:line="360" w:lineRule="auto"/>
        <w:rPr>
          <w:b/>
          <w:lang w:val="en-GB"/>
        </w:rPr>
      </w:pPr>
      <w:r>
        <w:rPr>
          <w:b/>
          <w:lang w:val="en-GB"/>
        </w:rPr>
        <w:br w:type="page"/>
      </w:r>
    </w:p>
    <w:p w:rsidR="000E5F32" w:rsidRDefault="000E5F32" w:rsidP="000E5F32">
      <w:pPr>
        <w:spacing w:line="360" w:lineRule="auto"/>
        <w:jc w:val="both"/>
        <w:rPr>
          <w:b/>
          <w:lang w:val="en-GB"/>
        </w:rPr>
      </w:pPr>
      <w:r w:rsidRPr="00C74598">
        <w:rPr>
          <w:b/>
          <w:lang w:val="en-GB"/>
        </w:rPr>
        <w:lastRenderedPageBreak/>
        <w:t>Hypothesis 2</w:t>
      </w:r>
    </w:p>
    <w:p w:rsidR="000E5F32" w:rsidRDefault="000E5F32" w:rsidP="000E5F32">
      <w:pPr>
        <w:spacing w:line="360" w:lineRule="auto"/>
        <w:jc w:val="both"/>
        <w:rPr>
          <w:lang w:val="en-GB"/>
        </w:rPr>
      </w:pPr>
      <w:r>
        <w:rPr>
          <w:lang w:val="en-GB"/>
        </w:rPr>
        <w:t>This second hypothesis researches the exact same thing as hypothesis one, the only difference is in the years researched, which is now 2011-2012. The underlying thought to do this is because it is expected that there still is a disadvantage in the CARs to the experimental group. However, this disadvantage regarding CAR is expected to be smaller. This results in the following hypothesis:</w:t>
      </w:r>
    </w:p>
    <w:p w:rsidR="000E5F32" w:rsidRPr="00C74598" w:rsidRDefault="000E5F32" w:rsidP="000E5F32">
      <w:pPr>
        <w:spacing w:line="360" w:lineRule="auto"/>
        <w:jc w:val="both"/>
        <w:rPr>
          <w:b/>
          <w:lang w:val="en-GB"/>
        </w:rPr>
      </w:pPr>
    </w:p>
    <w:p w:rsidR="000E5F32" w:rsidRDefault="000E5F32" w:rsidP="000E5F32">
      <w:pPr>
        <w:spacing w:line="360" w:lineRule="auto"/>
        <w:jc w:val="both"/>
        <w:rPr>
          <w:b/>
          <w:i/>
          <w:lang w:val="en-GB"/>
        </w:rPr>
      </w:pPr>
      <w:r w:rsidRPr="00C74598">
        <w:rPr>
          <w:b/>
          <w:i/>
          <w:lang w:val="en-GB"/>
        </w:rPr>
        <w:t xml:space="preserve">The total value added for society in M&amp;A deals is lower in the experimental group than in the control group in </w:t>
      </w:r>
      <w:r>
        <w:rPr>
          <w:b/>
          <w:i/>
          <w:lang w:val="en-GB"/>
        </w:rPr>
        <w:t>2011-2012</w:t>
      </w:r>
      <w:r w:rsidRPr="00C74598">
        <w:rPr>
          <w:b/>
          <w:i/>
          <w:lang w:val="en-GB"/>
        </w:rPr>
        <w:t xml:space="preserve">. </w:t>
      </w:r>
    </w:p>
    <w:p w:rsidR="000E5F32" w:rsidRPr="00C74598" w:rsidRDefault="000E5F32" w:rsidP="000E5F32">
      <w:pPr>
        <w:spacing w:line="360" w:lineRule="auto"/>
        <w:jc w:val="both"/>
        <w:rPr>
          <w:b/>
          <w:i/>
          <w:lang w:val="en-GB"/>
        </w:rPr>
      </w:pPr>
    </w:p>
    <w:p w:rsidR="000E5F32" w:rsidRPr="00D54C69" w:rsidRDefault="000E5F32" w:rsidP="000E5F32">
      <w:pPr>
        <w:spacing w:line="360" w:lineRule="auto"/>
        <w:jc w:val="both"/>
        <w:rPr>
          <w:i/>
          <w:lang w:val="en-GB"/>
        </w:rPr>
      </w:pPr>
      <w:r w:rsidRPr="00D54C69">
        <w:rPr>
          <w:i/>
          <w:lang w:val="en-GB"/>
        </w:rPr>
        <w:t>H</w:t>
      </w:r>
      <w:r>
        <w:rPr>
          <w:i/>
          <w:lang w:val="en-GB"/>
        </w:rPr>
        <w:t>2</w:t>
      </w:r>
      <w:r w:rsidRPr="00D54C69">
        <w:rPr>
          <w:i/>
          <w:vertAlign w:val="subscript"/>
          <w:lang w:val="en-GB"/>
        </w:rPr>
        <w:t>0</w:t>
      </w:r>
      <w:r>
        <w:rPr>
          <w:i/>
          <w:lang w:val="en-GB"/>
        </w:rPr>
        <w:t xml:space="preserve">: </w:t>
      </w:r>
      <w:r w:rsidRPr="00D54C69">
        <w:rPr>
          <w:i/>
          <w:lang w:val="en-GB"/>
        </w:rPr>
        <w:t xml:space="preserve"> </w:t>
      </w:r>
      <w:r>
        <w:rPr>
          <w:i/>
          <w:lang w:val="en-GB"/>
        </w:rPr>
        <w:tab/>
        <w:t>AVA</w:t>
      </w:r>
      <w:r w:rsidR="00856F76">
        <w:rPr>
          <w:i/>
          <w:vertAlign w:val="subscript"/>
          <w:lang w:val="en-GB"/>
        </w:rPr>
        <w:t>2011-2012,2</w:t>
      </w:r>
      <w:r w:rsidRPr="00D54C69">
        <w:rPr>
          <w:i/>
          <w:lang w:val="en-GB"/>
        </w:rPr>
        <w:t xml:space="preserve"> – </w:t>
      </w:r>
      <w:r>
        <w:rPr>
          <w:i/>
          <w:lang w:val="en-GB"/>
        </w:rPr>
        <w:t>AVA</w:t>
      </w:r>
      <w:r w:rsidR="00856F76">
        <w:rPr>
          <w:i/>
          <w:vertAlign w:val="subscript"/>
          <w:lang w:val="en-GB"/>
        </w:rPr>
        <w:t>2011-2012,1</w:t>
      </w:r>
      <w:r w:rsidRPr="00D54C69">
        <w:rPr>
          <w:i/>
          <w:lang w:val="en-GB"/>
        </w:rPr>
        <w:t xml:space="preserve"> = 0 </w:t>
      </w:r>
    </w:p>
    <w:p w:rsidR="000E5F32" w:rsidRPr="00D54C69" w:rsidRDefault="000E5F32" w:rsidP="000E5F32">
      <w:pPr>
        <w:spacing w:line="360" w:lineRule="auto"/>
        <w:jc w:val="both"/>
        <w:rPr>
          <w:i/>
          <w:lang w:val="en-GB"/>
        </w:rPr>
      </w:pPr>
      <w:r w:rsidRPr="00D54C69">
        <w:rPr>
          <w:i/>
          <w:lang w:val="en-GB"/>
        </w:rPr>
        <w:t>H</w:t>
      </w:r>
      <w:r>
        <w:rPr>
          <w:i/>
          <w:lang w:val="en-GB"/>
        </w:rPr>
        <w:t>2</w:t>
      </w:r>
      <w:r w:rsidRPr="00D54C69">
        <w:rPr>
          <w:i/>
          <w:vertAlign w:val="subscript"/>
          <w:lang w:val="en-GB"/>
        </w:rPr>
        <w:t>1</w:t>
      </w:r>
      <w:r>
        <w:rPr>
          <w:i/>
          <w:lang w:val="en-GB"/>
        </w:rPr>
        <w:t>:</w:t>
      </w:r>
      <w:r>
        <w:rPr>
          <w:i/>
          <w:lang w:val="en-GB"/>
        </w:rPr>
        <w:tab/>
      </w:r>
      <w:r w:rsidRPr="00D54C69">
        <w:rPr>
          <w:i/>
          <w:lang w:val="en-GB"/>
        </w:rPr>
        <w:t xml:space="preserve"> </w:t>
      </w:r>
      <w:r w:rsidR="00856F76">
        <w:rPr>
          <w:i/>
          <w:lang w:val="en-GB"/>
        </w:rPr>
        <w:t>AVA</w:t>
      </w:r>
      <w:r w:rsidR="00856F76">
        <w:rPr>
          <w:i/>
          <w:vertAlign w:val="subscript"/>
          <w:lang w:val="en-GB"/>
        </w:rPr>
        <w:t>2011-2012,2</w:t>
      </w:r>
      <w:r w:rsidR="00856F76" w:rsidRPr="00D54C69">
        <w:rPr>
          <w:i/>
          <w:lang w:val="en-GB"/>
        </w:rPr>
        <w:t xml:space="preserve"> – </w:t>
      </w:r>
      <w:r w:rsidR="00856F76">
        <w:rPr>
          <w:i/>
          <w:lang w:val="en-GB"/>
        </w:rPr>
        <w:t>AVA</w:t>
      </w:r>
      <w:r w:rsidR="00856F76">
        <w:rPr>
          <w:i/>
          <w:vertAlign w:val="subscript"/>
          <w:lang w:val="en-GB"/>
        </w:rPr>
        <w:t>2011-2012,1</w:t>
      </w:r>
      <w:r w:rsidR="00856F76" w:rsidRPr="00D54C69">
        <w:rPr>
          <w:i/>
          <w:lang w:val="en-GB"/>
        </w:rPr>
        <w:t xml:space="preserve"> </w:t>
      </w:r>
      <w:r w:rsidRPr="00D54C69">
        <w:rPr>
          <w:i/>
          <w:lang w:val="en-GB"/>
        </w:rPr>
        <w:t>&gt; 0</w:t>
      </w:r>
    </w:p>
    <w:p w:rsidR="000E5F32" w:rsidRDefault="000E5F32" w:rsidP="000E5F32">
      <w:pPr>
        <w:spacing w:line="360" w:lineRule="auto"/>
        <w:ind w:left="708"/>
        <w:jc w:val="both"/>
        <w:rPr>
          <w:i/>
          <w:lang w:val="en-GB"/>
        </w:rPr>
      </w:pPr>
      <w:r>
        <w:rPr>
          <w:i/>
          <w:lang w:val="en-GB"/>
        </w:rPr>
        <w:t>Where;</w:t>
      </w:r>
    </w:p>
    <w:p w:rsidR="000E5F32" w:rsidRDefault="00856F76" w:rsidP="000E5F32">
      <w:pPr>
        <w:spacing w:line="360" w:lineRule="auto"/>
        <w:ind w:left="708"/>
        <w:jc w:val="both"/>
        <w:rPr>
          <w:i/>
          <w:lang w:val="en-GB"/>
        </w:rPr>
      </w:pPr>
      <w:r>
        <w:rPr>
          <w:i/>
          <w:lang w:val="en-GB"/>
        </w:rPr>
        <w:t>AVA</w:t>
      </w:r>
      <w:r>
        <w:rPr>
          <w:i/>
          <w:vertAlign w:val="subscript"/>
          <w:lang w:val="en-GB"/>
        </w:rPr>
        <w:t>2011-2012,1</w:t>
      </w:r>
      <w:r>
        <w:rPr>
          <w:i/>
          <w:vertAlign w:val="subscript"/>
          <w:lang w:val="en-GB"/>
        </w:rPr>
        <w:tab/>
      </w:r>
      <w:r w:rsidR="000E5F32">
        <w:rPr>
          <w:i/>
          <w:lang w:val="en-GB"/>
        </w:rPr>
        <w:t xml:space="preserve">= </w:t>
      </w:r>
      <w:r w:rsidR="000E5F32">
        <w:rPr>
          <w:i/>
          <w:lang w:val="en-GB"/>
        </w:rPr>
        <w:tab/>
        <w:t>Average Value Added in 2011-2012 in the experimental group;</w:t>
      </w:r>
    </w:p>
    <w:p w:rsidR="000E5F32" w:rsidRDefault="00856F76" w:rsidP="000E5F32">
      <w:pPr>
        <w:spacing w:line="360" w:lineRule="auto"/>
        <w:ind w:left="708"/>
        <w:jc w:val="both"/>
        <w:rPr>
          <w:i/>
          <w:lang w:val="en-GB"/>
        </w:rPr>
      </w:pPr>
      <w:r>
        <w:rPr>
          <w:i/>
          <w:lang w:val="en-GB"/>
        </w:rPr>
        <w:t>AVA</w:t>
      </w:r>
      <w:r>
        <w:rPr>
          <w:i/>
          <w:vertAlign w:val="subscript"/>
          <w:lang w:val="en-GB"/>
        </w:rPr>
        <w:t>2011-2012,2</w:t>
      </w:r>
      <w:r w:rsidR="000E5F32">
        <w:rPr>
          <w:i/>
          <w:lang w:val="en-GB"/>
        </w:rPr>
        <w:tab/>
        <w:t xml:space="preserve">=  </w:t>
      </w:r>
      <w:r w:rsidR="000E5F32">
        <w:rPr>
          <w:i/>
          <w:lang w:val="en-GB"/>
        </w:rPr>
        <w:tab/>
        <w:t>Average Value Added in 2011-2012 in the control group.</w:t>
      </w:r>
    </w:p>
    <w:p w:rsidR="000E5F32" w:rsidRPr="00F0526C" w:rsidRDefault="000E5F32" w:rsidP="000E5F32">
      <w:pPr>
        <w:spacing w:line="360" w:lineRule="auto"/>
        <w:ind w:left="708"/>
        <w:jc w:val="both"/>
        <w:rPr>
          <w:i/>
          <w:lang w:val="en-GB"/>
        </w:rPr>
      </w:pPr>
      <w:r>
        <w:rPr>
          <w:i/>
          <w:lang w:val="en-GB"/>
        </w:rPr>
        <w:t>Hypothesis 2 implies the expectation of rejection of H2</w:t>
      </w:r>
      <w:r>
        <w:rPr>
          <w:i/>
          <w:vertAlign w:val="subscript"/>
          <w:lang w:val="en-GB"/>
        </w:rPr>
        <w:t>0</w:t>
      </w:r>
      <w:r>
        <w:rPr>
          <w:i/>
          <w:lang w:val="en-GB"/>
        </w:rPr>
        <w:t>.</w:t>
      </w:r>
    </w:p>
    <w:p w:rsidR="000E5F32" w:rsidRPr="00255C3A" w:rsidRDefault="000E5F32" w:rsidP="000E5F32">
      <w:pPr>
        <w:spacing w:line="360" w:lineRule="auto"/>
        <w:jc w:val="both"/>
        <w:rPr>
          <w:i/>
          <w:lang w:val="en-GB"/>
        </w:rPr>
      </w:pPr>
    </w:p>
    <w:p w:rsidR="000E5F32" w:rsidRPr="008A0923" w:rsidRDefault="000E5F32" w:rsidP="000E5F32">
      <w:pPr>
        <w:spacing w:line="360" w:lineRule="auto"/>
        <w:jc w:val="both"/>
        <w:rPr>
          <w:i/>
          <w:lang w:val="en-GB"/>
        </w:rPr>
      </w:pPr>
    </w:p>
    <w:p w:rsidR="000E5F32" w:rsidRDefault="000E5F32" w:rsidP="000E5F32">
      <w:pPr>
        <w:spacing w:line="360" w:lineRule="auto"/>
        <w:jc w:val="both"/>
        <w:rPr>
          <w:b/>
          <w:lang w:val="en-GB"/>
        </w:rPr>
      </w:pPr>
      <w:r>
        <w:rPr>
          <w:b/>
          <w:lang w:val="en-GB"/>
        </w:rPr>
        <w:br w:type="page"/>
      </w:r>
    </w:p>
    <w:p w:rsidR="000E5F32" w:rsidRPr="00C74598" w:rsidRDefault="000E5F32" w:rsidP="000E5F32">
      <w:pPr>
        <w:spacing w:line="360" w:lineRule="auto"/>
        <w:jc w:val="both"/>
        <w:rPr>
          <w:b/>
          <w:lang w:val="en-GB"/>
        </w:rPr>
      </w:pPr>
      <w:r w:rsidRPr="00C74598">
        <w:rPr>
          <w:b/>
          <w:lang w:val="en-GB"/>
        </w:rPr>
        <w:lastRenderedPageBreak/>
        <w:t>Hypothesis 3</w:t>
      </w:r>
    </w:p>
    <w:p w:rsidR="000E5F32" w:rsidRDefault="000E5F32" w:rsidP="000E5F32">
      <w:pPr>
        <w:spacing w:line="360" w:lineRule="auto"/>
        <w:jc w:val="both"/>
        <w:rPr>
          <w:lang w:val="en-GB"/>
        </w:rPr>
      </w:pPr>
      <w:r>
        <w:rPr>
          <w:lang w:val="en-GB"/>
        </w:rPr>
        <w:t xml:space="preserve">In hypotheses one and two, it is researched if the summed </w:t>
      </w:r>
      <w:r w:rsidR="0079257D">
        <w:rPr>
          <w:lang w:val="en-GB"/>
        </w:rPr>
        <w:t>C</w:t>
      </w:r>
      <w:r>
        <w:rPr>
          <w:lang w:val="en-GB"/>
        </w:rPr>
        <w:t xml:space="preserve">ARs (the value added for society) in the years 2006-2007 and 2011-2012 differ significantly between the two groups. It can also be valuable for the research to compare the differences between </w:t>
      </w:r>
      <w:r w:rsidR="00DB535B">
        <w:rPr>
          <w:lang w:val="en-GB"/>
        </w:rPr>
        <w:t>the first and all later M&amp;As in</w:t>
      </w:r>
      <w:r>
        <w:rPr>
          <w:lang w:val="en-GB"/>
        </w:rPr>
        <w:t xml:space="preserve"> the experimental and the control group. So, this will result in taking the differences between the value added to society </w:t>
      </w:r>
      <w:r w:rsidR="00DB535B">
        <w:rPr>
          <w:lang w:val="en-GB"/>
        </w:rPr>
        <w:t xml:space="preserve">of the different M&amp;As </w:t>
      </w:r>
      <w:r>
        <w:rPr>
          <w:lang w:val="en-GB"/>
        </w:rPr>
        <w:t>and compare these between the experimental and control group. The expectation is that the difference is larger in the experimental group, because in the control group the acquirers act more carefully and less impulsively, which induces the expectation that the value added to society will be somewhat stable over time. In the experimental group, however, it is expected that in</w:t>
      </w:r>
      <w:r w:rsidR="00DB535B">
        <w:rPr>
          <w:lang w:val="en-GB"/>
        </w:rPr>
        <w:t xml:space="preserve"> the first M&amp;A </w:t>
      </w:r>
      <w:r>
        <w:rPr>
          <w:lang w:val="en-GB"/>
        </w:rPr>
        <w:t xml:space="preserve">they act very impulse, because of their overconfidence, resulting in low or negative CARs, which will make them, hopefully, more conscious about their decisions and learned them to be more careful </w:t>
      </w:r>
      <w:r w:rsidR="00DB535B">
        <w:rPr>
          <w:lang w:val="en-GB"/>
        </w:rPr>
        <w:t>in their next ones</w:t>
      </w:r>
      <w:r>
        <w:rPr>
          <w:lang w:val="en-GB"/>
        </w:rPr>
        <w:t xml:space="preserve">. </w:t>
      </w:r>
      <w:r w:rsidR="0079257D">
        <w:rPr>
          <w:lang w:val="en-GB"/>
        </w:rPr>
        <w:t xml:space="preserve">This is researched only, of course, for companies who did multiple acquisitions in the given time periods. The value added for the first M&amp;A is tested against the value added of the following M&amp;As performed by that same acquirer. </w:t>
      </w:r>
      <w:r>
        <w:rPr>
          <w:lang w:val="en-GB"/>
        </w:rPr>
        <w:t>Therefore, the expectation is that there will be a significant difference in the experimental group, whereas the control groups CARs are expected to remain stable.</w:t>
      </w:r>
    </w:p>
    <w:p w:rsidR="00227C02" w:rsidRDefault="00227C02" w:rsidP="000E5F32">
      <w:pPr>
        <w:spacing w:line="360" w:lineRule="auto"/>
        <w:jc w:val="both"/>
        <w:rPr>
          <w:lang w:val="en-GB"/>
        </w:rPr>
      </w:pPr>
    </w:p>
    <w:p w:rsidR="000E5F32" w:rsidRDefault="000E5F32" w:rsidP="000E5F32">
      <w:pPr>
        <w:spacing w:line="360" w:lineRule="auto"/>
        <w:jc w:val="both"/>
        <w:rPr>
          <w:b/>
          <w:i/>
          <w:lang w:val="en-GB"/>
        </w:rPr>
      </w:pPr>
      <w:r w:rsidRPr="00C74598">
        <w:rPr>
          <w:b/>
          <w:i/>
          <w:lang w:val="en-GB"/>
        </w:rPr>
        <w:t xml:space="preserve">The change in </w:t>
      </w:r>
      <w:r w:rsidRPr="00DB535B">
        <w:rPr>
          <w:b/>
          <w:i/>
          <w:lang w:val="en-GB"/>
        </w:rPr>
        <w:t xml:space="preserve">the value added </w:t>
      </w:r>
      <w:r w:rsidR="00DB535B" w:rsidRPr="00DB535B">
        <w:rPr>
          <w:b/>
          <w:i/>
          <w:lang w:val="en-GB"/>
        </w:rPr>
        <w:t xml:space="preserve">between the first and the following M&amp;As by the same </w:t>
      </w:r>
      <w:r w:rsidR="00DB535B">
        <w:rPr>
          <w:b/>
          <w:i/>
          <w:lang w:val="en-GB"/>
        </w:rPr>
        <w:t>acquirer</w:t>
      </w:r>
      <w:r w:rsidR="00DB535B" w:rsidRPr="00DB535B">
        <w:rPr>
          <w:b/>
          <w:i/>
          <w:lang w:val="en-GB"/>
        </w:rPr>
        <w:t xml:space="preserve"> </w:t>
      </w:r>
      <w:r w:rsidRPr="00DB535B">
        <w:rPr>
          <w:b/>
          <w:i/>
          <w:lang w:val="en-GB"/>
        </w:rPr>
        <w:t>is larger in the experimental group than in the control group.</w:t>
      </w:r>
      <w:r w:rsidRPr="00C74598">
        <w:rPr>
          <w:b/>
          <w:i/>
          <w:lang w:val="en-GB"/>
        </w:rPr>
        <w:t xml:space="preserve"> </w:t>
      </w:r>
    </w:p>
    <w:p w:rsidR="000E5F32" w:rsidRPr="00C74598" w:rsidRDefault="000E5F32" w:rsidP="000E5F32">
      <w:pPr>
        <w:spacing w:line="360" w:lineRule="auto"/>
        <w:jc w:val="both"/>
        <w:rPr>
          <w:b/>
          <w:i/>
          <w:lang w:val="en-GB"/>
        </w:rPr>
      </w:pPr>
    </w:p>
    <w:p w:rsidR="000E5F32" w:rsidRPr="00F0526C" w:rsidRDefault="000E5F32" w:rsidP="000E5F32">
      <w:pPr>
        <w:spacing w:line="360" w:lineRule="auto"/>
        <w:jc w:val="both"/>
        <w:rPr>
          <w:i/>
          <w:lang w:val="en-GB"/>
        </w:rPr>
      </w:pPr>
      <w:r w:rsidRPr="00F0526C">
        <w:rPr>
          <w:i/>
          <w:lang w:val="en-GB"/>
        </w:rPr>
        <w:t>H</w:t>
      </w:r>
      <w:r>
        <w:rPr>
          <w:i/>
          <w:lang w:val="en-GB"/>
        </w:rPr>
        <w:t>3</w:t>
      </w:r>
      <w:r w:rsidRPr="00F0526C">
        <w:rPr>
          <w:i/>
          <w:vertAlign w:val="subscript"/>
          <w:lang w:val="en-GB"/>
        </w:rPr>
        <w:t>0</w:t>
      </w:r>
      <w:r>
        <w:rPr>
          <w:i/>
          <w:lang w:val="en-GB"/>
        </w:rPr>
        <w:t>:</w:t>
      </w:r>
      <w:r>
        <w:rPr>
          <w:i/>
          <w:lang w:val="en-GB"/>
        </w:rPr>
        <w:tab/>
      </w:r>
      <w:r w:rsidRPr="00F0526C">
        <w:rPr>
          <w:i/>
          <w:lang w:val="en-GB"/>
        </w:rPr>
        <w:t xml:space="preserve"> </w:t>
      </w:r>
      <w:r>
        <w:rPr>
          <w:rFonts w:cstheme="minorHAnsi"/>
          <w:i/>
          <w:lang w:val="en-GB"/>
        </w:rPr>
        <w:t>Δ</w:t>
      </w:r>
      <w:r w:rsidRPr="00F0526C">
        <w:rPr>
          <w:i/>
          <w:lang w:val="en-GB"/>
        </w:rPr>
        <w:t>A</w:t>
      </w:r>
      <w:r>
        <w:rPr>
          <w:i/>
          <w:lang w:val="en-GB"/>
        </w:rPr>
        <w:t>VA</w:t>
      </w:r>
      <w:r>
        <w:rPr>
          <w:i/>
          <w:vertAlign w:val="subscript"/>
          <w:lang w:val="en-GB"/>
        </w:rPr>
        <w:t>1</w:t>
      </w:r>
      <w:r w:rsidRPr="00F0526C">
        <w:rPr>
          <w:i/>
          <w:lang w:val="en-GB"/>
        </w:rPr>
        <w:t xml:space="preserve"> – </w:t>
      </w:r>
      <w:r>
        <w:rPr>
          <w:rFonts w:cstheme="minorHAnsi"/>
          <w:i/>
          <w:lang w:val="en-GB"/>
        </w:rPr>
        <w:t>Δ</w:t>
      </w:r>
      <w:r w:rsidRPr="00F0526C">
        <w:rPr>
          <w:i/>
          <w:lang w:val="en-GB"/>
        </w:rPr>
        <w:t>A</w:t>
      </w:r>
      <w:r>
        <w:rPr>
          <w:i/>
          <w:lang w:val="en-GB"/>
        </w:rPr>
        <w:t>VA</w:t>
      </w:r>
      <w:r>
        <w:rPr>
          <w:i/>
          <w:vertAlign w:val="subscript"/>
          <w:lang w:val="en-GB"/>
        </w:rPr>
        <w:t>2</w:t>
      </w:r>
      <w:r w:rsidRPr="00F0526C">
        <w:rPr>
          <w:i/>
          <w:lang w:val="en-GB"/>
        </w:rPr>
        <w:t xml:space="preserve"> = 0 </w:t>
      </w:r>
    </w:p>
    <w:p w:rsidR="000E5F32" w:rsidRPr="00F0526C" w:rsidRDefault="000E5F32" w:rsidP="000E5F32">
      <w:pPr>
        <w:spacing w:line="360" w:lineRule="auto"/>
        <w:jc w:val="both"/>
        <w:rPr>
          <w:i/>
          <w:lang w:val="en-GB"/>
        </w:rPr>
      </w:pPr>
      <w:r w:rsidRPr="000A03F5">
        <w:rPr>
          <w:i/>
          <w:lang w:val="en-GB"/>
        </w:rPr>
        <w:t>H3</w:t>
      </w:r>
      <w:r>
        <w:rPr>
          <w:i/>
          <w:vertAlign w:val="subscript"/>
          <w:lang w:val="en-GB"/>
        </w:rPr>
        <w:t>1</w:t>
      </w:r>
      <w:r>
        <w:rPr>
          <w:i/>
          <w:lang w:val="en-GB"/>
        </w:rPr>
        <w:t>:</w:t>
      </w:r>
      <w:r>
        <w:rPr>
          <w:i/>
          <w:lang w:val="en-GB"/>
        </w:rPr>
        <w:tab/>
      </w:r>
      <w:r w:rsidRPr="000A03F5">
        <w:rPr>
          <w:rFonts w:cstheme="minorHAnsi"/>
          <w:i/>
          <w:lang w:val="en-GB"/>
        </w:rPr>
        <w:t>Δ</w:t>
      </w:r>
      <w:r w:rsidRPr="000A03F5">
        <w:rPr>
          <w:i/>
          <w:lang w:val="en-GB"/>
        </w:rPr>
        <w:t>AVA</w:t>
      </w:r>
      <w:r w:rsidR="001C6765">
        <w:rPr>
          <w:i/>
          <w:vertAlign w:val="subscript"/>
          <w:lang w:val="en-GB"/>
        </w:rPr>
        <w:t>1</w:t>
      </w:r>
      <w:r w:rsidRPr="00F0526C">
        <w:rPr>
          <w:i/>
          <w:lang w:val="en-GB"/>
        </w:rPr>
        <w:t xml:space="preserve"> –</w:t>
      </w:r>
      <w:r>
        <w:rPr>
          <w:rFonts w:cstheme="minorHAnsi"/>
          <w:i/>
          <w:lang w:val="en-GB"/>
        </w:rPr>
        <w:t>Δ</w:t>
      </w:r>
      <w:r w:rsidRPr="00F0526C">
        <w:rPr>
          <w:i/>
          <w:lang w:val="en-GB"/>
        </w:rPr>
        <w:t xml:space="preserve"> A</w:t>
      </w:r>
      <w:r>
        <w:rPr>
          <w:i/>
          <w:lang w:val="en-GB"/>
        </w:rPr>
        <w:t>VA</w:t>
      </w:r>
      <w:r>
        <w:rPr>
          <w:i/>
          <w:vertAlign w:val="subscript"/>
          <w:lang w:val="en-GB"/>
        </w:rPr>
        <w:t>2</w:t>
      </w:r>
      <w:r>
        <w:rPr>
          <w:i/>
          <w:lang w:val="en-GB"/>
        </w:rPr>
        <w:t xml:space="preserve"> &gt;</w:t>
      </w:r>
      <w:r w:rsidRPr="00F0526C">
        <w:rPr>
          <w:i/>
          <w:lang w:val="en-GB"/>
        </w:rPr>
        <w:t xml:space="preserve"> 0</w:t>
      </w:r>
    </w:p>
    <w:p w:rsidR="000E5F32" w:rsidRDefault="000E5F32" w:rsidP="000E5F32">
      <w:pPr>
        <w:spacing w:line="360" w:lineRule="auto"/>
        <w:ind w:left="708"/>
        <w:jc w:val="both"/>
        <w:rPr>
          <w:i/>
          <w:lang w:val="en-GB"/>
        </w:rPr>
      </w:pPr>
      <w:r>
        <w:rPr>
          <w:i/>
          <w:lang w:val="en-GB"/>
        </w:rPr>
        <w:t>Where;</w:t>
      </w:r>
    </w:p>
    <w:p w:rsidR="000E5F32" w:rsidRDefault="000E5F32" w:rsidP="000E5F32">
      <w:pPr>
        <w:spacing w:line="360" w:lineRule="auto"/>
        <w:ind w:left="708"/>
        <w:jc w:val="both"/>
        <w:rPr>
          <w:i/>
          <w:lang w:val="en-GB"/>
        </w:rPr>
      </w:pPr>
      <w:r>
        <w:rPr>
          <w:rFonts w:cstheme="minorHAnsi"/>
          <w:i/>
          <w:lang w:val="en-GB"/>
        </w:rPr>
        <w:t>Δ</w:t>
      </w:r>
      <w:r>
        <w:rPr>
          <w:i/>
          <w:lang w:val="en-GB"/>
        </w:rPr>
        <w:t>AVA</w:t>
      </w:r>
      <w:r>
        <w:rPr>
          <w:i/>
          <w:vertAlign w:val="subscript"/>
          <w:lang w:val="en-GB"/>
        </w:rPr>
        <w:t>1</w:t>
      </w:r>
      <w:r>
        <w:rPr>
          <w:i/>
          <w:lang w:val="en-GB"/>
        </w:rPr>
        <w:t xml:space="preserve"> </w:t>
      </w:r>
      <w:r>
        <w:rPr>
          <w:i/>
          <w:lang w:val="en-GB"/>
        </w:rPr>
        <w:tab/>
        <w:t xml:space="preserve">= </w:t>
      </w:r>
      <w:r>
        <w:rPr>
          <w:i/>
          <w:lang w:val="en-GB"/>
        </w:rPr>
        <w:tab/>
        <w:t xml:space="preserve">the change in Average Value Added in the experimental group </w:t>
      </w:r>
      <w:r w:rsidR="0079257D">
        <w:rPr>
          <w:i/>
          <w:lang w:val="en-GB"/>
        </w:rPr>
        <w:t xml:space="preserve">between the first and the following M&amp;As by the same </w:t>
      </w:r>
      <w:r w:rsidR="00DB535B">
        <w:rPr>
          <w:i/>
          <w:lang w:val="en-GB"/>
        </w:rPr>
        <w:t>acquirer</w:t>
      </w:r>
    </w:p>
    <w:p w:rsidR="000E5F32" w:rsidRDefault="000E5F32" w:rsidP="000E5F32">
      <w:pPr>
        <w:spacing w:line="360" w:lineRule="auto"/>
        <w:ind w:left="708"/>
        <w:jc w:val="both"/>
        <w:rPr>
          <w:i/>
          <w:lang w:val="en-GB"/>
        </w:rPr>
      </w:pPr>
      <w:r>
        <w:rPr>
          <w:rFonts w:cstheme="minorHAnsi"/>
          <w:i/>
          <w:lang w:val="en-GB"/>
        </w:rPr>
        <w:t>Δ</w:t>
      </w:r>
      <w:r>
        <w:rPr>
          <w:i/>
          <w:lang w:val="en-GB"/>
        </w:rPr>
        <w:t>AVA</w:t>
      </w:r>
      <w:r>
        <w:rPr>
          <w:i/>
          <w:vertAlign w:val="subscript"/>
          <w:lang w:val="en-GB"/>
        </w:rPr>
        <w:t>2</w:t>
      </w:r>
      <w:r>
        <w:rPr>
          <w:i/>
          <w:lang w:val="en-GB"/>
        </w:rPr>
        <w:t xml:space="preserve"> </w:t>
      </w:r>
      <w:r>
        <w:rPr>
          <w:i/>
          <w:lang w:val="en-GB"/>
        </w:rPr>
        <w:tab/>
        <w:t xml:space="preserve">=  </w:t>
      </w:r>
      <w:r>
        <w:rPr>
          <w:i/>
          <w:lang w:val="en-GB"/>
        </w:rPr>
        <w:tab/>
        <w:t xml:space="preserve">the change in Average Value Added in the control group </w:t>
      </w:r>
      <w:r w:rsidR="0079257D">
        <w:rPr>
          <w:i/>
          <w:lang w:val="en-GB"/>
        </w:rPr>
        <w:t xml:space="preserve">between the first and the following M&amp;As by the same </w:t>
      </w:r>
      <w:r w:rsidR="00DB535B">
        <w:rPr>
          <w:i/>
          <w:lang w:val="en-GB"/>
        </w:rPr>
        <w:t>acquirer</w:t>
      </w:r>
    </w:p>
    <w:p w:rsidR="000E5F32" w:rsidRPr="00F0526C" w:rsidRDefault="000E5F32" w:rsidP="000E5F32">
      <w:pPr>
        <w:spacing w:line="360" w:lineRule="auto"/>
        <w:ind w:left="708"/>
        <w:jc w:val="both"/>
        <w:rPr>
          <w:i/>
          <w:lang w:val="en-GB"/>
        </w:rPr>
      </w:pPr>
      <w:r>
        <w:rPr>
          <w:i/>
          <w:lang w:val="en-GB"/>
        </w:rPr>
        <w:t>Hypothesis 3 induces the expectation of rejection of H3</w:t>
      </w:r>
      <w:r>
        <w:rPr>
          <w:i/>
          <w:vertAlign w:val="subscript"/>
          <w:lang w:val="en-GB"/>
        </w:rPr>
        <w:t>0</w:t>
      </w:r>
      <w:r>
        <w:rPr>
          <w:i/>
          <w:lang w:val="en-GB"/>
        </w:rPr>
        <w:t>.</w:t>
      </w:r>
    </w:p>
    <w:p w:rsidR="000E5F32" w:rsidRPr="00C74598" w:rsidRDefault="000E5F32" w:rsidP="000E5F32">
      <w:pPr>
        <w:spacing w:line="360" w:lineRule="auto"/>
        <w:jc w:val="both"/>
        <w:rPr>
          <w:b/>
          <w:lang w:val="en-GB"/>
        </w:rPr>
      </w:pPr>
      <w:r w:rsidRPr="00C74598">
        <w:rPr>
          <w:b/>
          <w:lang w:val="en-GB"/>
        </w:rPr>
        <w:lastRenderedPageBreak/>
        <w:t>Hypothesis 4</w:t>
      </w:r>
    </w:p>
    <w:p w:rsidR="000E5F32" w:rsidRPr="007D788E" w:rsidRDefault="000E5F32" w:rsidP="000E5F32">
      <w:pPr>
        <w:spacing w:line="360" w:lineRule="auto"/>
        <w:jc w:val="both"/>
        <w:rPr>
          <w:lang w:val="en-GB"/>
        </w:rPr>
      </w:pPr>
      <w:r>
        <w:rPr>
          <w:lang w:val="en-GB"/>
        </w:rPr>
        <w:t xml:space="preserve">As said earlier, the deal premium paid by the acquiring firm is important in the consideration if a choice to merge or acquire a firm by the management is inferior in the experimental group as opposed to the control group. This hypothesis will be tested on the basis of the data from 2006-2007 and 2011-2012 as opposed to data from only one time period, as this provides a larger sample, which will be statistically more representative. A more mathematical representation: </w:t>
      </w:r>
    </w:p>
    <w:p w:rsidR="000E5F32" w:rsidRPr="00F42310" w:rsidRDefault="000E5F32" w:rsidP="00856F76">
      <w:pPr>
        <w:spacing w:line="360" w:lineRule="auto"/>
        <w:jc w:val="center"/>
        <w:rPr>
          <w:sz w:val="18"/>
          <w:lang w:val="en-GB"/>
        </w:rPr>
      </w:pPr>
      <w:r w:rsidRPr="00F42310">
        <w:rPr>
          <w:sz w:val="18"/>
          <w:lang w:val="en-GB"/>
        </w:rPr>
        <w:t>(deal premium) = (deal value) – (number of outstanding stocks of target) * (value per stock before announcement)</w:t>
      </w:r>
      <w:r>
        <w:rPr>
          <w:sz w:val="18"/>
          <w:lang w:val="en-GB"/>
        </w:rPr>
        <w:t xml:space="preserve"> * (percentage of shares acquired in transaction)</w:t>
      </w:r>
    </w:p>
    <w:p w:rsidR="000E5F32" w:rsidRDefault="000E5F32" w:rsidP="000E5F32">
      <w:pPr>
        <w:spacing w:line="360" w:lineRule="auto"/>
        <w:jc w:val="both"/>
        <w:rPr>
          <w:lang w:val="en-GB"/>
        </w:rPr>
      </w:pPr>
      <w:r>
        <w:rPr>
          <w:lang w:val="en-GB"/>
        </w:rPr>
        <w:t xml:space="preserve">The intention should always be to keep this </w:t>
      </w:r>
      <w:r w:rsidR="00856F76">
        <w:rPr>
          <w:lang w:val="en-GB"/>
        </w:rPr>
        <w:t>deal premium</w:t>
      </w:r>
      <w:r>
        <w:rPr>
          <w:lang w:val="en-GB"/>
        </w:rPr>
        <w:t xml:space="preserve"> as low as possible in relation to the deal value. Therefore, the expectation is that the acquiring firms in the experimental group will have a higher </w:t>
      </w:r>
      <w:r w:rsidR="00856F76">
        <w:rPr>
          <w:lang w:val="en-GB"/>
        </w:rPr>
        <w:t>deal premium</w:t>
      </w:r>
      <w:r>
        <w:rPr>
          <w:lang w:val="en-GB"/>
        </w:rPr>
        <w:t xml:space="preserve"> to deal value ratio than the similar firms in the control group. </w:t>
      </w:r>
    </w:p>
    <w:p w:rsidR="000E5F32" w:rsidRPr="009D3E13" w:rsidRDefault="00856F76" w:rsidP="000E5F32">
      <w:pPr>
        <w:spacing w:line="360" w:lineRule="auto"/>
        <w:jc w:val="center"/>
        <w:rPr>
          <w:sz w:val="18"/>
          <w:lang w:val="en-GB"/>
        </w:rPr>
      </w:pPr>
      <w:r>
        <w:rPr>
          <w:sz w:val="18"/>
          <w:lang w:val="en-GB"/>
        </w:rPr>
        <w:t xml:space="preserve"> Premium R</w:t>
      </w:r>
      <w:r w:rsidR="000E5F32">
        <w:rPr>
          <w:sz w:val="18"/>
          <w:lang w:val="en-GB"/>
        </w:rPr>
        <w:t>atio</w:t>
      </w:r>
      <w:r w:rsidR="000E5F32" w:rsidRPr="009D3E13">
        <w:rPr>
          <w:sz w:val="18"/>
          <w:lang w:val="en-GB"/>
        </w:rPr>
        <w:t xml:space="preserve"> = </w:t>
      </w:r>
      <w:r>
        <w:rPr>
          <w:sz w:val="18"/>
          <w:lang w:val="en-GB"/>
        </w:rPr>
        <w:t>Deal Premium</w:t>
      </w:r>
      <w:r w:rsidR="000E5F32" w:rsidRPr="009D3E13">
        <w:rPr>
          <w:sz w:val="18"/>
          <w:lang w:val="en-GB"/>
        </w:rPr>
        <w:t xml:space="preserve"> / Deal Value</w:t>
      </w:r>
    </w:p>
    <w:p w:rsidR="000E5F32" w:rsidRDefault="000E5F32" w:rsidP="000E5F32">
      <w:pPr>
        <w:spacing w:line="360" w:lineRule="auto"/>
        <w:jc w:val="both"/>
        <w:rPr>
          <w:lang w:val="en-GB"/>
        </w:rPr>
      </w:pPr>
      <w:r>
        <w:rPr>
          <w:lang w:val="en-GB"/>
        </w:rPr>
        <w:t>This results in the hypothesis:</w:t>
      </w:r>
    </w:p>
    <w:p w:rsidR="000E5F32" w:rsidRDefault="000E5F32" w:rsidP="000E5F32">
      <w:pPr>
        <w:spacing w:line="360" w:lineRule="auto"/>
        <w:jc w:val="both"/>
        <w:rPr>
          <w:lang w:val="en-GB"/>
        </w:rPr>
      </w:pPr>
    </w:p>
    <w:p w:rsidR="000E5F32" w:rsidRDefault="000E5F32" w:rsidP="000E5F32">
      <w:pPr>
        <w:spacing w:line="360" w:lineRule="auto"/>
        <w:jc w:val="both"/>
        <w:rPr>
          <w:b/>
          <w:i/>
          <w:lang w:val="en-GB"/>
        </w:rPr>
      </w:pPr>
      <w:r w:rsidRPr="00C74598">
        <w:rPr>
          <w:b/>
          <w:i/>
          <w:lang w:val="en-GB"/>
        </w:rPr>
        <w:t xml:space="preserve">The </w:t>
      </w:r>
      <w:r w:rsidR="00856F76">
        <w:rPr>
          <w:b/>
          <w:i/>
          <w:lang w:val="en-GB"/>
        </w:rPr>
        <w:t>premium</w:t>
      </w:r>
      <w:r w:rsidRPr="00C74598">
        <w:rPr>
          <w:b/>
          <w:i/>
          <w:lang w:val="en-GB"/>
        </w:rPr>
        <w:t xml:space="preserve"> </w:t>
      </w:r>
      <w:r>
        <w:rPr>
          <w:b/>
          <w:i/>
          <w:lang w:val="en-GB"/>
        </w:rPr>
        <w:t xml:space="preserve">ratio </w:t>
      </w:r>
      <w:r w:rsidRPr="00C74598">
        <w:rPr>
          <w:b/>
          <w:i/>
          <w:lang w:val="en-GB"/>
        </w:rPr>
        <w:t xml:space="preserve">is higher in the experimental group than in the control group. </w:t>
      </w:r>
    </w:p>
    <w:p w:rsidR="000E5F32" w:rsidRPr="00C74598" w:rsidRDefault="000E5F32" w:rsidP="000E5F32">
      <w:pPr>
        <w:spacing w:line="360" w:lineRule="auto"/>
        <w:jc w:val="both"/>
        <w:rPr>
          <w:b/>
          <w:i/>
          <w:lang w:val="en-GB"/>
        </w:rPr>
      </w:pPr>
    </w:p>
    <w:p w:rsidR="000E5F32" w:rsidRPr="00F0526C" w:rsidRDefault="000E5F32" w:rsidP="000E5F32">
      <w:pPr>
        <w:spacing w:line="360" w:lineRule="auto"/>
        <w:jc w:val="both"/>
        <w:rPr>
          <w:i/>
          <w:lang w:val="en-GB"/>
        </w:rPr>
      </w:pPr>
      <w:r w:rsidRPr="00F0526C">
        <w:rPr>
          <w:i/>
          <w:lang w:val="en-GB"/>
        </w:rPr>
        <w:t>H</w:t>
      </w:r>
      <w:r>
        <w:rPr>
          <w:i/>
          <w:lang w:val="en-GB"/>
        </w:rPr>
        <w:t>4</w:t>
      </w:r>
      <w:r w:rsidRPr="00F0526C">
        <w:rPr>
          <w:i/>
          <w:vertAlign w:val="subscript"/>
          <w:lang w:val="en-GB"/>
        </w:rPr>
        <w:t>0</w:t>
      </w:r>
      <w:r>
        <w:rPr>
          <w:i/>
          <w:lang w:val="en-GB"/>
        </w:rPr>
        <w:t>:</w:t>
      </w:r>
      <w:r>
        <w:rPr>
          <w:i/>
          <w:lang w:val="en-GB"/>
        </w:rPr>
        <w:tab/>
      </w:r>
      <w:r w:rsidRPr="00F0526C">
        <w:rPr>
          <w:i/>
          <w:lang w:val="en-GB"/>
        </w:rPr>
        <w:t xml:space="preserve"> </w:t>
      </w:r>
      <w:r w:rsidR="00856F76">
        <w:rPr>
          <w:i/>
          <w:lang w:val="en-GB"/>
        </w:rPr>
        <w:t>P</w:t>
      </w:r>
      <w:r>
        <w:rPr>
          <w:rFonts w:cstheme="minorHAnsi"/>
          <w:i/>
          <w:lang w:val="en-GB"/>
        </w:rPr>
        <w:t>R</w:t>
      </w:r>
      <w:r>
        <w:rPr>
          <w:rFonts w:cstheme="minorHAnsi"/>
          <w:i/>
          <w:vertAlign w:val="subscript"/>
          <w:lang w:val="en-GB"/>
        </w:rPr>
        <w:t>1</w:t>
      </w:r>
      <w:r w:rsidRPr="00F0526C">
        <w:rPr>
          <w:i/>
          <w:lang w:val="en-GB"/>
        </w:rPr>
        <w:t xml:space="preserve"> – </w:t>
      </w:r>
      <w:r w:rsidR="00856F76">
        <w:rPr>
          <w:i/>
          <w:lang w:val="en-GB"/>
        </w:rPr>
        <w:t>P</w:t>
      </w:r>
      <w:r>
        <w:rPr>
          <w:rFonts w:cstheme="minorHAnsi"/>
          <w:i/>
          <w:lang w:val="en-GB"/>
        </w:rPr>
        <w:t>R</w:t>
      </w:r>
      <w:r>
        <w:rPr>
          <w:rFonts w:cstheme="minorHAnsi"/>
          <w:i/>
          <w:vertAlign w:val="subscript"/>
          <w:lang w:val="en-GB"/>
        </w:rPr>
        <w:t>2</w:t>
      </w:r>
      <w:r w:rsidRPr="00F0526C">
        <w:rPr>
          <w:i/>
          <w:lang w:val="en-GB"/>
        </w:rPr>
        <w:t xml:space="preserve"> = 0 </w:t>
      </w:r>
    </w:p>
    <w:p w:rsidR="000E5F32" w:rsidRPr="00F0526C" w:rsidRDefault="000E5F32" w:rsidP="000E5F32">
      <w:pPr>
        <w:spacing w:line="360" w:lineRule="auto"/>
        <w:jc w:val="both"/>
        <w:rPr>
          <w:i/>
          <w:lang w:val="en-GB"/>
        </w:rPr>
      </w:pPr>
      <w:r w:rsidRPr="00F0526C">
        <w:rPr>
          <w:i/>
          <w:lang w:val="en-GB"/>
        </w:rPr>
        <w:t>H</w:t>
      </w:r>
      <w:r>
        <w:rPr>
          <w:i/>
          <w:lang w:val="en-GB"/>
        </w:rPr>
        <w:t>4</w:t>
      </w:r>
      <w:r>
        <w:rPr>
          <w:i/>
          <w:vertAlign w:val="subscript"/>
          <w:lang w:val="en-GB"/>
        </w:rPr>
        <w:t>1</w:t>
      </w:r>
      <w:r>
        <w:rPr>
          <w:i/>
          <w:lang w:val="en-GB"/>
        </w:rPr>
        <w:t>:</w:t>
      </w:r>
      <w:r w:rsidRPr="00F0526C">
        <w:rPr>
          <w:i/>
          <w:lang w:val="en-GB"/>
        </w:rPr>
        <w:t xml:space="preserve"> </w:t>
      </w:r>
      <w:r>
        <w:rPr>
          <w:i/>
          <w:lang w:val="en-GB"/>
        </w:rPr>
        <w:tab/>
      </w:r>
      <w:r w:rsidR="00856F76">
        <w:rPr>
          <w:i/>
          <w:lang w:val="en-GB"/>
        </w:rPr>
        <w:t>P</w:t>
      </w:r>
      <w:r>
        <w:rPr>
          <w:rFonts w:cstheme="minorHAnsi"/>
          <w:i/>
          <w:lang w:val="en-GB"/>
        </w:rPr>
        <w:t>R</w:t>
      </w:r>
      <w:r>
        <w:rPr>
          <w:rFonts w:cstheme="minorHAnsi"/>
          <w:i/>
          <w:vertAlign w:val="subscript"/>
          <w:lang w:val="en-GB"/>
        </w:rPr>
        <w:t>1</w:t>
      </w:r>
      <w:r w:rsidRPr="00F0526C">
        <w:rPr>
          <w:i/>
          <w:lang w:val="en-GB"/>
        </w:rPr>
        <w:t xml:space="preserve"> – </w:t>
      </w:r>
      <w:r w:rsidR="00856F76">
        <w:rPr>
          <w:i/>
          <w:lang w:val="en-GB"/>
        </w:rPr>
        <w:t>P</w:t>
      </w:r>
      <w:r>
        <w:rPr>
          <w:rFonts w:cstheme="minorHAnsi"/>
          <w:i/>
          <w:lang w:val="en-GB"/>
        </w:rPr>
        <w:t>R</w:t>
      </w:r>
      <w:r>
        <w:rPr>
          <w:rFonts w:cstheme="minorHAnsi"/>
          <w:i/>
          <w:vertAlign w:val="subscript"/>
          <w:lang w:val="en-GB"/>
        </w:rPr>
        <w:t>2</w:t>
      </w:r>
      <w:r>
        <w:rPr>
          <w:i/>
          <w:lang w:val="en-GB"/>
        </w:rPr>
        <w:t xml:space="preserve"> &gt;</w:t>
      </w:r>
      <w:r w:rsidRPr="00F0526C">
        <w:rPr>
          <w:i/>
          <w:lang w:val="en-GB"/>
        </w:rPr>
        <w:t xml:space="preserve"> 0 </w:t>
      </w:r>
    </w:p>
    <w:p w:rsidR="000E5F32" w:rsidRDefault="000E5F32" w:rsidP="000E5F32">
      <w:pPr>
        <w:spacing w:line="360" w:lineRule="auto"/>
        <w:ind w:left="708"/>
        <w:jc w:val="both"/>
        <w:rPr>
          <w:i/>
          <w:lang w:val="en-GB"/>
        </w:rPr>
      </w:pPr>
      <w:r>
        <w:rPr>
          <w:i/>
          <w:lang w:val="en-GB"/>
        </w:rPr>
        <w:t>Where;</w:t>
      </w:r>
    </w:p>
    <w:p w:rsidR="000E5F32" w:rsidRDefault="00856F76" w:rsidP="000E5F32">
      <w:pPr>
        <w:spacing w:line="360" w:lineRule="auto"/>
        <w:ind w:left="708"/>
        <w:jc w:val="both"/>
        <w:rPr>
          <w:i/>
          <w:lang w:val="en-GB"/>
        </w:rPr>
      </w:pPr>
      <w:r>
        <w:rPr>
          <w:rFonts w:cstheme="minorHAnsi"/>
          <w:i/>
          <w:lang w:val="en-GB"/>
        </w:rPr>
        <w:t>P</w:t>
      </w:r>
      <w:r w:rsidR="000E5F32">
        <w:rPr>
          <w:rFonts w:cstheme="minorHAnsi"/>
          <w:i/>
          <w:lang w:val="en-GB"/>
        </w:rPr>
        <w:t>R</w:t>
      </w:r>
      <w:r w:rsidR="000E5F32">
        <w:rPr>
          <w:i/>
          <w:vertAlign w:val="subscript"/>
          <w:lang w:val="en-GB"/>
        </w:rPr>
        <w:t>1</w:t>
      </w:r>
      <w:r w:rsidR="000E5F32">
        <w:rPr>
          <w:i/>
          <w:lang w:val="en-GB"/>
        </w:rPr>
        <w:t xml:space="preserve"> </w:t>
      </w:r>
      <w:r w:rsidR="000E5F32">
        <w:rPr>
          <w:i/>
          <w:lang w:val="en-GB"/>
        </w:rPr>
        <w:tab/>
        <w:t xml:space="preserve">= </w:t>
      </w:r>
      <w:r w:rsidR="000E5F32">
        <w:rPr>
          <w:i/>
          <w:lang w:val="en-GB"/>
        </w:rPr>
        <w:tab/>
      </w:r>
      <w:r>
        <w:rPr>
          <w:i/>
          <w:lang w:val="en-GB"/>
        </w:rPr>
        <w:t>Premium</w:t>
      </w:r>
      <w:r w:rsidR="000E5F32">
        <w:rPr>
          <w:i/>
          <w:lang w:val="en-GB"/>
        </w:rPr>
        <w:t xml:space="preserve"> ratio experimental group;</w:t>
      </w:r>
    </w:p>
    <w:p w:rsidR="000E5F32" w:rsidRDefault="00856F76" w:rsidP="000E5F32">
      <w:pPr>
        <w:spacing w:line="360" w:lineRule="auto"/>
        <w:ind w:left="708"/>
        <w:jc w:val="both"/>
        <w:rPr>
          <w:i/>
          <w:lang w:val="en-GB"/>
        </w:rPr>
      </w:pPr>
      <w:r>
        <w:rPr>
          <w:i/>
          <w:lang w:val="en-GB"/>
        </w:rPr>
        <w:t>P</w:t>
      </w:r>
      <w:r w:rsidR="000E5F32">
        <w:rPr>
          <w:i/>
          <w:lang w:val="en-GB"/>
        </w:rPr>
        <w:t>R</w:t>
      </w:r>
      <w:r w:rsidR="000E5F32">
        <w:rPr>
          <w:i/>
          <w:vertAlign w:val="subscript"/>
          <w:lang w:val="en-GB"/>
        </w:rPr>
        <w:t>2</w:t>
      </w:r>
      <w:r w:rsidR="000E5F32">
        <w:rPr>
          <w:i/>
          <w:lang w:val="en-GB"/>
        </w:rPr>
        <w:tab/>
        <w:t xml:space="preserve">= </w:t>
      </w:r>
      <w:r w:rsidR="000E5F32">
        <w:rPr>
          <w:i/>
          <w:lang w:val="en-GB"/>
        </w:rPr>
        <w:tab/>
      </w:r>
      <w:r>
        <w:rPr>
          <w:i/>
          <w:lang w:val="en-GB"/>
        </w:rPr>
        <w:t>Premium</w:t>
      </w:r>
      <w:r w:rsidR="000E5F32">
        <w:rPr>
          <w:i/>
          <w:lang w:val="en-GB"/>
        </w:rPr>
        <w:t xml:space="preserve"> ratio control group;</w:t>
      </w:r>
    </w:p>
    <w:p w:rsidR="000E5F32" w:rsidRPr="00F0526C" w:rsidRDefault="000E5F32" w:rsidP="000E5F32">
      <w:pPr>
        <w:spacing w:line="360" w:lineRule="auto"/>
        <w:ind w:left="708"/>
        <w:jc w:val="both"/>
        <w:rPr>
          <w:i/>
          <w:lang w:val="en-GB"/>
        </w:rPr>
      </w:pPr>
      <w:r>
        <w:rPr>
          <w:i/>
          <w:lang w:val="en-GB"/>
        </w:rPr>
        <w:t>Hypothesis 4 induces the expectation of rejection of H4</w:t>
      </w:r>
      <w:r>
        <w:rPr>
          <w:i/>
          <w:vertAlign w:val="subscript"/>
          <w:lang w:val="en-GB"/>
        </w:rPr>
        <w:t>0</w:t>
      </w:r>
      <w:r>
        <w:rPr>
          <w:i/>
          <w:lang w:val="en-GB"/>
        </w:rPr>
        <w:t>.</w:t>
      </w:r>
    </w:p>
    <w:p w:rsidR="003A0C1E" w:rsidRDefault="003A0C1E" w:rsidP="005A062F">
      <w:pPr>
        <w:spacing w:line="360" w:lineRule="auto"/>
        <w:jc w:val="right"/>
        <w:rPr>
          <w:b/>
          <w:sz w:val="32"/>
          <w:lang w:val="en-GB"/>
        </w:rPr>
      </w:pPr>
    </w:p>
    <w:p w:rsidR="003A0C1E" w:rsidRDefault="003A0C1E" w:rsidP="005A062F">
      <w:pPr>
        <w:spacing w:line="360" w:lineRule="auto"/>
        <w:jc w:val="right"/>
        <w:rPr>
          <w:b/>
          <w:sz w:val="32"/>
          <w:lang w:val="en-GB"/>
        </w:rPr>
      </w:pPr>
    </w:p>
    <w:p w:rsidR="001A2526" w:rsidRDefault="001A2526" w:rsidP="00327FAD">
      <w:pPr>
        <w:jc w:val="right"/>
        <w:rPr>
          <w:b/>
          <w:sz w:val="32"/>
          <w:lang w:val="en-GB"/>
        </w:rPr>
      </w:pPr>
    </w:p>
    <w:p w:rsidR="001A2526" w:rsidRDefault="001A2526" w:rsidP="00327FAD">
      <w:pPr>
        <w:jc w:val="right"/>
        <w:rPr>
          <w:b/>
          <w:sz w:val="32"/>
          <w:lang w:val="en-GB"/>
        </w:rPr>
      </w:pPr>
    </w:p>
    <w:p w:rsidR="009156C2" w:rsidRDefault="009156C2" w:rsidP="00327FAD">
      <w:pPr>
        <w:jc w:val="right"/>
        <w:rPr>
          <w:b/>
          <w:sz w:val="32"/>
          <w:lang w:val="en-GB"/>
        </w:rPr>
      </w:pPr>
    </w:p>
    <w:p w:rsidR="00362BD9" w:rsidRPr="001933F6" w:rsidRDefault="003A0C1E" w:rsidP="00327FAD">
      <w:pPr>
        <w:jc w:val="right"/>
        <w:rPr>
          <w:b/>
          <w:sz w:val="32"/>
          <w:lang w:val="en-GB"/>
        </w:rPr>
      </w:pPr>
      <w:r>
        <w:rPr>
          <w:b/>
          <w:sz w:val="32"/>
          <w:lang w:val="en-GB"/>
        </w:rPr>
        <w:t>CHAPTER 3</w:t>
      </w:r>
      <w:r w:rsidR="001933F6" w:rsidRPr="001933F6">
        <w:rPr>
          <w:b/>
          <w:sz w:val="32"/>
          <w:lang w:val="en-GB"/>
        </w:rPr>
        <w:t xml:space="preserve"> – </w:t>
      </w:r>
      <w:r>
        <w:rPr>
          <w:b/>
          <w:sz w:val="32"/>
          <w:lang w:val="en-GB"/>
        </w:rPr>
        <w:t>DATA AND METHODOLOGY</w:t>
      </w:r>
    </w:p>
    <w:p w:rsidR="001933F6" w:rsidRPr="001933F6" w:rsidRDefault="001933F6" w:rsidP="00327FAD">
      <w:pPr>
        <w:spacing w:line="360" w:lineRule="auto"/>
        <w:jc w:val="right"/>
        <w:rPr>
          <w:b/>
          <w:sz w:val="32"/>
          <w:lang w:val="en-GB"/>
        </w:rPr>
      </w:pPr>
      <w:r w:rsidRPr="001933F6">
        <w:rPr>
          <w:b/>
          <w:sz w:val="32"/>
          <w:lang w:val="en-GB"/>
        </w:rPr>
        <w:t>________________________________________________________</w:t>
      </w:r>
    </w:p>
    <w:p w:rsidR="000E5F32" w:rsidRDefault="000E5F32" w:rsidP="000E5F32">
      <w:pPr>
        <w:spacing w:line="360" w:lineRule="auto"/>
        <w:jc w:val="both"/>
        <w:rPr>
          <w:lang w:val="en-GB"/>
        </w:rPr>
      </w:pPr>
      <w:r>
        <w:rPr>
          <w:lang w:val="en-GB"/>
        </w:rPr>
        <w:t xml:space="preserve">The empirical research in this thesis includes the analysis of the data on M&amp;As extracted from ThomsonOne (T1) with the Event Study Tool in DataStream. First, specifics about the data will be provided after which the methodology used in this research is explained. </w:t>
      </w:r>
    </w:p>
    <w:p w:rsidR="000E5F32" w:rsidRDefault="000E5F32" w:rsidP="00A717B1">
      <w:pPr>
        <w:spacing w:line="240" w:lineRule="auto"/>
        <w:jc w:val="both"/>
        <w:rPr>
          <w:lang w:val="en-GB"/>
        </w:rPr>
      </w:pPr>
    </w:p>
    <w:p w:rsidR="000E5F32" w:rsidRPr="000E5F32" w:rsidRDefault="000E5F32" w:rsidP="00A717B1">
      <w:pPr>
        <w:spacing w:line="240" w:lineRule="auto"/>
        <w:ind w:left="708"/>
        <w:jc w:val="both"/>
        <w:rPr>
          <w:b/>
          <w:sz w:val="24"/>
          <w:lang w:val="en-GB"/>
        </w:rPr>
      </w:pPr>
      <w:r>
        <w:rPr>
          <w:b/>
          <w:sz w:val="24"/>
          <w:lang w:val="en-GB"/>
        </w:rPr>
        <w:t>1</w:t>
      </w:r>
      <w:r w:rsidRPr="000E5F32">
        <w:rPr>
          <w:b/>
          <w:sz w:val="24"/>
          <w:lang w:val="en-GB"/>
        </w:rPr>
        <w:t>– Data Specifics</w:t>
      </w:r>
      <w:r w:rsidRPr="000E5F32">
        <w:rPr>
          <w:b/>
          <w:sz w:val="24"/>
          <w:lang w:val="en-GB"/>
        </w:rPr>
        <w:tab/>
      </w:r>
    </w:p>
    <w:p w:rsidR="000E5F32" w:rsidRPr="000E5F32" w:rsidRDefault="000E5F32" w:rsidP="00A717B1">
      <w:pPr>
        <w:spacing w:line="240" w:lineRule="auto"/>
        <w:ind w:left="1056"/>
        <w:jc w:val="both"/>
        <w:rPr>
          <w:b/>
          <w:sz w:val="24"/>
          <w:lang w:val="en-GB"/>
        </w:rPr>
      </w:pPr>
      <w:r>
        <w:rPr>
          <w:b/>
          <w:sz w:val="24"/>
          <w:lang w:val="en-GB"/>
        </w:rPr>
        <w:t>1.1</w:t>
      </w:r>
      <w:r w:rsidRPr="000E5F32">
        <w:rPr>
          <w:b/>
          <w:sz w:val="24"/>
          <w:lang w:val="en-GB"/>
        </w:rPr>
        <w:t>– Data Criteria</w:t>
      </w:r>
    </w:p>
    <w:p w:rsidR="000E5F32" w:rsidRDefault="000E5F32" w:rsidP="000E5F32">
      <w:pPr>
        <w:spacing w:line="360" w:lineRule="auto"/>
        <w:jc w:val="both"/>
        <w:rPr>
          <w:lang w:val="en-GB"/>
        </w:rPr>
      </w:pPr>
      <w:r>
        <w:rPr>
          <w:lang w:val="en-GB"/>
        </w:rPr>
        <w:t>The gathering of the data started with the ThomsonOne database.  From this database the basic information needed for the M&amp;A deals was collected. Multiple criteria for the data were set, because it would benefice the research. The selected criteria were:</w:t>
      </w:r>
    </w:p>
    <w:p w:rsidR="000E5F32" w:rsidRPr="004476D8" w:rsidRDefault="000E5F32" w:rsidP="000E5F32">
      <w:pPr>
        <w:pStyle w:val="ListParagraph"/>
        <w:numPr>
          <w:ilvl w:val="0"/>
          <w:numId w:val="14"/>
        </w:numPr>
        <w:spacing w:line="360" w:lineRule="auto"/>
        <w:jc w:val="both"/>
        <w:rPr>
          <w:lang w:val="en-GB"/>
        </w:rPr>
      </w:pPr>
      <w:r w:rsidRPr="004476D8">
        <w:rPr>
          <w:lang w:val="en-GB"/>
        </w:rPr>
        <w:t xml:space="preserve">Acquirer nation: </w:t>
      </w:r>
      <w:r>
        <w:rPr>
          <w:lang w:val="en-GB"/>
        </w:rPr>
        <w:tab/>
      </w:r>
      <w:r>
        <w:rPr>
          <w:lang w:val="en-GB"/>
        </w:rPr>
        <w:tab/>
      </w:r>
      <w:r w:rsidRPr="004476D8">
        <w:rPr>
          <w:lang w:val="en-GB"/>
        </w:rPr>
        <w:t>Europe</w:t>
      </w:r>
    </w:p>
    <w:p w:rsidR="000E5F32" w:rsidRPr="004476D8" w:rsidRDefault="000E5F32" w:rsidP="000E5F32">
      <w:pPr>
        <w:pStyle w:val="ListParagraph"/>
        <w:numPr>
          <w:ilvl w:val="0"/>
          <w:numId w:val="14"/>
        </w:numPr>
        <w:spacing w:line="360" w:lineRule="auto"/>
        <w:jc w:val="both"/>
        <w:rPr>
          <w:lang w:val="en-GB"/>
        </w:rPr>
      </w:pPr>
      <w:r w:rsidRPr="004476D8">
        <w:rPr>
          <w:lang w:val="en-GB"/>
        </w:rPr>
        <w:t xml:space="preserve">Target nation: </w:t>
      </w:r>
      <w:r>
        <w:rPr>
          <w:lang w:val="en-GB"/>
        </w:rPr>
        <w:tab/>
      </w:r>
      <w:r>
        <w:rPr>
          <w:lang w:val="en-GB"/>
        </w:rPr>
        <w:tab/>
      </w:r>
      <w:r>
        <w:rPr>
          <w:lang w:val="en-GB"/>
        </w:rPr>
        <w:tab/>
      </w:r>
      <w:r w:rsidRPr="004476D8">
        <w:rPr>
          <w:lang w:val="en-GB"/>
        </w:rPr>
        <w:t>Europe</w:t>
      </w:r>
    </w:p>
    <w:p w:rsidR="000E5F32" w:rsidRPr="004476D8" w:rsidRDefault="000E5F32" w:rsidP="000E5F32">
      <w:pPr>
        <w:pStyle w:val="ListParagraph"/>
        <w:numPr>
          <w:ilvl w:val="0"/>
          <w:numId w:val="14"/>
        </w:numPr>
        <w:spacing w:line="360" w:lineRule="auto"/>
        <w:jc w:val="both"/>
        <w:rPr>
          <w:lang w:val="en-GB"/>
        </w:rPr>
      </w:pPr>
      <w:r w:rsidRPr="004476D8">
        <w:rPr>
          <w:lang w:val="en-GB"/>
        </w:rPr>
        <w:t xml:space="preserve">Acquirer public status: </w:t>
      </w:r>
      <w:r>
        <w:rPr>
          <w:lang w:val="en-GB"/>
        </w:rPr>
        <w:tab/>
      </w:r>
      <w:r>
        <w:rPr>
          <w:lang w:val="en-GB"/>
        </w:rPr>
        <w:tab/>
      </w:r>
      <w:r w:rsidRPr="004476D8">
        <w:rPr>
          <w:lang w:val="en-GB"/>
        </w:rPr>
        <w:t>Public</w:t>
      </w:r>
    </w:p>
    <w:p w:rsidR="000E5F32" w:rsidRPr="004476D8" w:rsidRDefault="000E5F32" w:rsidP="000E5F32">
      <w:pPr>
        <w:pStyle w:val="ListParagraph"/>
        <w:numPr>
          <w:ilvl w:val="0"/>
          <w:numId w:val="14"/>
        </w:numPr>
        <w:spacing w:line="360" w:lineRule="auto"/>
        <w:jc w:val="both"/>
        <w:rPr>
          <w:lang w:val="en-GB"/>
        </w:rPr>
      </w:pPr>
      <w:r w:rsidRPr="004476D8">
        <w:rPr>
          <w:lang w:val="en-GB"/>
        </w:rPr>
        <w:t xml:space="preserve">Target public status: </w:t>
      </w:r>
      <w:r>
        <w:rPr>
          <w:lang w:val="en-GB"/>
        </w:rPr>
        <w:tab/>
      </w:r>
      <w:r>
        <w:rPr>
          <w:lang w:val="en-GB"/>
        </w:rPr>
        <w:tab/>
      </w:r>
      <w:r w:rsidRPr="004476D8">
        <w:rPr>
          <w:lang w:val="en-GB"/>
        </w:rPr>
        <w:t>Public</w:t>
      </w:r>
    </w:p>
    <w:p w:rsidR="000E5F32" w:rsidRDefault="000E5F32" w:rsidP="000E5F32">
      <w:pPr>
        <w:pStyle w:val="ListParagraph"/>
        <w:numPr>
          <w:ilvl w:val="0"/>
          <w:numId w:val="14"/>
        </w:numPr>
        <w:spacing w:line="360" w:lineRule="auto"/>
        <w:jc w:val="both"/>
        <w:rPr>
          <w:lang w:val="en-GB"/>
        </w:rPr>
      </w:pPr>
      <w:r w:rsidRPr="004476D8">
        <w:rPr>
          <w:lang w:val="en-GB"/>
        </w:rPr>
        <w:t xml:space="preserve">Date effective: </w:t>
      </w:r>
      <w:r>
        <w:rPr>
          <w:lang w:val="en-GB"/>
        </w:rPr>
        <w:tab/>
      </w:r>
      <w:r>
        <w:rPr>
          <w:lang w:val="en-GB"/>
        </w:rPr>
        <w:tab/>
      </w:r>
      <w:r>
        <w:rPr>
          <w:lang w:val="en-GB"/>
        </w:rPr>
        <w:tab/>
      </w:r>
      <w:r w:rsidRPr="004476D8">
        <w:rPr>
          <w:lang w:val="en-GB"/>
        </w:rPr>
        <w:t xml:space="preserve">1/1/2006 – 12/31/2007 and 1/1/2011 – 12/31/2012  </w:t>
      </w:r>
    </w:p>
    <w:p w:rsidR="000E5F32" w:rsidRDefault="000E5F32" w:rsidP="000E5F32">
      <w:pPr>
        <w:spacing w:line="360" w:lineRule="auto"/>
        <w:jc w:val="both"/>
        <w:rPr>
          <w:lang w:val="en-GB"/>
        </w:rPr>
      </w:pPr>
      <w:r>
        <w:rPr>
          <w:lang w:val="en-GB"/>
        </w:rPr>
        <w:t xml:space="preserve">The choice to set both the acquirers and targets nation to ‘Europe’ was made, as said earlier, to try and find the same results in European companies as Malmendier and Tate (2006) and Morck, Shleifer and Vishny (1990) found in American companies. The choice to set both the acquirers and target public status to ‘public’ was not much of a choice, as the key to the analysis in this research lies in the CARs, which are acquired with the Event Study Tool, which only can calculate the ARs of public listed firms and companies. Lastly, the chosen dates are explained earlier; the period 2006-2007 is chosen because of the fact that it is the period just before the economic crisis (and the character of M&amp;As changed dramatically in this crisis), and the period 2011-2012 is chosen for comparison and on the basis of that they are the last two years of which data is available without too much data reduction. </w:t>
      </w:r>
    </w:p>
    <w:p w:rsidR="000E5F32" w:rsidRPr="000E5F32" w:rsidRDefault="000E5F32" w:rsidP="008F0E13">
      <w:pPr>
        <w:spacing w:line="360" w:lineRule="auto"/>
        <w:ind w:firstLine="708"/>
        <w:jc w:val="both"/>
        <w:rPr>
          <w:b/>
          <w:sz w:val="24"/>
          <w:lang w:val="en-GB"/>
        </w:rPr>
      </w:pPr>
      <w:r>
        <w:rPr>
          <w:b/>
          <w:sz w:val="24"/>
          <w:lang w:val="en-GB"/>
        </w:rPr>
        <w:lastRenderedPageBreak/>
        <w:t>1.2</w:t>
      </w:r>
      <w:r w:rsidRPr="000E5F32">
        <w:rPr>
          <w:b/>
          <w:sz w:val="24"/>
          <w:lang w:val="en-GB"/>
        </w:rPr>
        <w:t>– Data Variables</w:t>
      </w:r>
    </w:p>
    <w:p w:rsidR="000E5F32" w:rsidRDefault="000E5F32" w:rsidP="000E5F32">
      <w:pPr>
        <w:spacing w:line="360" w:lineRule="auto"/>
        <w:jc w:val="both"/>
        <w:rPr>
          <w:lang w:val="en-GB"/>
        </w:rPr>
      </w:pPr>
      <w:r>
        <w:rPr>
          <w:lang w:val="en-GB"/>
        </w:rPr>
        <w:t>In the extraction of data from ThomsonOne multiple relevant variables were chosen, in order to enable the continuation of the research. One variable of course being more important than the other, below is a table discussing each variable briefly.</w:t>
      </w:r>
    </w:p>
    <w:p w:rsidR="000E5F32" w:rsidRDefault="000E5F32" w:rsidP="000E5F32">
      <w:pPr>
        <w:spacing w:line="360" w:lineRule="auto"/>
        <w:jc w:val="center"/>
        <w:rPr>
          <w:lang w:val="en-GB"/>
        </w:rPr>
      </w:pPr>
      <w:r>
        <w:rPr>
          <w:lang w:val="en-GB"/>
        </w:rPr>
        <w:t>Table 3.1: Data Variables Specified</w:t>
      </w:r>
    </w:p>
    <w:tbl>
      <w:tblPr>
        <w:tblStyle w:val="Gemiddeldearcering11"/>
        <w:tblW w:w="0" w:type="auto"/>
        <w:tblLook w:val="04A0"/>
      </w:tblPr>
      <w:tblGrid>
        <w:gridCol w:w="4786"/>
        <w:gridCol w:w="4424"/>
      </w:tblGrid>
      <w:tr w:rsidR="000E5F32" w:rsidTr="0079257D">
        <w:trPr>
          <w:cnfStyle w:val="100000000000"/>
        </w:trPr>
        <w:tc>
          <w:tcPr>
            <w:cnfStyle w:val="001000000000"/>
            <w:tcW w:w="4786" w:type="dxa"/>
          </w:tcPr>
          <w:p w:rsidR="000E5F32" w:rsidRDefault="000E5F32" w:rsidP="0079257D">
            <w:pPr>
              <w:spacing w:line="360" w:lineRule="auto"/>
              <w:jc w:val="both"/>
              <w:rPr>
                <w:lang w:val="en-GB"/>
              </w:rPr>
            </w:pPr>
            <w:r>
              <w:rPr>
                <w:lang w:val="en-GB"/>
              </w:rPr>
              <w:t>Variable</w:t>
            </w:r>
          </w:p>
        </w:tc>
        <w:tc>
          <w:tcPr>
            <w:tcW w:w="4424" w:type="dxa"/>
          </w:tcPr>
          <w:p w:rsidR="000E5F32" w:rsidRDefault="000E5F32" w:rsidP="0079257D">
            <w:pPr>
              <w:spacing w:line="360" w:lineRule="auto"/>
              <w:jc w:val="both"/>
              <w:cnfStyle w:val="100000000000"/>
              <w:rPr>
                <w:lang w:val="en-GB"/>
              </w:rPr>
            </w:pPr>
            <w:r>
              <w:rPr>
                <w:lang w:val="en-GB"/>
              </w:rPr>
              <w:t>Explanation</w:t>
            </w:r>
          </w:p>
        </w:tc>
      </w:tr>
      <w:tr w:rsidR="000E5F32" w:rsidTr="0079257D">
        <w:trPr>
          <w:cnfStyle w:val="000000100000"/>
        </w:trPr>
        <w:tc>
          <w:tcPr>
            <w:cnfStyle w:val="001000000000"/>
            <w:tcW w:w="4786" w:type="dxa"/>
          </w:tcPr>
          <w:p w:rsidR="000E5F32" w:rsidRDefault="000E5F32" w:rsidP="0079257D">
            <w:pPr>
              <w:spacing w:line="360" w:lineRule="auto"/>
              <w:rPr>
                <w:lang w:val="en-GB"/>
              </w:rPr>
            </w:pPr>
            <w:r>
              <w:rPr>
                <w:lang w:val="en-GB"/>
              </w:rPr>
              <w:t>Acquirer Name</w:t>
            </w:r>
          </w:p>
        </w:tc>
        <w:tc>
          <w:tcPr>
            <w:tcW w:w="4424" w:type="dxa"/>
          </w:tcPr>
          <w:p w:rsidR="000E5F32" w:rsidRDefault="000E5F32" w:rsidP="0079257D">
            <w:pPr>
              <w:spacing w:line="360" w:lineRule="auto"/>
              <w:jc w:val="both"/>
              <w:cnfStyle w:val="000000100000"/>
              <w:rPr>
                <w:lang w:val="en-GB"/>
              </w:rPr>
            </w:pPr>
            <w:r>
              <w:rPr>
                <w:lang w:val="en-GB"/>
              </w:rPr>
              <w:t>To identify the acquirer.</w:t>
            </w:r>
          </w:p>
        </w:tc>
      </w:tr>
      <w:tr w:rsidR="000E5F32" w:rsidRPr="00F94970" w:rsidTr="0079257D">
        <w:trPr>
          <w:cnfStyle w:val="000000010000"/>
        </w:trPr>
        <w:tc>
          <w:tcPr>
            <w:cnfStyle w:val="001000000000"/>
            <w:tcW w:w="4786" w:type="dxa"/>
          </w:tcPr>
          <w:p w:rsidR="000E5F32" w:rsidRDefault="000E5F32" w:rsidP="0079257D">
            <w:pPr>
              <w:spacing w:line="360" w:lineRule="auto"/>
              <w:rPr>
                <w:lang w:val="en-GB"/>
              </w:rPr>
            </w:pPr>
            <w:r>
              <w:rPr>
                <w:lang w:val="en-GB"/>
              </w:rPr>
              <w:t>Acquirer CUSIP</w:t>
            </w:r>
          </w:p>
        </w:tc>
        <w:tc>
          <w:tcPr>
            <w:tcW w:w="4424" w:type="dxa"/>
          </w:tcPr>
          <w:p w:rsidR="000E5F32" w:rsidRDefault="000E5F32" w:rsidP="0079257D">
            <w:pPr>
              <w:spacing w:line="360" w:lineRule="auto"/>
              <w:jc w:val="both"/>
              <w:cnfStyle w:val="000000010000"/>
              <w:rPr>
                <w:lang w:val="en-GB"/>
              </w:rPr>
            </w:pPr>
            <w:r>
              <w:rPr>
                <w:lang w:val="en-GB"/>
              </w:rPr>
              <w:t>Database identifier, possibly useful for any further research in other databases.</w:t>
            </w: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Acquirer Primary SIC Code</w:t>
            </w:r>
          </w:p>
        </w:tc>
        <w:tc>
          <w:tcPr>
            <w:tcW w:w="4424" w:type="dxa"/>
          </w:tcPr>
          <w:p w:rsidR="000E5F32" w:rsidRPr="00825E38" w:rsidRDefault="000E5F32" w:rsidP="0079257D">
            <w:pPr>
              <w:spacing w:line="360" w:lineRule="auto"/>
              <w:jc w:val="both"/>
              <w:cnfStyle w:val="000000100000"/>
              <w:rPr>
                <w:lang w:val="en-GB"/>
              </w:rPr>
            </w:pPr>
            <w:r>
              <w:rPr>
                <w:lang w:val="en-GB"/>
              </w:rPr>
              <w:t>To identify the companies industry. SIC codes between 6000-6999 are excluded from the research as they are financial or investment firms or companies.</w:t>
            </w:r>
          </w:p>
        </w:tc>
      </w:tr>
      <w:tr w:rsidR="000E5F32" w:rsidRPr="00F94970" w:rsidTr="0079257D">
        <w:trPr>
          <w:cnfStyle w:val="000000010000"/>
        </w:trPr>
        <w:tc>
          <w:tcPr>
            <w:cnfStyle w:val="001000000000"/>
            <w:tcW w:w="4786" w:type="dxa"/>
          </w:tcPr>
          <w:p w:rsidR="000E5F32" w:rsidRDefault="000E5F32" w:rsidP="0079257D">
            <w:pPr>
              <w:spacing w:line="360" w:lineRule="auto"/>
              <w:rPr>
                <w:lang w:val="en-GB"/>
              </w:rPr>
            </w:pPr>
            <w:r>
              <w:rPr>
                <w:lang w:val="en-GB"/>
              </w:rPr>
              <w:t>Acquirer SEDOL</w:t>
            </w:r>
          </w:p>
        </w:tc>
        <w:tc>
          <w:tcPr>
            <w:tcW w:w="4424" w:type="dxa"/>
          </w:tcPr>
          <w:p w:rsidR="000E5F32" w:rsidRDefault="000E5F32" w:rsidP="0079257D">
            <w:pPr>
              <w:spacing w:line="360" w:lineRule="auto"/>
              <w:jc w:val="both"/>
              <w:cnfStyle w:val="000000010000"/>
              <w:rPr>
                <w:lang w:val="en-GB"/>
              </w:rPr>
            </w:pPr>
            <w:r>
              <w:rPr>
                <w:lang w:val="en-GB"/>
              </w:rPr>
              <w:t>Formatted into compatible identifier to be used in the Event Study Tool, in DataStream.</w:t>
            </w: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Acquirer Ticker Symbol</w:t>
            </w:r>
          </w:p>
        </w:tc>
        <w:tc>
          <w:tcPr>
            <w:tcW w:w="4424" w:type="dxa"/>
          </w:tcPr>
          <w:p w:rsidR="000E5F32" w:rsidRDefault="000E5F32" w:rsidP="0079257D">
            <w:pPr>
              <w:spacing w:line="360" w:lineRule="auto"/>
              <w:jc w:val="both"/>
              <w:cnfStyle w:val="000000100000"/>
              <w:rPr>
                <w:lang w:val="en-GB"/>
              </w:rPr>
            </w:pPr>
            <w:r>
              <w:rPr>
                <w:lang w:val="en-GB"/>
              </w:rPr>
              <w:t>Database identifier, possibly useful for any further research in other databases.</w:t>
            </w:r>
          </w:p>
        </w:tc>
      </w:tr>
      <w:tr w:rsidR="000E5F32" w:rsidTr="0079257D">
        <w:trPr>
          <w:cnfStyle w:val="000000010000"/>
        </w:trPr>
        <w:tc>
          <w:tcPr>
            <w:cnfStyle w:val="001000000000"/>
            <w:tcW w:w="4786" w:type="dxa"/>
          </w:tcPr>
          <w:p w:rsidR="000E5F32" w:rsidRDefault="000E5F32" w:rsidP="0079257D">
            <w:pPr>
              <w:spacing w:line="360" w:lineRule="auto"/>
              <w:rPr>
                <w:lang w:val="en-GB"/>
              </w:rPr>
            </w:pPr>
            <w:r>
              <w:rPr>
                <w:lang w:val="en-GB"/>
              </w:rPr>
              <w:t>Target Name</w:t>
            </w:r>
          </w:p>
        </w:tc>
        <w:tc>
          <w:tcPr>
            <w:tcW w:w="4424" w:type="dxa"/>
          </w:tcPr>
          <w:p w:rsidR="000E5F32" w:rsidRDefault="000E5F32" w:rsidP="0079257D">
            <w:pPr>
              <w:spacing w:line="360" w:lineRule="auto"/>
              <w:jc w:val="both"/>
              <w:cnfStyle w:val="000000010000"/>
              <w:rPr>
                <w:lang w:val="en-GB"/>
              </w:rPr>
            </w:pPr>
            <w:r>
              <w:rPr>
                <w:lang w:val="en-GB"/>
              </w:rPr>
              <w:t>To identify the target.</w:t>
            </w: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Target CUSIP</w:t>
            </w:r>
          </w:p>
        </w:tc>
        <w:tc>
          <w:tcPr>
            <w:tcW w:w="4424" w:type="dxa"/>
          </w:tcPr>
          <w:p w:rsidR="000E5F32" w:rsidRDefault="000E5F32" w:rsidP="0079257D">
            <w:pPr>
              <w:spacing w:line="360" w:lineRule="auto"/>
              <w:jc w:val="both"/>
              <w:cnfStyle w:val="000000100000"/>
              <w:rPr>
                <w:lang w:val="en-GB"/>
              </w:rPr>
            </w:pPr>
            <w:r>
              <w:rPr>
                <w:lang w:val="en-GB"/>
              </w:rPr>
              <w:t>Database identifier, possibly useful for any further research in other databases.</w:t>
            </w:r>
          </w:p>
        </w:tc>
      </w:tr>
      <w:tr w:rsidR="000E5F32" w:rsidRPr="00F94970" w:rsidTr="0079257D">
        <w:trPr>
          <w:cnfStyle w:val="000000010000"/>
        </w:trPr>
        <w:tc>
          <w:tcPr>
            <w:cnfStyle w:val="001000000000"/>
            <w:tcW w:w="4786" w:type="dxa"/>
          </w:tcPr>
          <w:p w:rsidR="000E5F32" w:rsidRDefault="000E5F32" w:rsidP="0079257D">
            <w:pPr>
              <w:spacing w:line="360" w:lineRule="auto"/>
              <w:rPr>
                <w:lang w:val="en-GB"/>
              </w:rPr>
            </w:pPr>
            <w:r>
              <w:rPr>
                <w:lang w:val="en-GB"/>
              </w:rPr>
              <w:t>Target Primary SIC Code</w:t>
            </w:r>
          </w:p>
        </w:tc>
        <w:tc>
          <w:tcPr>
            <w:tcW w:w="4424" w:type="dxa"/>
          </w:tcPr>
          <w:p w:rsidR="000E5F32" w:rsidRPr="00825E38" w:rsidRDefault="000E5F32" w:rsidP="0079257D">
            <w:pPr>
              <w:spacing w:line="360" w:lineRule="auto"/>
              <w:jc w:val="both"/>
              <w:cnfStyle w:val="000000010000"/>
              <w:rPr>
                <w:lang w:val="en-GB"/>
              </w:rPr>
            </w:pPr>
            <w:r>
              <w:rPr>
                <w:lang w:val="en-GB"/>
              </w:rPr>
              <w:t>To identify the companies industry. SIC codes between 6000-6999 are excluded from the research as they are financial or investment firms or companies.</w:t>
            </w: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Target SEDOL</w:t>
            </w:r>
          </w:p>
        </w:tc>
        <w:tc>
          <w:tcPr>
            <w:tcW w:w="4424" w:type="dxa"/>
          </w:tcPr>
          <w:p w:rsidR="000E5F32" w:rsidRDefault="000E5F32" w:rsidP="0079257D">
            <w:pPr>
              <w:spacing w:line="360" w:lineRule="auto"/>
              <w:jc w:val="both"/>
              <w:cnfStyle w:val="000000100000"/>
              <w:rPr>
                <w:lang w:val="en-GB"/>
              </w:rPr>
            </w:pPr>
            <w:r>
              <w:rPr>
                <w:lang w:val="en-GB"/>
              </w:rPr>
              <w:t>Formatted into compatible identifier to be used in the Event Study Tool, in DataStream.</w:t>
            </w:r>
          </w:p>
        </w:tc>
      </w:tr>
      <w:tr w:rsidR="000E5F32" w:rsidRPr="00F94970" w:rsidTr="0079257D">
        <w:trPr>
          <w:cnfStyle w:val="000000010000"/>
        </w:trPr>
        <w:tc>
          <w:tcPr>
            <w:cnfStyle w:val="001000000000"/>
            <w:tcW w:w="4786" w:type="dxa"/>
          </w:tcPr>
          <w:p w:rsidR="000E5F32" w:rsidRDefault="000E5F32" w:rsidP="0079257D">
            <w:pPr>
              <w:spacing w:line="360" w:lineRule="auto"/>
              <w:rPr>
                <w:lang w:val="en-GB"/>
              </w:rPr>
            </w:pPr>
            <w:r>
              <w:rPr>
                <w:lang w:val="en-GB"/>
              </w:rPr>
              <w:t>Target Ticker Symbol</w:t>
            </w:r>
          </w:p>
        </w:tc>
        <w:tc>
          <w:tcPr>
            <w:tcW w:w="4424" w:type="dxa"/>
          </w:tcPr>
          <w:p w:rsidR="000E5F32" w:rsidRDefault="000E5F32" w:rsidP="0079257D">
            <w:pPr>
              <w:spacing w:line="360" w:lineRule="auto"/>
              <w:jc w:val="both"/>
              <w:cnfStyle w:val="000000010000"/>
              <w:rPr>
                <w:lang w:val="en-GB"/>
              </w:rPr>
            </w:pPr>
            <w:r>
              <w:rPr>
                <w:lang w:val="en-GB"/>
              </w:rPr>
              <w:t>Database identifier, possibly useful for any further research in other databases.</w:t>
            </w: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Acquirer Cash LTM</w:t>
            </w:r>
          </w:p>
        </w:tc>
        <w:tc>
          <w:tcPr>
            <w:tcW w:w="4424" w:type="dxa"/>
          </w:tcPr>
          <w:p w:rsidR="000E5F32" w:rsidRDefault="000E5F32" w:rsidP="0079257D">
            <w:pPr>
              <w:spacing w:line="360" w:lineRule="auto"/>
              <w:jc w:val="both"/>
              <w:cnfStyle w:val="000000100000"/>
              <w:rPr>
                <w:lang w:val="en-GB"/>
              </w:rPr>
            </w:pPr>
            <w:r>
              <w:rPr>
                <w:lang w:val="en-GB"/>
              </w:rPr>
              <w:t xml:space="preserve">The core of the research, as this is the variable making the distinction between the experimental and control group. It is </w:t>
            </w:r>
            <w:r>
              <w:rPr>
                <w:lang w:val="en-GB"/>
              </w:rPr>
              <w:lastRenderedPageBreak/>
              <w:t xml:space="preserve">researched if more idle cash as opposed to less idle cash makes a difference in M&amp;As, this is the variable on the basis of which the distinction is made. </w:t>
            </w:r>
          </w:p>
        </w:tc>
      </w:tr>
      <w:tr w:rsidR="000E5F32" w:rsidRPr="00F94970" w:rsidTr="0079257D">
        <w:trPr>
          <w:cnfStyle w:val="000000010000"/>
        </w:trPr>
        <w:tc>
          <w:tcPr>
            <w:cnfStyle w:val="001000000000"/>
            <w:tcW w:w="4786" w:type="dxa"/>
          </w:tcPr>
          <w:p w:rsidR="000E5F32" w:rsidRDefault="000E5F32" w:rsidP="0079257D">
            <w:pPr>
              <w:spacing w:line="360" w:lineRule="auto"/>
              <w:rPr>
                <w:lang w:val="en-GB"/>
              </w:rPr>
            </w:pPr>
            <w:r>
              <w:rPr>
                <w:lang w:val="en-GB"/>
              </w:rPr>
              <w:lastRenderedPageBreak/>
              <w:t>Date Announced</w:t>
            </w:r>
          </w:p>
        </w:tc>
        <w:tc>
          <w:tcPr>
            <w:tcW w:w="4424" w:type="dxa"/>
          </w:tcPr>
          <w:p w:rsidR="000E5F32" w:rsidRDefault="000E5F32" w:rsidP="0079257D">
            <w:pPr>
              <w:spacing w:line="360" w:lineRule="auto"/>
              <w:jc w:val="both"/>
              <w:cnfStyle w:val="000000010000"/>
              <w:rPr>
                <w:lang w:val="en-GB"/>
              </w:rPr>
            </w:pPr>
            <w:r>
              <w:rPr>
                <w:lang w:val="en-GB"/>
              </w:rPr>
              <w:t>Not much use to it, as the ‘date effective’ variable is the variable which determines if the M&amp;As are in the aforementioned time period.</w:t>
            </w: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Date Effective</w:t>
            </w:r>
          </w:p>
        </w:tc>
        <w:tc>
          <w:tcPr>
            <w:tcW w:w="4424" w:type="dxa"/>
          </w:tcPr>
          <w:p w:rsidR="000E5F32" w:rsidRDefault="000E5F32" w:rsidP="0079257D">
            <w:pPr>
              <w:spacing w:line="360" w:lineRule="auto"/>
              <w:jc w:val="both"/>
              <w:cnfStyle w:val="000000100000"/>
              <w:rPr>
                <w:lang w:val="en-GB"/>
              </w:rPr>
            </w:pPr>
            <w:r>
              <w:rPr>
                <w:lang w:val="en-GB"/>
              </w:rPr>
              <w:t xml:space="preserve">The variable which determines if the M&amp;As are in the aforementioned periods. </w:t>
            </w:r>
          </w:p>
        </w:tc>
      </w:tr>
      <w:tr w:rsidR="000E5F32" w:rsidRPr="00F94970" w:rsidTr="0079257D">
        <w:trPr>
          <w:cnfStyle w:val="000000010000"/>
          <w:trHeight w:val="815"/>
        </w:trPr>
        <w:tc>
          <w:tcPr>
            <w:cnfStyle w:val="001000000000"/>
            <w:tcW w:w="4786" w:type="dxa"/>
          </w:tcPr>
          <w:p w:rsidR="000E5F32" w:rsidRDefault="000E5F32" w:rsidP="0079257D">
            <w:pPr>
              <w:spacing w:line="360" w:lineRule="auto"/>
              <w:rPr>
                <w:lang w:val="en-GB"/>
              </w:rPr>
            </w:pPr>
            <w:r>
              <w:rPr>
                <w:lang w:val="en-GB"/>
              </w:rPr>
              <w:t>% of Shares Acquired</w:t>
            </w:r>
          </w:p>
        </w:tc>
        <w:tc>
          <w:tcPr>
            <w:tcW w:w="4424" w:type="dxa"/>
          </w:tcPr>
          <w:p w:rsidR="000E5F32" w:rsidRDefault="000E5F32" w:rsidP="0079257D">
            <w:pPr>
              <w:spacing w:line="360" w:lineRule="auto"/>
              <w:jc w:val="both"/>
              <w:cnfStyle w:val="000000010000"/>
              <w:rPr>
                <w:lang w:val="en-GB"/>
              </w:rPr>
            </w:pPr>
            <w:r>
              <w:rPr>
                <w:lang w:val="en-GB"/>
              </w:rPr>
              <w:t xml:space="preserve">Used for the calculations of the deal </w:t>
            </w:r>
            <w:r w:rsidR="00F1612B">
              <w:rPr>
                <w:lang w:val="en-GB"/>
              </w:rPr>
              <w:t>premium</w:t>
            </w:r>
            <w:r>
              <w:rPr>
                <w:lang w:val="en-GB"/>
              </w:rPr>
              <w:t xml:space="preserve"> (hypothesis 4).</w:t>
            </w:r>
          </w:p>
          <w:p w:rsidR="000E5F32" w:rsidRDefault="000E5F32" w:rsidP="0079257D">
            <w:pPr>
              <w:spacing w:line="360" w:lineRule="auto"/>
              <w:jc w:val="both"/>
              <w:cnfStyle w:val="000000010000"/>
              <w:rPr>
                <w:lang w:val="en-GB"/>
              </w:rPr>
            </w:pP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 of Shares Owned after Transaction</w:t>
            </w:r>
          </w:p>
        </w:tc>
        <w:tc>
          <w:tcPr>
            <w:tcW w:w="4424" w:type="dxa"/>
          </w:tcPr>
          <w:p w:rsidR="000E5F32" w:rsidRDefault="000E5F32" w:rsidP="0079257D">
            <w:pPr>
              <w:spacing w:line="360" w:lineRule="auto"/>
              <w:jc w:val="both"/>
              <w:cnfStyle w:val="000000100000"/>
              <w:rPr>
                <w:lang w:val="en-GB"/>
              </w:rPr>
            </w:pPr>
            <w:r>
              <w:rPr>
                <w:lang w:val="en-GB"/>
              </w:rPr>
              <w:t>Only situations in which a ‘substantial interest’ (&gt;5%) is owned after transaction are taken into account in this research.</w:t>
            </w:r>
          </w:p>
        </w:tc>
      </w:tr>
      <w:tr w:rsidR="000E5F32" w:rsidRPr="00F94970" w:rsidTr="0079257D">
        <w:trPr>
          <w:cnfStyle w:val="000000010000"/>
        </w:trPr>
        <w:tc>
          <w:tcPr>
            <w:cnfStyle w:val="001000000000"/>
            <w:tcW w:w="4786" w:type="dxa"/>
          </w:tcPr>
          <w:p w:rsidR="000E5F32" w:rsidRDefault="000E5F32" w:rsidP="0079257D">
            <w:pPr>
              <w:spacing w:line="360" w:lineRule="auto"/>
              <w:rPr>
                <w:lang w:val="en-GB"/>
              </w:rPr>
            </w:pPr>
            <w:r>
              <w:rPr>
                <w:lang w:val="en-GB"/>
              </w:rPr>
              <w:t>Target Shares Outstanding</w:t>
            </w:r>
          </w:p>
        </w:tc>
        <w:tc>
          <w:tcPr>
            <w:tcW w:w="4424" w:type="dxa"/>
            <w:vMerge w:val="restart"/>
          </w:tcPr>
          <w:p w:rsidR="000E5F32" w:rsidRDefault="000E5F32" w:rsidP="0079257D">
            <w:pPr>
              <w:spacing w:line="360" w:lineRule="auto"/>
              <w:jc w:val="both"/>
              <w:cnfStyle w:val="000000010000"/>
              <w:rPr>
                <w:lang w:val="en-GB"/>
              </w:rPr>
            </w:pPr>
          </w:p>
          <w:p w:rsidR="000E5F32" w:rsidRDefault="000E5F32" w:rsidP="0079257D">
            <w:pPr>
              <w:spacing w:line="360" w:lineRule="auto"/>
              <w:jc w:val="both"/>
              <w:cnfStyle w:val="000000010000"/>
              <w:rPr>
                <w:lang w:val="en-GB"/>
              </w:rPr>
            </w:pPr>
          </w:p>
          <w:p w:rsidR="000E5F32" w:rsidRDefault="000E5F32" w:rsidP="0079257D">
            <w:pPr>
              <w:spacing w:line="360" w:lineRule="auto"/>
              <w:jc w:val="both"/>
              <w:cnfStyle w:val="000000010000"/>
              <w:rPr>
                <w:lang w:val="en-GB"/>
              </w:rPr>
            </w:pPr>
            <w:r>
              <w:rPr>
                <w:lang w:val="en-GB"/>
              </w:rPr>
              <w:t xml:space="preserve">Used for the calculations of the deal </w:t>
            </w:r>
            <w:r w:rsidR="00F1612B">
              <w:rPr>
                <w:lang w:val="en-GB"/>
              </w:rPr>
              <w:t>premium</w:t>
            </w:r>
            <w:r>
              <w:rPr>
                <w:lang w:val="en-GB"/>
              </w:rPr>
              <w:t xml:space="preserve"> (hypothesis 4).</w:t>
            </w:r>
          </w:p>
          <w:p w:rsidR="000E5F32" w:rsidRDefault="000E5F32" w:rsidP="0079257D">
            <w:pPr>
              <w:spacing w:line="360" w:lineRule="auto"/>
              <w:jc w:val="both"/>
              <w:cnfStyle w:val="000000010000"/>
              <w:rPr>
                <w:lang w:val="en-GB"/>
              </w:rPr>
            </w:pP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Target Closing Price 1 day after Announcement</w:t>
            </w:r>
          </w:p>
        </w:tc>
        <w:tc>
          <w:tcPr>
            <w:tcW w:w="4424" w:type="dxa"/>
            <w:vMerge/>
          </w:tcPr>
          <w:p w:rsidR="000E5F32" w:rsidRDefault="000E5F32" w:rsidP="0079257D">
            <w:pPr>
              <w:spacing w:line="360" w:lineRule="auto"/>
              <w:jc w:val="both"/>
              <w:cnfStyle w:val="000000100000"/>
              <w:rPr>
                <w:lang w:val="en-GB"/>
              </w:rPr>
            </w:pPr>
          </w:p>
        </w:tc>
      </w:tr>
      <w:tr w:rsidR="000E5F32" w:rsidRPr="00F94970" w:rsidTr="0079257D">
        <w:trPr>
          <w:cnfStyle w:val="000000010000"/>
        </w:trPr>
        <w:tc>
          <w:tcPr>
            <w:cnfStyle w:val="001000000000"/>
            <w:tcW w:w="4786" w:type="dxa"/>
          </w:tcPr>
          <w:p w:rsidR="000E5F32" w:rsidRPr="00434AD0" w:rsidRDefault="000E5F32" w:rsidP="0079257D">
            <w:pPr>
              <w:spacing w:line="360" w:lineRule="auto"/>
              <w:rPr>
                <w:lang w:val="en-GB"/>
              </w:rPr>
            </w:pPr>
            <w:r>
              <w:rPr>
                <w:lang w:val="en-GB"/>
              </w:rPr>
              <w:t>Target Closing Price 1 week after Announcement</w:t>
            </w:r>
          </w:p>
        </w:tc>
        <w:tc>
          <w:tcPr>
            <w:tcW w:w="4424" w:type="dxa"/>
            <w:vMerge/>
          </w:tcPr>
          <w:p w:rsidR="000E5F32" w:rsidRDefault="000E5F32" w:rsidP="0079257D">
            <w:pPr>
              <w:spacing w:line="360" w:lineRule="auto"/>
              <w:jc w:val="both"/>
              <w:cnfStyle w:val="000000010000"/>
              <w:rPr>
                <w:lang w:val="en-GB"/>
              </w:rPr>
            </w:pPr>
          </w:p>
        </w:tc>
      </w:tr>
      <w:tr w:rsidR="000E5F32" w:rsidRPr="00F94970" w:rsidTr="0079257D">
        <w:trPr>
          <w:cnfStyle w:val="000000100000"/>
        </w:trPr>
        <w:tc>
          <w:tcPr>
            <w:cnfStyle w:val="001000000000"/>
            <w:tcW w:w="4786" w:type="dxa"/>
          </w:tcPr>
          <w:p w:rsidR="000E5F32" w:rsidRDefault="000E5F32" w:rsidP="0079257D">
            <w:pPr>
              <w:spacing w:line="360" w:lineRule="auto"/>
              <w:rPr>
                <w:lang w:val="en-GB"/>
              </w:rPr>
            </w:pPr>
            <w:r>
              <w:rPr>
                <w:lang w:val="en-GB"/>
              </w:rPr>
              <w:t>Target Share Price 1 day before Announcement</w:t>
            </w:r>
          </w:p>
        </w:tc>
        <w:tc>
          <w:tcPr>
            <w:tcW w:w="4424" w:type="dxa"/>
            <w:vMerge/>
          </w:tcPr>
          <w:p w:rsidR="000E5F32" w:rsidRDefault="000E5F32" w:rsidP="0079257D">
            <w:pPr>
              <w:spacing w:line="360" w:lineRule="auto"/>
              <w:jc w:val="both"/>
              <w:cnfStyle w:val="000000100000"/>
              <w:rPr>
                <w:lang w:val="en-GB"/>
              </w:rPr>
            </w:pPr>
          </w:p>
        </w:tc>
      </w:tr>
      <w:tr w:rsidR="000E5F32" w:rsidRPr="00F94970" w:rsidTr="0079257D">
        <w:trPr>
          <w:cnfStyle w:val="000000010000"/>
        </w:trPr>
        <w:tc>
          <w:tcPr>
            <w:cnfStyle w:val="001000000000"/>
            <w:tcW w:w="4786" w:type="dxa"/>
          </w:tcPr>
          <w:p w:rsidR="000E5F32" w:rsidRDefault="000E5F32" w:rsidP="0079257D">
            <w:pPr>
              <w:spacing w:line="360" w:lineRule="auto"/>
              <w:rPr>
                <w:lang w:val="en-GB"/>
              </w:rPr>
            </w:pPr>
            <w:r>
              <w:rPr>
                <w:lang w:val="en-GB"/>
              </w:rPr>
              <w:t>Target Share Price 1 week before Announcement</w:t>
            </w:r>
          </w:p>
        </w:tc>
        <w:tc>
          <w:tcPr>
            <w:tcW w:w="4424" w:type="dxa"/>
            <w:vMerge/>
          </w:tcPr>
          <w:p w:rsidR="000E5F32" w:rsidRDefault="000E5F32" w:rsidP="0079257D">
            <w:pPr>
              <w:spacing w:line="360" w:lineRule="auto"/>
              <w:jc w:val="both"/>
              <w:cnfStyle w:val="000000010000"/>
              <w:rPr>
                <w:lang w:val="en-GB"/>
              </w:rPr>
            </w:pPr>
          </w:p>
        </w:tc>
      </w:tr>
      <w:tr w:rsidR="000E5F32" w:rsidTr="0079257D">
        <w:trPr>
          <w:cnfStyle w:val="000000100000"/>
        </w:trPr>
        <w:tc>
          <w:tcPr>
            <w:cnfStyle w:val="001000000000"/>
            <w:tcW w:w="4786" w:type="dxa"/>
          </w:tcPr>
          <w:p w:rsidR="000E5F32" w:rsidRDefault="000E5F32" w:rsidP="0079257D">
            <w:pPr>
              <w:spacing w:line="360" w:lineRule="auto"/>
              <w:rPr>
                <w:lang w:val="en-GB"/>
              </w:rPr>
            </w:pPr>
            <w:r>
              <w:rPr>
                <w:lang w:val="en-GB"/>
              </w:rPr>
              <w:t>Value of the Transaction</w:t>
            </w:r>
          </w:p>
        </w:tc>
        <w:tc>
          <w:tcPr>
            <w:tcW w:w="4424" w:type="dxa"/>
            <w:vMerge/>
            <w:tcBorders>
              <w:bottom w:val="single" w:sz="4" w:space="0" w:color="auto"/>
            </w:tcBorders>
          </w:tcPr>
          <w:p w:rsidR="000E5F32" w:rsidRDefault="000E5F32" w:rsidP="0079257D">
            <w:pPr>
              <w:spacing w:line="360" w:lineRule="auto"/>
              <w:jc w:val="both"/>
              <w:cnfStyle w:val="000000100000"/>
              <w:rPr>
                <w:lang w:val="en-GB"/>
              </w:rPr>
            </w:pPr>
          </w:p>
        </w:tc>
      </w:tr>
    </w:tbl>
    <w:p w:rsidR="000E5F32" w:rsidRDefault="000E5F32" w:rsidP="000E5F32">
      <w:pPr>
        <w:spacing w:line="360" w:lineRule="auto"/>
        <w:rPr>
          <w:rFonts w:cstheme="minorHAnsi"/>
          <w:b/>
          <w:sz w:val="24"/>
          <w:lang w:val="en-GB"/>
        </w:rPr>
      </w:pPr>
    </w:p>
    <w:p w:rsidR="000E5F32" w:rsidRDefault="000E5F32" w:rsidP="000E5F32">
      <w:pPr>
        <w:spacing w:line="360" w:lineRule="auto"/>
        <w:rPr>
          <w:rFonts w:cstheme="minorHAnsi"/>
          <w:b/>
          <w:sz w:val="24"/>
          <w:lang w:val="en-GB"/>
        </w:rPr>
      </w:pPr>
    </w:p>
    <w:p w:rsidR="001A6050" w:rsidRDefault="001A6050">
      <w:pPr>
        <w:rPr>
          <w:rFonts w:cstheme="minorHAnsi"/>
          <w:lang w:val="en-GB"/>
        </w:rPr>
      </w:pPr>
      <w:r>
        <w:rPr>
          <w:rFonts w:cstheme="minorHAnsi"/>
          <w:lang w:val="en-GB"/>
        </w:rPr>
        <w:br w:type="page"/>
      </w:r>
    </w:p>
    <w:p w:rsidR="000E5F32" w:rsidRPr="000E5F32" w:rsidRDefault="000E5F32" w:rsidP="00A717B1">
      <w:pPr>
        <w:spacing w:line="360" w:lineRule="auto"/>
        <w:jc w:val="both"/>
        <w:rPr>
          <w:rFonts w:cstheme="minorHAnsi"/>
          <w:lang w:val="en-GB"/>
        </w:rPr>
      </w:pPr>
      <w:r>
        <w:rPr>
          <w:rFonts w:cstheme="minorHAnsi"/>
          <w:lang w:val="en-GB"/>
        </w:rPr>
        <w:lastRenderedPageBreak/>
        <w:t xml:space="preserve">Since the data has been specified now, </w:t>
      </w:r>
      <w:r w:rsidR="00A717B1">
        <w:rPr>
          <w:rFonts w:cstheme="minorHAnsi"/>
          <w:lang w:val="en-GB"/>
        </w:rPr>
        <w:t>the research can procee</w:t>
      </w:r>
      <w:r>
        <w:rPr>
          <w:rFonts w:cstheme="minorHAnsi"/>
          <w:lang w:val="en-GB"/>
        </w:rPr>
        <w:t xml:space="preserve">d by explaining the methodology. As the core of the research concern the ARs and </w:t>
      </w:r>
      <w:r w:rsidR="00EE40A8">
        <w:rPr>
          <w:rFonts w:cstheme="minorHAnsi"/>
          <w:lang w:val="en-GB"/>
        </w:rPr>
        <w:t>CARs of the M&amp;As, a</w:t>
      </w:r>
      <w:r>
        <w:rPr>
          <w:rFonts w:cstheme="minorHAnsi"/>
          <w:lang w:val="en-GB"/>
        </w:rPr>
        <w:t xml:space="preserve"> thorough explanation of the derivation and underlying models of this is provided at first. </w:t>
      </w:r>
      <w:r w:rsidR="00A717B1">
        <w:rPr>
          <w:rFonts w:cstheme="minorHAnsi"/>
          <w:lang w:val="en-GB"/>
        </w:rPr>
        <w:t xml:space="preserve">Later on, specific instruments used, like the EventStudy Tool, t-test and ANOVA, will be explained. </w:t>
      </w:r>
    </w:p>
    <w:p w:rsidR="00A717B1" w:rsidRDefault="00A717B1" w:rsidP="00A717B1">
      <w:pPr>
        <w:spacing w:line="240" w:lineRule="auto"/>
        <w:ind w:firstLine="708"/>
        <w:rPr>
          <w:rFonts w:cstheme="minorHAnsi"/>
          <w:b/>
          <w:sz w:val="24"/>
          <w:lang w:val="en-GB"/>
        </w:rPr>
      </w:pPr>
    </w:p>
    <w:p w:rsidR="00A717B1" w:rsidRDefault="00A717B1" w:rsidP="00A717B1">
      <w:pPr>
        <w:spacing w:line="240" w:lineRule="auto"/>
        <w:ind w:firstLine="708"/>
        <w:rPr>
          <w:rFonts w:cstheme="minorHAnsi"/>
          <w:b/>
          <w:sz w:val="24"/>
          <w:lang w:val="en-GB"/>
        </w:rPr>
      </w:pPr>
      <w:r>
        <w:rPr>
          <w:rFonts w:cstheme="minorHAnsi"/>
          <w:b/>
          <w:sz w:val="24"/>
          <w:lang w:val="en-GB"/>
        </w:rPr>
        <w:t>2 – Derivation (C)ARs</w:t>
      </w:r>
    </w:p>
    <w:p w:rsidR="00EC532A" w:rsidRPr="000E5F32" w:rsidRDefault="000E5F32" w:rsidP="00A717B1">
      <w:pPr>
        <w:spacing w:line="240" w:lineRule="auto"/>
        <w:ind w:left="708" w:firstLine="708"/>
        <w:rPr>
          <w:lang w:val="en-GB"/>
        </w:rPr>
      </w:pPr>
      <w:r>
        <w:rPr>
          <w:rFonts w:cstheme="minorHAnsi"/>
          <w:b/>
          <w:sz w:val="24"/>
          <w:lang w:val="en-GB"/>
        </w:rPr>
        <w:t>2</w:t>
      </w:r>
      <w:r w:rsidR="00A717B1">
        <w:rPr>
          <w:rFonts w:cstheme="minorHAnsi"/>
          <w:b/>
          <w:sz w:val="24"/>
          <w:lang w:val="en-GB"/>
        </w:rPr>
        <w:t>.1</w:t>
      </w:r>
      <w:r w:rsidR="00E8189C">
        <w:rPr>
          <w:rFonts w:cstheme="minorHAnsi"/>
          <w:b/>
          <w:sz w:val="24"/>
          <w:lang w:val="en-GB"/>
        </w:rPr>
        <w:t xml:space="preserve"> – Capit</w:t>
      </w:r>
      <w:r w:rsidR="00200032" w:rsidRPr="00200032">
        <w:rPr>
          <w:rFonts w:cstheme="minorHAnsi"/>
          <w:b/>
          <w:sz w:val="24"/>
          <w:lang w:val="en-GB"/>
        </w:rPr>
        <w:t>al Asset Pricing Model</w:t>
      </w:r>
    </w:p>
    <w:p w:rsidR="00606909" w:rsidRDefault="00DA56AB" w:rsidP="005A062F">
      <w:pPr>
        <w:spacing w:line="360" w:lineRule="auto"/>
        <w:jc w:val="both"/>
        <w:rPr>
          <w:rFonts w:cstheme="minorHAnsi"/>
          <w:shd w:val="clear" w:color="auto" w:fill="FFFFFF"/>
          <w:lang w:val="en-GB"/>
        </w:rPr>
      </w:pPr>
      <w:r>
        <w:rPr>
          <w:rFonts w:cstheme="minorHAnsi"/>
          <w:lang w:val="en-GB"/>
        </w:rPr>
        <w:t xml:space="preserve">In this thesis </w:t>
      </w:r>
      <w:r w:rsidR="00181881">
        <w:rPr>
          <w:rFonts w:cstheme="minorHAnsi"/>
          <w:lang w:val="en-GB"/>
        </w:rPr>
        <w:t>abnormal returns (</w:t>
      </w:r>
      <w:r>
        <w:rPr>
          <w:rFonts w:cstheme="minorHAnsi"/>
          <w:lang w:val="en-GB"/>
        </w:rPr>
        <w:t>ARs</w:t>
      </w:r>
      <w:r w:rsidR="00181881">
        <w:rPr>
          <w:rFonts w:cstheme="minorHAnsi"/>
          <w:lang w:val="en-GB"/>
        </w:rPr>
        <w:t>)</w:t>
      </w:r>
      <w:r>
        <w:rPr>
          <w:rFonts w:cstheme="minorHAnsi"/>
          <w:lang w:val="en-GB"/>
        </w:rPr>
        <w:t xml:space="preserve"> are used as measurement method. </w:t>
      </w:r>
      <w:r w:rsidR="00181881">
        <w:rPr>
          <w:rFonts w:cstheme="minorHAnsi"/>
          <w:lang w:val="en-GB"/>
        </w:rPr>
        <w:t>T</w:t>
      </w:r>
      <w:r>
        <w:rPr>
          <w:rFonts w:cstheme="minorHAnsi"/>
          <w:lang w:val="en-GB"/>
        </w:rPr>
        <w:t xml:space="preserve">he basis of the calculation of the AR is the expected return, without this, the AR cannot be calculated (see 2.6 – Abnormal Returns). </w:t>
      </w:r>
      <w:r w:rsidR="005A1653" w:rsidRPr="006F2D73">
        <w:rPr>
          <w:rFonts w:cstheme="minorHAnsi"/>
          <w:lang w:val="en-GB"/>
        </w:rPr>
        <w:t xml:space="preserve">The </w:t>
      </w:r>
      <w:r w:rsidR="005A1653" w:rsidRPr="00361D7A">
        <w:rPr>
          <w:rFonts w:cstheme="minorHAnsi"/>
          <w:lang w:val="en-GB"/>
        </w:rPr>
        <w:t>calculations of the</w:t>
      </w:r>
      <w:r w:rsidRPr="00361D7A">
        <w:rPr>
          <w:rFonts w:cstheme="minorHAnsi"/>
          <w:lang w:val="en-GB"/>
        </w:rPr>
        <w:t>se</w:t>
      </w:r>
      <w:r w:rsidR="005A1653" w:rsidRPr="00361D7A">
        <w:rPr>
          <w:rFonts w:cstheme="minorHAnsi"/>
          <w:lang w:val="en-GB"/>
        </w:rPr>
        <w:t xml:space="preserve"> expected returns are based on the Capital Asset Pricing Model, the CAPM. </w:t>
      </w:r>
      <w:r w:rsidR="005A1653" w:rsidRPr="00361D7A">
        <w:rPr>
          <w:rFonts w:cstheme="minorHAnsi"/>
          <w:shd w:val="clear" w:color="auto" w:fill="FFFFFF"/>
          <w:lang w:val="en-GB"/>
        </w:rPr>
        <w:t>The CAPM was introduced by</w:t>
      </w:r>
      <w:r w:rsidR="005A1653" w:rsidRPr="00361D7A">
        <w:rPr>
          <w:rStyle w:val="apple-converted-space"/>
          <w:rFonts w:cstheme="minorHAnsi"/>
          <w:shd w:val="clear" w:color="auto" w:fill="FFFFFF"/>
          <w:lang w:val="en-GB"/>
        </w:rPr>
        <w:t> </w:t>
      </w:r>
      <w:sdt>
        <w:sdtPr>
          <w:rPr>
            <w:rStyle w:val="apple-converted-space"/>
            <w:rFonts w:cstheme="minorHAnsi"/>
            <w:shd w:val="clear" w:color="auto" w:fill="FFFFFF"/>
            <w:lang w:val="en-GB"/>
          </w:rPr>
          <w:id w:val="1794770"/>
          <w:citation/>
        </w:sdtPr>
        <w:sdtContent>
          <w:r w:rsidR="00067D34">
            <w:rPr>
              <w:rStyle w:val="apple-converted-space"/>
              <w:rFonts w:cstheme="minorHAnsi"/>
              <w:shd w:val="clear" w:color="auto" w:fill="FFFFFF"/>
              <w:lang w:val="en-GB"/>
            </w:rPr>
            <w:fldChar w:fldCharType="begin"/>
          </w:r>
          <w:r w:rsidR="00C45DA4" w:rsidRPr="00C45DA4">
            <w:rPr>
              <w:rStyle w:val="apple-converted-space"/>
              <w:rFonts w:cstheme="minorHAnsi"/>
              <w:shd w:val="clear" w:color="auto" w:fill="FFFFFF"/>
              <w:lang w:val="en-GB"/>
            </w:rPr>
            <w:instrText xml:space="preserve"> CITATION Tre62 \l 1043  </w:instrText>
          </w:r>
          <w:r w:rsidR="00067D34">
            <w:rPr>
              <w:rStyle w:val="apple-converted-space"/>
              <w:rFonts w:cstheme="minorHAnsi"/>
              <w:shd w:val="clear" w:color="auto" w:fill="FFFFFF"/>
              <w:lang w:val="en-GB"/>
            </w:rPr>
            <w:fldChar w:fldCharType="separate"/>
          </w:r>
          <w:r w:rsidR="00C45DA4" w:rsidRPr="00C45DA4">
            <w:rPr>
              <w:rFonts w:cstheme="minorHAnsi"/>
              <w:noProof/>
              <w:shd w:val="clear" w:color="auto" w:fill="FFFFFF"/>
              <w:lang w:val="en-GB"/>
            </w:rPr>
            <w:t>(Treynor, 1962)</w:t>
          </w:r>
          <w:r w:rsidR="00067D34">
            <w:rPr>
              <w:rStyle w:val="apple-converted-space"/>
              <w:rFonts w:cstheme="minorHAnsi"/>
              <w:shd w:val="clear" w:color="auto" w:fill="FFFFFF"/>
              <w:lang w:val="en-GB"/>
            </w:rPr>
            <w:fldChar w:fldCharType="end"/>
          </w:r>
        </w:sdtContent>
      </w:sdt>
      <w:r w:rsidR="00181881">
        <w:rPr>
          <w:rStyle w:val="apple-converted-space"/>
          <w:rFonts w:cstheme="minorHAnsi"/>
          <w:shd w:val="clear" w:color="auto" w:fill="FFFFFF"/>
          <w:lang w:val="en-GB"/>
        </w:rPr>
        <w:t xml:space="preserve">, </w:t>
      </w:r>
      <w:sdt>
        <w:sdtPr>
          <w:rPr>
            <w:rStyle w:val="apple-converted-space"/>
            <w:rFonts w:cstheme="minorHAnsi"/>
            <w:shd w:val="clear" w:color="auto" w:fill="FFFFFF"/>
            <w:lang w:val="en-GB"/>
          </w:rPr>
          <w:id w:val="1794771"/>
          <w:citation/>
        </w:sdtPr>
        <w:sdtContent>
          <w:r w:rsidR="00067D34">
            <w:rPr>
              <w:rStyle w:val="apple-converted-space"/>
              <w:rFonts w:cstheme="minorHAnsi"/>
              <w:shd w:val="clear" w:color="auto" w:fill="FFFFFF"/>
              <w:lang w:val="en-GB"/>
            </w:rPr>
            <w:fldChar w:fldCharType="begin"/>
          </w:r>
          <w:r w:rsidR="00D853B9" w:rsidRPr="00D853B9">
            <w:rPr>
              <w:rStyle w:val="apple-converted-space"/>
              <w:rFonts w:cstheme="minorHAnsi"/>
              <w:shd w:val="clear" w:color="auto" w:fill="FFFFFF"/>
              <w:lang w:val="en-GB"/>
            </w:rPr>
            <w:instrText xml:space="preserve"> CITATION Sha64 \l 1043  </w:instrText>
          </w:r>
          <w:r w:rsidR="00067D34">
            <w:rPr>
              <w:rStyle w:val="apple-converted-space"/>
              <w:rFonts w:cstheme="minorHAnsi"/>
              <w:shd w:val="clear" w:color="auto" w:fill="FFFFFF"/>
              <w:lang w:val="en-GB"/>
            </w:rPr>
            <w:fldChar w:fldCharType="separate"/>
          </w:r>
          <w:r w:rsidR="00D853B9" w:rsidRPr="00D853B9">
            <w:rPr>
              <w:rFonts w:cstheme="minorHAnsi"/>
              <w:noProof/>
              <w:shd w:val="clear" w:color="auto" w:fill="FFFFFF"/>
              <w:lang w:val="en-GB"/>
            </w:rPr>
            <w:t>(Sharpe, 1964)</w:t>
          </w:r>
          <w:r w:rsidR="00067D34">
            <w:rPr>
              <w:rStyle w:val="apple-converted-space"/>
              <w:rFonts w:cstheme="minorHAnsi"/>
              <w:shd w:val="clear" w:color="auto" w:fill="FFFFFF"/>
              <w:lang w:val="en-GB"/>
            </w:rPr>
            <w:fldChar w:fldCharType="end"/>
          </w:r>
        </w:sdtContent>
      </w:sdt>
      <w:r w:rsidR="00181881">
        <w:rPr>
          <w:lang w:val="en-GB"/>
        </w:rPr>
        <w:t xml:space="preserve">, </w:t>
      </w:r>
      <w:sdt>
        <w:sdtPr>
          <w:rPr>
            <w:lang w:val="en-GB"/>
          </w:rPr>
          <w:id w:val="1794773"/>
          <w:citation/>
        </w:sdtPr>
        <w:sdtContent>
          <w:r w:rsidR="00067D34">
            <w:rPr>
              <w:lang w:val="en-GB"/>
            </w:rPr>
            <w:fldChar w:fldCharType="begin"/>
          </w:r>
          <w:r w:rsidR="00D853B9" w:rsidRPr="00D853B9">
            <w:rPr>
              <w:lang w:val="en-GB"/>
            </w:rPr>
            <w:instrText xml:space="preserve"> CITATION Lin65 \l 1043  </w:instrText>
          </w:r>
          <w:r w:rsidR="00067D34">
            <w:rPr>
              <w:lang w:val="en-GB"/>
            </w:rPr>
            <w:fldChar w:fldCharType="separate"/>
          </w:r>
          <w:r w:rsidR="00D853B9" w:rsidRPr="00D853B9">
            <w:rPr>
              <w:noProof/>
              <w:lang w:val="en-GB"/>
            </w:rPr>
            <w:t>(Lintner, 1965)</w:t>
          </w:r>
          <w:r w:rsidR="00067D34">
            <w:rPr>
              <w:lang w:val="en-GB"/>
            </w:rPr>
            <w:fldChar w:fldCharType="end"/>
          </w:r>
        </w:sdtContent>
      </w:sdt>
      <w:r w:rsidR="00181881">
        <w:rPr>
          <w:lang w:val="en-GB"/>
        </w:rPr>
        <w:t xml:space="preserve"> </w:t>
      </w:r>
      <w:r w:rsidR="005A1653" w:rsidRPr="00361D7A">
        <w:rPr>
          <w:rFonts w:cstheme="minorHAnsi"/>
          <w:shd w:val="clear" w:color="auto" w:fill="FFFFFF"/>
          <w:lang w:val="en-GB"/>
        </w:rPr>
        <w:t>and</w:t>
      </w:r>
      <w:r w:rsidR="005A1653" w:rsidRPr="00361D7A">
        <w:rPr>
          <w:rStyle w:val="apple-converted-space"/>
          <w:rFonts w:cstheme="minorHAnsi"/>
          <w:shd w:val="clear" w:color="auto" w:fill="FFFFFF"/>
          <w:lang w:val="en-GB"/>
        </w:rPr>
        <w:t> </w:t>
      </w:r>
      <w:sdt>
        <w:sdtPr>
          <w:rPr>
            <w:rStyle w:val="apple-converted-space"/>
            <w:rFonts w:cstheme="minorHAnsi"/>
            <w:shd w:val="clear" w:color="auto" w:fill="FFFFFF"/>
            <w:lang w:val="en-GB"/>
          </w:rPr>
          <w:id w:val="1794774"/>
          <w:citation/>
        </w:sdtPr>
        <w:sdtContent>
          <w:r w:rsidR="00067D34">
            <w:rPr>
              <w:rStyle w:val="apple-converted-space"/>
              <w:rFonts w:cstheme="minorHAnsi"/>
              <w:shd w:val="clear" w:color="auto" w:fill="FFFFFF"/>
              <w:lang w:val="en-GB"/>
            </w:rPr>
            <w:fldChar w:fldCharType="begin"/>
          </w:r>
          <w:r w:rsidR="00D853B9" w:rsidRPr="00D853B9">
            <w:rPr>
              <w:rStyle w:val="apple-converted-space"/>
              <w:rFonts w:cstheme="minorHAnsi"/>
              <w:shd w:val="clear" w:color="auto" w:fill="FFFFFF"/>
              <w:lang w:val="en-GB"/>
            </w:rPr>
            <w:instrText xml:space="preserve"> CITATION Mos66 \l 1043  </w:instrText>
          </w:r>
          <w:r w:rsidR="00067D34">
            <w:rPr>
              <w:rStyle w:val="apple-converted-space"/>
              <w:rFonts w:cstheme="minorHAnsi"/>
              <w:shd w:val="clear" w:color="auto" w:fill="FFFFFF"/>
              <w:lang w:val="en-GB"/>
            </w:rPr>
            <w:fldChar w:fldCharType="separate"/>
          </w:r>
          <w:r w:rsidR="00D853B9" w:rsidRPr="00D853B9">
            <w:rPr>
              <w:rFonts w:cstheme="minorHAnsi"/>
              <w:noProof/>
              <w:shd w:val="clear" w:color="auto" w:fill="FFFFFF"/>
              <w:lang w:val="en-GB"/>
            </w:rPr>
            <w:t>(Mossin, 1966)</w:t>
          </w:r>
          <w:r w:rsidR="00067D34">
            <w:rPr>
              <w:rStyle w:val="apple-converted-space"/>
              <w:rFonts w:cstheme="minorHAnsi"/>
              <w:shd w:val="clear" w:color="auto" w:fill="FFFFFF"/>
              <w:lang w:val="en-GB"/>
            </w:rPr>
            <w:fldChar w:fldCharType="end"/>
          </w:r>
        </w:sdtContent>
      </w:sdt>
      <w:r w:rsidR="00181881">
        <w:rPr>
          <w:rStyle w:val="apple-converted-space"/>
          <w:rFonts w:cstheme="minorHAnsi"/>
          <w:shd w:val="clear" w:color="auto" w:fill="FFFFFF"/>
          <w:lang w:val="en-GB"/>
        </w:rPr>
        <w:t xml:space="preserve"> </w:t>
      </w:r>
      <w:sdt>
        <w:sdtPr>
          <w:rPr>
            <w:rFonts w:cstheme="minorHAnsi"/>
            <w:shd w:val="clear" w:color="auto" w:fill="FFFFFF"/>
            <w:lang w:val="en-GB"/>
          </w:rPr>
          <w:id w:val="20142217"/>
          <w:citation/>
        </w:sdtPr>
        <w:sdtContent>
          <w:r w:rsidR="00067D34">
            <w:rPr>
              <w:rFonts w:cstheme="minorHAnsi"/>
              <w:shd w:val="clear" w:color="auto" w:fill="FFFFFF"/>
              <w:lang w:val="en-GB"/>
            </w:rPr>
            <w:fldChar w:fldCharType="begin"/>
          </w:r>
          <w:r w:rsidR="00D853B9" w:rsidRPr="00D853B9">
            <w:rPr>
              <w:rFonts w:cstheme="minorHAnsi"/>
              <w:shd w:val="clear" w:color="auto" w:fill="FFFFFF"/>
              <w:lang w:val="en-GB"/>
            </w:rPr>
            <w:instrText xml:space="preserve"> CITATION Per04 \l 1043  </w:instrText>
          </w:r>
          <w:r w:rsidR="00067D34">
            <w:rPr>
              <w:rFonts w:cstheme="minorHAnsi"/>
              <w:shd w:val="clear" w:color="auto" w:fill="FFFFFF"/>
              <w:lang w:val="en-GB"/>
            </w:rPr>
            <w:fldChar w:fldCharType="separate"/>
          </w:r>
          <w:r w:rsidR="00D853B9" w:rsidRPr="00D853B9">
            <w:rPr>
              <w:rFonts w:cstheme="minorHAnsi"/>
              <w:noProof/>
              <w:shd w:val="clear" w:color="auto" w:fill="FFFFFF"/>
              <w:lang w:val="en-GB"/>
            </w:rPr>
            <w:t>(Perold, 2004)</w:t>
          </w:r>
          <w:r w:rsidR="00067D34">
            <w:rPr>
              <w:rFonts w:cstheme="minorHAnsi"/>
              <w:shd w:val="clear" w:color="auto" w:fill="FFFFFF"/>
              <w:lang w:val="en-GB"/>
            </w:rPr>
            <w:fldChar w:fldCharType="end"/>
          </w:r>
        </w:sdtContent>
      </w:sdt>
      <w:r w:rsidR="008D2072" w:rsidRPr="00361D7A">
        <w:rPr>
          <w:rFonts w:cstheme="minorHAnsi"/>
          <w:shd w:val="clear" w:color="auto" w:fill="FFFFFF"/>
          <w:lang w:val="en-GB"/>
        </w:rPr>
        <w:t xml:space="preserve">. This model is used to calculate an expected return for an asset </w:t>
      </w:r>
      <w:sdt>
        <w:sdtPr>
          <w:rPr>
            <w:rFonts w:cstheme="minorHAnsi"/>
            <w:shd w:val="clear" w:color="auto" w:fill="FFFFFF"/>
            <w:lang w:val="en-GB"/>
          </w:rPr>
          <w:id w:val="20142218"/>
          <w:citation/>
        </w:sdtPr>
        <w:sdtContent>
          <w:r w:rsidR="00067D34">
            <w:rPr>
              <w:rFonts w:cstheme="minorHAnsi"/>
              <w:shd w:val="clear" w:color="auto" w:fill="FFFFFF"/>
              <w:lang w:val="en-GB"/>
            </w:rPr>
            <w:fldChar w:fldCharType="begin"/>
          </w:r>
          <w:r w:rsidR="00F83BC2" w:rsidRPr="00F83BC2">
            <w:rPr>
              <w:rFonts w:cstheme="minorHAnsi"/>
              <w:shd w:val="clear" w:color="auto" w:fill="FFFFFF"/>
              <w:lang w:val="en-US"/>
            </w:rPr>
            <w:instrText xml:space="preserve"> CITATION Jam131 \l 1043  </w:instrText>
          </w:r>
          <w:r w:rsidR="00067D34">
            <w:rPr>
              <w:rFonts w:cstheme="minorHAnsi"/>
              <w:shd w:val="clear" w:color="auto" w:fill="FFFFFF"/>
              <w:lang w:val="en-GB"/>
            </w:rPr>
            <w:fldChar w:fldCharType="separate"/>
          </w:r>
          <w:r w:rsidR="00F83BC2" w:rsidRPr="00F83BC2">
            <w:rPr>
              <w:rFonts w:cstheme="minorHAnsi"/>
              <w:noProof/>
              <w:shd w:val="clear" w:color="auto" w:fill="FFFFFF"/>
              <w:lang w:val="en-US"/>
            </w:rPr>
            <w:t>(Chong, Jin, &amp; Phillips, 2013)</w:t>
          </w:r>
          <w:r w:rsidR="00067D34">
            <w:rPr>
              <w:rFonts w:cstheme="minorHAnsi"/>
              <w:shd w:val="clear" w:color="auto" w:fill="FFFFFF"/>
              <w:lang w:val="en-GB"/>
            </w:rPr>
            <w:fldChar w:fldCharType="end"/>
          </w:r>
        </w:sdtContent>
      </w:sdt>
      <w:r w:rsidR="008D2072" w:rsidRPr="00361D7A">
        <w:rPr>
          <w:rFonts w:cstheme="minorHAnsi"/>
          <w:shd w:val="clear" w:color="auto" w:fill="FFFFFF"/>
          <w:lang w:val="en-GB"/>
        </w:rPr>
        <w:t xml:space="preserve">. </w:t>
      </w:r>
      <w:r w:rsidR="00606909" w:rsidRPr="00361D7A">
        <w:rPr>
          <w:rFonts w:cstheme="minorHAnsi"/>
          <w:shd w:val="clear" w:color="auto" w:fill="FFFFFF"/>
          <w:lang w:val="en-GB"/>
        </w:rPr>
        <w:t>As most models do, the CAPM model has some assumptions which have to be satisfied in order for the model to work appropriately</w:t>
      </w:r>
      <w:r w:rsidR="00606909" w:rsidRPr="001F0840">
        <w:rPr>
          <w:rFonts w:cstheme="minorHAnsi"/>
          <w:shd w:val="clear" w:color="auto" w:fill="FFFFFF"/>
          <w:lang w:val="en-GB"/>
        </w:rPr>
        <w:t xml:space="preserve">. These assumptions are as follows </w:t>
      </w:r>
      <w:sdt>
        <w:sdtPr>
          <w:rPr>
            <w:rFonts w:cstheme="minorHAnsi"/>
            <w:shd w:val="clear" w:color="auto" w:fill="FFFFFF"/>
            <w:lang w:val="en-GB"/>
          </w:rPr>
          <w:id w:val="20142220"/>
          <w:citation/>
        </w:sdtPr>
        <w:sdtContent>
          <w:r w:rsidR="00067D34">
            <w:rPr>
              <w:rFonts w:cstheme="minorHAnsi"/>
              <w:shd w:val="clear" w:color="auto" w:fill="FFFFFF"/>
              <w:lang w:val="en-GB"/>
            </w:rPr>
            <w:fldChar w:fldCharType="begin"/>
          </w:r>
          <w:r w:rsidR="00227C02" w:rsidRPr="00227C02">
            <w:rPr>
              <w:rFonts w:cstheme="minorHAnsi"/>
              <w:shd w:val="clear" w:color="auto" w:fill="FFFFFF"/>
              <w:lang w:val="en-GB"/>
            </w:rPr>
            <w:instrText xml:space="preserve"> CITATION Arn05 \l 1043  </w:instrText>
          </w:r>
          <w:r w:rsidR="00067D34">
            <w:rPr>
              <w:rFonts w:cstheme="minorHAnsi"/>
              <w:shd w:val="clear" w:color="auto" w:fill="FFFFFF"/>
              <w:lang w:val="en-GB"/>
            </w:rPr>
            <w:fldChar w:fldCharType="separate"/>
          </w:r>
          <w:r w:rsidR="00227C02" w:rsidRPr="00227C02">
            <w:rPr>
              <w:rFonts w:cstheme="minorHAnsi"/>
              <w:noProof/>
              <w:shd w:val="clear" w:color="auto" w:fill="FFFFFF"/>
              <w:lang w:val="en-GB"/>
            </w:rPr>
            <w:t>(Arnold, 2005)</w:t>
          </w:r>
          <w:r w:rsidR="00067D34">
            <w:rPr>
              <w:rFonts w:cstheme="minorHAnsi"/>
              <w:shd w:val="clear" w:color="auto" w:fill="FFFFFF"/>
              <w:lang w:val="en-GB"/>
            </w:rPr>
            <w:fldChar w:fldCharType="end"/>
          </w:r>
        </w:sdtContent>
      </w:sdt>
      <w:r w:rsidR="00606909" w:rsidRPr="001F0840">
        <w:rPr>
          <w:rFonts w:cstheme="minorHAnsi"/>
          <w:shd w:val="clear" w:color="auto" w:fill="FFFFFF"/>
          <w:lang w:val="en-GB"/>
        </w:rPr>
        <w:t>:</w:t>
      </w:r>
    </w:p>
    <w:p w:rsidR="00606909" w:rsidRDefault="00606909" w:rsidP="005A062F">
      <w:pPr>
        <w:spacing w:line="360" w:lineRule="auto"/>
        <w:jc w:val="center"/>
        <w:rPr>
          <w:rFonts w:cstheme="minorHAnsi"/>
          <w:shd w:val="clear" w:color="auto" w:fill="FFFFFF"/>
          <w:lang w:val="en-GB"/>
        </w:rPr>
      </w:pPr>
    </w:p>
    <w:p w:rsidR="0021348E" w:rsidRPr="001F0840" w:rsidRDefault="000E5F32" w:rsidP="005A062F">
      <w:pPr>
        <w:spacing w:line="360" w:lineRule="auto"/>
        <w:jc w:val="center"/>
        <w:rPr>
          <w:rFonts w:cstheme="minorHAnsi"/>
          <w:shd w:val="clear" w:color="auto" w:fill="FFFFFF"/>
          <w:lang w:val="en-GB"/>
        </w:rPr>
      </w:pPr>
      <w:r>
        <w:rPr>
          <w:rFonts w:cstheme="minorHAnsi"/>
          <w:shd w:val="clear" w:color="auto" w:fill="FFFFFF"/>
          <w:lang w:val="en-GB"/>
        </w:rPr>
        <w:t>Table 3.2</w:t>
      </w:r>
      <w:r w:rsidR="0021348E">
        <w:rPr>
          <w:rFonts w:cstheme="minorHAnsi"/>
          <w:shd w:val="clear" w:color="auto" w:fill="FFFFFF"/>
          <w:lang w:val="en-GB"/>
        </w:rPr>
        <w:t>: Assumptions CAPM</w:t>
      </w:r>
      <w:r w:rsidR="00D218F4">
        <w:rPr>
          <w:rFonts w:cstheme="minorHAnsi"/>
          <w:shd w:val="clear" w:color="auto" w:fill="FFFFFF"/>
          <w:lang w:val="en-GB"/>
        </w:rPr>
        <w:t xml:space="preserve"> </w:t>
      </w:r>
      <w:sdt>
        <w:sdtPr>
          <w:rPr>
            <w:rFonts w:cstheme="minorHAnsi"/>
            <w:shd w:val="clear" w:color="auto" w:fill="FFFFFF"/>
            <w:lang w:val="en-GB"/>
          </w:rPr>
          <w:id w:val="16567663"/>
          <w:citation/>
        </w:sdtPr>
        <w:sdtContent>
          <w:r w:rsidR="00067D34">
            <w:rPr>
              <w:rFonts w:cstheme="minorHAnsi"/>
              <w:shd w:val="clear" w:color="auto" w:fill="FFFFFF"/>
              <w:lang w:val="en-GB"/>
            </w:rPr>
            <w:fldChar w:fldCharType="begin"/>
          </w:r>
          <w:r w:rsidR="00227C02" w:rsidRPr="00227C02">
            <w:rPr>
              <w:rFonts w:cstheme="minorHAnsi"/>
              <w:shd w:val="clear" w:color="auto" w:fill="FFFFFF"/>
              <w:lang w:val="en-GB"/>
            </w:rPr>
            <w:instrText xml:space="preserve"> CITATION Arn05 \l 1043  </w:instrText>
          </w:r>
          <w:r w:rsidR="00067D34">
            <w:rPr>
              <w:rFonts w:cstheme="minorHAnsi"/>
              <w:shd w:val="clear" w:color="auto" w:fill="FFFFFF"/>
              <w:lang w:val="en-GB"/>
            </w:rPr>
            <w:fldChar w:fldCharType="separate"/>
          </w:r>
          <w:r w:rsidR="00227C02" w:rsidRPr="00227C02">
            <w:rPr>
              <w:rFonts w:cstheme="minorHAnsi"/>
              <w:noProof/>
              <w:shd w:val="clear" w:color="auto" w:fill="FFFFFF"/>
              <w:lang w:val="en-GB"/>
            </w:rPr>
            <w:t>(Arnold, 2005)</w:t>
          </w:r>
          <w:r w:rsidR="00067D34">
            <w:rPr>
              <w:rFonts w:cstheme="minorHAnsi"/>
              <w:shd w:val="clear" w:color="auto" w:fill="FFFFFF"/>
              <w:lang w:val="en-GB"/>
            </w:rPr>
            <w:fldChar w:fldCharType="end"/>
          </w:r>
        </w:sdtContent>
      </w:sdt>
    </w:p>
    <w:tbl>
      <w:tblPr>
        <w:tblStyle w:val="Lichtearcering1"/>
        <w:tblW w:w="0" w:type="auto"/>
        <w:tblLook w:val="04A0"/>
      </w:tblPr>
      <w:tblGrid>
        <w:gridCol w:w="9210"/>
      </w:tblGrid>
      <w:tr w:rsidR="00200032" w:rsidRPr="0021348E" w:rsidTr="00200032">
        <w:trPr>
          <w:cnfStyle w:val="100000000000"/>
        </w:trPr>
        <w:tc>
          <w:tcPr>
            <w:cnfStyle w:val="001000000000"/>
            <w:tcW w:w="9210" w:type="dxa"/>
          </w:tcPr>
          <w:p w:rsidR="00200032" w:rsidRPr="0021348E" w:rsidRDefault="00200032" w:rsidP="005A062F">
            <w:pPr>
              <w:pStyle w:val="NormalWeb"/>
              <w:shd w:val="clear" w:color="auto" w:fill="FFFFFF"/>
              <w:spacing w:before="120" w:beforeAutospacing="0" w:after="120" w:afterAutospacing="0" w:line="360" w:lineRule="auto"/>
              <w:jc w:val="both"/>
              <w:rPr>
                <w:rFonts w:asciiTheme="minorHAnsi" w:hAnsiTheme="minorHAnsi" w:cstheme="minorHAnsi"/>
                <w:sz w:val="22"/>
                <w:szCs w:val="22"/>
                <w:lang w:val="en-GB"/>
              </w:rPr>
            </w:pPr>
            <w:r w:rsidRPr="0021348E">
              <w:rPr>
                <w:rFonts w:asciiTheme="minorHAnsi" w:hAnsiTheme="minorHAnsi" w:cstheme="minorHAnsi"/>
                <w:sz w:val="22"/>
                <w:szCs w:val="22"/>
                <w:lang w:val="en-GB"/>
              </w:rPr>
              <w:t>All investors:</w:t>
            </w:r>
          </w:p>
        </w:tc>
      </w:tr>
      <w:tr w:rsidR="00200032" w:rsidRPr="00F94970" w:rsidTr="00200032">
        <w:trPr>
          <w:cnfStyle w:val="000000100000"/>
        </w:trPr>
        <w:tc>
          <w:tcPr>
            <w:cnfStyle w:val="001000000000"/>
            <w:tcW w:w="9210" w:type="dxa"/>
          </w:tcPr>
          <w:p w:rsidR="00200032" w:rsidRPr="00200032" w:rsidRDefault="00200032" w:rsidP="005A062F">
            <w:pPr>
              <w:numPr>
                <w:ilvl w:val="0"/>
                <w:numId w:val="8"/>
              </w:numPr>
              <w:shd w:val="clear" w:color="auto" w:fill="FFFFFF"/>
              <w:spacing w:before="100" w:beforeAutospacing="1" w:after="24" w:line="360" w:lineRule="auto"/>
              <w:jc w:val="both"/>
              <w:rPr>
                <w:rFonts w:cstheme="minorHAnsi"/>
                <w:lang w:val="en-GB"/>
              </w:rPr>
            </w:pPr>
            <w:r w:rsidRPr="00200032">
              <w:rPr>
                <w:rFonts w:cstheme="minorHAnsi"/>
                <w:lang w:val="en-GB"/>
              </w:rPr>
              <w:t>Aim to maximize economic utilities.</w:t>
            </w:r>
          </w:p>
        </w:tc>
      </w:tr>
      <w:tr w:rsidR="00200032" w:rsidRPr="00F94970" w:rsidTr="00200032">
        <w:tc>
          <w:tcPr>
            <w:cnfStyle w:val="001000000000"/>
            <w:tcW w:w="9210" w:type="dxa"/>
          </w:tcPr>
          <w:p w:rsidR="00200032" w:rsidRPr="00200032" w:rsidRDefault="00200032" w:rsidP="005A062F">
            <w:pPr>
              <w:numPr>
                <w:ilvl w:val="0"/>
                <w:numId w:val="8"/>
              </w:numPr>
              <w:shd w:val="clear" w:color="auto" w:fill="FFFFFF"/>
              <w:spacing w:before="100" w:beforeAutospacing="1" w:after="24" w:line="360" w:lineRule="auto"/>
              <w:jc w:val="both"/>
              <w:rPr>
                <w:rFonts w:cstheme="minorHAnsi"/>
                <w:lang w:val="en-GB"/>
              </w:rPr>
            </w:pPr>
            <w:r w:rsidRPr="00200032">
              <w:rPr>
                <w:rFonts w:cstheme="minorHAnsi"/>
                <w:lang w:val="en-GB"/>
              </w:rPr>
              <w:t>Are rational and risk-averse.</w:t>
            </w:r>
          </w:p>
        </w:tc>
      </w:tr>
      <w:tr w:rsidR="00200032" w:rsidRPr="00F94970" w:rsidTr="00200032">
        <w:trPr>
          <w:cnfStyle w:val="000000100000"/>
        </w:trPr>
        <w:tc>
          <w:tcPr>
            <w:cnfStyle w:val="001000000000"/>
            <w:tcW w:w="9210" w:type="dxa"/>
          </w:tcPr>
          <w:p w:rsidR="00200032" w:rsidRPr="00200032" w:rsidRDefault="00200032" w:rsidP="005A062F">
            <w:pPr>
              <w:numPr>
                <w:ilvl w:val="0"/>
                <w:numId w:val="8"/>
              </w:numPr>
              <w:shd w:val="clear" w:color="auto" w:fill="FFFFFF"/>
              <w:spacing w:before="100" w:beforeAutospacing="1" w:after="24" w:line="360" w:lineRule="auto"/>
              <w:jc w:val="both"/>
              <w:rPr>
                <w:rFonts w:cstheme="minorHAnsi"/>
                <w:lang w:val="en-GB"/>
              </w:rPr>
            </w:pPr>
            <w:r w:rsidRPr="00200032">
              <w:rPr>
                <w:rFonts w:cstheme="minorHAnsi"/>
                <w:lang w:val="en-GB"/>
              </w:rPr>
              <w:t>Are broadly diversified across a range of investments.</w:t>
            </w:r>
          </w:p>
        </w:tc>
      </w:tr>
      <w:tr w:rsidR="00200032" w:rsidRPr="0064742B" w:rsidTr="00200032">
        <w:tc>
          <w:tcPr>
            <w:cnfStyle w:val="001000000000"/>
            <w:tcW w:w="9210" w:type="dxa"/>
          </w:tcPr>
          <w:p w:rsidR="00200032" w:rsidRPr="00200032" w:rsidRDefault="00FE26F5" w:rsidP="005A062F">
            <w:pPr>
              <w:numPr>
                <w:ilvl w:val="0"/>
                <w:numId w:val="8"/>
              </w:numPr>
              <w:shd w:val="clear" w:color="auto" w:fill="FFFFFF"/>
              <w:spacing w:before="100" w:beforeAutospacing="1" w:after="24" w:line="360" w:lineRule="auto"/>
              <w:jc w:val="both"/>
              <w:rPr>
                <w:rFonts w:cstheme="minorHAnsi"/>
                <w:lang w:val="en-GB"/>
              </w:rPr>
            </w:pPr>
            <w:r>
              <w:rPr>
                <w:rFonts w:cstheme="minorHAnsi"/>
                <w:lang w:val="en-GB"/>
              </w:rPr>
              <w:t>Are price takers</w:t>
            </w:r>
            <w:r w:rsidR="00200032" w:rsidRPr="00200032">
              <w:rPr>
                <w:rFonts w:cstheme="minorHAnsi"/>
                <w:lang w:val="en-GB"/>
              </w:rPr>
              <w:t>.</w:t>
            </w:r>
          </w:p>
        </w:tc>
      </w:tr>
      <w:tr w:rsidR="00200032" w:rsidRPr="00F94970" w:rsidTr="00200032">
        <w:trPr>
          <w:cnfStyle w:val="000000100000"/>
        </w:trPr>
        <w:tc>
          <w:tcPr>
            <w:cnfStyle w:val="001000000000"/>
            <w:tcW w:w="9210" w:type="dxa"/>
          </w:tcPr>
          <w:p w:rsidR="00200032" w:rsidRPr="00200032" w:rsidRDefault="00200032" w:rsidP="005A062F">
            <w:pPr>
              <w:numPr>
                <w:ilvl w:val="0"/>
                <w:numId w:val="8"/>
              </w:numPr>
              <w:shd w:val="clear" w:color="auto" w:fill="FFFFFF"/>
              <w:spacing w:before="100" w:beforeAutospacing="1" w:after="24" w:line="360" w:lineRule="auto"/>
              <w:jc w:val="both"/>
              <w:rPr>
                <w:rFonts w:cstheme="minorHAnsi"/>
                <w:lang w:val="en-GB"/>
              </w:rPr>
            </w:pPr>
            <w:r w:rsidRPr="00200032">
              <w:rPr>
                <w:rFonts w:cstheme="minorHAnsi"/>
                <w:lang w:val="en-GB"/>
              </w:rPr>
              <w:t>Can lend and borrow unlimited amounts under the risk free rate of interest.</w:t>
            </w:r>
          </w:p>
        </w:tc>
      </w:tr>
      <w:tr w:rsidR="00200032" w:rsidRPr="00F94970" w:rsidTr="00200032">
        <w:tc>
          <w:tcPr>
            <w:cnfStyle w:val="001000000000"/>
            <w:tcW w:w="9210" w:type="dxa"/>
          </w:tcPr>
          <w:p w:rsidR="00200032" w:rsidRPr="00200032" w:rsidRDefault="00200032" w:rsidP="005A062F">
            <w:pPr>
              <w:numPr>
                <w:ilvl w:val="0"/>
                <w:numId w:val="8"/>
              </w:numPr>
              <w:shd w:val="clear" w:color="auto" w:fill="FFFFFF"/>
              <w:spacing w:before="100" w:beforeAutospacing="1" w:after="24" w:line="360" w:lineRule="auto"/>
              <w:jc w:val="both"/>
              <w:rPr>
                <w:rFonts w:cstheme="minorHAnsi"/>
                <w:lang w:val="en-GB"/>
              </w:rPr>
            </w:pPr>
            <w:r w:rsidRPr="00200032">
              <w:rPr>
                <w:rFonts w:cstheme="minorHAnsi"/>
                <w:lang w:val="en-GB"/>
              </w:rPr>
              <w:t>Trade without transaction or taxation costs.</w:t>
            </w:r>
          </w:p>
        </w:tc>
      </w:tr>
      <w:tr w:rsidR="00200032" w:rsidRPr="00F94970" w:rsidTr="00200032">
        <w:trPr>
          <w:cnfStyle w:val="000000100000"/>
        </w:trPr>
        <w:tc>
          <w:tcPr>
            <w:cnfStyle w:val="001000000000"/>
            <w:tcW w:w="9210" w:type="dxa"/>
          </w:tcPr>
          <w:p w:rsidR="00200032" w:rsidRPr="00200032" w:rsidRDefault="00200032" w:rsidP="005A062F">
            <w:pPr>
              <w:numPr>
                <w:ilvl w:val="0"/>
                <w:numId w:val="8"/>
              </w:numPr>
              <w:shd w:val="clear" w:color="auto" w:fill="FFFFFF"/>
              <w:spacing w:before="100" w:beforeAutospacing="1" w:after="24" w:line="360" w:lineRule="auto"/>
              <w:jc w:val="both"/>
              <w:rPr>
                <w:rFonts w:cstheme="minorHAnsi"/>
                <w:lang w:val="en-GB"/>
              </w:rPr>
            </w:pPr>
            <w:r w:rsidRPr="00200032">
              <w:rPr>
                <w:rFonts w:cstheme="minorHAnsi"/>
                <w:lang w:val="en-GB"/>
              </w:rPr>
              <w:t xml:space="preserve">Deal with securities that are all highly divisible into small parcels. </w:t>
            </w:r>
          </w:p>
        </w:tc>
      </w:tr>
      <w:tr w:rsidR="00200032" w:rsidRPr="00200032" w:rsidTr="00200032">
        <w:tc>
          <w:tcPr>
            <w:cnfStyle w:val="001000000000"/>
            <w:tcW w:w="9210" w:type="dxa"/>
          </w:tcPr>
          <w:p w:rsidR="00200032" w:rsidRPr="00200032" w:rsidRDefault="00200032" w:rsidP="005A062F">
            <w:pPr>
              <w:numPr>
                <w:ilvl w:val="0"/>
                <w:numId w:val="8"/>
              </w:numPr>
              <w:shd w:val="clear" w:color="auto" w:fill="FFFFFF"/>
              <w:spacing w:before="100" w:beforeAutospacing="1" w:after="24" w:line="360" w:lineRule="auto"/>
              <w:jc w:val="both"/>
              <w:rPr>
                <w:rFonts w:cstheme="minorHAnsi"/>
              </w:rPr>
            </w:pPr>
            <w:r w:rsidRPr="00200032">
              <w:rPr>
                <w:rFonts w:cstheme="minorHAnsi"/>
              </w:rPr>
              <w:t>Have homogeneous expectations.</w:t>
            </w:r>
          </w:p>
        </w:tc>
      </w:tr>
      <w:tr w:rsidR="00200032" w:rsidRPr="00F94970" w:rsidTr="00200032">
        <w:trPr>
          <w:cnfStyle w:val="000000100000"/>
        </w:trPr>
        <w:tc>
          <w:tcPr>
            <w:cnfStyle w:val="001000000000"/>
            <w:tcW w:w="9210" w:type="dxa"/>
          </w:tcPr>
          <w:p w:rsidR="00200032" w:rsidRPr="00200032" w:rsidRDefault="00200032" w:rsidP="005A062F">
            <w:pPr>
              <w:numPr>
                <w:ilvl w:val="0"/>
                <w:numId w:val="8"/>
              </w:numPr>
              <w:shd w:val="clear" w:color="auto" w:fill="FFFFFF"/>
              <w:spacing w:before="100" w:beforeAutospacing="1" w:after="24" w:line="360" w:lineRule="auto"/>
              <w:jc w:val="both"/>
              <w:rPr>
                <w:rFonts w:cstheme="minorHAnsi"/>
                <w:lang w:val="en-GB"/>
              </w:rPr>
            </w:pPr>
            <w:r w:rsidRPr="00200032">
              <w:rPr>
                <w:rFonts w:cstheme="minorHAnsi"/>
                <w:lang w:val="en-GB"/>
              </w:rPr>
              <w:t>Assume all information is available at the same time to all investors.</w:t>
            </w:r>
          </w:p>
        </w:tc>
      </w:tr>
    </w:tbl>
    <w:p w:rsidR="00200032" w:rsidRDefault="00200032" w:rsidP="005A062F">
      <w:pPr>
        <w:shd w:val="clear" w:color="auto" w:fill="FFFFFF"/>
        <w:spacing w:before="100" w:beforeAutospacing="1" w:after="24" w:line="360" w:lineRule="auto"/>
        <w:jc w:val="both"/>
        <w:rPr>
          <w:rFonts w:cstheme="minorHAnsi"/>
          <w:shd w:val="clear" w:color="auto" w:fill="FFFFFF"/>
          <w:lang w:val="en-GB"/>
        </w:rPr>
      </w:pPr>
    </w:p>
    <w:p w:rsidR="00606909" w:rsidRDefault="00200032" w:rsidP="00A717B1">
      <w:pPr>
        <w:spacing w:line="360" w:lineRule="auto"/>
        <w:rPr>
          <w:rFonts w:cstheme="minorHAnsi"/>
          <w:shd w:val="clear" w:color="auto" w:fill="FFFFFF"/>
          <w:lang w:val="en-GB"/>
        </w:rPr>
      </w:pPr>
      <w:r>
        <w:rPr>
          <w:rFonts w:cstheme="minorHAnsi"/>
          <w:shd w:val="clear" w:color="auto" w:fill="FFFFFF"/>
          <w:lang w:val="en-GB"/>
        </w:rPr>
        <w:br w:type="page"/>
      </w:r>
      <w:r w:rsidR="00181881">
        <w:rPr>
          <w:rFonts w:cstheme="minorHAnsi"/>
          <w:shd w:val="clear" w:color="auto" w:fill="FFFFFF"/>
          <w:lang w:val="en-GB"/>
        </w:rPr>
        <w:lastRenderedPageBreak/>
        <w:t>The CAPM is used to calculate</w:t>
      </w:r>
      <w:r w:rsidR="00095427">
        <w:rPr>
          <w:rFonts w:cstheme="minorHAnsi"/>
          <w:shd w:val="clear" w:color="auto" w:fill="FFFFFF"/>
          <w:lang w:val="en-GB"/>
        </w:rPr>
        <w:t xml:space="preserve"> the</w:t>
      </w:r>
      <w:r w:rsidR="008D2072" w:rsidRPr="006F2D73">
        <w:rPr>
          <w:rFonts w:cstheme="minorHAnsi"/>
          <w:shd w:val="clear" w:color="auto" w:fill="FFFFFF"/>
          <w:lang w:val="en-GB"/>
        </w:rPr>
        <w:t xml:space="preserve"> expected returns regarding M&amp;As</w:t>
      </w:r>
      <w:r w:rsidR="00095427">
        <w:rPr>
          <w:rFonts w:cstheme="minorHAnsi"/>
          <w:shd w:val="clear" w:color="auto" w:fill="FFFFFF"/>
          <w:lang w:val="en-GB"/>
        </w:rPr>
        <w:t>. The CAPM</w:t>
      </w:r>
      <w:r w:rsidR="008D2072" w:rsidRPr="006F2D73">
        <w:rPr>
          <w:rFonts w:cstheme="minorHAnsi"/>
          <w:shd w:val="clear" w:color="auto" w:fill="FFFFFF"/>
          <w:lang w:val="en-GB"/>
        </w:rPr>
        <w:t xml:space="preserve"> makes use of the security market line (SML) </w:t>
      </w:r>
      <w:sdt>
        <w:sdtPr>
          <w:rPr>
            <w:rFonts w:cstheme="minorHAnsi"/>
            <w:shd w:val="clear" w:color="auto" w:fill="FFFFFF"/>
            <w:lang w:val="en-GB"/>
          </w:rPr>
          <w:id w:val="20142219"/>
          <w:citation/>
        </w:sdtPr>
        <w:sdtContent>
          <w:r w:rsidR="00067D34">
            <w:rPr>
              <w:rFonts w:cstheme="minorHAnsi"/>
              <w:shd w:val="clear" w:color="auto" w:fill="FFFFFF"/>
              <w:lang w:val="en-GB"/>
            </w:rPr>
            <w:fldChar w:fldCharType="begin"/>
          </w:r>
          <w:r w:rsidR="00D853B9" w:rsidRPr="00D853B9">
            <w:rPr>
              <w:rFonts w:cstheme="minorHAnsi"/>
              <w:shd w:val="clear" w:color="auto" w:fill="FFFFFF"/>
              <w:lang w:val="en-GB"/>
            </w:rPr>
            <w:instrText xml:space="preserve"> CITATION Fam04 \l 1043  </w:instrText>
          </w:r>
          <w:r w:rsidR="00067D34">
            <w:rPr>
              <w:rFonts w:cstheme="minorHAnsi"/>
              <w:shd w:val="clear" w:color="auto" w:fill="FFFFFF"/>
              <w:lang w:val="en-GB"/>
            </w:rPr>
            <w:fldChar w:fldCharType="separate"/>
          </w:r>
          <w:r w:rsidR="00D853B9" w:rsidRPr="00D853B9">
            <w:rPr>
              <w:rFonts w:cstheme="minorHAnsi"/>
              <w:noProof/>
              <w:shd w:val="clear" w:color="auto" w:fill="FFFFFF"/>
              <w:lang w:val="en-GB"/>
            </w:rPr>
            <w:t>(Fama &amp; French, 2004)</w:t>
          </w:r>
          <w:r w:rsidR="00067D34">
            <w:rPr>
              <w:rFonts w:cstheme="minorHAnsi"/>
              <w:shd w:val="clear" w:color="auto" w:fill="FFFFFF"/>
              <w:lang w:val="en-GB"/>
            </w:rPr>
            <w:fldChar w:fldCharType="end"/>
          </w:r>
        </w:sdtContent>
      </w:sdt>
      <w:r w:rsidR="008D2072" w:rsidRPr="006F2D73">
        <w:rPr>
          <w:rFonts w:cstheme="minorHAnsi"/>
          <w:shd w:val="clear" w:color="auto" w:fill="FFFFFF"/>
          <w:lang w:val="en-GB"/>
        </w:rPr>
        <w:t>.</w:t>
      </w:r>
      <w:r w:rsidR="005348B0" w:rsidRPr="006F2D73">
        <w:rPr>
          <w:rFonts w:cstheme="minorHAnsi"/>
          <w:shd w:val="clear" w:color="auto" w:fill="FFFFFF"/>
          <w:lang w:val="en-GB"/>
        </w:rPr>
        <w:t xml:space="preserve"> </w:t>
      </w:r>
      <w:r w:rsidR="00606909" w:rsidRPr="006F2D73">
        <w:rPr>
          <w:rFonts w:cstheme="minorHAnsi"/>
          <w:shd w:val="clear" w:color="auto" w:fill="FFFFFF"/>
          <w:lang w:val="en-GB"/>
        </w:rPr>
        <w:t xml:space="preserve">This SML </w:t>
      </w:r>
      <w:r w:rsidR="00095427">
        <w:rPr>
          <w:rFonts w:cstheme="minorHAnsi"/>
          <w:shd w:val="clear" w:color="auto" w:fill="FFFFFF"/>
          <w:lang w:val="en-GB"/>
        </w:rPr>
        <w:t>is a line representing that for higher risks, investors want higher expected returns. On the x-axis the risk premium is displayed, and the expected return on the y-axis. A property of the SML is that it is linear. When it would not have been linear</w:t>
      </w:r>
      <w:r w:rsidR="00606909" w:rsidRPr="006F2D73">
        <w:rPr>
          <w:rFonts w:cstheme="minorHAnsi"/>
          <w:shd w:val="clear" w:color="auto" w:fill="FFFFFF"/>
          <w:lang w:val="en-GB"/>
        </w:rPr>
        <w:t xml:space="preserve"> one could take advantage of that</w:t>
      </w:r>
      <w:r w:rsidR="00095427">
        <w:rPr>
          <w:rFonts w:cstheme="minorHAnsi"/>
          <w:shd w:val="clear" w:color="auto" w:fill="FFFFFF"/>
          <w:lang w:val="en-GB"/>
        </w:rPr>
        <w:t>. This could be done by investing cleverly to get a higher expected return to risk ratio than average</w:t>
      </w:r>
      <w:r w:rsidR="00606909" w:rsidRPr="006F2D73">
        <w:rPr>
          <w:rFonts w:cstheme="minorHAnsi"/>
          <w:shd w:val="clear" w:color="auto" w:fill="FFFFFF"/>
          <w:lang w:val="en-GB"/>
        </w:rPr>
        <w:t>.</w:t>
      </w:r>
      <w:r w:rsidR="00095427">
        <w:rPr>
          <w:rFonts w:cstheme="minorHAnsi"/>
          <w:shd w:val="clear" w:color="auto" w:fill="FFFFFF"/>
          <w:lang w:val="en-GB"/>
        </w:rPr>
        <w:t xml:space="preserve"> </w:t>
      </w:r>
      <w:sdt>
        <w:sdtPr>
          <w:rPr>
            <w:rFonts w:cstheme="minorHAnsi"/>
            <w:shd w:val="clear" w:color="auto" w:fill="FFFFFF"/>
            <w:lang w:val="en-GB"/>
          </w:rPr>
          <w:id w:val="1794775"/>
          <w:citation/>
        </w:sdtPr>
        <w:sdtContent>
          <w:r w:rsidR="00067D34">
            <w:rPr>
              <w:rFonts w:cstheme="minorHAnsi"/>
              <w:shd w:val="clear" w:color="auto" w:fill="FFFFFF"/>
              <w:lang w:val="en-GB"/>
            </w:rPr>
            <w:fldChar w:fldCharType="begin"/>
          </w:r>
          <w:r w:rsidR="00D853B9" w:rsidRPr="00D853B9">
            <w:rPr>
              <w:rFonts w:cstheme="minorHAnsi"/>
              <w:shd w:val="clear" w:color="auto" w:fill="FFFFFF"/>
              <w:lang w:val="en-GB"/>
            </w:rPr>
            <w:instrText xml:space="preserve"> CITATION Fam04 \l 1043  </w:instrText>
          </w:r>
          <w:r w:rsidR="00067D34">
            <w:rPr>
              <w:rFonts w:cstheme="minorHAnsi"/>
              <w:shd w:val="clear" w:color="auto" w:fill="FFFFFF"/>
              <w:lang w:val="en-GB"/>
            </w:rPr>
            <w:fldChar w:fldCharType="separate"/>
          </w:r>
          <w:r w:rsidR="00D853B9" w:rsidRPr="00D853B9">
            <w:rPr>
              <w:rFonts w:cstheme="minorHAnsi"/>
              <w:noProof/>
              <w:shd w:val="clear" w:color="auto" w:fill="FFFFFF"/>
              <w:lang w:val="en-GB"/>
            </w:rPr>
            <w:t>(Fama &amp; French, 2004)</w:t>
          </w:r>
          <w:r w:rsidR="00067D34">
            <w:rPr>
              <w:rFonts w:cstheme="minorHAnsi"/>
              <w:shd w:val="clear" w:color="auto" w:fill="FFFFFF"/>
              <w:lang w:val="en-GB"/>
            </w:rPr>
            <w:fldChar w:fldCharType="end"/>
          </w:r>
        </w:sdtContent>
      </w:sdt>
      <w:r w:rsidR="00606909">
        <w:rPr>
          <w:rFonts w:cstheme="minorHAnsi"/>
          <w:shd w:val="clear" w:color="auto" w:fill="FFFFFF"/>
          <w:lang w:val="en-GB"/>
        </w:rPr>
        <w:t xml:space="preserve"> To make this situation more clear, graph 2.1 illustrates the situation. </w:t>
      </w:r>
      <w:r w:rsidR="00622281">
        <w:rPr>
          <w:rFonts w:cstheme="minorHAnsi"/>
          <w:shd w:val="clear" w:color="auto" w:fill="FFFFFF"/>
          <w:lang w:val="en-GB"/>
        </w:rPr>
        <w:t xml:space="preserve">The intercept is determined by the risk free rate and the slope by the markets risk premium </w:t>
      </w:r>
      <w:sdt>
        <w:sdtPr>
          <w:rPr>
            <w:rFonts w:cstheme="minorHAnsi"/>
            <w:shd w:val="clear" w:color="auto" w:fill="FFFFFF"/>
            <w:lang w:val="en-GB"/>
          </w:rPr>
          <w:id w:val="2961215"/>
          <w:citation/>
        </w:sdtPr>
        <w:sdtContent>
          <w:r w:rsidR="00067D34">
            <w:rPr>
              <w:rFonts w:cstheme="minorHAnsi"/>
              <w:shd w:val="clear" w:color="auto" w:fill="FFFFFF"/>
              <w:lang w:val="en-GB"/>
            </w:rPr>
            <w:fldChar w:fldCharType="begin"/>
          </w:r>
          <w:r w:rsidR="00622281" w:rsidRPr="00622281">
            <w:rPr>
              <w:rFonts w:cstheme="minorHAnsi"/>
              <w:shd w:val="clear" w:color="auto" w:fill="FFFFFF"/>
              <w:lang w:val="en-GB"/>
            </w:rPr>
            <w:instrText xml:space="preserve"> CITATION Geu06 \l 1043  </w:instrText>
          </w:r>
          <w:r w:rsidR="00067D34">
            <w:rPr>
              <w:rFonts w:cstheme="minorHAnsi"/>
              <w:shd w:val="clear" w:color="auto" w:fill="FFFFFF"/>
              <w:lang w:val="en-GB"/>
            </w:rPr>
            <w:fldChar w:fldCharType="separate"/>
          </w:r>
          <w:r w:rsidR="00622281" w:rsidRPr="00622281">
            <w:rPr>
              <w:rFonts w:cstheme="minorHAnsi"/>
              <w:noProof/>
              <w:shd w:val="clear" w:color="auto" w:fill="FFFFFF"/>
              <w:lang w:val="en-GB"/>
            </w:rPr>
            <w:t>(Geurts &amp; Pavlov, 2006)</w:t>
          </w:r>
          <w:r w:rsidR="00067D34">
            <w:rPr>
              <w:rFonts w:cstheme="minorHAnsi"/>
              <w:shd w:val="clear" w:color="auto" w:fill="FFFFFF"/>
              <w:lang w:val="en-GB"/>
            </w:rPr>
            <w:fldChar w:fldCharType="end"/>
          </w:r>
        </w:sdtContent>
      </w:sdt>
      <w:r w:rsidR="00622281">
        <w:rPr>
          <w:rFonts w:cstheme="minorHAnsi"/>
          <w:shd w:val="clear" w:color="auto" w:fill="FFFFFF"/>
          <w:lang w:val="en-GB"/>
        </w:rPr>
        <w:t>.</w:t>
      </w:r>
    </w:p>
    <w:p w:rsidR="00606909" w:rsidRDefault="00606909" w:rsidP="005A062F">
      <w:pPr>
        <w:spacing w:line="360" w:lineRule="auto"/>
        <w:jc w:val="center"/>
        <w:rPr>
          <w:rFonts w:cstheme="minorHAnsi"/>
          <w:shd w:val="clear" w:color="auto" w:fill="FFFFFF"/>
          <w:lang w:val="en-GB"/>
        </w:rPr>
      </w:pPr>
    </w:p>
    <w:p w:rsidR="00606909" w:rsidRDefault="00622281" w:rsidP="005A062F">
      <w:pPr>
        <w:spacing w:line="360" w:lineRule="auto"/>
        <w:jc w:val="center"/>
        <w:rPr>
          <w:rFonts w:cstheme="minorHAnsi"/>
          <w:shd w:val="clear" w:color="auto" w:fill="FFFFFF"/>
          <w:lang w:val="en-GB"/>
        </w:rPr>
      </w:pPr>
      <w:r>
        <w:rPr>
          <w:rFonts w:cstheme="minorHAnsi"/>
          <w:noProof/>
          <w:lang w:val="en-US"/>
        </w:rPr>
        <w:drawing>
          <wp:anchor distT="0" distB="0" distL="114300" distR="114300" simplePos="0" relativeHeight="251665408" behindDoc="1" locked="0" layoutInCell="1" allowOverlap="1">
            <wp:simplePos x="0" y="0"/>
            <wp:positionH relativeFrom="column">
              <wp:posOffset>798195</wp:posOffset>
            </wp:positionH>
            <wp:positionV relativeFrom="paragraph">
              <wp:posOffset>250825</wp:posOffset>
            </wp:positionV>
            <wp:extent cx="3606165" cy="2849245"/>
            <wp:effectExtent l="19050" t="0" r="0" b="0"/>
            <wp:wrapTight wrapText="bothSides">
              <wp:wrapPolygon edited="0">
                <wp:start x="-114" y="0"/>
                <wp:lineTo x="-114" y="21518"/>
                <wp:lineTo x="21566" y="21518"/>
                <wp:lineTo x="21566" y="0"/>
                <wp:lineTo x="-114" y="0"/>
              </wp:wrapPolygon>
            </wp:wrapTight>
            <wp:docPr id="9" name="Afbeelding 5" descr="C:\Users\Gebruiker\Documents\Universiteit\Scriptie\SM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ebruiker\Documents\Universiteit\Scriptie\SML.gif"/>
                    <pic:cNvPicPr>
                      <a:picLocks noChangeAspect="1" noChangeArrowheads="1"/>
                    </pic:cNvPicPr>
                  </pic:nvPicPr>
                  <pic:blipFill>
                    <a:blip r:embed="rId12" cstate="print"/>
                    <a:srcRect/>
                    <a:stretch>
                      <a:fillRect/>
                    </a:stretch>
                  </pic:blipFill>
                  <pic:spPr bwMode="auto">
                    <a:xfrm>
                      <a:off x="0" y="0"/>
                      <a:ext cx="3606165" cy="2849245"/>
                    </a:xfrm>
                    <a:prstGeom prst="rect">
                      <a:avLst/>
                    </a:prstGeom>
                    <a:noFill/>
                    <a:ln w="9525">
                      <a:noFill/>
                      <a:miter lim="800000"/>
                      <a:headEnd/>
                      <a:tailEnd/>
                    </a:ln>
                  </pic:spPr>
                </pic:pic>
              </a:graphicData>
            </a:graphic>
          </wp:anchor>
        </w:drawing>
      </w:r>
      <w:r w:rsidR="00BD5330">
        <w:rPr>
          <w:rFonts w:cstheme="minorHAnsi"/>
          <w:shd w:val="clear" w:color="auto" w:fill="FFFFFF"/>
          <w:lang w:val="en-GB"/>
        </w:rPr>
        <w:t>Figure</w:t>
      </w:r>
      <w:r w:rsidR="00606909">
        <w:rPr>
          <w:rFonts w:cstheme="minorHAnsi"/>
          <w:shd w:val="clear" w:color="auto" w:fill="FFFFFF"/>
          <w:lang w:val="en-GB"/>
        </w:rPr>
        <w:t xml:space="preserve"> </w:t>
      </w:r>
      <w:r w:rsidR="00A717B1">
        <w:rPr>
          <w:rFonts w:cstheme="minorHAnsi"/>
          <w:shd w:val="clear" w:color="auto" w:fill="FFFFFF"/>
          <w:lang w:val="en-GB"/>
        </w:rPr>
        <w:t>3</w:t>
      </w:r>
      <w:r w:rsidR="00606909">
        <w:rPr>
          <w:rFonts w:cstheme="minorHAnsi"/>
          <w:shd w:val="clear" w:color="auto" w:fill="FFFFFF"/>
          <w:lang w:val="en-GB"/>
        </w:rPr>
        <w:t>.1: Security Market Line (SML)</w:t>
      </w:r>
      <w:r w:rsidR="00606909" w:rsidRPr="00606909">
        <w:rPr>
          <w:rFonts w:cstheme="minorHAnsi"/>
          <w:noProof/>
          <w:lang w:val="en-GB" w:eastAsia="nl-NL"/>
        </w:rPr>
        <w:t xml:space="preserve"> </w:t>
      </w:r>
      <w:sdt>
        <w:sdtPr>
          <w:rPr>
            <w:rFonts w:cstheme="minorHAnsi"/>
            <w:noProof/>
            <w:lang w:val="en-GB" w:eastAsia="nl-NL"/>
          </w:rPr>
          <w:id w:val="16567664"/>
          <w:citation/>
        </w:sdtPr>
        <w:sdtContent>
          <w:r w:rsidR="00067D34">
            <w:rPr>
              <w:rFonts w:cstheme="minorHAnsi"/>
              <w:noProof/>
              <w:lang w:val="en-GB" w:eastAsia="nl-NL"/>
            </w:rPr>
            <w:fldChar w:fldCharType="begin"/>
          </w:r>
          <w:r w:rsidR="00D218F4" w:rsidRPr="00D218F4">
            <w:rPr>
              <w:rFonts w:cstheme="minorHAnsi"/>
              <w:noProof/>
              <w:lang w:val="en-GB" w:eastAsia="nl-NL"/>
            </w:rPr>
            <w:instrText xml:space="preserve"> CITATION Geu06 \l 1043 </w:instrText>
          </w:r>
          <w:r w:rsidR="00067D34">
            <w:rPr>
              <w:rFonts w:cstheme="minorHAnsi"/>
              <w:noProof/>
              <w:lang w:val="en-GB" w:eastAsia="nl-NL"/>
            </w:rPr>
            <w:fldChar w:fldCharType="separate"/>
          </w:r>
          <w:r w:rsidR="00D218F4" w:rsidRPr="00D218F4">
            <w:rPr>
              <w:rFonts w:cstheme="minorHAnsi"/>
              <w:noProof/>
              <w:lang w:val="en-GB" w:eastAsia="nl-NL"/>
            </w:rPr>
            <w:t>(Geurts &amp; Pavlov, 2006)</w:t>
          </w:r>
          <w:r w:rsidR="00067D34">
            <w:rPr>
              <w:rFonts w:cstheme="minorHAnsi"/>
              <w:noProof/>
              <w:lang w:val="en-GB" w:eastAsia="nl-NL"/>
            </w:rPr>
            <w:fldChar w:fldCharType="end"/>
          </w:r>
        </w:sdtContent>
      </w:sdt>
    </w:p>
    <w:p w:rsidR="00606909" w:rsidRDefault="00606909" w:rsidP="005A062F">
      <w:pPr>
        <w:shd w:val="clear" w:color="auto" w:fill="FFFFFF"/>
        <w:spacing w:before="100" w:beforeAutospacing="1" w:after="24" w:line="360" w:lineRule="auto"/>
        <w:jc w:val="center"/>
        <w:rPr>
          <w:rFonts w:cstheme="minorHAnsi"/>
          <w:shd w:val="clear" w:color="auto" w:fill="FFFFFF"/>
          <w:lang w:val="en-GB"/>
        </w:rPr>
      </w:pPr>
    </w:p>
    <w:p w:rsidR="00606909" w:rsidRDefault="00606909" w:rsidP="005A062F">
      <w:pPr>
        <w:shd w:val="clear" w:color="auto" w:fill="FFFFFF"/>
        <w:spacing w:before="100" w:beforeAutospacing="1" w:after="24" w:line="360" w:lineRule="auto"/>
        <w:jc w:val="center"/>
        <w:rPr>
          <w:rFonts w:cstheme="minorHAnsi"/>
          <w:shd w:val="clear" w:color="auto" w:fill="FFFFFF"/>
          <w:lang w:val="en-GB"/>
        </w:rPr>
      </w:pPr>
    </w:p>
    <w:p w:rsidR="00606909" w:rsidRDefault="00606909" w:rsidP="005A062F">
      <w:pPr>
        <w:shd w:val="clear" w:color="auto" w:fill="FFFFFF"/>
        <w:spacing w:before="100" w:beforeAutospacing="1" w:after="24" w:line="360" w:lineRule="auto"/>
        <w:jc w:val="center"/>
        <w:rPr>
          <w:rFonts w:cstheme="minorHAnsi"/>
          <w:shd w:val="clear" w:color="auto" w:fill="FFFFFF"/>
          <w:lang w:val="en-GB"/>
        </w:rPr>
      </w:pPr>
    </w:p>
    <w:p w:rsidR="00606909" w:rsidRDefault="00606909" w:rsidP="005A062F">
      <w:pPr>
        <w:shd w:val="clear" w:color="auto" w:fill="FFFFFF"/>
        <w:spacing w:before="100" w:beforeAutospacing="1" w:after="24" w:line="360" w:lineRule="auto"/>
        <w:jc w:val="center"/>
        <w:rPr>
          <w:rFonts w:cstheme="minorHAnsi"/>
          <w:shd w:val="clear" w:color="auto" w:fill="FFFFFF"/>
          <w:lang w:val="en-GB"/>
        </w:rPr>
      </w:pPr>
    </w:p>
    <w:p w:rsidR="00606909" w:rsidRDefault="00606909" w:rsidP="005A062F">
      <w:pPr>
        <w:shd w:val="clear" w:color="auto" w:fill="FFFFFF"/>
        <w:spacing w:before="100" w:beforeAutospacing="1" w:after="24" w:line="360" w:lineRule="auto"/>
        <w:jc w:val="center"/>
        <w:rPr>
          <w:rFonts w:cstheme="minorHAnsi"/>
          <w:shd w:val="clear" w:color="auto" w:fill="FFFFFF"/>
          <w:lang w:val="en-GB"/>
        </w:rPr>
      </w:pPr>
    </w:p>
    <w:p w:rsidR="00606909" w:rsidRDefault="00606909" w:rsidP="005A062F">
      <w:pPr>
        <w:shd w:val="clear" w:color="auto" w:fill="FFFFFF"/>
        <w:spacing w:before="100" w:beforeAutospacing="1" w:after="24" w:line="360" w:lineRule="auto"/>
        <w:jc w:val="center"/>
        <w:rPr>
          <w:rFonts w:cstheme="minorHAnsi"/>
          <w:shd w:val="clear" w:color="auto" w:fill="FFFFFF"/>
          <w:lang w:val="en-GB"/>
        </w:rPr>
      </w:pPr>
    </w:p>
    <w:p w:rsidR="00606909" w:rsidRDefault="00606909" w:rsidP="005A062F">
      <w:pPr>
        <w:shd w:val="clear" w:color="auto" w:fill="FFFFFF"/>
        <w:spacing w:before="100" w:beforeAutospacing="1" w:after="24" w:line="360" w:lineRule="auto"/>
        <w:jc w:val="center"/>
        <w:rPr>
          <w:rFonts w:cstheme="minorHAnsi"/>
          <w:shd w:val="clear" w:color="auto" w:fill="FFFFFF"/>
          <w:lang w:val="en-GB"/>
        </w:rPr>
      </w:pPr>
    </w:p>
    <w:p w:rsidR="00622281" w:rsidRDefault="00622281" w:rsidP="005A062F">
      <w:pPr>
        <w:shd w:val="clear" w:color="auto" w:fill="FFFFFF"/>
        <w:spacing w:before="100" w:beforeAutospacing="1" w:after="24" w:line="360" w:lineRule="auto"/>
        <w:jc w:val="both"/>
        <w:rPr>
          <w:rFonts w:cstheme="minorHAnsi"/>
          <w:shd w:val="clear" w:color="auto" w:fill="FFFFFF"/>
          <w:lang w:val="en-GB"/>
        </w:rPr>
      </w:pPr>
      <w:r>
        <w:rPr>
          <w:rFonts w:cstheme="minorHAnsi"/>
          <w:shd w:val="clear" w:color="auto" w:fill="FFFFFF"/>
          <w:lang w:val="en-GB"/>
        </w:rPr>
        <w:t xml:space="preserve">To elaborate on how one could take advantage of the situation if the abovementioned ratios were not equal to each other, lots of theories are developed. It will suffice to say that that specific situation </w:t>
      </w:r>
      <w:r w:rsidR="005348B0" w:rsidRPr="006F2D73">
        <w:rPr>
          <w:rFonts w:cstheme="minorHAnsi"/>
          <w:shd w:val="clear" w:color="auto" w:fill="FFFFFF"/>
          <w:lang w:val="en-GB"/>
        </w:rPr>
        <w:t xml:space="preserve">would result in </w:t>
      </w:r>
      <w:r>
        <w:rPr>
          <w:rFonts w:cstheme="minorHAnsi"/>
          <w:shd w:val="clear" w:color="auto" w:fill="FFFFFF"/>
          <w:lang w:val="en-GB"/>
        </w:rPr>
        <w:t xml:space="preserve">arbitrage, which is a term </w:t>
      </w:r>
      <w:r w:rsidR="0032253C">
        <w:rPr>
          <w:rFonts w:cstheme="minorHAnsi"/>
          <w:shd w:val="clear" w:color="auto" w:fill="FFFFFF"/>
          <w:lang w:val="en-GB"/>
        </w:rPr>
        <w:t>meaning</w:t>
      </w:r>
      <w:r>
        <w:rPr>
          <w:rFonts w:cstheme="minorHAnsi"/>
          <w:shd w:val="clear" w:color="auto" w:fill="FFFFFF"/>
          <w:lang w:val="en-GB"/>
        </w:rPr>
        <w:t xml:space="preserve"> that one can make a profit, above the risk free rate, with</w:t>
      </w:r>
      <w:r w:rsidR="0021030B">
        <w:rPr>
          <w:rFonts w:cstheme="minorHAnsi"/>
          <w:shd w:val="clear" w:color="auto" w:fill="FFFFFF"/>
          <w:lang w:val="en-GB"/>
        </w:rPr>
        <w:t>out having any risk</w:t>
      </w:r>
      <w:r w:rsidR="005348B0" w:rsidRPr="006F2D73">
        <w:rPr>
          <w:rFonts w:cstheme="minorHAnsi"/>
          <w:shd w:val="clear" w:color="auto" w:fill="FFFFFF"/>
          <w:lang w:val="en-GB"/>
        </w:rPr>
        <w:t xml:space="preserve"> </w:t>
      </w:r>
      <w:sdt>
        <w:sdtPr>
          <w:rPr>
            <w:rFonts w:cstheme="minorHAnsi"/>
            <w:shd w:val="clear" w:color="auto" w:fill="FFFFFF"/>
            <w:lang w:val="en-GB"/>
          </w:rPr>
          <w:id w:val="20142229"/>
          <w:citation/>
        </w:sdtPr>
        <w:sdtContent>
          <w:r w:rsidR="00067D34">
            <w:rPr>
              <w:rFonts w:cstheme="minorHAnsi"/>
              <w:shd w:val="clear" w:color="auto" w:fill="FFFFFF"/>
              <w:lang w:val="en-GB"/>
            </w:rPr>
            <w:fldChar w:fldCharType="begin"/>
          </w:r>
          <w:r w:rsidR="00D853B9" w:rsidRPr="00D853B9">
            <w:rPr>
              <w:rFonts w:cstheme="minorHAnsi"/>
              <w:shd w:val="clear" w:color="auto" w:fill="FFFFFF"/>
              <w:lang w:val="en-GB"/>
            </w:rPr>
            <w:instrText xml:space="preserve"> CITATION Fam04 \l 1043  </w:instrText>
          </w:r>
          <w:r w:rsidR="00067D34">
            <w:rPr>
              <w:rFonts w:cstheme="minorHAnsi"/>
              <w:shd w:val="clear" w:color="auto" w:fill="FFFFFF"/>
              <w:lang w:val="en-GB"/>
            </w:rPr>
            <w:fldChar w:fldCharType="separate"/>
          </w:r>
          <w:r w:rsidR="00D853B9" w:rsidRPr="00D853B9">
            <w:rPr>
              <w:rFonts w:cstheme="minorHAnsi"/>
              <w:noProof/>
              <w:shd w:val="clear" w:color="auto" w:fill="FFFFFF"/>
              <w:lang w:val="en-GB"/>
            </w:rPr>
            <w:t>(Fama &amp; French, 2004)</w:t>
          </w:r>
          <w:r w:rsidR="00067D34">
            <w:rPr>
              <w:rFonts w:cstheme="minorHAnsi"/>
              <w:shd w:val="clear" w:color="auto" w:fill="FFFFFF"/>
              <w:lang w:val="en-GB"/>
            </w:rPr>
            <w:fldChar w:fldCharType="end"/>
          </w:r>
        </w:sdtContent>
      </w:sdt>
      <w:r w:rsidR="0021030B">
        <w:rPr>
          <w:rFonts w:cstheme="minorHAnsi"/>
          <w:shd w:val="clear" w:color="auto" w:fill="FFFFFF"/>
          <w:lang w:val="en-GB"/>
        </w:rPr>
        <w:t>!</w:t>
      </w:r>
    </w:p>
    <w:p w:rsidR="00622281" w:rsidRDefault="00622281" w:rsidP="005A062F">
      <w:pPr>
        <w:spacing w:line="360" w:lineRule="auto"/>
        <w:rPr>
          <w:rFonts w:cstheme="minorHAnsi"/>
          <w:shd w:val="clear" w:color="auto" w:fill="FFFFFF"/>
          <w:lang w:val="en-GB"/>
        </w:rPr>
      </w:pPr>
      <w:r>
        <w:rPr>
          <w:rFonts w:cstheme="minorHAnsi"/>
          <w:shd w:val="clear" w:color="auto" w:fill="FFFFFF"/>
          <w:lang w:val="en-GB"/>
        </w:rPr>
        <w:br w:type="page"/>
      </w:r>
    </w:p>
    <w:p w:rsidR="00160FDE" w:rsidRDefault="00622281" w:rsidP="005A062F">
      <w:pPr>
        <w:shd w:val="clear" w:color="auto" w:fill="FFFFFF"/>
        <w:spacing w:before="100" w:beforeAutospacing="1" w:after="24" w:line="360" w:lineRule="auto"/>
        <w:jc w:val="both"/>
        <w:rPr>
          <w:rFonts w:cstheme="minorHAnsi"/>
          <w:shd w:val="clear" w:color="auto" w:fill="FFFFFF"/>
          <w:lang w:val="en-GB"/>
        </w:rPr>
      </w:pPr>
      <w:r>
        <w:rPr>
          <w:rFonts w:cstheme="minorHAnsi"/>
          <w:shd w:val="clear" w:color="auto" w:fill="FFFFFF"/>
          <w:lang w:val="en-GB"/>
        </w:rPr>
        <w:lastRenderedPageBreak/>
        <w:t xml:space="preserve">The </w:t>
      </w:r>
      <w:r w:rsidR="00160FDE">
        <w:rPr>
          <w:rFonts w:cstheme="minorHAnsi"/>
          <w:shd w:val="clear" w:color="auto" w:fill="FFFFFF"/>
          <w:lang w:val="en-GB"/>
        </w:rPr>
        <w:t>CAPM</w:t>
      </w:r>
      <w:r>
        <w:rPr>
          <w:rFonts w:cstheme="minorHAnsi"/>
          <w:shd w:val="clear" w:color="auto" w:fill="FFFFFF"/>
          <w:lang w:val="en-GB"/>
        </w:rPr>
        <w:t xml:space="preserve"> thus boils down to the </w:t>
      </w:r>
      <w:r w:rsidR="005348B0" w:rsidRPr="006F2D73">
        <w:rPr>
          <w:rFonts w:cstheme="minorHAnsi"/>
          <w:shd w:val="clear" w:color="auto" w:fill="FFFFFF"/>
          <w:lang w:val="en-GB"/>
        </w:rPr>
        <w:t>following formulas:</w:t>
      </w:r>
      <w:r w:rsidR="00D218F4">
        <w:rPr>
          <w:rFonts w:cstheme="minorHAnsi"/>
          <w:shd w:val="clear" w:color="auto" w:fill="FFFFFF"/>
          <w:lang w:val="en-GB"/>
        </w:rPr>
        <w:t xml:space="preserve"> </w:t>
      </w:r>
      <w:sdt>
        <w:sdtPr>
          <w:rPr>
            <w:rFonts w:cstheme="minorHAnsi"/>
            <w:shd w:val="clear" w:color="auto" w:fill="FFFFFF"/>
            <w:lang w:val="en-GB"/>
          </w:rPr>
          <w:id w:val="16567665"/>
          <w:citation/>
        </w:sdtPr>
        <w:sdtContent>
          <w:r w:rsidR="00067D34">
            <w:rPr>
              <w:rFonts w:cstheme="minorHAnsi"/>
              <w:shd w:val="clear" w:color="auto" w:fill="FFFFFF"/>
              <w:lang w:val="en-GB"/>
            </w:rPr>
            <w:fldChar w:fldCharType="begin"/>
          </w:r>
          <w:r w:rsidR="00D853B9" w:rsidRPr="00D853B9">
            <w:rPr>
              <w:rFonts w:cstheme="minorHAnsi"/>
              <w:shd w:val="clear" w:color="auto" w:fill="FFFFFF"/>
              <w:lang w:val="en-GB"/>
            </w:rPr>
            <w:instrText xml:space="preserve"> CITATION Fam04 \l 1043  </w:instrText>
          </w:r>
          <w:r w:rsidR="00067D34">
            <w:rPr>
              <w:rFonts w:cstheme="minorHAnsi"/>
              <w:shd w:val="clear" w:color="auto" w:fill="FFFFFF"/>
              <w:lang w:val="en-GB"/>
            </w:rPr>
            <w:fldChar w:fldCharType="separate"/>
          </w:r>
          <w:r w:rsidR="00D853B9" w:rsidRPr="00D853B9">
            <w:rPr>
              <w:rFonts w:cstheme="minorHAnsi"/>
              <w:noProof/>
              <w:shd w:val="clear" w:color="auto" w:fill="FFFFFF"/>
              <w:lang w:val="en-GB"/>
            </w:rPr>
            <w:t>(Fama &amp; French, 2004)</w:t>
          </w:r>
          <w:r w:rsidR="00067D34">
            <w:rPr>
              <w:rFonts w:cstheme="minorHAnsi"/>
              <w:shd w:val="clear" w:color="auto" w:fill="FFFFFF"/>
              <w:lang w:val="en-GB"/>
            </w:rPr>
            <w:fldChar w:fldCharType="end"/>
          </w:r>
        </w:sdtContent>
      </w:sdt>
    </w:p>
    <w:p w:rsidR="00160FDE" w:rsidRDefault="00160FDE" w:rsidP="005A062F">
      <w:pPr>
        <w:shd w:val="clear" w:color="auto" w:fill="FFFFFF"/>
        <w:spacing w:before="100" w:beforeAutospacing="1" w:after="24" w:line="360" w:lineRule="auto"/>
        <w:jc w:val="both"/>
        <w:rPr>
          <w:rFonts w:cstheme="minorHAnsi"/>
          <w:shd w:val="clear" w:color="auto" w:fill="FFFFFF"/>
          <w:lang w:val="en-GB"/>
        </w:rPr>
      </w:pPr>
    </w:p>
    <w:p w:rsidR="005348B0" w:rsidRDefault="00067D34" w:rsidP="005A062F">
      <w:pPr>
        <w:shd w:val="clear" w:color="auto" w:fill="FFFFFF"/>
        <w:spacing w:before="100" w:beforeAutospacing="1" w:after="24" w:line="360" w:lineRule="auto"/>
        <w:jc w:val="both"/>
        <w:rPr>
          <w:rFonts w:eastAsiaTheme="minorEastAsia" w:cstheme="minorHAnsi"/>
          <w:shd w:val="clear" w:color="auto" w:fill="FFFFFF"/>
          <w:lang w:val="en-GB"/>
        </w:rPr>
      </w:pPr>
      <m:oMathPara>
        <m:oMath>
          <m:f>
            <m:fPr>
              <m:ctrlPr>
                <w:rPr>
                  <w:rFonts w:ascii="Cambria Math" w:hAnsi="Cambria Math" w:cstheme="minorHAnsi"/>
                  <w:i/>
                  <w:shd w:val="clear" w:color="auto" w:fill="FFFFFF"/>
                  <w:lang w:val="en-GB"/>
                </w:rPr>
              </m:ctrlPr>
            </m:fPr>
            <m:num>
              <m:d>
                <m:dPr>
                  <m:ctrlPr>
                    <w:rPr>
                      <w:rFonts w:ascii="Cambria Math" w:hAnsi="Cambria Math" w:cstheme="minorHAnsi"/>
                      <w:i/>
                      <w:shd w:val="clear" w:color="auto" w:fill="FFFFFF"/>
                      <w:lang w:val="en-GB"/>
                    </w:rPr>
                  </m:ctrlPr>
                </m:dPr>
                <m:e>
                  <m:r>
                    <w:rPr>
                      <w:rFonts w:ascii="Cambria Math" w:hAnsi="Cambria Math" w:cstheme="minorHAnsi"/>
                      <w:shd w:val="clear" w:color="auto" w:fill="FFFFFF"/>
                      <w:lang w:val="en-GB"/>
                    </w:rPr>
                    <m:t>E</m:t>
                  </m:r>
                  <m:d>
                    <m:dPr>
                      <m:ctrlPr>
                        <w:rPr>
                          <w:rFonts w:ascii="Cambria Math" w:hAnsi="Cambria Math" w:cstheme="minorHAnsi"/>
                          <w:i/>
                          <w:shd w:val="clear" w:color="auto" w:fill="FFFFFF"/>
                          <w:lang w:val="en-GB"/>
                        </w:rPr>
                      </m:ctrlPr>
                    </m:dPr>
                    <m:e>
                      <m:r>
                        <w:rPr>
                          <w:rFonts w:ascii="Cambria Math" w:hAnsi="Cambria Math" w:cstheme="minorHAnsi"/>
                          <w:shd w:val="clear" w:color="auto" w:fill="FFFFFF"/>
                          <w:lang w:val="en-GB"/>
                        </w:rPr>
                        <m:t>Ri</m:t>
                      </m:r>
                    </m:e>
                  </m:d>
                  <m:r>
                    <w:rPr>
                      <w:rFonts w:ascii="Cambria Math" w:hAnsi="Cambria Math" w:cstheme="minorHAnsi"/>
                      <w:shd w:val="clear" w:color="auto" w:fill="FFFFFF"/>
                      <w:lang w:val="en-GB"/>
                    </w:rPr>
                    <m:t>- Rf</m:t>
                  </m:r>
                </m:e>
              </m:d>
            </m:num>
            <m:den>
              <m:r>
                <w:rPr>
                  <w:rFonts w:ascii="Cambria Math" w:hAnsi="Cambria Math" w:cstheme="minorHAnsi"/>
                  <w:shd w:val="clear" w:color="auto" w:fill="FFFFFF"/>
                  <w:lang w:val="en-GB"/>
                </w:rPr>
                <m:t>βi</m:t>
              </m:r>
            </m:den>
          </m:f>
          <m:r>
            <w:rPr>
              <w:rFonts w:ascii="Cambria Math" w:hAnsi="Cambria Math" w:cstheme="minorHAnsi"/>
              <w:shd w:val="clear" w:color="auto" w:fill="FFFFFF"/>
              <w:lang w:val="en-GB"/>
            </w:rPr>
            <m:t>=E</m:t>
          </m:r>
          <m:d>
            <m:dPr>
              <m:ctrlPr>
                <w:rPr>
                  <w:rFonts w:ascii="Cambria Math" w:hAnsi="Cambria Math" w:cstheme="minorHAnsi"/>
                  <w:i/>
                  <w:shd w:val="clear" w:color="auto" w:fill="FFFFFF"/>
                  <w:lang w:val="en-GB"/>
                </w:rPr>
              </m:ctrlPr>
            </m:dPr>
            <m:e>
              <m:r>
                <w:rPr>
                  <w:rFonts w:ascii="Cambria Math" w:hAnsi="Cambria Math" w:cstheme="minorHAnsi"/>
                  <w:shd w:val="clear" w:color="auto" w:fill="FFFFFF"/>
                  <w:lang w:val="en-GB"/>
                </w:rPr>
                <m:t>Rm</m:t>
              </m:r>
            </m:e>
          </m:d>
          <m:r>
            <w:rPr>
              <w:rFonts w:ascii="Cambria Math" w:hAnsi="Cambria Math" w:cstheme="minorHAnsi"/>
              <w:shd w:val="clear" w:color="auto" w:fill="FFFFFF"/>
              <w:lang w:val="en-GB"/>
            </w:rPr>
            <m:t>- Rf</m:t>
          </m:r>
        </m:oMath>
      </m:oMathPara>
    </w:p>
    <w:p w:rsidR="00160FDE" w:rsidRDefault="00160FDE" w:rsidP="005A062F">
      <w:pPr>
        <w:shd w:val="clear" w:color="auto" w:fill="FFFFFF"/>
        <w:spacing w:before="100" w:beforeAutospacing="1" w:after="24" w:line="360" w:lineRule="auto"/>
        <w:jc w:val="both"/>
        <w:rPr>
          <w:rFonts w:eastAsiaTheme="minorEastAsia" w:cstheme="minorHAnsi"/>
          <w:shd w:val="clear" w:color="auto" w:fill="FFFFFF"/>
          <w:lang w:val="en-GB"/>
        </w:rPr>
      </w:pPr>
    </w:p>
    <w:p w:rsidR="005A1653" w:rsidRPr="00160FDE" w:rsidRDefault="00160FDE" w:rsidP="005A062F">
      <w:pPr>
        <w:shd w:val="clear" w:color="auto" w:fill="FFFFFF"/>
        <w:spacing w:before="100" w:beforeAutospacing="1" w:after="24" w:line="360" w:lineRule="auto"/>
        <w:jc w:val="both"/>
        <w:rPr>
          <w:rFonts w:eastAsiaTheme="minorEastAsia" w:cstheme="minorHAnsi"/>
          <w:shd w:val="clear" w:color="auto" w:fill="FFFFFF"/>
          <w:lang w:val="en-GB"/>
        </w:rPr>
      </w:pPr>
      <m:oMathPara>
        <m:oMath>
          <m:r>
            <w:rPr>
              <w:rFonts w:ascii="Cambria Math" w:eastAsiaTheme="minorEastAsia" w:hAnsi="Cambria Math" w:cstheme="minorHAnsi"/>
              <w:shd w:val="clear" w:color="auto" w:fill="FFFFFF"/>
              <w:lang w:val="en-GB"/>
            </w:rPr>
            <m:t>E</m:t>
          </m:r>
          <m:d>
            <m:dPr>
              <m:ctrlPr>
                <w:rPr>
                  <w:rFonts w:ascii="Cambria Math" w:eastAsiaTheme="minorEastAsia" w:hAnsi="Cambria Math" w:cstheme="minorHAnsi"/>
                  <w:i/>
                  <w:shd w:val="clear" w:color="auto" w:fill="FFFFFF"/>
                  <w:lang w:val="en-GB"/>
                </w:rPr>
              </m:ctrlPr>
            </m:dPr>
            <m:e>
              <m:r>
                <w:rPr>
                  <w:rFonts w:ascii="Cambria Math" w:eastAsiaTheme="minorEastAsia" w:hAnsi="Cambria Math" w:cstheme="minorHAnsi"/>
                  <w:shd w:val="clear" w:color="auto" w:fill="FFFFFF"/>
                  <w:lang w:val="en-GB"/>
                </w:rPr>
                <m:t>Ri</m:t>
              </m:r>
            </m:e>
          </m:d>
          <m:r>
            <w:rPr>
              <w:rFonts w:ascii="Cambria Math" w:eastAsiaTheme="minorEastAsia" w:hAnsi="Cambria Math" w:cstheme="minorHAnsi"/>
              <w:shd w:val="clear" w:color="auto" w:fill="FFFFFF"/>
              <w:lang w:val="en-GB"/>
            </w:rPr>
            <m:t>= Rf+ βi</m:t>
          </m:r>
          <m:d>
            <m:dPr>
              <m:ctrlPr>
                <w:rPr>
                  <w:rFonts w:ascii="Cambria Math" w:eastAsiaTheme="minorEastAsia" w:hAnsi="Cambria Math" w:cstheme="minorHAnsi"/>
                  <w:i/>
                  <w:shd w:val="clear" w:color="auto" w:fill="FFFFFF"/>
                  <w:lang w:val="en-GB"/>
                </w:rPr>
              </m:ctrlPr>
            </m:dPr>
            <m:e>
              <m:r>
                <w:rPr>
                  <w:rFonts w:ascii="Cambria Math" w:eastAsiaTheme="minorEastAsia" w:hAnsi="Cambria Math" w:cstheme="minorHAnsi"/>
                  <w:shd w:val="clear" w:color="auto" w:fill="FFFFFF"/>
                  <w:lang w:val="en-GB"/>
                </w:rPr>
                <m:t>E</m:t>
              </m:r>
              <m:d>
                <m:dPr>
                  <m:ctrlPr>
                    <w:rPr>
                      <w:rFonts w:ascii="Cambria Math" w:eastAsiaTheme="minorEastAsia" w:hAnsi="Cambria Math" w:cstheme="minorHAnsi"/>
                      <w:i/>
                      <w:shd w:val="clear" w:color="auto" w:fill="FFFFFF"/>
                      <w:lang w:val="en-GB"/>
                    </w:rPr>
                  </m:ctrlPr>
                </m:dPr>
                <m:e>
                  <m:r>
                    <w:rPr>
                      <w:rFonts w:ascii="Cambria Math" w:eastAsiaTheme="minorEastAsia" w:hAnsi="Cambria Math" w:cstheme="minorHAnsi"/>
                      <w:shd w:val="clear" w:color="auto" w:fill="FFFFFF"/>
                      <w:lang w:val="en-GB"/>
                    </w:rPr>
                    <m:t>Rm</m:t>
                  </m:r>
                </m:e>
              </m:d>
              <m:r>
                <w:rPr>
                  <w:rFonts w:ascii="Cambria Math" w:eastAsiaTheme="minorEastAsia" w:hAnsi="Cambria Math" w:cstheme="minorHAnsi"/>
                  <w:shd w:val="clear" w:color="auto" w:fill="FFFFFF"/>
                  <w:lang w:val="en-GB"/>
                </w:rPr>
                <m:t>- Rf</m:t>
              </m:r>
            </m:e>
          </m:d>
        </m:oMath>
      </m:oMathPara>
    </w:p>
    <w:p w:rsidR="005A1653" w:rsidRPr="001A753B" w:rsidRDefault="005A1653" w:rsidP="005A062F">
      <w:pPr>
        <w:shd w:val="clear" w:color="auto" w:fill="FFFFFF"/>
        <w:spacing w:after="24" w:line="360" w:lineRule="auto"/>
        <w:ind w:left="720"/>
        <w:jc w:val="both"/>
        <w:rPr>
          <w:rFonts w:cstheme="minorHAnsi"/>
          <w:color w:val="252525"/>
          <w:lang w:val="en-GB"/>
        </w:rPr>
      </w:pPr>
    </w:p>
    <w:p w:rsidR="00095427" w:rsidRDefault="00095427" w:rsidP="005A062F">
      <w:pPr>
        <w:spacing w:line="360" w:lineRule="auto"/>
        <w:ind w:left="708"/>
        <w:jc w:val="both"/>
        <w:rPr>
          <w:rFonts w:cstheme="minorHAnsi"/>
          <w:i/>
          <w:lang w:val="en-GB"/>
        </w:rPr>
      </w:pPr>
      <w:r>
        <w:rPr>
          <w:rFonts w:cstheme="minorHAnsi"/>
          <w:i/>
          <w:lang w:val="en-GB"/>
        </w:rPr>
        <w:t>Where;</w:t>
      </w:r>
    </w:p>
    <w:p w:rsidR="005348B0" w:rsidRPr="006F2D73" w:rsidRDefault="005348B0" w:rsidP="005A062F">
      <w:pPr>
        <w:spacing w:line="360" w:lineRule="auto"/>
        <w:ind w:left="708"/>
        <w:jc w:val="both"/>
        <w:rPr>
          <w:rFonts w:cstheme="minorHAnsi"/>
          <w:i/>
          <w:lang w:val="en-GB"/>
        </w:rPr>
      </w:pPr>
      <w:r w:rsidRPr="006F2D73">
        <w:rPr>
          <w:rFonts w:cstheme="minorHAnsi"/>
          <w:i/>
          <w:lang w:val="en-GB"/>
        </w:rPr>
        <w:t>E(R</w:t>
      </w:r>
      <w:r w:rsidRPr="006F2D73">
        <w:rPr>
          <w:rFonts w:cstheme="minorHAnsi"/>
          <w:i/>
          <w:vertAlign w:val="subscript"/>
          <w:lang w:val="en-GB"/>
        </w:rPr>
        <w:t>i</w:t>
      </w:r>
      <w:r w:rsidRPr="006F2D73">
        <w:rPr>
          <w:rFonts w:cstheme="minorHAnsi"/>
          <w:i/>
          <w:lang w:val="en-GB"/>
        </w:rPr>
        <w:t xml:space="preserve">) </w:t>
      </w:r>
      <w:r w:rsidR="000A03F5">
        <w:rPr>
          <w:rFonts w:cstheme="minorHAnsi"/>
          <w:i/>
          <w:lang w:val="en-GB"/>
        </w:rPr>
        <w:tab/>
      </w:r>
      <w:r w:rsidRPr="006F2D73">
        <w:rPr>
          <w:rFonts w:cstheme="minorHAnsi"/>
          <w:i/>
          <w:lang w:val="en-GB"/>
        </w:rPr>
        <w:t xml:space="preserve">= </w:t>
      </w:r>
      <w:r w:rsidR="0069430A">
        <w:rPr>
          <w:rFonts w:cstheme="minorHAnsi"/>
          <w:i/>
          <w:lang w:val="en-GB"/>
        </w:rPr>
        <w:tab/>
      </w:r>
      <w:r w:rsidRPr="006F2D73">
        <w:rPr>
          <w:rFonts w:cstheme="minorHAnsi"/>
          <w:i/>
          <w:lang w:val="en-GB"/>
        </w:rPr>
        <w:t>Expected return on the asset</w:t>
      </w:r>
    </w:p>
    <w:p w:rsidR="005348B0" w:rsidRPr="006F2D73" w:rsidRDefault="005348B0" w:rsidP="005A062F">
      <w:pPr>
        <w:spacing w:line="360" w:lineRule="auto"/>
        <w:ind w:left="708"/>
        <w:jc w:val="both"/>
        <w:rPr>
          <w:rFonts w:cstheme="minorHAnsi"/>
          <w:i/>
          <w:lang w:val="en-GB"/>
        </w:rPr>
      </w:pPr>
      <w:r w:rsidRPr="006F2D73">
        <w:rPr>
          <w:rFonts w:cstheme="minorHAnsi"/>
          <w:i/>
          <w:lang w:val="en-GB"/>
        </w:rPr>
        <w:t>R</w:t>
      </w:r>
      <w:r w:rsidRPr="006F2D73">
        <w:rPr>
          <w:rFonts w:cstheme="minorHAnsi"/>
          <w:i/>
          <w:vertAlign w:val="subscript"/>
          <w:lang w:val="en-GB"/>
        </w:rPr>
        <w:t>f</w:t>
      </w:r>
      <w:r w:rsidRPr="006F2D73">
        <w:rPr>
          <w:rFonts w:cstheme="minorHAnsi"/>
          <w:i/>
          <w:lang w:val="en-GB"/>
        </w:rPr>
        <w:t xml:space="preserve"> </w:t>
      </w:r>
      <w:r w:rsidR="000A03F5">
        <w:rPr>
          <w:rFonts w:cstheme="minorHAnsi"/>
          <w:i/>
          <w:lang w:val="en-GB"/>
        </w:rPr>
        <w:tab/>
      </w:r>
      <w:r w:rsidRPr="006F2D73">
        <w:rPr>
          <w:rFonts w:cstheme="minorHAnsi"/>
          <w:i/>
          <w:lang w:val="en-GB"/>
        </w:rPr>
        <w:t xml:space="preserve">= </w:t>
      </w:r>
      <w:r w:rsidR="0069430A">
        <w:rPr>
          <w:rFonts w:cstheme="minorHAnsi"/>
          <w:i/>
          <w:lang w:val="en-GB"/>
        </w:rPr>
        <w:tab/>
      </w:r>
      <w:r w:rsidRPr="006F2D73">
        <w:rPr>
          <w:rFonts w:cstheme="minorHAnsi"/>
          <w:i/>
          <w:lang w:val="en-GB"/>
        </w:rPr>
        <w:t>Risk-free rate</w:t>
      </w:r>
    </w:p>
    <w:p w:rsidR="005348B0" w:rsidRPr="006F2D73" w:rsidRDefault="005348B0" w:rsidP="005A062F">
      <w:pPr>
        <w:spacing w:line="360" w:lineRule="auto"/>
        <w:ind w:left="708"/>
        <w:jc w:val="both"/>
        <w:rPr>
          <w:rFonts w:cstheme="minorHAnsi"/>
          <w:i/>
          <w:lang w:val="en-GB"/>
        </w:rPr>
      </w:pPr>
      <w:r w:rsidRPr="006F2D73">
        <w:rPr>
          <w:rFonts w:cstheme="minorHAnsi"/>
          <w:i/>
          <w:lang w:val="en-GB"/>
        </w:rPr>
        <w:t>Β</w:t>
      </w:r>
      <w:r w:rsidRPr="006F2D73">
        <w:rPr>
          <w:rFonts w:cstheme="minorHAnsi"/>
          <w:i/>
          <w:vertAlign w:val="subscript"/>
          <w:lang w:val="en-GB"/>
        </w:rPr>
        <w:t>i</w:t>
      </w:r>
      <w:r w:rsidRPr="006F2D73">
        <w:rPr>
          <w:rFonts w:cstheme="minorHAnsi"/>
          <w:i/>
          <w:lang w:val="en-GB"/>
        </w:rPr>
        <w:t xml:space="preserve"> </w:t>
      </w:r>
      <w:r w:rsidR="000A03F5">
        <w:rPr>
          <w:rFonts w:cstheme="minorHAnsi"/>
          <w:i/>
          <w:lang w:val="en-GB"/>
        </w:rPr>
        <w:tab/>
      </w:r>
      <w:r w:rsidRPr="006F2D73">
        <w:rPr>
          <w:rFonts w:cstheme="minorHAnsi"/>
          <w:i/>
          <w:lang w:val="en-GB"/>
        </w:rPr>
        <w:t xml:space="preserve">= </w:t>
      </w:r>
      <w:r w:rsidR="0069430A">
        <w:rPr>
          <w:rFonts w:cstheme="minorHAnsi"/>
          <w:i/>
          <w:lang w:val="en-GB"/>
        </w:rPr>
        <w:tab/>
      </w:r>
      <w:r w:rsidR="006F2D73" w:rsidRPr="006F2D73">
        <w:rPr>
          <w:rFonts w:cstheme="minorHAnsi"/>
          <w:i/>
          <w:lang w:val="en-GB"/>
        </w:rPr>
        <w:t>S</w:t>
      </w:r>
      <w:r w:rsidRPr="006F2D73">
        <w:rPr>
          <w:rFonts w:cstheme="minorHAnsi"/>
          <w:i/>
          <w:lang w:val="en-GB"/>
        </w:rPr>
        <w:t>ensitivity of the expected asset returns to the expected market returns</w:t>
      </w:r>
    </w:p>
    <w:p w:rsidR="006F2D73" w:rsidRPr="006F2D73" w:rsidRDefault="005348B0" w:rsidP="005A062F">
      <w:pPr>
        <w:spacing w:line="360" w:lineRule="auto"/>
        <w:ind w:left="708"/>
        <w:jc w:val="both"/>
        <w:rPr>
          <w:rFonts w:cstheme="minorHAnsi"/>
          <w:i/>
          <w:lang w:val="en-GB"/>
        </w:rPr>
      </w:pPr>
      <w:r w:rsidRPr="006F2D73">
        <w:rPr>
          <w:rFonts w:cstheme="minorHAnsi"/>
          <w:i/>
          <w:lang w:val="en-GB"/>
        </w:rPr>
        <w:t>E(R</w:t>
      </w:r>
      <w:r w:rsidRPr="006F2D73">
        <w:rPr>
          <w:rFonts w:cstheme="minorHAnsi"/>
          <w:i/>
          <w:vertAlign w:val="subscript"/>
          <w:lang w:val="en-GB"/>
        </w:rPr>
        <w:t>m</w:t>
      </w:r>
      <w:r w:rsidRPr="006F2D73">
        <w:rPr>
          <w:rFonts w:cstheme="minorHAnsi"/>
          <w:i/>
          <w:lang w:val="en-GB"/>
        </w:rPr>
        <w:t xml:space="preserve">) </w:t>
      </w:r>
      <w:r w:rsidR="000A03F5">
        <w:rPr>
          <w:rFonts w:cstheme="minorHAnsi"/>
          <w:i/>
          <w:lang w:val="en-GB"/>
        </w:rPr>
        <w:tab/>
      </w:r>
      <w:r w:rsidRPr="006F2D73">
        <w:rPr>
          <w:rFonts w:cstheme="minorHAnsi"/>
          <w:i/>
          <w:lang w:val="en-GB"/>
        </w:rPr>
        <w:t xml:space="preserve">= </w:t>
      </w:r>
      <w:r w:rsidR="0069430A">
        <w:rPr>
          <w:rFonts w:cstheme="minorHAnsi"/>
          <w:i/>
          <w:lang w:val="en-GB"/>
        </w:rPr>
        <w:tab/>
      </w:r>
      <w:r w:rsidR="006F2D73" w:rsidRPr="006F2D73">
        <w:rPr>
          <w:rFonts w:cstheme="minorHAnsi"/>
          <w:i/>
          <w:lang w:val="en-GB"/>
        </w:rPr>
        <w:t>Expected return of the market</w:t>
      </w:r>
    </w:p>
    <w:p w:rsidR="006F2D73" w:rsidRPr="006F2D73" w:rsidRDefault="006F2D73" w:rsidP="005A062F">
      <w:pPr>
        <w:spacing w:line="360" w:lineRule="auto"/>
        <w:ind w:left="708"/>
        <w:jc w:val="both"/>
        <w:rPr>
          <w:rFonts w:cstheme="minorHAnsi"/>
          <w:lang w:val="en-GB"/>
        </w:rPr>
      </w:pPr>
      <w:r w:rsidRPr="006F2D73">
        <w:rPr>
          <w:rFonts w:cstheme="minorHAnsi"/>
          <w:i/>
          <w:lang w:val="en-GB"/>
        </w:rPr>
        <w:t>The risk premium can therefore be seen as (E(R</w:t>
      </w:r>
      <w:r w:rsidRPr="006F2D73">
        <w:rPr>
          <w:rFonts w:cstheme="minorHAnsi"/>
          <w:i/>
          <w:vertAlign w:val="subscript"/>
          <w:lang w:val="en-GB"/>
        </w:rPr>
        <w:t>i</w:t>
      </w:r>
      <w:r w:rsidRPr="006F2D73">
        <w:rPr>
          <w:rFonts w:cstheme="minorHAnsi"/>
          <w:i/>
          <w:lang w:val="en-GB"/>
        </w:rPr>
        <w:t>)-R</w:t>
      </w:r>
      <w:r w:rsidRPr="006F2D73">
        <w:rPr>
          <w:rFonts w:cstheme="minorHAnsi"/>
          <w:i/>
          <w:vertAlign w:val="subscript"/>
          <w:lang w:val="en-GB"/>
        </w:rPr>
        <w:t>f</w:t>
      </w:r>
      <w:r w:rsidRPr="006F2D73">
        <w:rPr>
          <w:rFonts w:cstheme="minorHAnsi"/>
          <w:i/>
          <w:lang w:val="en-GB"/>
        </w:rPr>
        <w:t xml:space="preserve">). </w:t>
      </w:r>
    </w:p>
    <w:p w:rsidR="00DA56AB" w:rsidRDefault="006F2D73" w:rsidP="005A062F">
      <w:pPr>
        <w:spacing w:line="360" w:lineRule="auto"/>
        <w:jc w:val="both"/>
        <w:rPr>
          <w:rFonts w:cstheme="minorHAnsi"/>
          <w:lang w:val="en-GB"/>
        </w:rPr>
      </w:pPr>
      <w:r w:rsidRPr="006F2D73">
        <w:rPr>
          <w:rFonts w:cstheme="minorHAnsi"/>
          <w:lang w:val="en-GB"/>
        </w:rPr>
        <w:t xml:space="preserve">The importance in the knowledge behind the CAPM lies in the fact that the EventStudy Tool which will be used in DataStream to calculate the ARs, and therewith the CARs, makes use of this model when calculating the expected return factor. </w:t>
      </w:r>
    </w:p>
    <w:p w:rsidR="00DA56AB" w:rsidRDefault="00DA56AB" w:rsidP="005A062F">
      <w:pPr>
        <w:spacing w:line="360" w:lineRule="auto"/>
        <w:rPr>
          <w:rFonts w:cstheme="minorHAnsi"/>
          <w:lang w:val="en-GB"/>
        </w:rPr>
      </w:pPr>
      <w:r>
        <w:rPr>
          <w:rFonts w:cstheme="minorHAnsi"/>
          <w:lang w:val="en-GB"/>
        </w:rPr>
        <w:br w:type="page"/>
      </w:r>
    </w:p>
    <w:p w:rsidR="00DA56AB" w:rsidRPr="00200032" w:rsidRDefault="00A717B1" w:rsidP="00A717B1">
      <w:pPr>
        <w:spacing w:line="360" w:lineRule="auto"/>
        <w:ind w:left="708" w:firstLine="708"/>
        <w:jc w:val="both"/>
        <w:rPr>
          <w:b/>
          <w:lang w:val="en-GB"/>
        </w:rPr>
      </w:pPr>
      <w:r>
        <w:rPr>
          <w:b/>
          <w:sz w:val="24"/>
          <w:lang w:val="en-GB"/>
        </w:rPr>
        <w:lastRenderedPageBreak/>
        <w:t>2.2</w:t>
      </w:r>
      <w:r w:rsidR="00DA56AB" w:rsidRPr="00200032">
        <w:rPr>
          <w:b/>
          <w:sz w:val="24"/>
          <w:lang w:val="en-GB"/>
        </w:rPr>
        <w:t xml:space="preserve"> – Abnormal Returns</w:t>
      </w:r>
    </w:p>
    <w:p w:rsidR="00DA56AB" w:rsidRPr="006F2D73" w:rsidRDefault="00DA56AB" w:rsidP="005A062F">
      <w:pPr>
        <w:spacing w:line="360" w:lineRule="auto"/>
        <w:jc w:val="both"/>
        <w:rPr>
          <w:rFonts w:cstheme="minorHAnsi"/>
          <w:lang w:val="en-GB"/>
        </w:rPr>
      </w:pPr>
      <w:r w:rsidRPr="006F2D73">
        <w:rPr>
          <w:rFonts w:cstheme="minorHAnsi"/>
          <w:lang w:val="en-GB"/>
        </w:rPr>
        <w:t xml:space="preserve">In this thesis the concept AR is mentioned multiple times, but what exactly is an AR? And how is it calculated? </w:t>
      </w:r>
      <w:r>
        <w:rPr>
          <w:rFonts w:cstheme="minorHAnsi"/>
          <w:lang w:val="en-GB"/>
        </w:rPr>
        <w:t>As AR stands for abnormal returns, this is a reliable measure to evaluate the impact of certain events</w:t>
      </w:r>
      <w:r w:rsidR="00B44FD6">
        <w:rPr>
          <w:rFonts w:cstheme="minorHAnsi"/>
          <w:lang w:val="en-GB"/>
        </w:rPr>
        <w:t xml:space="preserve"> </w:t>
      </w:r>
      <w:sdt>
        <w:sdtPr>
          <w:rPr>
            <w:rFonts w:cstheme="minorHAnsi"/>
            <w:lang w:val="en-GB"/>
          </w:rPr>
          <w:id w:val="15715926"/>
          <w:citation/>
        </w:sdtPr>
        <w:sdtContent>
          <w:r w:rsidR="00067D34">
            <w:rPr>
              <w:rFonts w:cstheme="minorHAnsi"/>
              <w:lang w:val="en-GB"/>
            </w:rPr>
            <w:fldChar w:fldCharType="begin"/>
          </w:r>
          <w:r w:rsidR="00D853B9" w:rsidRPr="00D853B9">
            <w:rPr>
              <w:rFonts w:cstheme="minorHAnsi"/>
              <w:lang w:val="en-GB"/>
            </w:rPr>
            <w:instrText xml:space="preserve"> CITATION Wil97 \l 1043  </w:instrText>
          </w:r>
          <w:r w:rsidR="00067D34">
            <w:rPr>
              <w:rFonts w:cstheme="minorHAnsi"/>
              <w:lang w:val="en-GB"/>
            </w:rPr>
            <w:fldChar w:fldCharType="separate"/>
          </w:r>
          <w:r w:rsidR="00D853B9" w:rsidRPr="00D853B9">
            <w:rPr>
              <w:rFonts w:cstheme="minorHAnsi"/>
              <w:noProof/>
              <w:lang w:val="en-GB"/>
            </w:rPr>
            <w:t>(MacKinley, 1997)</w:t>
          </w:r>
          <w:r w:rsidR="00067D34">
            <w:rPr>
              <w:rFonts w:cstheme="minorHAnsi"/>
              <w:lang w:val="en-GB"/>
            </w:rPr>
            <w:fldChar w:fldCharType="end"/>
          </w:r>
        </w:sdtContent>
      </w:sdt>
      <w:r>
        <w:rPr>
          <w:rFonts w:cstheme="minorHAnsi"/>
          <w:lang w:val="en-GB"/>
        </w:rPr>
        <w:t xml:space="preserve">. All kinds of events, like M&amp;As, can have influence on the returns of a company. In the absence of such an event, the expectation of the returns of the company will be conform the market model, however, when such an  event takes place, this can be influential on the returns. </w:t>
      </w:r>
      <w:sdt>
        <w:sdtPr>
          <w:rPr>
            <w:rFonts w:cstheme="minorHAnsi"/>
            <w:lang w:val="en-GB"/>
          </w:rPr>
          <w:id w:val="16567666"/>
          <w:citation/>
        </w:sdtPr>
        <w:sdtContent>
          <w:r w:rsidR="00067D34">
            <w:rPr>
              <w:rFonts w:cstheme="minorHAnsi"/>
              <w:lang w:val="en-GB"/>
            </w:rPr>
            <w:fldChar w:fldCharType="begin"/>
          </w:r>
          <w:r w:rsidR="00227C02" w:rsidRPr="00227C02">
            <w:rPr>
              <w:rFonts w:cstheme="minorHAnsi"/>
              <w:lang w:val="en-GB"/>
            </w:rPr>
            <w:instrText xml:space="preserve"> CITATION Bes10 \l 1043  </w:instrText>
          </w:r>
          <w:r w:rsidR="00067D34">
            <w:rPr>
              <w:rFonts w:cstheme="minorHAnsi"/>
              <w:lang w:val="en-GB"/>
            </w:rPr>
            <w:fldChar w:fldCharType="separate"/>
          </w:r>
          <w:r w:rsidR="00227C02" w:rsidRPr="00227C02">
            <w:rPr>
              <w:rFonts w:cstheme="minorHAnsi"/>
              <w:noProof/>
              <w:lang w:val="en-GB"/>
            </w:rPr>
            <w:t>(Besanko, Dranove, Shanley, &amp; Schaefer, 2010)</w:t>
          </w:r>
          <w:r w:rsidR="00067D34">
            <w:rPr>
              <w:rFonts w:cstheme="minorHAnsi"/>
              <w:lang w:val="en-GB"/>
            </w:rPr>
            <w:fldChar w:fldCharType="end"/>
          </w:r>
        </w:sdtContent>
      </w:sdt>
      <w:r w:rsidR="00D218F4">
        <w:rPr>
          <w:rFonts w:cstheme="minorHAnsi"/>
          <w:lang w:val="en-GB"/>
        </w:rPr>
        <w:t xml:space="preserve"> </w:t>
      </w:r>
      <w:r>
        <w:rPr>
          <w:rFonts w:cstheme="minorHAnsi"/>
          <w:lang w:val="en-GB"/>
        </w:rPr>
        <w:t>In this case, the actual return deviates from the expected return. The difference is what is called the AR.</w:t>
      </w:r>
      <w:r w:rsidR="00095427">
        <w:rPr>
          <w:rFonts w:cstheme="minorHAnsi"/>
          <w:lang w:val="en-GB"/>
        </w:rPr>
        <w:t xml:space="preserve"> The basis for event studies is laid down by the leading research of Mackinley (1997)</w:t>
      </w:r>
      <w:r w:rsidR="00B44FD6">
        <w:rPr>
          <w:rFonts w:cstheme="minorHAnsi"/>
          <w:lang w:val="en-GB"/>
        </w:rPr>
        <w:t xml:space="preserve"> and his findings will be used as the basis for this event study related research</w:t>
      </w:r>
      <w:r w:rsidR="00095427">
        <w:rPr>
          <w:rFonts w:cstheme="minorHAnsi"/>
          <w:lang w:val="en-GB"/>
        </w:rPr>
        <w:t>. This controversial research defined event study based researches and also introduced formulas regarding ARs. Formulas which are rehearsed and explained below:</w:t>
      </w:r>
      <w:sdt>
        <w:sdtPr>
          <w:rPr>
            <w:rFonts w:cstheme="minorHAnsi"/>
            <w:lang w:val="en-GB"/>
          </w:rPr>
          <w:id w:val="1794776"/>
          <w:citation/>
        </w:sdtPr>
        <w:sdtContent>
          <w:r w:rsidR="00067D34">
            <w:rPr>
              <w:rFonts w:cstheme="minorHAnsi"/>
              <w:lang w:val="en-GB"/>
            </w:rPr>
            <w:fldChar w:fldCharType="begin"/>
          </w:r>
          <w:r w:rsidR="00D853B9" w:rsidRPr="00D853B9">
            <w:rPr>
              <w:rFonts w:cstheme="minorHAnsi"/>
              <w:lang w:val="en-GB"/>
            </w:rPr>
            <w:instrText xml:space="preserve"> CITATION Wil97 \l 1043  </w:instrText>
          </w:r>
          <w:r w:rsidR="00067D34">
            <w:rPr>
              <w:rFonts w:cstheme="minorHAnsi"/>
              <w:lang w:val="en-GB"/>
            </w:rPr>
            <w:fldChar w:fldCharType="separate"/>
          </w:r>
          <w:r w:rsidR="00D853B9" w:rsidRPr="00D853B9">
            <w:rPr>
              <w:rFonts w:cstheme="minorHAnsi"/>
              <w:noProof/>
              <w:lang w:val="en-GB"/>
            </w:rPr>
            <w:t xml:space="preserve"> (MacKinley, 1997)</w:t>
          </w:r>
          <w:r w:rsidR="00067D34">
            <w:rPr>
              <w:rFonts w:cstheme="minorHAnsi"/>
              <w:lang w:val="en-GB"/>
            </w:rPr>
            <w:fldChar w:fldCharType="end"/>
          </w:r>
        </w:sdtContent>
      </w:sdt>
    </w:p>
    <w:p w:rsidR="00DA56AB" w:rsidRPr="00F1612B" w:rsidRDefault="000A03F5" w:rsidP="005A062F">
      <w:pPr>
        <w:spacing w:line="360" w:lineRule="auto"/>
        <w:ind w:firstLine="708"/>
        <w:jc w:val="center"/>
        <w:rPr>
          <w:rFonts w:cstheme="minorHAnsi"/>
          <w:i/>
          <w:lang w:val="en-GB"/>
        </w:rPr>
      </w:pPr>
      <w:r w:rsidRPr="00F1612B">
        <w:rPr>
          <w:rFonts w:cstheme="minorHAnsi"/>
          <w:i/>
          <w:lang w:val="en-GB"/>
        </w:rPr>
        <w:t>AR</w:t>
      </w:r>
      <w:r w:rsidRPr="00F1612B">
        <w:rPr>
          <w:rFonts w:cstheme="minorHAnsi"/>
          <w:i/>
          <w:sz w:val="24"/>
          <w:vertAlign w:val="subscript"/>
          <w:lang w:val="en-GB"/>
        </w:rPr>
        <w:t>i,t</w:t>
      </w:r>
      <w:r w:rsidR="00DA56AB" w:rsidRPr="00F1612B">
        <w:rPr>
          <w:rFonts w:cstheme="minorHAnsi"/>
          <w:i/>
          <w:sz w:val="24"/>
          <w:lang w:val="en-GB"/>
        </w:rPr>
        <w:t xml:space="preserve"> </w:t>
      </w:r>
      <w:r w:rsidR="00DA56AB" w:rsidRPr="00F1612B">
        <w:rPr>
          <w:rFonts w:cstheme="minorHAnsi"/>
          <w:i/>
          <w:lang w:val="en-GB"/>
        </w:rPr>
        <w:t xml:space="preserve">= </w:t>
      </w:r>
      <w:r w:rsidRPr="00F1612B">
        <w:rPr>
          <w:rFonts w:cstheme="minorHAnsi"/>
          <w:i/>
          <w:lang w:val="en-GB"/>
        </w:rPr>
        <w:t>R</w:t>
      </w:r>
      <w:r w:rsidRPr="00F1612B">
        <w:rPr>
          <w:rFonts w:cstheme="minorHAnsi"/>
          <w:i/>
          <w:sz w:val="24"/>
          <w:vertAlign w:val="subscript"/>
          <w:lang w:val="en-GB"/>
        </w:rPr>
        <w:t xml:space="preserve">i,t </w:t>
      </w:r>
      <w:r w:rsidR="00DA56AB" w:rsidRPr="00F1612B">
        <w:rPr>
          <w:rFonts w:cstheme="minorHAnsi"/>
          <w:i/>
          <w:lang w:val="en-GB"/>
        </w:rPr>
        <w:t>–</w:t>
      </w:r>
      <w:r w:rsidRPr="00F1612B">
        <w:rPr>
          <w:rFonts w:cstheme="minorHAnsi"/>
          <w:i/>
          <w:lang w:val="en-GB"/>
        </w:rPr>
        <w:t xml:space="preserve"> (E)R</w:t>
      </w:r>
      <w:r w:rsidRPr="00F1612B">
        <w:rPr>
          <w:rFonts w:cstheme="minorHAnsi"/>
          <w:i/>
          <w:sz w:val="24"/>
          <w:vertAlign w:val="subscript"/>
          <w:lang w:val="en-GB"/>
        </w:rPr>
        <w:t>i,t</w:t>
      </w:r>
    </w:p>
    <w:p w:rsidR="000A03F5" w:rsidRPr="00E2761A" w:rsidRDefault="000A03F5" w:rsidP="005A062F">
      <w:pPr>
        <w:pStyle w:val="ListParagraph"/>
        <w:spacing w:line="360" w:lineRule="auto"/>
        <w:rPr>
          <w:rFonts w:cstheme="minorHAnsi"/>
          <w:i/>
          <w:lang w:val="en-GB"/>
        </w:rPr>
      </w:pPr>
      <w:r w:rsidRPr="00E2761A">
        <w:rPr>
          <w:rFonts w:cstheme="minorHAnsi"/>
          <w:i/>
          <w:lang w:val="en-GB"/>
        </w:rPr>
        <w:t>AR</w:t>
      </w:r>
      <w:r w:rsidRPr="00E2761A">
        <w:rPr>
          <w:rFonts w:cstheme="minorHAnsi"/>
          <w:i/>
          <w:sz w:val="24"/>
          <w:vertAlign w:val="subscript"/>
          <w:lang w:val="en-GB"/>
        </w:rPr>
        <w:t xml:space="preserve">i,t </w:t>
      </w:r>
      <w:r w:rsidRPr="00E2761A">
        <w:rPr>
          <w:rFonts w:cstheme="minorHAnsi"/>
          <w:i/>
          <w:vertAlign w:val="subscript"/>
          <w:lang w:val="en-GB"/>
        </w:rPr>
        <w:tab/>
      </w:r>
      <w:r w:rsidRPr="00E2761A">
        <w:rPr>
          <w:rFonts w:cstheme="minorHAnsi"/>
          <w:i/>
          <w:lang w:val="en-GB"/>
        </w:rPr>
        <w:t xml:space="preserve">= </w:t>
      </w:r>
      <w:r w:rsidRPr="00E2761A">
        <w:rPr>
          <w:rFonts w:cstheme="minorHAnsi"/>
          <w:i/>
          <w:lang w:val="en-GB"/>
        </w:rPr>
        <w:tab/>
        <w:t>Abnormal return i on day t</w:t>
      </w:r>
    </w:p>
    <w:p w:rsidR="000A03F5" w:rsidRPr="00E2761A" w:rsidRDefault="000A03F5" w:rsidP="005A062F">
      <w:pPr>
        <w:pStyle w:val="ListParagraph"/>
        <w:spacing w:line="360" w:lineRule="auto"/>
        <w:rPr>
          <w:rFonts w:cstheme="minorHAnsi"/>
          <w:i/>
          <w:lang w:val="en-GB"/>
        </w:rPr>
      </w:pPr>
      <w:r w:rsidRPr="00E2761A">
        <w:rPr>
          <w:rFonts w:cstheme="minorHAnsi"/>
          <w:i/>
          <w:lang w:val="en-GB"/>
        </w:rPr>
        <w:t>R</w:t>
      </w:r>
      <w:r w:rsidR="00E2761A">
        <w:rPr>
          <w:rFonts w:cstheme="minorHAnsi"/>
          <w:i/>
          <w:sz w:val="24"/>
          <w:vertAlign w:val="subscript"/>
          <w:lang w:val="en-GB"/>
        </w:rPr>
        <w:t>i,t</w:t>
      </w:r>
      <w:r w:rsidRPr="00E2761A">
        <w:rPr>
          <w:rFonts w:cstheme="minorHAnsi"/>
          <w:i/>
          <w:lang w:val="en-GB"/>
        </w:rPr>
        <w:t xml:space="preserve"> </w:t>
      </w:r>
      <w:r w:rsidRPr="00E2761A">
        <w:rPr>
          <w:rFonts w:cstheme="minorHAnsi"/>
          <w:i/>
          <w:lang w:val="en-GB"/>
        </w:rPr>
        <w:tab/>
        <w:t xml:space="preserve">= </w:t>
      </w:r>
      <w:r w:rsidRPr="00E2761A">
        <w:rPr>
          <w:rFonts w:cstheme="minorHAnsi"/>
          <w:i/>
          <w:lang w:val="en-GB"/>
        </w:rPr>
        <w:tab/>
        <w:t>Actual return i on day t</w:t>
      </w:r>
    </w:p>
    <w:p w:rsidR="000A03F5" w:rsidRPr="00E2761A" w:rsidRDefault="000A03F5" w:rsidP="005A062F">
      <w:pPr>
        <w:pStyle w:val="ListParagraph"/>
        <w:spacing w:line="360" w:lineRule="auto"/>
        <w:rPr>
          <w:rFonts w:cstheme="minorHAnsi"/>
          <w:i/>
          <w:lang w:val="en-GB"/>
        </w:rPr>
      </w:pPr>
      <w:r w:rsidRPr="00E2761A">
        <w:rPr>
          <w:rFonts w:cstheme="minorHAnsi"/>
          <w:i/>
          <w:lang w:val="en-GB"/>
        </w:rPr>
        <w:t>(E)R</w:t>
      </w:r>
      <w:r w:rsidRPr="00E2761A">
        <w:rPr>
          <w:rFonts w:cstheme="minorHAnsi"/>
          <w:i/>
          <w:sz w:val="24"/>
          <w:vertAlign w:val="subscript"/>
          <w:lang w:val="en-GB"/>
        </w:rPr>
        <w:t xml:space="preserve">i,t </w:t>
      </w:r>
      <w:r w:rsidRPr="00E2761A">
        <w:rPr>
          <w:rFonts w:cstheme="minorHAnsi"/>
          <w:i/>
          <w:vertAlign w:val="subscript"/>
          <w:lang w:val="en-GB"/>
        </w:rPr>
        <w:tab/>
      </w:r>
      <w:r w:rsidRPr="00E2761A">
        <w:rPr>
          <w:rFonts w:cstheme="minorHAnsi"/>
          <w:i/>
          <w:lang w:val="en-GB"/>
        </w:rPr>
        <w:t xml:space="preserve">= </w:t>
      </w:r>
      <w:r w:rsidRPr="00E2761A">
        <w:rPr>
          <w:rFonts w:cstheme="minorHAnsi"/>
          <w:i/>
          <w:lang w:val="en-GB"/>
        </w:rPr>
        <w:tab/>
        <w:t>Expected return i on day t</w:t>
      </w:r>
    </w:p>
    <w:p w:rsidR="00DA56AB" w:rsidRPr="006F2D73" w:rsidRDefault="00DA56AB" w:rsidP="005A062F">
      <w:pPr>
        <w:spacing w:line="360" w:lineRule="auto"/>
        <w:jc w:val="both"/>
        <w:rPr>
          <w:rFonts w:cstheme="minorHAnsi"/>
          <w:lang w:val="en-GB"/>
        </w:rPr>
      </w:pPr>
      <w:r w:rsidRPr="006F2D73">
        <w:rPr>
          <w:rFonts w:cstheme="minorHAnsi"/>
          <w:lang w:val="en-GB"/>
        </w:rPr>
        <w:t>The expected return can be defined by</w:t>
      </w:r>
      <w:r w:rsidR="00352904">
        <w:rPr>
          <w:rFonts w:cstheme="minorHAnsi"/>
          <w:lang w:val="en-GB"/>
        </w:rPr>
        <w:t xml:space="preserve"> </w:t>
      </w:r>
      <w:sdt>
        <w:sdtPr>
          <w:rPr>
            <w:rFonts w:cstheme="minorHAnsi"/>
            <w:lang w:val="en-GB"/>
          </w:rPr>
          <w:id w:val="1794777"/>
          <w:citation/>
        </w:sdtPr>
        <w:sdtContent>
          <w:r w:rsidR="00067D34">
            <w:rPr>
              <w:rFonts w:cstheme="minorHAnsi"/>
              <w:lang w:val="en-GB"/>
            </w:rPr>
            <w:fldChar w:fldCharType="begin"/>
          </w:r>
          <w:r w:rsidR="00D853B9" w:rsidRPr="00D853B9">
            <w:rPr>
              <w:rFonts w:cstheme="minorHAnsi"/>
              <w:lang w:val="en-GB"/>
            </w:rPr>
            <w:instrText xml:space="preserve"> CITATION Wil97 \l 1043  </w:instrText>
          </w:r>
          <w:r w:rsidR="00067D34">
            <w:rPr>
              <w:rFonts w:cstheme="minorHAnsi"/>
              <w:lang w:val="en-GB"/>
            </w:rPr>
            <w:fldChar w:fldCharType="separate"/>
          </w:r>
          <w:r w:rsidR="00D853B9" w:rsidRPr="00D853B9">
            <w:rPr>
              <w:rFonts w:cstheme="minorHAnsi"/>
              <w:noProof/>
              <w:lang w:val="en-GB"/>
            </w:rPr>
            <w:t>(MacKinley, 1997)</w:t>
          </w:r>
          <w:r w:rsidR="00067D34">
            <w:rPr>
              <w:rFonts w:cstheme="minorHAnsi"/>
              <w:lang w:val="en-GB"/>
            </w:rPr>
            <w:fldChar w:fldCharType="end"/>
          </w:r>
        </w:sdtContent>
      </w:sdt>
      <w:r w:rsidRPr="006F2D73">
        <w:rPr>
          <w:rFonts w:cstheme="minorHAnsi"/>
          <w:lang w:val="en-GB"/>
        </w:rPr>
        <w:t>:</w:t>
      </w:r>
    </w:p>
    <w:p w:rsidR="00DA56AB" w:rsidRPr="00E2761A" w:rsidRDefault="000A03F5" w:rsidP="005A062F">
      <w:pPr>
        <w:pStyle w:val="ListParagraph"/>
        <w:spacing w:line="360" w:lineRule="auto"/>
        <w:jc w:val="center"/>
        <w:rPr>
          <w:rFonts w:cstheme="minorHAnsi"/>
          <w:i/>
          <w:lang w:val="en-GB"/>
        </w:rPr>
      </w:pPr>
      <w:r w:rsidRPr="00E2761A">
        <w:rPr>
          <w:rFonts w:cstheme="minorHAnsi"/>
          <w:i/>
          <w:lang w:val="en-GB"/>
        </w:rPr>
        <w:t>(E)R</w:t>
      </w:r>
      <w:r w:rsidRPr="00E2761A">
        <w:rPr>
          <w:rFonts w:cstheme="minorHAnsi"/>
          <w:i/>
          <w:sz w:val="24"/>
          <w:vertAlign w:val="subscript"/>
          <w:lang w:val="en-GB"/>
        </w:rPr>
        <w:t>i,t</w:t>
      </w:r>
      <w:r w:rsidR="00DA56AB" w:rsidRPr="00E2761A">
        <w:rPr>
          <w:rFonts w:cstheme="minorHAnsi"/>
          <w:i/>
          <w:sz w:val="24"/>
          <w:lang w:val="en-GB"/>
        </w:rPr>
        <w:t xml:space="preserve"> </w:t>
      </w:r>
      <w:r w:rsidR="00DA56AB" w:rsidRPr="00E2761A">
        <w:rPr>
          <w:rFonts w:cstheme="minorHAnsi"/>
          <w:i/>
          <w:lang w:val="en-GB"/>
        </w:rPr>
        <w:t xml:space="preserve">= </w:t>
      </w:r>
      <w:r w:rsidRPr="00E2761A">
        <w:rPr>
          <w:rFonts w:cstheme="minorHAnsi"/>
          <w:i/>
          <w:lang w:val="en-GB"/>
        </w:rPr>
        <w:t>r</w:t>
      </w:r>
      <w:r w:rsidRPr="00E2761A">
        <w:rPr>
          <w:rFonts w:cstheme="minorHAnsi"/>
          <w:i/>
          <w:sz w:val="24"/>
          <w:vertAlign w:val="subscript"/>
          <w:lang w:val="en-GB"/>
        </w:rPr>
        <w:t>f</w:t>
      </w:r>
      <w:r w:rsidR="00DA56AB" w:rsidRPr="00E2761A">
        <w:rPr>
          <w:rFonts w:cstheme="minorHAnsi"/>
          <w:i/>
          <w:lang w:val="en-GB"/>
        </w:rPr>
        <w:t xml:space="preserve"> + </w:t>
      </w:r>
      <w:r w:rsidR="00E2761A" w:rsidRPr="00E2761A">
        <w:rPr>
          <w:rFonts w:cstheme="minorHAnsi"/>
          <w:i/>
          <w:lang w:val="en-GB"/>
        </w:rPr>
        <w:t>ϕ</w:t>
      </w:r>
    </w:p>
    <w:p w:rsidR="00E2761A" w:rsidRPr="00E2761A" w:rsidRDefault="00E2761A" w:rsidP="005A062F">
      <w:pPr>
        <w:pStyle w:val="ListParagraph"/>
        <w:spacing w:line="360" w:lineRule="auto"/>
        <w:rPr>
          <w:rFonts w:cstheme="minorHAnsi"/>
          <w:i/>
          <w:lang w:val="en-GB"/>
        </w:rPr>
      </w:pPr>
      <w:r w:rsidRPr="00E2761A">
        <w:rPr>
          <w:rFonts w:cstheme="minorHAnsi"/>
          <w:i/>
          <w:lang w:val="en-GB"/>
        </w:rPr>
        <w:t>r</w:t>
      </w:r>
      <w:r w:rsidRPr="00E2761A">
        <w:rPr>
          <w:rFonts w:cstheme="minorHAnsi"/>
          <w:i/>
          <w:sz w:val="24"/>
          <w:vertAlign w:val="subscript"/>
          <w:lang w:val="en-GB"/>
        </w:rPr>
        <w:t>f</w:t>
      </w:r>
      <w:r w:rsidRPr="00E2761A">
        <w:rPr>
          <w:rFonts w:cstheme="minorHAnsi"/>
          <w:i/>
          <w:lang w:val="en-GB"/>
        </w:rPr>
        <w:tab/>
        <w:t>=</w:t>
      </w:r>
      <w:r w:rsidRPr="00E2761A">
        <w:rPr>
          <w:rFonts w:cstheme="minorHAnsi"/>
          <w:i/>
          <w:lang w:val="en-GB"/>
        </w:rPr>
        <w:tab/>
        <w:t>Risk free market rate</w:t>
      </w:r>
    </w:p>
    <w:p w:rsidR="00E2761A" w:rsidRPr="00E2761A" w:rsidRDefault="00E2761A" w:rsidP="005A062F">
      <w:pPr>
        <w:pStyle w:val="ListParagraph"/>
        <w:spacing w:line="360" w:lineRule="auto"/>
        <w:rPr>
          <w:rFonts w:cstheme="minorHAnsi"/>
          <w:i/>
          <w:lang w:val="en-GB"/>
        </w:rPr>
      </w:pPr>
      <w:r w:rsidRPr="00E2761A">
        <w:rPr>
          <w:rFonts w:cstheme="minorHAnsi"/>
          <w:i/>
          <w:lang w:val="en-GB"/>
        </w:rPr>
        <w:t>ϕ</w:t>
      </w:r>
      <w:r w:rsidRPr="00E2761A">
        <w:rPr>
          <w:rFonts w:cstheme="minorHAnsi"/>
          <w:i/>
          <w:lang w:val="en-GB"/>
        </w:rPr>
        <w:tab/>
        <w:t>=</w:t>
      </w:r>
      <w:r w:rsidRPr="00E2761A">
        <w:rPr>
          <w:rFonts w:cstheme="minorHAnsi"/>
          <w:i/>
          <w:lang w:val="en-GB"/>
        </w:rPr>
        <w:tab/>
        <w:t>Risk Premium</w:t>
      </w:r>
    </w:p>
    <w:p w:rsidR="00DA56AB" w:rsidRPr="006F2D73" w:rsidRDefault="00DA56AB" w:rsidP="005A062F">
      <w:pPr>
        <w:spacing w:line="360" w:lineRule="auto"/>
        <w:jc w:val="both"/>
        <w:rPr>
          <w:rFonts w:cstheme="minorHAnsi"/>
          <w:lang w:val="en-GB"/>
        </w:rPr>
      </w:pPr>
      <w:r w:rsidRPr="006F2D73">
        <w:rPr>
          <w:rFonts w:cstheme="minorHAnsi"/>
          <w:lang w:val="en-GB"/>
        </w:rPr>
        <w:t xml:space="preserve">This risk premium is a compensation for holding a risky market portfolio rather than holding a risk-free asset </w:t>
      </w:r>
      <w:sdt>
        <w:sdtPr>
          <w:rPr>
            <w:rFonts w:cstheme="minorHAnsi"/>
            <w:lang w:val="en-GB"/>
          </w:rPr>
          <w:id w:val="20142210"/>
          <w:citation/>
        </w:sdtPr>
        <w:sdtContent>
          <w:r w:rsidR="00067D34">
            <w:rPr>
              <w:rFonts w:cstheme="minorHAnsi"/>
              <w:lang w:val="en-GB"/>
            </w:rPr>
            <w:fldChar w:fldCharType="begin"/>
          </w:r>
          <w:r w:rsidR="00352904" w:rsidRPr="00352904">
            <w:rPr>
              <w:rFonts w:cstheme="minorHAnsi"/>
              <w:lang w:val="en-GB"/>
            </w:rPr>
            <w:instrText xml:space="preserve"> CITATION Cam11 \l 1043  </w:instrText>
          </w:r>
          <w:r w:rsidR="00067D34">
            <w:rPr>
              <w:rFonts w:cstheme="minorHAnsi"/>
              <w:lang w:val="en-GB"/>
            </w:rPr>
            <w:fldChar w:fldCharType="separate"/>
          </w:r>
          <w:r w:rsidR="00352904" w:rsidRPr="00352904">
            <w:rPr>
              <w:rFonts w:cstheme="minorHAnsi"/>
              <w:noProof/>
              <w:lang w:val="en-GB"/>
            </w:rPr>
            <w:t>(Campbell, 2011)</w:t>
          </w:r>
          <w:r w:rsidR="00067D34">
            <w:rPr>
              <w:rFonts w:cstheme="minorHAnsi"/>
              <w:lang w:val="en-GB"/>
            </w:rPr>
            <w:fldChar w:fldCharType="end"/>
          </w:r>
        </w:sdtContent>
      </w:sdt>
      <w:r w:rsidRPr="006F2D73">
        <w:rPr>
          <w:rFonts w:cstheme="minorHAnsi"/>
          <w:lang w:val="en-GB"/>
        </w:rPr>
        <w:t>. This results in the final formula for ARs</w:t>
      </w:r>
      <w:r w:rsidR="00352904">
        <w:rPr>
          <w:rFonts w:cstheme="minorHAnsi"/>
          <w:lang w:val="en-GB"/>
        </w:rPr>
        <w:t xml:space="preserve"> </w:t>
      </w:r>
      <w:sdt>
        <w:sdtPr>
          <w:rPr>
            <w:rFonts w:cstheme="minorHAnsi"/>
            <w:lang w:val="en-GB"/>
          </w:rPr>
          <w:id w:val="1794778"/>
          <w:citation/>
        </w:sdtPr>
        <w:sdtContent>
          <w:r w:rsidR="00067D34">
            <w:rPr>
              <w:rFonts w:cstheme="minorHAnsi"/>
              <w:lang w:val="en-GB"/>
            </w:rPr>
            <w:fldChar w:fldCharType="begin"/>
          </w:r>
          <w:r w:rsidR="00D853B9" w:rsidRPr="00D853B9">
            <w:rPr>
              <w:rFonts w:cstheme="minorHAnsi"/>
              <w:lang w:val="en-GB"/>
            </w:rPr>
            <w:instrText xml:space="preserve"> CITATION Wil97 \l 1043  </w:instrText>
          </w:r>
          <w:r w:rsidR="00067D34">
            <w:rPr>
              <w:rFonts w:cstheme="minorHAnsi"/>
              <w:lang w:val="en-GB"/>
            </w:rPr>
            <w:fldChar w:fldCharType="separate"/>
          </w:r>
          <w:r w:rsidR="00D853B9" w:rsidRPr="00D853B9">
            <w:rPr>
              <w:rFonts w:cstheme="minorHAnsi"/>
              <w:noProof/>
              <w:lang w:val="en-GB"/>
            </w:rPr>
            <w:t>(MacKinley, 1997)</w:t>
          </w:r>
          <w:r w:rsidR="00067D34">
            <w:rPr>
              <w:rFonts w:cstheme="minorHAnsi"/>
              <w:lang w:val="en-GB"/>
            </w:rPr>
            <w:fldChar w:fldCharType="end"/>
          </w:r>
        </w:sdtContent>
      </w:sdt>
      <w:r w:rsidRPr="006F2D73">
        <w:rPr>
          <w:rFonts w:cstheme="minorHAnsi"/>
          <w:lang w:val="en-GB"/>
        </w:rPr>
        <w:t>:</w:t>
      </w:r>
    </w:p>
    <w:p w:rsidR="00E2761A" w:rsidRPr="00F1612B" w:rsidRDefault="00DA56AB" w:rsidP="005A062F">
      <w:pPr>
        <w:pStyle w:val="ListParagraph"/>
        <w:spacing w:line="360" w:lineRule="auto"/>
        <w:jc w:val="center"/>
        <w:rPr>
          <w:rFonts w:cstheme="minorHAnsi"/>
          <w:i/>
          <w:lang w:val="en-GB"/>
        </w:rPr>
      </w:pPr>
      <w:r w:rsidRPr="00F1612B">
        <w:rPr>
          <w:rFonts w:cstheme="minorHAnsi"/>
          <w:i/>
          <w:lang w:val="en-GB"/>
        </w:rPr>
        <w:t>AR</w:t>
      </w:r>
      <w:r w:rsidR="00E2761A" w:rsidRPr="00F1612B">
        <w:rPr>
          <w:rFonts w:cstheme="minorHAnsi"/>
          <w:i/>
          <w:sz w:val="24"/>
          <w:vertAlign w:val="subscript"/>
          <w:lang w:val="en-GB"/>
        </w:rPr>
        <w:t>i,t</w:t>
      </w:r>
      <w:r w:rsidRPr="00F1612B">
        <w:rPr>
          <w:rFonts w:cstheme="minorHAnsi"/>
          <w:i/>
          <w:lang w:val="en-GB"/>
        </w:rPr>
        <w:t xml:space="preserve"> = </w:t>
      </w:r>
      <w:r w:rsidR="00E2761A" w:rsidRPr="00F1612B">
        <w:rPr>
          <w:rFonts w:cstheme="minorHAnsi"/>
          <w:i/>
          <w:lang w:val="en-GB"/>
        </w:rPr>
        <w:t>R</w:t>
      </w:r>
      <w:r w:rsidR="00E2761A" w:rsidRPr="00F1612B">
        <w:rPr>
          <w:rFonts w:cstheme="minorHAnsi"/>
          <w:i/>
          <w:sz w:val="24"/>
          <w:vertAlign w:val="subscript"/>
          <w:lang w:val="en-GB"/>
        </w:rPr>
        <w:t>i,t</w:t>
      </w:r>
      <w:r w:rsidRPr="00F1612B">
        <w:rPr>
          <w:rFonts w:cstheme="minorHAnsi"/>
          <w:i/>
          <w:sz w:val="24"/>
          <w:lang w:val="en-GB"/>
        </w:rPr>
        <w:t xml:space="preserve"> </w:t>
      </w:r>
      <w:r w:rsidRPr="00F1612B">
        <w:rPr>
          <w:rFonts w:cstheme="minorHAnsi"/>
          <w:i/>
          <w:lang w:val="en-GB"/>
        </w:rPr>
        <w:t>– (r</w:t>
      </w:r>
      <w:r w:rsidRPr="00F1612B">
        <w:rPr>
          <w:rFonts w:cstheme="minorHAnsi"/>
          <w:i/>
          <w:sz w:val="24"/>
          <w:vertAlign w:val="subscript"/>
          <w:lang w:val="en-GB"/>
        </w:rPr>
        <w:t>f</w:t>
      </w:r>
      <w:r w:rsidRPr="00F1612B">
        <w:rPr>
          <w:rFonts w:cstheme="minorHAnsi"/>
          <w:i/>
          <w:lang w:val="en-GB"/>
        </w:rPr>
        <w:t xml:space="preserve"> + </w:t>
      </w:r>
      <w:r w:rsidRPr="00E2761A">
        <w:rPr>
          <w:rFonts w:cstheme="minorHAnsi"/>
          <w:i/>
          <w:lang w:val="en-GB"/>
        </w:rPr>
        <w:t>ϕ</w:t>
      </w:r>
      <w:r w:rsidRPr="00F1612B">
        <w:rPr>
          <w:rFonts w:cstheme="minorHAnsi"/>
          <w:i/>
          <w:lang w:val="en-GB"/>
        </w:rPr>
        <w:t>)</w:t>
      </w:r>
    </w:p>
    <w:p w:rsidR="00DA56AB" w:rsidRPr="006F2D73" w:rsidRDefault="00DA56AB" w:rsidP="005A062F">
      <w:pPr>
        <w:spacing w:line="360" w:lineRule="auto"/>
        <w:jc w:val="both"/>
        <w:rPr>
          <w:rFonts w:cstheme="minorHAnsi"/>
          <w:lang w:val="en-GB"/>
        </w:rPr>
      </w:pPr>
      <w:r w:rsidRPr="006F2D73">
        <w:rPr>
          <w:rFonts w:cstheme="minorHAnsi"/>
          <w:lang w:val="en-GB"/>
        </w:rPr>
        <w:t xml:space="preserve">To compute the CAR from the </w:t>
      </w:r>
      <w:r>
        <w:rPr>
          <w:rFonts w:cstheme="minorHAnsi"/>
          <w:lang w:val="en-GB"/>
        </w:rPr>
        <w:t>computed</w:t>
      </w:r>
      <w:r w:rsidRPr="006F2D73">
        <w:rPr>
          <w:rFonts w:cstheme="minorHAnsi"/>
          <w:lang w:val="en-GB"/>
        </w:rPr>
        <w:t xml:space="preserve"> ARs, one just simply </w:t>
      </w:r>
      <w:r>
        <w:rPr>
          <w:rFonts w:cstheme="minorHAnsi"/>
          <w:lang w:val="en-GB"/>
        </w:rPr>
        <w:t>cumulates</w:t>
      </w:r>
      <w:r w:rsidRPr="006F2D73">
        <w:rPr>
          <w:rFonts w:cstheme="minorHAnsi"/>
          <w:lang w:val="en-GB"/>
        </w:rPr>
        <w:t xml:space="preserve"> the ARs </w:t>
      </w:r>
      <w:r>
        <w:rPr>
          <w:rFonts w:cstheme="minorHAnsi"/>
          <w:lang w:val="en-GB"/>
        </w:rPr>
        <w:t xml:space="preserve">on the different dates </w:t>
      </w:r>
      <w:r w:rsidRPr="006F2D73">
        <w:rPr>
          <w:rFonts w:cstheme="minorHAnsi"/>
          <w:lang w:val="en-GB"/>
        </w:rPr>
        <w:t xml:space="preserve">to </w:t>
      </w:r>
      <w:r w:rsidR="00352904">
        <w:rPr>
          <w:rFonts w:cstheme="minorHAnsi"/>
          <w:lang w:val="en-GB"/>
        </w:rPr>
        <w:t>obtain</w:t>
      </w:r>
      <w:r>
        <w:rPr>
          <w:rFonts w:cstheme="minorHAnsi"/>
          <w:lang w:val="en-GB"/>
        </w:rPr>
        <w:t xml:space="preserve"> the CAR over those specific dates</w:t>
      </w:r>
      <w:r w:rsidRPr="006F2D73">
        <w:rPr>
          <w:rFonts w:cstheme="minorHAnsi"/>
          <w:lang w:val="en-GB"/>
        </w:rPr>
        <w:t xml:space="preserve"> </w:t>
      </w:r>
      <w:sdt>
        <w:sdtPr>
          <w:rPr>
            <w:rFonts w:cstheme="minorHAnsi"/>
            <w:lang w:val="en-GB"/>
          </w:rPr>
          <w:id w:val="1794779"/>
          <w:citation/>
        </w:sdtPr>
        <w:sdtContent>
          <w:r w:rsidR="00067D34">
            <w:rPr>
              <w:rFonts w:cstheme="minorHAnsi"/>
              <w:lang w:val="en-GB"/>
            </w:rPr>
            <w:fldChar w:fldCharType="begin"/>
          </w:r>
          <w:r w:rsidR="00D853B9" w:rsidRPr="00D853B9">
            <w:rPr>
              <w:rFonts w:cstheme="minorHAnsi"/>
              <w:lang w:val="en-GB"/>
            </w:rPr>
            <w:instrText xml:space="preserve"> CITATION Wil97 \l 1043  </w:instrText>
          </w:r>
          <w:r w:rsidR="00067D34">
            <w:rPr>
              <w:rFonts w:cstheme="minorHAnsi"/>
              <w:lang w:val="en-GB"/>
            </w:rPr>
            <w:fldChar w:fldCharType="separate"/>
          </w:r>
          <w:r w:rsidR="00D853B9" w:rsidRPr="00D853B9">
            <w:rPr>
              <w:rFonts w:cstheme="minorHAnsi"/>
              <w:noProof/>
              <w:lang w:val="en-GB"/>
            </w:rPr>
            <w:t>(MacKinley, 1997)</w:t>
          </w:r>
          <w:r w:rsidR="00067D34">
            <w:rPr>
              <w:rFonts w:cstheme="minorHAnsi"/>
              <w:lang w:val="en-GB"/>
            </w:rPr>
            <w:fldChar w:fldCharType="end"/>
          </w:r>
        </w:sdtContent>
      </w:sdt>
      <w:r w:rsidR="00352904">
        <w:rPr>
          <w:rFonts w:cstheme="minorHAnsi"/>
          <w:lang w:val="en-GB"/>
        </w:rPr>
        <w:t>:</w:t>
      </w:r>
    </w:p>
    <w:p w:rsidR="00DA56AB" w:rsidRPr="00E2761A" w:rsidRDefault="00E2761A" w:rsidP="005A062F">
      <w:pPr>
        <w:pStyle w:val="ListParagraph"/>
        <w:spacing w:line="360" w:lineRule="auto"/>
        <w:jc w:val="center"/>
        <w:rPr>
          <w:rFonts w:cstheme="minorHAnsi"/>
          <w:i/>
          <w:lang w:val="en-GB"/>
        </w:rPr>
      </w:pPr>
      <w:r w:rsidRPr="00E2761A">
        <w:rPr>
          <w:rFonts w:cstheme="minorHAnsi"/>
          <w:i/>
          <w:lang w:val="en-GB"/>
        </w:rPr>
        <w:t>CAR</w:t>
      </w:r>
      <w:r w:rsidRPr="00E2761A">
        <w:rPr>
          <w:rFonts w:cstheme="minorHAnsi"/>
          <w:i/>
          <w:sz w:val="24"/>
          <w:vertAlign w:val="subscript"/>
          <w:lang w:val="en-GB"/>
        </w:rPr>
        <w:t>i</w:t>
      </w:r>
      <w:r w:rsidRPr="00E2761A">
        <w:rPr>
          <w:rFonts w:cstheme="minorHAnsi"/>
          <w:i/>
          <w:sz w:val="24"/>
          <w:lang w:val="en-GB"/>
        </w:rPr>
        <w:t xml:space="preserve"> </w:t>
      </w:r>
      <w:r w:rsidRPr="00E2761A">
        <w:rPr>
          <w:rFonts w:cstheme="minorHAnsi"/>
          <w:i/>
          <w:lang w:val="en-GB"/>
        </w:rPr>
        <w:t>= ΣAR</w:t>
      </w:r>
      <w:r w:rsidRPr="00E2761A">
        <w:rPr>
          <w:rFonts w:cstheme="minorHAnsi"/>
          <w:i/>
          <w:sz w:val="24"/>
          <w:vertAlign w:val="subscript"/>
          <w:lang w:val="en-GB"/>
        </w:rPr>
        <w:t>i,t</w:t>
      </w:r>
    </w:p>
    <w:p w:rsidR="00E2761A" w:rsidRPr="00E2761A" w:rsidRDefault="00E2761A" w:rsidP="005A062F">
      <w:pPr>
        <w:pStyle w:val="ListParagraph"/>
        <w:spacing w:line="360" w:lineRule="auto"/>
        <w:rPr>
          <w:rFonts w:cstheme="minorHAnsi"/>
          <w:i/>
          <w:lang w:val="en-GB"/>
        </w:rPr>
      </w:pPr>
      <w:r w:rsidRPr="00E2761A">
        <w:rPr>
          <w:rFonts w:cstheme="minorHAnsi"/>
          <w:i/>
          <w:lang w:val="en-GB"/>
        </w:rPr>
        <w:t>CAR</w:t>
      </w:r>
      <w:r w:rsidRPr="00E2761A">
        <w:rPr>
          <w:rFonts w:cstheme="minorHAnsi"/>
          <w:i/>
          <w:sz w:val="24"/>
          <w:vertAlign w:val="subscript"/>
          <w:lang w:val="en-GB"/>
        </w:rPr>
        <w:t xml:space="preserve">i </w:t>
      </w:r>
      <w:r w:rsidRPr="00E2761A">
        <w:rPr>
          <w:rFonts w:cstheme="minorHAnsi"/>
          <w:i/>
          <w:vertAlign w:val="subscript"/>
          <w:lang w:val="en-GB"/>
        </w:rPr>
        <w:tab/>
      </w:r>
      <w:r>
        <w:rPr>
          <w:rFonts w:cstheme="minorHAnsi"/>
          <w:i/>
          <w:lang w:val="en-GB"/>
        </w:rPr>
        <w:t>=</w:t>
      </w:r>
      <w:r>
        <w:rPr>
          <w:rFonts w:cstheme="minorHAnsi"/>
          <w:i/>
          <w:lang w:val="en-GB"/>
        </w:rPr>
        <w:tab/>
        <w:t>CAR of entity i over the event</w:t>
      </w:r>
    </w:p>
    <w:p w:rsidR="00E2761A" w:rsidRPr="00E2761A" w:rsidRDefault="00E2761A" w:rsidP="005A062F">
      <w:pPr>
        <w:pStyle w:val="ListParagraph"/>
        <w:spacing w:line="360" w:lineRule="auto"/>
        <w:rPr>
          <w:rFonts w:cstheme="minorHAnsi"/>
          <w:i/>
          <w:lang w:val="en-GB"/>
        </w:rPr>
      </w:pPr>
      <w:r w:rsidRPr="00E2761A">
        <w:rPr>
          <w:rFonts w:cstheme="minorHAnsi"/>
          <w:i/>
          <w:lang w:val="en-GB"/>
        </w:rPr>
        <w:t>AR</w:t>
      </w:r>
      <w:r w:rsidRPr="00E2761A">
        <w:rPr>
          <w:rFonts w:cstheme="minorHAnsi"/>
          <w:i/>
          <w:sz w:val="24"/>
          <w:vertAlign w:val="subscript"/>
          <w:lang w:val="en-GB"/>
        </w:rPr>
        <w:t xml:space="preserve">i,t </w:t>
      </w:r>
      <w:r w:rsidRPr="00E2761A">
        <w:rPr>
          <w:rFonts w:cstheme="minorHAnsi"/>
          <w:i/>
          <w:vertAlign w:val="subscript"/>
          <w:lang w:val="en-GB"/>
        </w:rPr>
        <w:tab/>
        <w:t>=</w:t>
      </w:r>
      <w:r w:rsidRPr="00E2761A">
        <w:rPr>
          <w:rFonts w:cstheme="minorHAnsi"/>
          <w:i/>
          <w:vertAlign w:val="subscript"/>
          <w:lang w:val="en-GB"/>
        </w:rPr>
        <w:tab/>
      </w:r>
      <w:r w:rsidRPr="00E2761A">
        <w:rPr>
          <w:rFonts w:cstheme="minorHAnsi"/>
          <w:i/>
          <w:lang w:val="en-GB"/>
        </w:rPr>
        <w:t>AR i on day t</w:t>
      </w:r>
    </w:p>
    <w:p w:rsidR="00DA56AB" w:rsidRDefault="00DA56AB" w:rsidP="00352904">
      <w:pPr>
        <w:spacing w:line="360" w:lineRule="auto"/>
        <w:rPr>
          <w:rFonts w:cstheme="minorHAnsi"/>
          <w:lang w:val="en-GB"/>
        </w:rPr>
      </w:pPr>
      <w:r>
        <w:rPr>
          <w:rFonts w:cstheme="minorHAnsi"/>
          <w:lang w:val="en-GB"/>
        </w:rPr>
        <w:lastRenderedPageBreak/>
        <w:t>It is likely that the returns of both companies will be affected by the M&amp;A. So, when adding the CARs for the acquirer and the target, this will result in a figure representing the contribution for society</w:t>
      </w:r>
      <w:sdt>
        <w:sdtPr>
          <w:rPr>
            <w:rFonts w:cstheme="minorHAnsi"/>
            <w:lang w:val="en-GB"/>
          </w:rPr>
          <w:id w:val="1794780"/>
          <w:citation/>
        </w:sdtPr>
        <w:sdtContent>
          <w:r w:rsidR="00067D34">
            <w:rPr>
              <w:rFonts w:cstheme="minorHAnsi"/>
              <w:lang w:val="en-GB"/>
            </w:rPr>
            <w:fldChar w:fldCharType="begin"/>
          </w:r>
          <w:r w:rsidR="00352904" w:rsidRPr="00352904">
            <w:rPr>
              <w:rFonts w:cstheme="minorHAnsi"/>
              <w:lang w:val="en-GB"/>
            </w:rPr>
            <w:instrText xml:space="preserve"> CITATION Cam11 \l 1043  </w:instrText>
          </w:r>
          <w:r w:rsidR="00067D34">
            <w:rPr>
              <w:rFonts w:cstheme="minorHAnsi"/>
              <w:lang w:val="en-GB"/>
            </w:rPr>
            <w:fldChar w:fldCharType="separate"/>
          </w:r>
          <w:r w:rsidR="00352904" w:rsidRPr="00352904">
            <w:rPr>
              <w:rFonts w:cstheme="minorHAnsi"/>
              <w:noProof/>
              <w:lang w:val="en-GB"/>
            </w:rPr>
            <w:t xml:space="preserve"> (Campbell, 2011)</w:t>
          </w:r>
          <w:r w:rsidR="00067D34">
            <w:rPr>
              <w:rFonts w:cstheme="minorHAnsi"/>
              <w:lang w:val="en-GB"/>
            </w:rPr>
            <w:fldChar w:fldCharType="end"/>
          </w:r>
        </w:sdtContent>
      </w:sdt>
      <w:r>
        <w:rPr>
          <w:rFonts w:cstheme="minorHAnsi"/>
          <w:lang w:val="en-GB"/>
        </w:rPr>
        <w:t xml:space="preserve">. </w:t>
      </w:r>
    </w:p>
    <w:p w:rsidR="00DA56AB" w:rsidRPr="00E2761A" w:rsidRDefault="00DA56AB" w:rsidP="005A062F">
      <w:pPr>
        <w:pStyle w:val="ListParagraph"/>
        <w:spacing w:line="360" w:lineRule="auto"/>
        <w:jc w:val="center"/>
        <w:rPr>
          <w:rFonts w:cstheme="minorHAnsi"/>
          <w:i/>
          <w:lang w:val="en-GB"/>
        </w:rPr>
      </w:pPr>
      <w:r w:rsidRPr="00E2761A">
        <w:rPr>
          <w:rFonts w:cstheme="minorHAnsi"/>
          <w:i/>
          <w:lang w:val="en-GB"/>
        </w:rPr>
        <w:t>CAR</w:t>
      </w:r>
      <w:r w:rsidRPr="00E2761A">
        <w:rPr>
          <w:rFonts w:cstheme="minorHAnsi"/>
          <w:i/>
          <w:sz w:val="24"/>
          <w:vertAlign w:val="subscript"/>
          <w:lang w:val="en-GB"/>
        </w:rPr>
        <w:t>a</w:t>
      </w:r>
      <w:r w:rsidRPr="00E2761A">
        <w:rPr>
          <w:rFonts w:cstheme="minorHAnsi"/>
          <w:i/>
          <w:vertAlign w:val="subscript"/>
          <w:lang w:val="en-GB"/>
        </w:rPr>
        <w:t xml:space="preserve"> </w:t>
      </w:r>
      <w:r w:rsidRPr="00E2761A">
        <w:rPr>
          <w:rFonts w:cstheme="minorHAnsi"/>
          <w:i/>
          <w:lang w:val="en-GB"/>
        </w:rPr>
        <w:t>+ CAR</w:t>
      </w:r>
      <w:r w:rsidRPr="00E2761A">
        <w:rPr>
          <w:rFonts w:cstheme="minorHAnsi"/>
          <w:i/>
          <w:sz w:val="24"/>
          <w:vertAlign w:val="subscript"/>
          <w:lang w:val="en-GB"/>
        </w:rPr>
        <w:t>t</w:t>
      </w:r>
      <w:r w:rsidRPr="00E2761A">
        <w:rPr>
          <w:rFonts w:cstheme="minorHAnsi"/>
          <w:i/>
          <w:vertAlign w:val="subscript"/>
          <w:lang w:val="en-GB"/>
        </w:rPr>
        <w:t xml:space="preserve"> </w:t>
      </w:r>
      <w:r w:rsidRPr="00E2761A">
        <w:rPr>
          <w:rFonts w:cstheme="minorHAnsi"/>
          <w:i/>
          <w:lang w:val="en-GB"/>
        </w:rPr>
        <w:t xml:space="preserve">= </w:t>
      </w:r>
      <w:r w:rsidR="00E2761A" w:rsidRPr="00E2761A">
        <w:rPr>
          <w:rFonts w:cstheme="minorHAnsi"/>
          <w:i/>
          <w:lang w:val="en-GB"/>
        </w:rPr>
        <w:t>CS</w:t>
      </w:r>
    </w:p>
    <w:p w:rsidR="00E2761A" w:rsidRPr="00E2761A" w:rsidRDefault="00E2761A" w:rsidP="005A062F">
      <w:pPr>
        <w:pStyle w:val="ListParagraph"/>
        <w:spacing w:line="360" w:lineRule="auto"/>
        <w:rPr>
          <w:rFonts w:cstheme="minorHAnsi"/>
          <w:i/>
          <w:lang w:val="en-GB"/>
        </w:rPr>
      </w:pPr>
      <w:r w:rsidRPr="00E2761A">
        <w:rPr>
          <w:rFonts w:cstheme="minorHAnsi"/>
          <w:i/>
          <w:lang w:val="en-GB"/>
        </w:rPr>
        <w:t>CAR</w:t>
      </w:r>
      <w:r w:rsidRPr="00E2761A">
        <w:rPr>
          <w:rFonts w:cstheme="minorHAnsi"/>
          <w:i/>
          <w:vertAlign w:val="subscript"/>
          <w:lang w:val="en-GB"/>
        </w:rPr>
        <w:t>a</w:t>
      </w:r>
      <w:r w:rsidRPr="00E2761A">
        <w:rPr>
          <w:rFonts w:cstheme="minorHAnsi"/>
          <w:i/>
          <w:vertAlign w:val="subscript"/>
          <w:lang w:val="en-GB"/>
        </w:rPr>
        <w:tab/>
      </w:r>
      <w:r w:rsidRPr="00E2761A">
        <w:rPr>
          <w:rFonts w:cstheme="minorHAnsi"/>
          <w:i/>
          <w:lang w:val="en-GB"/>
        </w:rPr>
        <w:t>=</w:t>
      </w:r>
      <w:r w:rsidRPr="00E2761A">
        <w:rPr>
          <w:rFonts w:cstheme="minorHAnsi"/>
          <w:i/>
          <w:vertAlign w:val="subscript"/>
          <w:lang w:val="en-GB"/>
        </w:rPr>
        <w:tab/>
      </w:r>
      <w:r w:rsidRPr="00E2761A">
        <w:rPr>
          <w:rFonts w:cstheme="minorHAnsi"/>
          <w:i/>
          <w:lang w:val="en-GB"/>
        </w:rPr>
        <w:t>CAR acquirer</w:t>
      </w:r>
    </w:p>
    <w:p w:rsidR="00E2761A" w:rsidRPr="00E2761A" w:rsidRDefault="00E2761A" w:rsidP="005A062F">
      <w:pPr>
        <w:pStyle w:val="ListParagraph"/>
        <w:spacing w:line="360" w:lineRule="auto"/>
        <w:rPr>
          <w:rFonts w:cstheme="minorHAnsi"/>
          <w:i/>
          <w:lang w:val="en-GB"/>
        </w:rPr>
      </w:pPr>
      <w:r w:rsidRPr="00E2761A">
        <w:rPr>
          <w:rFonts w:cstheme="minorHAnsi"/>
          <w:i/>
          <w:lang w:val="en-GB"/>
        </w:rPr>
        <w:t>CAR</w:t>
      </w:r>
      <w:r w:rsidRPr="00E2761A">
        <w:rPr>
          <w:rFonts w:cstheme="minorHAnsi"/>
          <w:i/>
          <w:vertAlign w:val="subscript"/>
          <w:lang w:val="en-GB"/>
        </w:rPr>
        <w:t>t</w:t>
      </w:r>
      <w:r w:rsidRPr="00E2761A">
        <w:rPr>
          <w:rFonts w:cstheme="minorHAnsi"/>
          <w:i/>
          <w:lang w:val="en-GB"/>
        </w:rPr>
        <w:tab/>
        <w:t>=</w:t>
      </w:r>
      <w:r w:rsidRPr="00E2761A">
        <w:rPr>
          <w:rFonts w:cstheme="minorHAnsi"/>
          <w:i/>
          <w:lang w:val="en-GB"/>
        </w:rPr>
        <w:tab/>
        <w:t>CAR target</w:t>
      </w:r>
    </w:p>
    <w:p w:rsidR="00E2761A" w:rsidRPr="00E2761A" w:rsidRDefault="00E2761A" w:rsidP="005A062F">
      <w:pPr>
        <w:pStyle w:val="ListParagraph"/>
        <w:spacing w:line="360" w:lineRule="auto"/>
        <w:rPr>
          <w:rFonts w:cstheme="minorHAnsi"/>
          <w:i/>
          <w:vertAlign w:val="subscript"/>
          <w:lang w:val="en-GB"/>
        </w:rPr>
      </w:pPr>
      <w:r w:rsidRPr="00E2761A">
        <w:rPr>
          <w:rFonts w:cstheme="minorHAnsi"/>
          <w:i/>
          <w:lang w:val="en-GB"/>
        </w:rPr>
        <w:t>CS</w:t>
      </w:r>
      <w:r w:rsidRPr="00E2761A">
        <w:rPr>
          <w:rFonts w:cstheme="minorHAnsi"/>
          <w:i/>
          <w:lang w:val="en-GB"/>
        </w:rPr>
        <w:tab/>
        <w:t>=</w:t>
      </w:r>
      <w:r w:rsidRPr="00E2761A">
        <w:rPr>
          <w:rFonts w:cstheme="minorHAnsi"/>
          <w:i/>
          <w:lang w:val="en-GB"/>
        </w:rPr>
        <w:tab/>
        <w:t>Contribution to Society</w:t>
      </w:r>
    </w:p>
    <w:p w:rsidR="00DA56AB" w:rsidRDefault="00DA56AB" w:rsidP="005A062F">
      <w:pPr>
        <w:spacing w:line="360" w:lineRule="auto"/>
        <w:jc w:val="both"/>
        <w:rPr>
          <w:rFonts w:cstheme="minorHAnsi"/>
          <w:lang w:val="en-GB"/>
        </w:rPr>
      </w:pPr>
      <w:r>
        <w:rPr>
          <w:rFonts w:cstheme="minorHAnsi"/>
          <w:lang w:val="en-GB"/>
        </w:rPr>
        <w:t>The best way to measure the impact of the M&amp;A is to cumulate both the CARs for that specific M&amp;A deal. In that way, one will obtain information about the impact on society. It the total CAR of the involved firms in a M&amp;A is positive, this means that in total value is created for society. The opposite is true in the case that the CAR is negative, value is destroyed for society.</w:t>
      </w:r>
      <w:r w:rsidR="00D218F4">
        <w:rPr>
          <w:rFonts w:cstheme="minorHAnsi"/>
          <w:lang w:val="en-GB"/>
        </w:rPr>
        <w:t xml:space="preserve"> </w:t>
      </w:r>
      <w:sdt>
        <w:sdtPr>
          <w:rPr>
            <w:rFonts w:cstheme="minorHAnsi"/>
            <w:lang w:val="en-GB"/>
          </w:rPr>
          <w:id w:val="16567668"/>
          <w:citation/>
        </w:sdtPr>
        <w:sdtContent>
          <w:r w:rsidR="00067D34">
            <w:rPr>
              <w:rFonts w:cstheme="minorHAnsi"/>
              <w:lang w:val="en-GB"/>
            </w:rPr>
            <w:fldChar w:fldCharType="begin"/>
          </w:r>
          <w:r w:rsidR="00352904" w:rsidRPr="0079257D">
            <w:rPr>
              <w:rFonts w:cstheme="minorHAnsi"/>
              <w:lang w:val="en-GB"/>
            </w:rPr>
            <w:instrText xml:space="preserve"> CITATION Cam11 \l 1043  </w:instrText>
          </w:r>
          <w:r w:rsidR="00067D34">
            <w:rPr>
              <w:rFonts w:cstheme="minorHAnsi"/>
              <w:lang w:val="en-GB"/>
            </w:rPr>
            <w:fldChar w:fldCharType="separate"/>
          </w:r>
          <w:r w:rsidR="00352904" w:rsidRPr="00352904">
            <w:rPr>
              <w:rFonts w:cstheme="minorHAnsi"/>
              <w:noProof/>
              <w:lang w:val="en-GB"/>
            </w:rPr>
            <w:t>(Campbell, 2011)</w:t>
          </w:r>
          <w:r w:rsidR="00067D34">
            <w:rPr>
              <w:rFonts w:cstheme="minorHAnsi"/>
              <w:lang w:val="en-GB"/>
            </w:rPr>
            <w:fldChar w:fldCharType="end"/>
          </w:r>
        </w:sdtContent>
      </w:sdt>
      <w:r>
        <w:rPr>
          <w:rFonts w:cstheme="minorHAnsi"/>
          <w:lang w:val="en-GB"/>
        </w:rPr>
        <w:t xml:space="preserve"> This conclusion that can be made from the CAR of a M&amp;A deal makes it a very powerful tool to evaluate the performance of M&amp;As.</w:t>
      </w:r>
    </w:p>
    <w:p w:rsidR="00DE1D11" w:rsidRDefault="00DA56AB" w:rsidP="005A062F">
      <w:pPr>
        <w:spacing w:line="360" w:lineRule="auto"/>
        <w:jc w:val="both"/>
        <w:rPr>
          <w:rFonts w:cstheme="minorHAnsi"/>
          <w:lang w:val="en-GB"/>
        </w:rPr>
      </w:pPr>
      <w:r>
        <w:rPr>
          <w:rFonts w:cstheme="minorHAnsi"/>
          <w:lang w:val="en-GB"/>
        </w:rPr>
        <w:t>As mentioned before, in this thesis the EventStudy Tool in DataStream will be used to calculate the ARs. For reasons of completeness the full formula this tool uses for his calculations will be given and explained below:</w:t>
      </w:r>
    </w:p>
    <w:p w:rsidR="00DE1D11" w:rsidRPr="00DE1D11" w:rsidRDefault="00DE1D11" w:rsidP="005A062F">
      <w:pPr>
        <w:spacing w:line="360" w:lineRule="auto"/>
        <w:jc w:val="center"/>
        <w:rPr>
          <w:rFonts w:cstheme="minorHAnsi"/>
          <w:i/>
          <w:lang w:val="en-GB"/>
        </w:rPr>
      </w:pPr>
      <w:r w:rsidRPr="00DE1D11">
        <w:rPr>
          <w:rFonts w:cstheme="minorHAnsi"/>
          <w:i/>
          <w:lang w:val="en-GB"/>
        </w:rPr>
        <w:t>MarketModelAdjRet</w:t>
      </w:r>
      <w:r w:rsidRPr="00DE1D11">
        <w:rPr>
          <w:rFonts w:cstheme="minorHAnsi"/>
          <w:i/>
          <w:sz w:val="24"/>
          <w:vertAlign w:val="subscript"/>
          <w:lang w:val="en-GB"/>
        </w:rPr>
        <w:t>x</w:t>
      </w:r>
      <w:r w:rsidRPr="00DE1D11">
        <w:rPr>
          <w:rFonts w:cstheme="minorHAnsi"/>
          <w:i/>
          <w:lang w:val="en-GB"/>
        </w:rPr>
        <w:t xml:space="preserve"> = RetEvlDay</w:t>
      </w:r>
      <w:r w:rsidRPr="00DE1D11">
        <w:rPr>
          <w:rFonts w:cstheme="minorHAnsi"/>
          <w:i/>
          <w:sz w:val="24"/>
          <w:vertAlign w:val="subscript"/>
          <w:lang w:val="en-GB"/>
        </w:rPr>
        <w:t>x</w:t>
      </w:r>
      <w:r w:rsidRPr="00DE1D11">
        <w:rPr>
          <w:rFonts w:cstheme="minorHAnsi"/>
          <w:i/>
          <w:lang w:val="en-GB"/>
        </w:rPr>
        <w:t xml:space="preserve"> – α – β * RetIndEvlDay</w:t>
      </w:r>
      <w:r w:rsidRPr="00DE1D11">
        <w:rPr>
          <w:rFonts w:cstheme="minorHAnsi"/>
          <w:i/>
          <w:sz w:val="24"/>
          <w:vertAlign w:val="subscript"/>
          <w:lang w:val="en-GB"/>
        </w:rPr>
        <w:t>x</w:t>
      </w:r>
    </w:p>
    <w:p w:rsidR="0069430A" w:rsidRDefault="0069430A" w:rsidP="005A062F">
      <w:pPr>
        <w:spacing w:line="360" w:lineRule="auto"/>
        <w:ind w:firstLine="708"/>
        <w:jc w:val="both"/>
        <w:rPr>
          <w:rFonts w:eastAsiaTheme="minorEastAsia" w:cstheme="minorHAnsi"/>
          <w:lang w:val="en-GB"/>
        </w:rPr>
      </w:pPr>
      <w:r>
        <w:rPr>
          <w:rFonts w:eastAsiaTheme="minorEastAsia" w:cstheme="minorHAnsi"/>
          <w:lang w:val="en-GB"/>
        </w:rPr>
        <w:t xml:space="preserve">MarketModelAdjRet </w:t>
      </w:r>
      <w:r>
        <w:rPr>
          <w:rFonts w:eastAsiaTheme="minorEastAsia" w:cstheme="minorHAnsi"/>
          <w:vertAlign w:val="subscript"/>
          <w:lang w:val="en-GB"/>
        </w:rPr>
        <w:t>x</w:t>
      </w:r>
      <w:r>
        <w:rPr>
          <w:rFonts w:eastAsiaTheme="minorEastAsia" w:cstheme="minorHAnsi"/>
          <w:lang w:val="en-GB"/>
        </w:rPr>
        <w:t xml:space="preserve"> </w:t>
      </w:r>
      <w:r w:rsidR="000A03F5">
        <w:rPr>
          <w:rFonts w:eastAsiaTheme="minorEastAsia" w:cstheme="minorHAnsi"/>
          <w:lang w:val="en-GB"/>
        </w:rPr>
        <w:tab/>
        <w:t>=</w:t>
      </w:r>
      <w:r w:rsidR="000A03F5">
        <w:rPr>
          <w:rFonts w:eastAsiaTheme="minorEastAsia" w:cstheme="minorHAnsi"/>
          <w:lang w:val="en-GB"/>
        </w:rPr>
        <w:tab/>
      </w:r>
      <w:r>
        <w:rPr>
          <w:rFonts w:eastAsiaTheme="minorEastAsia" w:cstheme="minorHAnsi"/>
          <w:lang w:val="en-GB"/>
        </w:rPr>
        <w:t>The AR at day x</w:t>
      </w:r>
    </w:p>
    <w:p w:rsidR="0069430A" w:rsidRDefault="0069430A" w:rsidP="005A062F">
      <w:pPr>
        <w:spacing w:line="360" w:lineRule="auto"/>
        <w:ind w:firstLine="708"/>
        <w:jc w:val="both"/>
        <w:rPr>
          <w:rFonts w:eastAsiaTheme="minorEastAsia" w:cstheme="minorHAnsi"/>
          <w:lang w:val="en-GB"/>
        </w:rPr>
      </w:pPr>
      <w:r>
        <w:rPr>
          <w:rFonts w:eastAsiaTheme="minorEastAsia" w:cstheme="minorHAnsi"/>
          <w:lang w:val="en-GB"/>
        </w:rPr>
        <w:t xml:space="preserve">RetEvlDay </w:t>
      </w:r>
      <w:r>
        <w:rPr>
          <w:rFonts w:eastAsiaTheme="minorEastAsia" w:cstheme="minorHAnsi"/>
          <w:vertAlign w:val="subscript"/>
          <w:lang w:val="en-GB"/>
        </w:rPr>
        <w:t>x</w:t>
      </w:r>
      <w:r>
        <w:rPr>
          <w:rFonts w:eastAsiaTheme="minorEastAsia" w:cstheme="minorHAnsi"/>
          <w:lang w:val="en-GB"/>
        </w:rPr>
        <w:t xml:space="preserve"> </w:t>
      </w:r>
      <w:r w:rsidR="000A03F5">
        <w:rPr>
          <w:rFonts w:eastAsiaTheme="minorEastAsia" w:cstheme="minorHAnsi"/>
          <w:lang w:val="en-GB"/>
        </w:rPr>
        <w:tab/>
      </w:r>
      <w:r w:rsidR="000A03F5">
        <w:rPr>
          <w:rFonts w:eastAsiaTheme="minorEastAsia" w:cstheme="minorHAnsi"/>
          <w:lang w:val="en-GB"/>
        </w:rPr>
        <w:tab/>
        <w:t xml:space="preserve">= </w:t>
      </w:r>
      <w:r w:rsidR="000A03F5">
        <w:rPr>
          <w:rFonts w:eastAsiaTheme="minorEastAsia" w:cstheme="minorHAnsi"/>
          <w:lang w:val="en-GB"/>
        </w:rPr>
        <w:tab/>
      </w:r>
      <w:r>
        <w:rPr>
          <w:rFonts w:eastAsiaTheme="minorEastAsia" w:cstheme="minorHAnsi"/>
          <w:lang w:val="en-GB"/>
        </w:rPr>
        <w:t>Return at day x of the evaluation period</w:t>
      </w:r>
    </w:p>
    <w:p w:rsidR="0069430A" w:rsidRDefault="0069430A" w:rsidP="005A062F">
      <w:pPr>
        <w:spacing w:line="360" w:lineRule="auto"/>
        <w:ind w:firstLine="708"/>
        <w:jc w:val="both"/>
        <w:rPr>
          <w:rFonts w:eastAsiaTheme="minorEastAsia" w:cstheme="minorHAnsi"/>
          <w:lang w:val="en-GB"/>
        </w:rPr>
      </w:pPr>
      <w:r>
        <w:rPr>
          <w:rFonts w:eastAsiaTheme="minorEastAsia" w:cstheme="minorHAnsi"/>
          <w:lang w:val="en-GB"/>
        </w:rPr>
        <w:t xml:space="preserve">α </w:t>
      </w:r>
      <w:r w:rsidR="000A03F5">
        <w:rPr>
          <w:rFonts w:eastAsiaTheme="minorEastAsia" w:cstheme="minorHAnsi"/>
          <w:lang w:val="en-GB"/>
        </w:rPr>
        <w:tab/>
      </w:r>
      <w:r w:rsidR="000A03F5">
        <w:rPr>
          <w:rFonts w:eastAsiaTheme="minorEastAsia" w:cstheme="minorHAnsi"/>
          <w:lang w:val="en-GB"/>
        </w:rPr>
        <w:tab/>
      </w:r>
      <w:r w:rsidR="000A03F5">
        <w:rPr>
          <w:rFonts w:eastAsiaTheme="minorEastAsia" w:cstheme="minorHAnsi"/>
          <w:lang w:val="en-GB"/>
        </w:rPr>
        <w:tab/>
        <w:t xml:space="preserve">= </w:t>
      </w:r>
      <w:r w:rsidR="000A03F5">
        <w:rPr>
          <w:rFonts w:eastAsiaTheme="minorEastAsia" w:cstheme="minorHAnsi"/>
          <w:lang w:val="en-GB"/>
        </w:rPr>
        <w:tab/>
      </w:r>
      <w:r>
        <w:rPr>
          <w:rFonts w:eastAsiaTheme="minorEastAsia" w:cstheme="minorHAnsi"/>
          <w:lang w:val="en-GB"/>
        </w:rPr>
        <w:t>The intercept</w:t>
      </w:r>
    </w:p>
    <w:p w:rsidR="0069430A" w:rsidRDefault="0069430A" w:rsidP="005A062F">
      <w:pPr>
        <w:spacing w:line="360" w:lineRule="auto"/>
        <w:ind w:firstLine="708"/>
        <w:jc w:val="both"/>
        <w:rPr>
          <w:rFonts w:eastAsiaTheme="minorEastAsia" w:cstheme="minorHAnsi"/>
          <w:lang w:val="en-GB"/>
        </w:rPr>
      </w:pPr>
      <w:r>
        <w:rPr>
          <w:rFonts w:eastAsiaTheme="minorEastAsia" w:cstheme="minorHAnsi"/>
          <w:lang w:val="en-GB"/>
        </w:rPr>
        <w:t xml:space="preserve">β </w:t>
      </w:r>
      <w:r w:rsidR="000A03F5">
        <w:rPr>
          <w:rFonts w:eastAsiaTheme="minorEastAsia" w:cstheme="minorHAnsi"/>
          <w:lang w:val="en-GB"/>
        </w:rPr>
        <w:tab/>
      </w:r>
      <w:r w:rsidR="000A03F5">
        <w:rPr>
          <w:rFonts w:eastAsiaTheme="minorEastAsia" w:cstheme="minorHAnsi"/>
          <w:lang w:val="en-GB"/>
        </w:rPr>
        <w:tab/>
      </w:r>
      <w:r w:rsidR="000A03F5">
        <w:rPr>
          <w:rFonts w:eastAsiaTheme="minorEastAsia" w:cstheme="minorHAnsi"/>
          <w:lang w:val="en-GB"/>
        </w:rPr>
        <w:tab/>
        <w:t xml:space="preserve">= </w:t>
      </w:r>
      <w:r w:rsidR="000A03F5">
        <w:rPr>
          <w:rFonts w:eastAsiaTheme="minorEastAsia" w:cstheme="minorHAnsi"/>
          <w:lang w:val="en-GB"/>
        </w:rPr>
        <w:tab/>
      </w:r>
      <w:r>
        <w:rPr>
          <w:rFonts w:eastAsiaTheme="minorEastAsia" w:cstheme="minorHAnsi"/>
          <w:lang w:val="en-GB"/>
        </w:rPr>
        <w:t xml:space="preserve">Slope coefficient of RetIndEvlDay </w:t>
      </w:r>
      <w:r>
        <w:rPr>
          <w:rFonts w:eastAsiaTheme="minorEastAsia" w:cstheme="minorHAnsi"/>
          <w:vertAlign w:val="subscript"/>
          <w:lang w:val="en-GB"/>
        </w:rPr>
        <w:t>x</w:t>
      </w:r>
    </w:p>
    <w:p w:rsidR="0069430A" w:rsidRDefault="0069430A" w:rsidP="005A062F">
      <w:pPr>
        <w:spacing w:line="360" w:lineRule="auto"/>
        <w:ind w:firstLine="708"/>
        <w:jc w:val="both"/>
        <w:rPr>
          <w:rFonts w:eastAsiaTheme="minorEastAsia" w:cstheme="minorHAnsi"/>
          <w:lang w:val="en-GB"/>
        </w:rPr>
      </w:pPr>
      <w:r>
        <w:rPr>
          <w:rFonts w:eastAsiaTheme="minorEastAsia" w:cstheme="minorHAnsi"/>
          <w:lang w:val="en-GB"/>
        </w:rPr>
        <w:t xml:space="preserve">RetIndEvlDay </w:t>
      </w:r>
      <w:r>
        <w:rPr>
          <w:rFonts w:eastAsiaTheme="minorEastAsia" w:cstheme="minorHAnsi"/>
          <w:vertAlign w:val="subscript"/>
          <w:lang w:val="en-GB"/>
        </w:rPr>
        <w:t>x</w:t>
      </w:r>
      <w:r>
        <w:rPr>
          <w:rFonts w:eastAsiaTheme="minorEastAsia" w:cstheme="minorHAnsi"/>
          <w:lang w:val="en-GB"/>
        </w:rPr>
        <w:t xml:space="preserve"> </w:t>
      </w:r>
      <w:r w:rsidR="000A03F5">
        <w:rPr>
          <w:rFonts w:eastAsiaTheme="minorEastAsia" w:cstheme="minorHAnsi"/>
          <w:lang w:val="en-GB"/>
        </w:rPr>
        <w:tab/>
      </w:r>
      <w:r w:rsidR="000A03F5">
        <w:rPr>
          <w:rFonts w:eastAsiaTheme="minorEastAsia" w:cstheme="minorHAnsi"/>
          <w:lang w:val="en-GB"/>
        </w:rPr>
        <w:tab/>
        <w:t xml:space="preserve">= </w:t>
      </w:r>
      <w:r w:rsidR="000A03F5">
        <w:rPr>
          <w:rFonts w:eastAsiaTheme="minorEastAsia" w:cstheme="minorHAnsi"/>
          <w:lang w:val="en-GB"/>
        </w:rPr>
        <w:tab/>
      </w:r>
      <w:r>
        <w:rPr>
          <w:rFonts w:eastAsiaTheme="minorEastAsia" w:cstheme="minorHAnsi"/>
          <w:lang w:val="en-GB"/>
        </w:rPr>
        <w:t>Return of the index at day x of the evaluation period</w:t>
      </w:r>
    </w:p>
    <w:p w:rsidR="0069430A" w:rsidRDefault="0069430A" w:rsidP="005A062F">
      <w:pPr>
        <w:spacing w:line="360" w:lineRule="auto"/>
        <w:jc w:val="both"/>
        <w:rPr>
          <w:rFonts w:eastAsiaTheme="minorEastAsia" w:cstheme="minorHAnsi"/>
          <w:lang w:val="en-GB"/>
        </w:rPr>
      </w:pPr>
      <w:r>
        <w:rPr>
          <w:rFonts w:eastAsiaTheme="minorEastAsia" w:cstheme="minorHAnsi"/>
          <w:lang w:val="en-GB"/>
        </w:rPr>
        <w:t xml:space="preserve">All these variables together are thus able to calculate the AR </w:t>
      </w:r>
      <w:sdt>
        <w:sdtPr>
          <w:rPr>
            <w:rFonts w:eastAsiaTheme="minorEastAsia" w:cstheme="minorHAnsi"/>
            <w:lang w:val="en-GB"/>
          </w:rPr>
          <w:id w:val="1209062"/>
          <w:citation/>
        </w:sdtPr>
        <w:sdtContent>
          <w:r w:rsidR="00067D34">
            <w:rPr>
              <w:rFonts w:eastAsiaTheme="minorEastAsia" w:cstheme="minorHAnsi"/>
              <w:lang w:val="en-GB"/>
            </w:rPr>
            <w:fldChar w:fldCharType="begin"/>
          </w:r>
          <w:r w:rsidRPr="0069430A">
            <w:rPr>
              <w:rFonts w:eastAsiaTheme="minorEastAsia" w:cstheme="minorHAnsi"/>
              <w:lang w:val="en-GB"/>
            </w:rPr>
            <w:instrText xml:space="preserve"> CITATION EDS10 \l 1043 </w:instrText>
          </w:r>
          <w:r w:rsidR="00067D34">
            <w:rPr>
              <w:rFonts w:eastAsiaTheme="minorEastAsia" w:cstheme="minorHAnsi"/>
              <w:lang w:val="en-GB"/>
            </w:rPr>
            <w:fldChar w:fldCharType="separate"/>
          </w:r>
          <w:r w:rsidRPr="0069430A">
            <w:rPr>
              <w:rFonts w:eastAsiaTheme="minorEastAsia" w:cstheme="minorHAnsi"/>
              <w:noProof/>
              <w:lang w:val="en-GB"/>
            </w:rPr>
            <w:t>(EDSC, 2010)</w:t>
          </w:r>
          <w:r w:rsidR="00067D34">
            <w:rPr>
              <w:rFonts w:eastAsiaTheme="minorEastAsia" w:cstheme="minorHAnsi"/>
              <w:lang w:val="en-GB"/>
            </w:rPr>
            <w:fldChar w:fldCharType="end"/>
          </w:r>
        </w:sdtContent>
      </w:sdt>
      <w:r>
        <w:rPr>
          <w:rFonts w:eastAsiaTheme="minorEastAsia" w:cstheme="minorHAnsi"/>
          <w:lang w:val="en-GB"/>
        </w:rPr>
        <w:t xml:space="preserve">. Together with the abovementioned formulas, the CARs and the contribution for society as a whole can be easily computed. </w:t>
      </w:r>
    </w:p>
    <w:p w:rsidR="0069430A" w:rsidRDefault="0069430A" w:rsidP="005A062F">
      <w:pPr>
        <w:spacing w:line="360" w:lineRule="auto"/>
        <w:rPr>
          <w:rFonts w:eastAsiaTheme="minorEastAsia" w:cstheme="minorHAnsi"/>
          <w:lang w:val="en-GB"/>
        </w:rPr>
      </w:pPr>
      <w:r>
        <w:rPr>
          <w:rFonts w:eastAsiaTheme="minorEastAsia" w:cstheme="minorHAnsi"/>
          <w:lang w:val="en-GB"/>
        </w:rPr>
        <w:br w:type="page"/>
      </w:r>
    </w:p>
    <w:p w:rsidR="00A717B1" w:rsidRPr="00A717B1" w:rsidRDefault="00A717B1" w:rsidP="00A717B1">
      <w:pPr>
        <w:spacing w:line="360" w:lineRule="auto"/>
        <w:jc w:val="both"/>
        <w:rPr>
          <w:rFonts w:eastAsiaTheme="minorEastAsia" w:cstheme="minorHAnsi"/>
          <w:b/>
          <w:lang w:val="en-GB"/>
        </w:rPr>
      </w:pPr>
      <w:r>
        <w:rPr>
          <w:rFonts w:eastAsiaTheme="minorEastAsia" w:cstheme="minorHAnsi"/>
          <w:lang w:val="en-GB"/>
        </w:rPr>
        <w:lastRenderedPageBreak/>
        <w:tab/>
      </w:r>
      <w:r w:rsidRPr="00A717B1">
        <w:rPr>
          <w:rFonts w:eastAsiaTheme="minorEastAsia" w:cstheme="minorHAnsi"/>
          <w:b/>
          <w:sz w:val="24"/>
          <w:lang w:val="en-GB"/>
        </w:rPr>
        <w:t xml:space="preserve">3 – Methodology </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For the analysis of the data, statistical software will be used. In this thesis will be made use of SPSS, while always using a significance level (α) of 5%. Actually all four hypotheses boil down to comparing means in the researched groups. As the first two hypotheses can be seen as a comparison of means in multiple groups, an ANOVA can be used to prove the differences in means, or not. The third and fourth hypotheses are not suitable to be included in this same ANOVA as they are dissimilar to the first two. They first two namely research the exact same thing, but for different years, the last two research completely different aspects. So, in order to test the last two hypotheses a t-test for both is required. </w:t>
      </w:r>
    </w:p>
    <w:p w:rsidR="00A717B1" w:rsidRDefault="00A717B1" w:rsidP="00A717B1">
      <w:pPr>
        <w:spacing w:line="360" w:lineRule="auto"/>
        <w:jc w:val="both"/>
        <w:rPr>
          <w:rFonts w:eastAsiaTheme="minorEastAsia" w:cstheme="minorHAnsi"/>
          <w:lang w:val="en-GB"/>
        </w:rPr>
      </w:pPr>
    </w:p>
    <w:p w:rsidR="00A717B1" w:rsidRDefault="00A717B1" w:rsidP="00A717B1">
      <w:pPr>
        <w:spacing w:line="360" w:lineRule="auto"/>
        <w:jc w:val="both"/>
        <w:rPr>
          <w:rFonts w:eastAsiaTheme="minorEastAsia" w:cstheme="minorHAnsi"/>
          <w:b/>
          <w:sz w:val="24"/>
          <w:lang w:val="en-GB"/>
        </w:rPr>
      </w:pPr>
      <w:r>
        <w:rPr>
          <w:rFonts w:eastAsiaTheme="minorEastAsia" w:cstheme="minorHAnsi"/>
          <w:lang w:val="en-GB"/>
        </w:rPr>
        <w:tab/>
      </w:r>
      <w:r>
        <w:rPr>
          <w:rFonts w:eastAsiaTheme="minorEastAsia" w:cstheme="minorHAnsi"/>
          <w:lang w:val="en-GB"/>
        </w:rPr>
        <w:tab/>
      </w:r>
      <w:r>
        <w:rPr>
          <w:rFonts w:eastAsiaTheme="minorEastAsia" w:cstheme="minorHAnsi"/>
          <w:b/>
          <w:sz w:val="24"/>
          <w:lang w:val="en-GB"/>
        </w:rPr>
        <w:t>3</w:t>
      </w:r>
      <w:r w:rsidRPr="004A691B">
        <w:rPr>
          <w:rFonts w:eastAsiaTheme="minorEastAsia" w:cstheme="minorHAnsi"/>
          <w:b/>
          <w:sz w:val="24"/>
          <w:lang w:val="en-GB"/>
        </w:rPr>
        <w:t>.1 – Event Study Tool</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For the calculation, as mentioned earlier, the EventStudy Tool from DataStream is used. This tool calculates the ARs. In doing so, it needs a forecast and an estimation window, identifiers with corresponding event dates and an index with which it calculated the expected returns. The specific choices and variables will be discussed briefly below. </w:t>
      </w:r>
    </w:p>
    <w:p w:rsidR="00A717B1" w:rsidRPr="001924D9" w:rsidRDefault="00A717B1" w:rsidP="00A717B1">
      <w:pPr>
        <w:spacing w:line="360" w:lineRule="auto"/>
        <w:jc w:val="both"/>
        <w:rPr>
          <w:rFonts w:eastAsiaTheme="minorEastAsia" w:cstheme="minorHAnsi"/>
          <w:caps/>
          <w:lang w:val="en-GB"/>
        </w:rPr>
      </w:pPr>
      <w:r>
        <w:rPr>
          <w:rFonts w:eastAsiaTheme="minorEastAsia" w:cstheme="minorHAnsi"/>
          <w:lang w:val="en-GB"/>
        </w:rPr>
        <w:t xml:space="preserve">First of all, the period window at the top of the macro; one has two fill in two periods. With the first one, the tool calculates the expected return conform the market model, the second period is the period for which it calculates the ARs. The chosen values for the first period, the forecast, are -60 until -50 days prior to the event. For the estimation period -1 until 1 is chosen. </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Secondly, the identifiers used are SEDOL codes. There was not much choice to this as ThomsonOne does not provide any other codes other than SEDOL which are recognized by DataStream. SEDOL codes being the worst usable codes in DataStream, they needed some transformation. Without too much problems the SEDOL codes were finally put into the tool. </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Third and last, there was the choice for the underlying stock exchange in order to calculate the expected returns conform CAPM. Although it had been possible to use every </w:t>
      </w:r>
      <w:r w:rsidR="00880FD1">
        <w:rPr>
          <w:rFonts w:eastAsiaTheme="minorEastAsia" w:cstheme="minorHAnsi"/>
          <w:lang w:val="en-GB"/>
        </w:rPr>
        <w:t xml:space="preserve">underlying </w:t>
      </w:r>
      <w:r>
        <w:rPr>
          <w:rFonts w:eastAsiaTheme="minorEastAsia" w:cstheme="minorHAnsi"/>
          <w:lang w:val="en-GB"/>
        </w:rPr>
        <w:t>individual stock exchange</w:t>
      </w:r>
      <w:r w:rsidR="00880FD1">
        <w:rPr>
          <w:rFonts w:eastAsiaTheme="minorEastAsia" w:cstheme="minorHAnsi"/>
          <w:lang w:val="en-GB"/>
        </w:rPr>
        <w:t xml:space="preserve"> for each company in each M&amp;A</w:t>
      </w:r>
      <w:r>
        <w:rPr>
          <w:rFonts w:eastAsiaTheme="minorEastAsia" w:cstheme="minorHAnsi"/>
          <w:lang w:val="en-GB"/>
        </w:rPr>
        <w:t xml:space="preserve">, is chosen to use the universal MSCI Europe index. This decision was made after advice from some employees of the Erasmus University, who reasoned this to keep the complexity somewhat lower. </w:t>
      </w:r>
    </w:p>
    <w:p w:rsidR="00A717B1" w:rsidRPr="00E33E30" w:rsidRDefault="00A717B1" w:rsidP="00A717B1">
      <w:pPr>
        <w:spacing w:line="360" w:lineRule="auto"/>
        <w:jc w:val="both"/>
        <w:rPr>
          <w:rFonts w:eastAsiaTheme="minorEastAsia" w:cstheme="minorHAnsi"/>
          <w:lang w:val="en-GB"/>
        </w:rPr>
      </w:pPr>
      <w:r>
        <w:rPr>
          <w:rFonts w:eastAsiaTheme="minorEastAsia" w:cstheme="minorHAnsi"/>
          <w:lang w:val="en-GB"/>
        </w:rPr>
        <w:t xml:space="preserve"> </w:t>
      </w:r>
    </w:p>
    <w:p w:rsidR="00A717B1" w:rsidRDefault="00A717B1" w:rsidP="00A717B1">
      <w:pPr>
        <w:spacing w:line="360" w:lineRule="auto"/>
        <w:ind w:left="708" w:firstLine="708"/>
        <w:jc w:val="both"/>
        <w:rPr>
          <w:rFonts w:eastAsiaTheme="minorEastAsia" w:cstheme="minorHAnsi"/>
          <w:b/>
          <w:sz w:val="24"/>
          <w:lang w:val="en-GB"/>
        </w:rPr>
      </w:pPr>
      <w:r>
        <w:rPr>
          <w:rFonts w:eastAsiaTheme="minorEastAsia" w:cstheme="minorHAnsi"/>
          <w:b/>
          <w:sz w:val="24"/>
          <w:lang w:val="en-GB"/>
        </w:rPr>
        <w:lastRenderedPageBreak/>
        <w:t>3.2</w:t>
      </w:r>
      <w:r w:rsidRPr="001C7E69">
        <w:rPr>
          <w:rFonts w:eastAsiaTheme="minorEastAsia" w:cstheme="minorHAnsi"/>
          <w:b/>
          <w:sz w:val="24"/>
          <w:lang w:val="en-GB"/>
        </w:rPr>
        <w:t xml:space="preserve"> – T-Test</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A t-test is a parametric statistical test which is usually used to determine differences in population means </w:t>
      </w:r>
      <w:sdt>
        <w:sdtPr>
          <w:rPr>
            <w:rFonts w:eastAsiaTheme="minorEastAsia" w:cstheme="minorHAnsi"/>
            <w:lang w:val="en-GB"/>
          </w:rPr>
          <w:id w:val="7981324"/>
          <w:citation/>
        </w:sdtPr>
        <w:sdtContent>
          <w:r w:rsidR="00067D34">
            <w:rPr>
              <w:rFonts w:eastAsiaTheme="minorEastAsia" w:cstheme="minorHAnsi"/>
              <w:lang w:val="en-GB"/>
            </w:rPr>
            <w:fldChar w:fldCharType="begin"/>
          </w:r>
          <w:r w:rsidR="00227C02" w:rsidRPr="00227C02">
            <w:rPr>
              <w:rFonts w:eastAsiaTheme="minorEastAsia" w:cstheme="minorHAnsi"/>
              <w:lang w:val="en-GB"/>
            </w:rPr>
            <w:instrText xml:space="preserve"> CITATION Moo11 \l 1043  </w:instrText>
          </w:r>
          <w:r w:rsidR="00067D34">
            <w:rPr>
              <w:rFonts w:eastAsiaTheme="minorEastAsia" w:cstheme="minorHAnsi"/>
              <w:lang w:val="en-GB"/>
            </w:rPr>
            <w:fldChar w:fldCharType="separate"/>
          </w:r>
          <w:r w:rsidR="00227C02" w:rsidRPr="00227C02">
            <w:rPr>
              <w:rFonts w:eastAsiaTheme="minorEastAsia" w:cstheme="minorHAnsi"/>
              <w:noProof/>
              <w:lang w:val="en-GB"/>
            </w:rPr>
            <w:t>(Moore, McCabe, Alwan, Craig, &amp; Duckworth, 2011)</w:t>
          </w:r>
          <w:r w:rsidR="00067D34">
            <w:rPr>
              <w:rFonts w:eastAsiaTheme="minorEastAsia" w:cstheme="minorHAnsi"/>
              <w:lang w:val="en-GB"/>
            </w:rPr>
            <w:fldChar w:fldCharType="end"/>
          </w:r>
        </w:sdtContent>
      </w:sdt>
      <w:r>
        <w:rPr>
          <w:rFonts w:eastAsiaTheme="minorEastAsia" w:cstheme="minorHAnsi"/>
          <w:lang w:val="en-GB"/>
        </w:rPr>
        <w:t xml:space="preserve">. Before one even gets started with a t-test (or an ANOVA), one has to check if the researched sample sticks to a normal distribution. This distribution provides the highest accuracy for a t-test </w:t>
      </w:r>
      <w:sdt>
        <w:sdtPr>
          <w:rPr>
            <w:rFonts w:eastAsiaTheme="minorEastAsia" w:cstheme="minorHAnsi"/>
            <w:lang w:val="en-GB"/>
          </w:rPr>
          <w:id w:val="7981325"/>
          <w:citation/>
        </w:sdtPr>
        <w:sdtContent>
          <w:r w:rsidR="00067D34">
            <w:rPr>
              <w:rFonts w:eastAsiaTheme="minorEastAsia" w:cstheme="minorHAnsi"/>
              <w:lang w:val="en-GB"/>
            </w:rPr>
            <w:fldChar w:fldCharType="begin"/>
          </w:r>
          <w:r w:rsidR="00227C02" w:rsidRPr="00227C02">
            <w:rPr>
              <w:rFonts w:eastAsiaTheme="minorEastAsia" w:cstheme="minorHAnsi"/>
              <w:lang w:val="en-GB"/>
            </w:rPr>
            <w:instrText xml:space="preserve"> CITATION Moo11 \l 1043  </w:instrText>
          </w:r>
          <w:r w:rsidR="00067D34">
            <w:rPr>
              <w:rFonts w:eastAsiaTheme="minorEastAsia" w:cstheme="minorHAnsi"/>
              <w:lang w:val="en-GB"/>
            </w:rPr>
            <w:fldChar w:fldCharType="separate"/>
          </w:r>
          <w:r w:rsidR="00227C02" w:rsidRPr="00227C02">
            <w:rPr>
              <w:rFonts w:eastAsiaTheme="minorEastAsia" w:cstheme="minorHAnsi"/>
              <w:noProof/>
              <w:lang w:val="en-GB"/>
            </w:rPr>
            <w:t>(Moore, McCabe, Alwan, Craig, &amp; Duckworth, 2011)</w:t>
          </w:r>
          <w:r w:rsidR="00067D34">
            <w:rPr>
              <w:rFonts w:eastAsiaTheme="minorEastAsia" w:cstheme="minorHAnsi"/>
              <w:lang w:val="en-GB"/>
            </w:rPr>
            <w:fldChar w:fldCharType="end"/>
          </w:r>
        </w:sdtContent>
      </w:sdt>
      <w:r>
        <w:rPr>
          <w:rFonts w:eastAsiaTheme="minorEastAsia" w:cstheme="minorHAnsi"/>
          <w:lang w:val="en-GB"/>
        </w:rPr>
        <w:t xml:space="preserve">. In this research the skewness criterion and Kurtosis criterion are used to determine the normality of the datasets. In order to be considered normally distributed the skewness criterion is not allowed to result in a value higher than 1.500 and the Kurtosis criterion is not allowed to be larger than 3.000 </w:t>
      </w:r>
      <w:sdt>
        <w:sdtPr>
          <w:rPr>
            <w:rFonts w:eastAsiaTheme="minorEastAsia" w:cstheme="minorHAnsi"/>
            <w:lang w:val="en-GB"/>
          </w:rPr>
          <w:id w:val="7981326"/>
          <w:citation/>
        </w:sdtPr>
        <w:sdtContent>
          <w:r w:rsidR="00067D34">
            <w:rPr>
              <w:rFonts w:eastAsiaTheme="minorEastAsia" w:cstheme="minorHAnsi"/>
              <w:lang w:val="en-GB"/>
            </w:rPr>
            <w:fldChar w:fldCharType="begin"/>
          </w:r>
          <w:r w:rsidRPr="00256FF3">
            <w:rPr>
              <w:rFonts w:eastAsiaTheme="minorEastAsia" w:cstheme="minorHAnsi"/>
              <w:lang w:val="en-GB"/>
            </w:rPr>
            <w:instrText xml:space="preserve"> CITATION Sha14 \l 1043 </w:instrText>
          </w:r>
          <w:r w:rsidR="00067D34">
            <w:rPr>
              <w:rFonts w:eastAsiaTheme="minorEastAsia" w:cstheme="minorHAnsi"/>
              <w:lang w:val="en-GB"/>
            </w:rPr>
            <w:fldChar w:fldCharType="separate"/>
          </w:r>
          <w:r w:rsidRPr="00256FF3">
            <w:rPr>
              <w:rFonts w:eastAsiaTheme="minorEastAsia" w:cstheme="minorHAnsi"/>
              <w:noProof/>
              <w:lang w:val="en-GB"/>
            </w:rPr>
            <w:t>(Klaasen, 2014)</w:t>
          </w:r>
          <w:r w:rsidR="00067D34">
            <w:rPr>
              <w:rFonts w:eastAsiaTheme="minorEastAsia" w:cstheme="minorHAnsi"/>
              <w:lang w:val="en-GB"/>
            </w:rPr>
            <w:fldChar w:fldCharType="end"/>
          </w:r>
        </w:sdtContent>
      </w:sdt>
      <w:r>
        <w:rPr>
          <w:rFonts w:eastAsiaTheme="minorEastAsia" w:cstheme="minorHAnsi"/>
          <w:lang w:val="en-GB"/>
        </w:rPr>
        <w:t>. If on the first check these two criteria are not satisfied, there are two ways of trying to acquire the desired normal distribution:</w:t>
      </w:r>
    </w:p>
    <w:p w:rsidR="00A717B1" w:rsidRPr="000F6E40" w:rsidRDefault="00A717B1" w:rsidP="00A717B1">
      <w:pPr>
        <w:pStyle w:val="ListParagraph"/>
        <w:numPr>
          <w:ilvl w:val="0"/>
          <w:numId w:val="17"/>
        </w:numPr>
        <w:spacing w:line="360" w:lineRule="auto"/>
        <w:jc w:val="both"/>
        <w:rPr>
          <w:rFonts w:eastAsiaTheme="minorEastAsia" w:cstheme="minorHAnsi"/>
          <w:lang w:val="en-GB"/>
        </w:rPr>
      </w:pPr>
      <w:r w:rsidRPr="000F6E40">
        <w:rPr>
          <w:rFonts w:eastAsiaTheme="minorEastAsia" w:cstheme="minorHAnsi"/>
          <w:lang w:val="en-GB"/>
        </w:rPr>
        <w:t>Discard the outliers. Outliers are defined as data points with a z-score smaller than -3 or larger than +3.</w:t>
      </w:r>
      <w:sdt>
        <w:sdtPr>
          <w:rPr>
            <w:rFonts w:eastAsiaTheme="minorEastAsia" w:cstheme="minorHAnsi"/>
            <w:lang w:val="en-GB"/>
          </w:rPr>
          <w:id w:val="10906389"/>
          <w:citation/>
        </w:sdtPr>
        <w:sdtContent>
          <w:r w:rsidR="00067D34">
            <w:rPr>
              <w:rFonts w:eastAsiaTheme="minorEastAsia" w:cstheme="minorHAnsi"/>
              <w:lang w:val="en-GB"/>
            </w:rPr>
            <w:fldChar w:fldCharType="begin"/>
          </w:r>
          <w:r w:rsidR="004F1449" w:rsidRPr="004F1449">
            <w:rPr>
              <w:rFonts w:eastAsiaTheme="minorEastAsia" w:cstheme="minorHAnsi"/>
              <w:lang w:val="en-GB"/>
            </w:rPr>
            <w:instrText xml:space="preserve"> CITATION Car12 \l 1043  </w:instrText>
          </w:r>
          <w:r w:rsidR="00067D34">
            <w:rPr>
              <w:rFonts w:eastAsiaTheme="minorEastAsia" w:cstheme="minorHAnsi"/>
              <w:lang w:val="en-GB"/>
            </w:rPr>
            <w:fldChar w:fldCharType="separate"/>
          </w:r>
          <w:r w:rsidR="004F1449" w:rsidRPr="004F1449">
            <w:rPr>
              <w:rFonts w:eastAsiaTheme="minorEastAsia" w:cstheme="minorHAnsi"/>
              <w:noProof/>
              <w:lang w:val="en-GB"/>
            </w:rPr>
            <w:t xml:space="preserve"> </w:t>
          </w:r>
          <w:r w:rsidR="004F1449" w:rsidRPr="004F1449">
            <w:rPr>
              <w:rFonts w:eastAsiaTheme="minorEastAsia" w:cstheme="minorHAnsi"/>
              <w:noProof/>
            </w:rPr>
            <w:t>(Carter-Hill, Griffiths, &amp; Lim, 2012)</w:t>
          </w:r>
          <w:r w:rsidR="00067D34">
            <w:rPr>
              <w:rFonts w:eastAsiaTheme="minorEastAsia" w:cstheme="minorHAnsi"/>
              <w:lang w:val="en-GB"/>
            </w:rPr>
            <w:fldChar w:fldCharType="end"/>
          </w:r>
        </w:sdtContent>
      </w:sdt>
    </w:p>
    <w:p w:rsidR="00A717B1" w:rsidRDefault="00A717B1" w:rsidP="00A717B1">
      <w:pPr>
        <w:pStyle w:val="ListParagraph"/>
        <w:numPr>
          <w:ilvl w:val="0"/>
          <w:numId w:val="17"/>
        </w:numPr>
        <w:spacing w:line="360" w:lineRule="auto"/>
        <w:jc w:val="both"/>
        <w:rPr>
          <w:rFonts w:eastAsiaTheme="minorEastAsia" w:cstheme="minorHAnsi"/>
          <w:lang w:val="en-GB"/>
        </w:rPr>
      </w:pPr>
      <w:r w:rsidRPr="000F6E40">
        <w:rPr>
          <w:rFonts w:eastAsiaTheme="minorEastAsia" w:cstheme="minorHAnsi"/>
          <w:lang w:val="en-GB"/>
        </w:rPr>
        <w:t xml:space="preserve">Take the log-transformation. This means that the logarithm naturalis (ln) will be taken for every value in the problematic data set. Usually this results in a better normally distributed data set. </w:t>
      </w:r>
      <w:sdt>
        <w:sdtPr>
          <w:rPr>
            <w:rFonts w:eastAsiaTheme="minorEastAsia" w:cstheme="minorHAnsi"/>
            <w:lang w:val="en-GB"/>
          </w:rPr>
          <w:id w:val="7981328"/>
          <w:citation/>
        </w:sdtPr>
        <w:sdtContent>
          <w:r w:rsidR="00067D34">
            <w:rPr>
              <w:rFonts w:eastAsiaTheme="minorEastAsia" w:cstheme="minorHAnsi"/>
              <w:lang w:val="en-GB"/>
            </w:rPr>
            <w:fldChar w:fldCharType="begin"/>
          </w:r>
          <w:r w:rsidR="004F1449" w:rsidRPr="00D853B9">
            <w:rPr>
              <w:rFonts w:eastAsiaTheme="minorEastAsia" w:cstheme="minorHAnsi"/>
              <w:lang w:val="en-GB"/>
            </w:rPr>
            <w:instrText xml:space="preserve"> CITATION Car12 \l 1043  </w:instrText>
          </w:r>
          <w:r w:rsidR="00067D34">
            <w:rPr>
              <w:rFonts w:eastAsiaTheme="minorEastAsia" w:cstheme="minorHAnsi"/>
              <w:lang w:val="en-GB"/>
            </w:rPr>
            <w:fldChar w:fldCharType="separate"/>
          </w:r>
          <w:r w:rsidR="004F1449" w:rsidRPr="004F1449">
            <w:rPr>
              <w:rFonts w:eastAsiaTheme="minorEastAsia" w:cstheme="minorHAnsi"/>
              <w:noProof/>
            </w:rPr>
            <w:t>(Carter-Hill, Griffiths, &amp; Lim, 2012)</w:t>
          </w:r>
          <w:r w:rsidR="00067D34">
            <w:rPr>
              <w:rFonts w:eastAsiaTheme="minorEastAsia" w:cstheme="minorHAnsi"/>
              <w:lang w:val="en-GB"/>
            </w:rPr>
            <w:fldChar w:fldCharType="end"/>
          </w:r>
        </w:sdtContent>
      </w:sdt>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After these procedures are undertaken the t-test will be executed. If the dataset still does not follow a normal distribution, there is nothing left to do and the data set as is will be used. As in this research the means of two different groups are researched on  a significant difference, an independent t-test on differences in means across groups is the best choice </w:t>
      </w:r>
      <w:sdt>
        <w:sdtPr>
          <w:rPr>
            <w:rFonts w:eastAsiaTheme="minorEastAsia" w:cstheme="minorHAnsi"/>
            <w:lang w:val="en-GB"/>
          </w:rPr>
          <w:id w:val="7981329"/>
          <w:citation/>
        </w:sdtPr>
        <w:sdtContent>
          <w:r w:rsidR="00067D34">
            <w:rPr>
              <w:rFonts w:eastAsiaTheme="minorEastAsia" w:cstheme="minorHAnsi"/>
              <w:lang w:val="en-GB"/>
            </w:rPr>
            <w:fldChar w:fldCharType="begin"/>
          </w:r>
          <w:r w:rsidR="004F1449" w:rsidRPr="004F1449">
            <w:rPr>
              <w:rFonts w:eastAsiaTheme="minorEastAsia" w:cstheme="minorHAnsi"/>
              <w:lang w:val="en-GB"/>
            </w:rPr>
            <w:instrText xml:space="preserve"> CITATION Car12 \l 1043  </w:instrText>
          </w:r>
          <w:r w:rsidR="00067D34">
            <w:rPr>
              <w:rFonts w:eastAsiaTheme="minorEastAsia" w:cstheme="minorHAnsi"/>
              <w:lang w:val="en-GB"/>
            </w:rPr>
            <w:fldChar w:fldCharType="separate"/>
          </w:r>
          <w:r w:rsidR="004F1449" w:rsidRPr="004F1449">
            <w:rPr>
              <w:rFonts w:eastAsiaTheme="minorEastAsia" w:cstheme="minorHAnsi"/>
              <w:noProof/>
              <w:lang w:val="en-GB"/>
            </w:rPr>
            <w:t>(Carter-Hill, Griffiths, &amp; Lim, 2012)</w:t>
          </w:r>
          <w:r w:rsidR="00067D34">
            <w:rPr>
              <w:rFonts w:eastAsiaTheme="minorEastAsia" w:cstheme="minorHAnsi"/>
              <w:lang w:val="en-GB"/>
            </w:rPr>
            <w:fldChar w:fldCharType="end"/>
          </w:r>
        </w:sdtContent>
      </w:sdt>
      <w:r>
        <w:rPr>
          <w:rFonts w:eastAsiaTheme="minorEastAsia" w:cstheme="minorHAnsi"/>
          <w:lang w:val="en-GB"/>
        </w:rPr>
        <w:t>. The hypothesis and formula SPSS uses for the calculation of this statistic is as follows</w:t>
      </w:r>
      <w:sdt>
        <w:sdtPr>
          <w:rPr>
            <w:rFonts w:eastAsiaTheme="minorEastAsia" w:cstheme="minorHAnsi"/>
            <w:lang w:val="en-GB"/>
          </w:rPr>
          <w:id w:val="15715932"/>
          <w:citation/>
        </w:sdtPr>
        <w:sdtContent>
          <w:r w:rsidR="00067D34">
            <w:rPr>
              <w:rFonts w:eastAsiaTheme="minorEastAsia" w:cstheme="minorHAnsi"/>
              <w:lang w:val="en-GB"/>
            </w:rPr>
            <w:fldChar w:fldCharType="begin"/>
          </w:r>
          <w:r w:rsidR="00227C02" w:rsidRPr="00227C02">
            <w:rPr>
              <w:rFonts w:eastAsiaTheme="minorEastAsia" w:cstheme="minorHAnsi"/>
              <w:lang w:val="en-GB"/>
            </w:rPr>
            <w:instrText xml:space="preserve"> CITATION Moo11 \l 1043  </w:instrText>
          </w:r>
          <w:r w:rsidR="00067D34">
            <w:rPr>
              <w:rFonts w:eastAsiaTheme="minorEastAsia" w:cstheme="minorHAnsi"/>
              <w:lang w:val="en-GB"/>
            </w:rPr>
            <w:fldChar w:fldCharType="separate"/>
          </w:r>
          <w:r w:rsidR="00227C02" w:rsidRPr="00227C02">
            <w:rPr>
              <w:rFonts w:eastAsiaTheme="minorEastAsia" w:cstheme="minorHAnsi"/>
              <w:noProof/>
              <w:lang w:val="en-GB"/>
            </w:rPr>
            <w:t xml:space="preserve"> (Moore, McCabe, Alwan, Craig, &amp; Duckworth, 2011)</w:t>
          </w:r>
          <w:r w:rsidR="00067D34">
            <w:rPr>
              <w:rFonts w:eastAsiaTheme="minorEastAsia" w:cstheme="minorHAnsi"/>
              <w:lang w:val="en-GB"/>
            </w:rPr>
            <w:fldChar w:fldCharType="end"/>
          </w:r>
        </w:sdtContent>
      </w:sdt>
      <w:r>
        <w:rPr>
          <w:rFonts w:eastAsiaTheme="minorEastAsia" w:cstheme="minorHAnsi"/>
          <w:lang w:val="en-GB"/>
        </w:rPr>
        <w:t>:</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H</w:t>
      </w:r>
      <w:r>
        <w:rPr>
          <w:rFonts w:eastAsiaTheme="minorEastAsia" w:cstheme="minorHAnsi"/>
          <w:vertAlign w:val="subscript"/>
          <w:lang w:val="en-GB"/>
        </w:rPr>
        <w:t>0</w:t>
      </w:r>
      <w:r>
        <w:rPr>
          <w:rFonts w:eastAsiaTheme="minorEastAsia" w:cstheme="minorHAnsi"/>
          <w:lang w:val="en-GB"/>
        </w:rPr>
        <w:t xml:space="preserve">: </w:t>
      </w:r>
      <w:r>
        <w:rPr>
          <w:rFonts w:eastAsiaTheme="minorEastAsia" w:cstheme="minorHAnsi"/>
          <w:lang w:val="en-GB"/>
        </w:rPr>
        <w:tab/>
        <w:t>Means across researched groups are equal.</w:t>
      </w:r>
    </w:p>
    <w:p w:rsidR="00A717B1" w:rsidRPr="00E948E6" w:rsidRDefault="00A717B1" w:rsidP="00A717B1">
      <w:pPr>
        <w:spacing w:line="360" w:lineRule="auto"/>
        <w:jc w:val="both"/>
        <w:rPr>
          <w:rFonts w:eastAsiaTheme="minorEastAsia" w:cstheme="minorHAnsi"/>
          <w:lang w:val="en-GB"/>
        </w:rPr>
      </w:pPr>
      <w:r>
        <w:rPr>
          <w:rFonts w:eastAsiaTheme="minorEastAsia" w:cstheme="minorHAnsi"/>
          <w:lang w:val="en-GB"/>
        </w:rPr>
        <w:t>H</w:t>
      </w:r>
      <w:r>
        <w:rPr>
          <w:rFonts w:eastAsiaTheme="minorEastAsia" w:cstheme="minorHAnsi"/>
          <w:vertAlign w:val="subscript"/>
          <w:lang w:val="en-GB"/>
        </w:rPr>
        <w:t>a</w:t>
      </w:r>
      <w:r>
        <w:rPr>
          <w:rFonts w:eastAsiaTheme="minorEastAsia" w:cstheme="minorHAnsi"/>
          <w:lang w:val="en-GB"/>
        </w:rPr>
        <w:t>:</w:t>
      </w:r>
      <w:r>
        <w:rPr>
          <w:rFonts w:eastAsiaTheme="minorEastAsia" w:cstheme="minorHAnsi"/>
          <w:lang w:val="en-GB"/>
        </w:rPr>
        <w:tab/>
        <w:t>Means across researched groups differ significantly.</w:t>
      </w:r>
    </w:p>
    <w:p w:rsidR="00A717B1" w:rsidRDefault="00A717B1" w:rsidP="00A717B1">
      <w:pPr>
        <w:spacing w:line="360" w:lineRule="auto"/>
        <w:rPr>
          <w:rFonts w:eastAsiaTheme="minorEastAsia" w:cstheme="minorHAnsi"/>
          <w:lang w:val="en-GB"/>
        </w:rPr>
      </w:pPr>
      <w:r>
        <w:rPr>
          <w:rFonts w:eastAsiaTheme="minorEastAsia" w:cstheme="minorHAnsi"/>
          <w:lang w:val="en-GB"/>
        </w:rPr>
        <w:br w:type="page"/>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lastRenderedPageBreak/>
        <w:t xml:space="preserve">The formula for an independent t-test is as follows </w:t>
      </w:r>
      <w:sdt>
        <w:sdtPr>
          <w:rPr>
            <w:rFonts w:eastAsiaTheme="minorEastAsia" w:cstheme="minorHAnsi"/>
            <w:lang w:val="en-GB"/>
          </w:rPr>
          <w:id w:val="4459916"/>
          <w:citation/>
        </w:sdtPr>
        <w:sdtContent>
          <w:r w:rsidR="00067D34">
            <w:rPr>
              <w:rFonts w:eastAsiaTheme="minorEastAsia" w:cstheme="minorHAnsi"/>
              <w:lang w:val="en-GB"/>
            </w:rPr>
            <w:fldChar w:fldCharType="begin"/>
          </w:r>
          <w:r w:rsidR="00227C02" w:rsidRPr="00227C02">
            <w:rPr>
              <w:rFonts w:eastAsiaTheme="minorEastAsia" w:cstheme="minorHAnsi"/>
              <w:lang w:val="en-GB"/>
            </w:rPr>
            <w:instrText xml:space="preserve"> CITATION Moo11 \l 1043  </w:instrText>
          </w:r>
          <w:r w:rsidR="00067D34">
            <w:rPr>
              <w:rFonts w:eastAsiaTheme="minorEastAsia" w:cstheme="minorHAnsi"/>
              <w:lang w:val="en-GB"/>
            </w:rPr>
            <w:fldChar w:fldCharType="separate"/>
          </w:r>
          <w:r w:rsidR="00227C02" w:rsidRPr="00227C02">
            <w:rPr>
              <w:rFonts w:eastAsiaTheme="minorEastAsia" w:cstheme="minorHAnsi"/>
              <w:noProof/>
              <w:lang w:val="en-GB"/>
            </w:rPr>
            <w:t>(Moore, McCabe, Alwan, Craig, &amp; Duckworth, 2011)</w:t>
          </w:r>
          <w:r w:rsidR="00067D34">
            <w:rPr>
              <w:rFonts w:eastAsiaTheme="minorEastAsia" w:cstheme="minorHAnsi"/>
              <w:lang w:val="en-GB"/>
            </w:rPr>
            <w:fldChar w:fldCharType="end"/>
          </w:r>
        </w:sdtContent>
      </w:sdt>
      <w:r>
        <w:rPr>
          <w:rFonts w:eastAsiaTheme="minorEastAsia" w:cstheme="minorHAnsi"/>
          <w:lang w:val="en-GB"/>
        </w:rPr>
        <w:t>:</w:t>
      </w:r>
    </w:p>
    <w:p w:rsidR="00A717B1" w:rsidRDefault="00A717B1" w:rsidP="00A717B1">
      <w:pPr>
        <w:spacing w:line="360" w:lineRule="auto"/>
        <w:jc w:val="both"/>
        <w:rPr>
          <w:rFonts w:eastAsiaTheme="minorEastAsia" w:cstheme="minorHAnsi"/>
          <w:lang w:val="en-GB"/>
        </w:rPr>
      </w:pPr>
    </w:p>
    <w:p w:rsidR="00A717B1" w:rsidRPr="000F6E40" w:rsidRDefault="00A717B1" w:rsidP="00A717B1">
      <w:pPr>
        <w:spacing w:line="360" w:lineRule="auto"/>
        <w:jc w:val="both"/>
        <w:rPr>
          <w:rFonts w:eastAsiaTheme="minorEastAsia" w:cstheme="minorHAnsi"/>
          <w:lang w:val="en-GB"/>
        </w:rPr>
      </w:pPr>
      <m:oMathPara>
        <m:oMath>
          <m:r>
            <w:rPr>
              <w:rFonts w:ascii="Cambria Math" w:eastAsiaTheme="minorEastAsia" w:hAnsi="Cambria Math" w:cstheme="minorHAnsi"/>
              <w:lang w:val="en-GB"/>
            </w:rPr>
            <m:t xml:space="preserve">t= </m:t>
          </m:r>
          <m:f>
            <m:fPr>
              <m:ctrlPr>
                <w:rPr>
                  <w:rFonts w:ascii="Cambria Math" w:eastAsiaTheme="minorEastAsia" w:hAnsi="Cambria Math" w:cstheme="minorHAnsi"/>
                  <w:i/>
                  <w:lang w:val="en-GB"/>
                </w:rPr>
              </m:ctrlPr>
            </m:fPr>
            <m:num>
              <m:acc>
                <m:accPr>
                  <m:chr m:val="̅"/>
                  <m:ctrlPr>
                    <w:rPr>
                      <w:rFonts w:ascii="Cambria Math" w:eastAsiaTheme="minorEastAsia" w:hAnsi="Cambria Math" w:cstheme="minorHAnsi"/>
                      <w:i/>
                      <w:lang w:val="en-GB"/>
                    </w:rPr>
                  </m:ctrlPr>
                </m:accPr>
                <m:e>
                  <m:r>
                    <w:rPr>
                      <w:rFonts w:ascii="Cambria Math" w:eastAsiaTheme="minorEastAsia" w:hAnsi="Cambria Math" w:cstheme="minorHAnsi"/>
                      <w:lang w:val="en-GB"/>
                    </w:rPr>
                    <m:t>X</m:t>
                  </m:r>
                </m:e>
              </m:acc>
              <m:r>
                <w:rPr>
                  <w:rFonts w:ascii="Cambria Math" w:eastAsiaTheme="minorEastAsia" w:hAnsi="Cambria Math" w:cstheme="minorHAnsi"/>
                  <w:lang w:val="en-GB"/>
                </w:rPr>
                <m:t>1-</m:t>
              </m:r>
              <m:acc>
                <m:accPr>
                  <m:chr m:val="̅"/>
                  <m:ctrlPr>
                    <w:rPr>
                      <w:rFonts w:ascii="Cambria Math" w:eastAsiaTheme="minorEastAsia" w:hAnsi="Cambria Math" w:cstheme="minorHAnsi"/>
                      <w:i/>
                      <w:lang w:val="en-GB"/>
                    </w:rPr>
                  </m:ctrlPr>
                </m:accPr>
                <m:e>
                  <m:r>
                    <w:rPr>
                      <w:rFonts w:ascii="Cambria Math" w:eastAsiaTheme="minorEastAsia" w:hAnsi="Cambria Math" w:cstheme="minorHAnsi"/>
                      <w:lang w:val="en-GB"/>
                    </w:rPr>
                    <m:t>X</m:t>
                  </m:r>
                </m:e>
              </m:acc>
              <m:r>
                <w:rPr>
                  <w:rFonts w:ascii="Cambria Math" w:eastAsiaTheme="minorEastAsia" w:hAnsi="Cambria Math" w:cstheme="minorHAnsi"/>
                  <w:lang w:val="en-GB"/>
                </w:rPr>
                <m:t>2</m:t>
              </m:r>
            </m:num>
            <m:den>
              <m:rad>
                <m:radPr>
                  <m:degHide m:val="on"/>
                  <m:ctrlPr>
                    <w:rPr>
                      <w:rFonts w:ascii="Cambria Math" w:eastAsiaTheme="minorEastAsia" w:hAnsi="Cambria Math" w:cstheme="minorHAnsi"/>
                      <w:i/>
                      <w:lang w:val="en-GB"/>
                    </w:rPr>
                  </m:ctrlPr>
                </m:radPr>
                <m:deg/>
                <m:e>
                  <m:d>
                    <m:dPr>
                      <m:ctrlPr>
                        <w:rPr>
                          <w:rFonts w:ascii="Cambria Math" w:eastAsiaTheme="minorEastAsia" w:hAnsi="Cambria Math" w:cstheme="minorHAnsi"/>
                          <w:i/>
                          <w:lang w:val="en-GB"/>
                        </w:rPr>
                      </m:ctrlPr>
                    </m:dPr>
                    <m:e>
                      <m:r>
                        <w:rPr>
                          <w:rFonts w:ascii="Cambria Math" w:eastAsiaTheme="minorEastAsia" w:hAnsi="Cambria Math" w:cstheme="minorHAnsi"/>
                          <w:lang w:val="en-GB"/>
                        </w:rPr>
                        <m:t xml:space="preserve"> </m:t>
                      </m:r>
                      <m:f>
                        <m:fPr>
                          <m:ctrlPr>
                            <w:rPr>
                              <w:rFonts w:ascii="Cambria Math" w:eastAsiaTheme="minorEastAsia" w:hAnsi="Cambria Math" w:cstheme="minorHAnsi"/>
                              <w:i/>
                              <w:lang w:val="en-GB"/>
                            </w:rPr>
                          </m:ctrlPr>
                        </m:fPr>
                        <m:num>
                          <m:d>
                            <m:dPr>
                              <m:ctrlPr>
                                <w:rPr>
                                  <w:rFonts w:ascii="Cambria Math" w:eastAsiaTheme="minorEastAsia" w:hAnsi="Cambria Math" w:cstheme="minorHAnsi"/>
                                  <w:i/>
                                  <w:lang w:val="en-GB"/>
                                </w:rPr>
                              </m:ctrlPr>
                            </m:dPr>
                            <m:e>
                              <m:r>
                                <w:rPr>
                                  <w:rFonts w:ascii="Cambria Math" w:eastAsiaTheme="minorEastAsia" w:hAnsi="Cambria Math" w:cstheme="minorHAnsi"/>
                                  <w:lang w:val="en-GB"/>
                                </w:rPr>
                                <m:t>N1-1</m:t>
                              </m:r>
                            </m:e>
                          </m:d>
                          <m:sSubSup>
                            <m:sSubSupPr>
                              <m:ctrlPr>
                                <w:rPr>
                                  <w:rFonts w:ascii="Cambria Math" w:eastAsiaTheme="minorEastAsia" w:hAnsi="Cambria Math" w:cstheme="minorHAnsi"/>
                                  <w:i/>
                                  <w:lang w:val="en-GB"/>
                                </w:rPr>
                              </m:ctrlPr>
                            </m:sSubSupPr>
                            <m:e>
                              <m:r>
                                <w:rPr>
                                  <w:rFonts w:ascii="Cambria Math" w:eastAsiaTheme="minorEastAsia" w:hAnsi="Cambria Math" w:cstheme="minorHAnsi"/>
                                  <w:lang w:val="en-GB"/>
                                </w:rPr>
                                <m:t>s</m:t>
                              </m:r>
                            </m:e>
                            <m:sub>
                              <m:r>
                                <w:rPr>
                                  <w:rFonts w:ascii="Cambria Math" w:eastAsiaTheme="minorEastAsia" w:hAnsi="Cambria Math" w:cstheme="minorHAnsi"/>
                                  <w:lang w:val="en-GB"/>
                                </w:rPr>
                                <m:t>1</m:t>
                              </m:r>
                            </m:sub>
                            <m:sup>
                              <m:r>
                                <w:rPr>
                                  <w:rFonts w:ascii="Cambria Math" w:eastAsiaTheme="minorEastAsia" w:hAnsi="Cambria Math" w:cstheme="minorHAnsi"/>
                                  <w:lang w:val="en-GB"/>
                                </w:rPr>
                                <m:t>2</m:t>
                              </m:r>
                            </m:sup>
                          </m:sSubSup>
                          <m:r>
                            <w:rPr>
                              <w:rFonts w:ascii="Cambria Math" w:eastAsiaTheme="minorEastAsia" w:hAnsi="Cambria Math" w:cstheme="minorHAnsi"/>
                              <w:lang w:val="en-GB"/>
                            </w:rPr>
                            <m:t xml:space="preserve">+ </m:t>
                          </m:r>
                          <m:d>
                            <m:dPr>
                              <m:ctrlPr>
                                <w:rPr>
                                  <w:rFonts w:ascii="Cambria Math" w:eastAsiaTheme="minorEastAsia" w:hAnsi="Cambria Math" w:cstheme="minorHAnsi"/>
                                  <w:i/>
                                  <w:lang w:val="en-GB"/>
                                </w:rPr>
                              </m:ctrlPr>
                            </m:dPr>
                            <m:e>
                              <m:r>
                                <w:rPr>
                                  <w:rFonts w:ascii="Cambria Math" w:eastAsiaTheme="minorEastAsia" w:hAnsi="Cambria Math" w:cstheme="minorHAnsi"/>
                                  <w:lang w:val="en-GB"/>
                                </w:rPr>
                                <m:t>N2-1</m:t>
                              </m:r>
                            </m:e>
                          </m:d>
                          <m:sSubSup>
                            <m:sSubSupPr>
                              <m:ctrlPr>
                                <w:rPr>
                                  <w:rFonts w:ascii="Cambria Math" w:eastAsiaTheme="minorEastAsia" w:hAnsi="Cambria Math" w:cstheme="minorHAnsi"/>
                                  <w:i/>
                                  <w:lang w:val="en-GB"/>
                                </w:rPr>
                              </m:ctrlPr>
                            </m:sSubSupPr>
                            <m:e>
                              <m:r>
                                <w:rPr>
                                  <w:rFonts w:ascii="Cambria Math" w:eastAsiaTheme="minorEastAsia" w:hAnsi="Cambria Math" w:cstheme="minorHAnsi"/>
                                  <w:lang w:val="en-GB"/>
                                </w:rPr>
                                <m:t>s</m:t>
                              </m:r>
                            </m:e>
                            <m:sub>
                              <m:r>
                                <w:rPr>
                                  <w:rFonts w:ascii="Cambria Math" w:eastAsiaTheme="minorEastAsia" w:hAnsi="Cambria Math" w:cstheme="minorHAnsi"/>
                                  <w:lang w:val="en-GB"/>
                                </w:rPr>
                                <m:t>2</m:t>
                              </m:r>
                            </m:sub>
                            <m:sup>
                              <m:r>
                                <w:rPr>
                                  <w:rFonts w:ascii="Cambria Math" w:eastAsiaTheme="minorEastAsia" w:hAnsi="Cambria Math" w:cstheme="minorHAnsi"/>
                                  <w:lang w:val="en-GB"/>
                                </w:rPr>
                                <m:t>2</m:t>
                              </m:r>
                            </m:sup>
                          </m:sSubSup>
                          <m:r>
                            <w:rPr>
                              <w:rFonts w:ascii="Cambria Math" w:eastAsiaTheme="minorEastAsia" w:hAnsi="Cambria Math" w:cstheme="minorHAnsi"/>
                              <w:lang w:val="en-GB"/>
                            </w:rPr>
                            <m:t xml:space="preserve"> </m:t>
                          </m:r>
                        </m:num>
                        <m:den>
                          <m:r>
                            <w:rPr>
                              <w:rFonts w:ascii="Cambria Math" w:eastAsiaTheme="minorEastAsia" w:hAnsi="Cambria Math" w:cstheme="minorHAnsi"/>
                              <w:lang w:val="en-GB"/>
                            </w:rPr>
                            <m:t>N1+N2-2</m:t>
                          </m:r>
                        </m:den>
                      </m:f>
                    </m:e>
                  </m:d>
                  <m:r>
                    <w:rPr>
                      <w:rFonts w:ascii="Cambria Math" w:eastAsiaTheme="minorEastAsia" w:hAnsi="Cambria Math" w:cstheme="minorHAnsi"/>
                      <w:lang w:val="en-GB"/>
                    </w:rPr>
                    <m:t>(</m:t>
                  </m:r>
                  <m:f>
                    <m:fPr>
                      <m:ctrlPr>
                        <w:rPr>
                          <w:rFonts w:ascii="Cambria Math" w:eastAsiaTheme="minorEastAsia" w:hAnsi="Cambria Math" w:cstheme="minorHAnsi"/>
                          <w:i/>
                          <w:lang w:val="en-GB"/>
                        </w:rPr>
                      </m:ctrlPr>
                    </m:fPr>
                    <m:num>
                      <m:r>
                        <w:rPr>
                          <w:rFonts w:ascii="Cambria Math" w:eastAsiaTheme="minorEastAsia" w:hAnsi="Cambria Math" w:cstheme="minorHAnsi"/>
                          <w:lang w:val="en-GB"/>
                        </w:rPr>
                        <m:t>1</m:t>
                      </m:r>
                    </m:num>
                    <m:den>
                      <m:r>
                        <w:rPr>
                          <w:rFonts w:ascii="Cambria Math" w:eastAsiaTheme="minorEastAsia" w:hAnsi="Cambria Math" w:cstheme="minorHAnsi"/>
                          <w:lang w:val="en-GB"/>
                        </w:rPr>
                        <m:t>N1</m:t>
                      </m:r>
                    </m:den>
                  </m:f>
                  <m:r>
                    <w:rPr>
                      <w:rFonts w:ascii="Cambria Math" w:eastAsiaTheme="minorEastAsia" w:hAnsi="Cambria Math" w:cstheme="minorHAnsi"/>
                      <w:lang w:val="en-GB"/>
                    </w:rPr>
                    <m:t xml:space="preserve">+ </m:t>
                  </m:r>
                  <m:f>
                    <m:fPr>
                      <m:ctrlPr>
                        <w:rPr>
                          <w:rFonts w:ascii="Cambria Math" w:eastAsiaTheme="minorEastAsia" w:hAnsi="Cambria Math" w:cstheme="minorHAnsi"/>
                          <w:i/>
                          <w:lang w:val="en-GB"/>
                        </w:rPr>
                      </m:ctrlPr>
                    </m:fPr>
                    <m:num>
                      <m:r>
                        <w:rPr>
                          <w:rFonts w:ascii="Cambria Math" w:eastAsiaTheme="minorEastAsia" w:hAnsi="Cambria Math" w:cstheme="minorHAnsi"/>
                          <w:lang w:val="en-GB"/>
                        </w:rPr>
                        <m:t>1</m:t>
                      </m:r>
                    </m:num>
                    <m:den>
                      <m:r>
                        <w:rPr>
                          <w:rFonts w:ascii="Cambria Math" w:eastAsiaTheme="minorEastAsia" w:hAnsi="Cambria Math" w:cstheme="minorHAnsi"/>
                          <w:lang w:val="en-GB"/>
                        </w:rPr>
                        <m:t>N2</m:t>
                      </m:r>
                    </m:den>
                  </m:f>
                </m:e>
              </m:rad>
              <m:r>
                <w:rPr>
                  <w:rFonts w:ascii="Cambria Math" w:eastAsiaTheme="minorEastAsia" w:hAnsi="Cambria Math" w:cstheme="minorHAnsi"/>
                  <w:lang w:val="en-GB"/>
                </w:rPr>
                <m:t xml:space="preserve">) </m:t>
              </m:r>
            </m:den>
          </m:f>
        </m:oMath>
      </m:oMathPara>
    </w:p>
    <w:p w:rsidR="00A717B1" w:rsidRDefault="00A717B1" w:rsidP="00A717B1">
      <w:pPr>
        <w:spacing w:line="360" w:lineRule="auto"/>
        <w:ind w:firstLine="708"/>
        <w:jc w:val="both"/>
        <w:rPr>
          <w:rFonts w:eastAsiaTheme="minorEastAsia" w:cstheme="minorHAnsi"/>
          <w:lang w:val="en-GB"/>
        </w:rPr>
      </w:pPr>
    </w:p>
    <w:p w:rsidR="00A717B1" w:rsidRDefault="00A717B1" w:rsidP="00A717B1">
      <w:pPr>
        <w:spacing w:line="360" w:lineRule="auto"/>
        <w:ind w:firstLine="708"/>
        <w:jc w:val="both"/>
        <w:rPr>
          <w:rFonts w:eastAsiaTheme="minorEastAsia" w:cstheme="minorHAnsi"/>
          <w:lang w:val="en-GB"/>
        </w:rPr>
      </w:pPr>
      <w:r>
        <w:rPr>
          <w:rFonts w:eastAsiaTheme="minorEastAsia" w:cstheme="minorHAnsi"/>
          <w:lang w:val="en-GB"/>
        </w:rPr>
        <w:t>Where;</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ab/>
        <w:t xml:space="preserve">t </w:t>
      </w:r>
      <w:r>
        <w:rPr>
          <w:rFonts w:eastAsiaTheme="minorEastAsia" w:cstheme="minorHAnsi"/>
          <w:lang w:val="en-GB"/>
        </w:rPr>
        <w:tab/>
        <w:t>=</w:t>
      </w:r>
      <w:r>
        <w:rPr>
          <w:rFonts w:eastAsiaTheme="minorEastAsia" w:cstheme="minorHAnsi"/>
          <w:lang w:val="en-GB"/>
        </w:rPr>
        <w:tab/>
        <w:t xml:space="preserve"> the researched t-statistic</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ab/>
      </w:r>
      <m:oMath>
        <m:acc>
          <m:accPr>
            <m:chr m:val="̅"/>
            <m:ctrlPr>
              <w:rPr>
                <w:rFonts w:ascii="Cambria Math" w:eastAsiaTheme="minorEastAsia" w:hAnsi="Cambria Math" w:cstheme="minorHAnsi"/>
                <w:i/>
                <w:lang w:val="en-GB"/>
              </w:rPr>
            </m:ctrlPr>
          </m:accPr>
          <m:e>
            <m:r>
              <w:rPr>
                <w:rFonts w:ascii="Cambria Math" w:eastAsiaTheme="minorEastAsia" w:hAnsi="Cambria Math" w:cstheme="minorHAnsi"/>
                <w:lang w:val="en-GB"/>
              </w:rPr>
              <m:t>X</m:t>
            </m:r>
          </m:e>
        </m:acc>
      </m:oMath>
      <w:r>
        <w:rPr>
          <w:rFonts w:eastAsiaTheme="minorEastAsia" w:cstheme="minorHAnsi"/>
          <w:lang w:val="en-GB"/>
        </w:rPr>
        <w:t xml:space="preserve">x </w:t>
      </w:r>
      <w:r>
        <w:rPr>
          <w:rFonts w:eastAsiaTheme="minorEastAsia" w:cstheme="minorHAnsi"/>
          <w:lang w:val="en-GB"/>
        </w:rPr>
        <w:tab/>
        <w:t xml:space="preserve">= </w:t>
      </w:r>
      <w:r>
        <w:rPr>
          <w:rFonts w:eastAsiaTheme="minorEastAsia" w:cstheme="minorHAnsi"/>
          <w:lang w:val="en-GB"/>
        </w:rPr>
        <w:tab/>
        <w:t>mean of group x</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ab/>
        <w:t xml:space="preserve">Nx </w:t>
      </w:r>
      <w:r>
        <w:rPr>
          <w:rFonts w:eastAsiaTheme="minorEastAsia" w:cstheme="minorHAnsi"/>
          <w:lang w:val="en-GB"/>
        </w:rPr>
        <w:tab/>
        <w:t xml:space="preserve">= </w:t>
      </w:r>
      <w:r>
        <w:rPr>
          <w:rFonts w:eastAsiaTheme="minorEastAsia" w:cstheme="minorHAnsi"/>
          <w:lang w:val="en-GB"/>
        </w:rPr>
        <w:tab/>
        <w:t>number of observations in group x</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ab/>
        <w:t>s</w:t>
      </w:r>
      <w:r>
        <w:rPr>
          <w:rFonts w:eastAsiaTheme="minorEastAsia" w:cstheme="minorHAnsi"/>
          <w:vertAlign w:val="subscript"/>
          <w:lang w:val="en-GB"/>
        </w:rPr>
        <w:t>x</w:t>
      </w:r>
      <w:r>
        <w:rPr>
          <w:rFonts w:eastAsiaTheme="minorEastAsia" w:cstheme="minorHAnsi"/>
          <w:lang w:val="en-GB"/>
        </w:rPr>
        <w:t xml:space="preserve"> </w:t>
      </w:r>
      <w:r>
        <w:rPr>
          <w:rFonts w:eastAsiaTheme="minorEastAsia" w:cstheme="minorHAnsi"/>
          <w:lang w:val="en-GB"/>
        </w:rPr>
        <w:tab/>
        <w:t xml:space="preserve">= </w:t>
      </w:r>
      <w:r>
        <w:rPr>
          <w:rFonts w:eastAsiaTheme="minorEastAsia" w:cstheme="minorHAnsi"/>
          <w:lang w:val="en-GB"/>
        </w:rPr>
        <w:tab/>
        <w:t>standard deviation group x</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The outcome of the t-test is defined by the p-value. If this p-value is larger than alpha, the null-hypotheses will be considered true. If the p-value is smaller than alpha the null-hypotheses will be rejected and a significant difference in means is present in the groups </w:t>
      </w:r>
      <w:sdt>
        <w:sdtPr>
          <w:rPr>
            <w:rFonts w:eastAsiaTheme="minorEastAsia" w:cstheme="minorHAnsi"/>
            <w:lang w:val="en-GB"/>
          </w:rPr>
          <w:id w:val="4459917"/>
          <w:citation/>
        </w:sdtPr>
        <w:sdtContent>
          <w:r w:rsidR="00067D34">
            <w:rPr>
              <w:rFonts w:eastAsiaTheme="minorEastAsia" w:cstheme="minorHAnsi"/>
              <w:lang w:val="en-GB"/>
            </w:rPr>
            <w:fldChar w:fldCharType="begin"/>
          </w:r>
          <w:r w:rsidR="004F1449" w:rsidRPr="004F1449">
            <w:rPr>
              <w:rFonts w:eastAsiaTheme="minorEastAsia" w:cstheme="minorHAnsi"/>
              <w:lang w:val="en-GB"/>
            </w:rPr>
            <w:instrText xml:space="preserve"> CITATION Car12 \l 1043  </w:instrText>
          </w:r>
          <w:r w:rsidR="00067D34">
            <w:rPr>
              <w:rFonts w:eastAsiaTheme="minorEastAsia" w:cstheme="minorHAnsi"/>
              <w:lang w:val="en-GB"/>
            </w:rPr>
            <w:fldChar w:fldCharType="separate"/>
          </w:r>
          <w:r w:rsidR="004F1449" w:rsidRPr="004F1449">
            <w:rPr>
              <w:rFonts w:eastAsiaTheme="minorEastAsia" w:cstheme="minorHAnsi"/>
              <w:noProof/>
              <w:lang w:val="en-GB"/>
            </w:rPr>
            <w:t>(Carter-Hill, Griffiths, &amp; Lim, 2012)</w:t>
          </w:r>
          <w:r w:rsidR="00067D34">
            <w:rPr>
              <w:rFonts w:eastAsiaTheme="minorEastAsia" w:cstheme="minorHAnsi"/>
              <w:lang w:val="en-GB"/>
            </w:rPr>
            <w:fldChar w:fldCharType="end"/>
          </w:r>
        </w:sdtContent>
      </w:sdt>
      <w:r>
        <w:rPr>
          <w:rFonts w:eastAsiaTheme="minorEastAsia" w:cstheme="minorHAnsi"/>
          <w:lang w:val="en-GB"/>
        </w:rPr>
        <w:t xml:space="preserve">. </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ab/>
      </w:r>
      <w:r>
        <w:rPr>
          <w:rFonts w:eastAsiaTheme="minorEastAsia" w:cstheme="minorHAnsi"/>
          <w:lang w:val="en-GB"/>
        </w:rPr>
        <w:tab/>
      </w:r>
    </w:p>
    <w:p w:rsidR="00A717B1" w:rsidRDefault="00A717B1" w:rsidP="00A717B1">
      <w:pPr>
        <w:spacing w:line="360" w:lineRule="auto"/>
        <w:rPr>
          <w:rFonts w:eastAsiaTheme="minorEastAsia" w:cstheme="minorHAnsi"/>
          <w:lang w:val="en-GB"/>
        </w:rPr>
      </w:pPr>
      <w:r>
        <w:rPr>
          <w:rFonts w:eastAsiaTheme="minorEastAsia" w:cstheme="minorHAnsi"/>
          <w:lang w:val="en-GB"/>
        </w:rPr>
        <w:br w:type="page"/>
      </w:r>
    </w:p>
    <w:p w:rsidR="00A717B1" w:rsidRPr="003634D5" w:rsidRDefault="00A717B1" w:rsidP="00A717B1">
      <w:pPr>
        <w:spacing w:line="360" w:lineRule="auto"/>
        <w:ind w:left="708" w:firstLine="708"/>
        <w:jc w:val="both"/>
        <w:rPr>
          <w:rFonts w:eastAsiaTheme="minorEastAsia" w:cstheme="minorHAnsi"/>
          <w:b/>
          <w:lang w:val="en-GB"/>
        </w:rPr>
      </w:pPr>
      <w:r>
        <w:rPr>
          <w:rFonts w:eastAsiaTheme="minorEastAsia" w:cstheme="minorHAnsi"/>
          <w:b/>
          <w:sz w:val="24"/>
          <w:lang w:val="en-GB"/>
        </w:rPr>
        <w:lastRenderedPageBreak/>
        <w:t>3.3</w:t>
      </w:r>
      <w:r w:rsidRPr="003634D5">
        <w:rPr>
          <w:rFonts w:eastAsiaTheme="minorEastAsia" w:cstheme="minorHAnsi"/>
          <w:b/>
          <w:sz w:val="24"/>
          <w:lang w:val="en-GB"/>
        </w:rPr>
        <w:t xml:space="preserve"> – ANOVA</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The name ANOVA is an abbreviation for Analysis of Variance. ANOVA is a testing procedure which tests if the population means of two or more different groups actually differ</w:t>
      </w:r>
      <w:r w:rsidR="00B44FD6">
        <w:rPr>
          <w:rFonts w:eastAsiaTheme="minorEastAsia" w:cstheme="minorHAnsi"/>
          <w:lang w:val="en-GB"/>
        </w:rPr>
        <w:t xml:space="preserve"> </w:t>
      </w:r>
      <w:sdt>
        <w:sdtPr>
          <w:rPr>
            <w:rFonts w:eastAsiaTheme="minorEastAsia" w:cstheme="minorHAnsi"/>
            <w:lang w:val="en-GB"/>
          </w:rPr>
          <w:id w:val="15715927"/>
          <w:citation/>
        </w:sdtPr>
        <w:sdtContent>
          <w:r w:rsidR="00067D34">
            <w:rPr>
              <w:rFonts w:eastAsiaTheme="minorEastAsia" w:cstheme="minorHAnsi"/>
              <w:lang w:val="en-GB"/>
            </w:rPr>
            <w:fldChar w:fldCharType="begin"/>
          </w:r>
          <w:r w:rsidR="004F1449" w:rsidRPr="004F1449">
            <w:rPr>
              <w:rFonts w:eastAsiaTheme="minorEastAsia" w:cstheme="minorHAnsi"/>
              <w:lang w:val="en-GB"/>
            </w:rPr>
            <w:instrText xml:space="preserve"> CITATION Car12 \l 1043  </w:instrText>
          </w:r>
          <w:r w:rsidR="00067D34">
            <w:rPr>
              <w:rFonts w:eastAsiaTheme="minorEastAsia" w:cstheme="minorHAnsi"/>
              <w:lang w:val="en-GB"/>
            </w:rPr>
            <w:fldChar w:fldCharType="separate"/>
          </w:r>
          <w:r w:rsidR="004F1449" w:rsidRPr="004F1449">
            <w:rPr>
              <w:rFonts w:eastAsiaTheme="minorEastAsia" w:cstheme="minorHAnsi"/>
              <w:noProof/>
              <w:lang w:val="en-GB"/>
            </w:rPr>
            <w:t>(Carter-Hill, Griffiths, &amp; Lim, 2012)</w:t>
          </w:r>
          <w:r w:rsidR="00067D34">
            <w:rPr>
              <w:rFonts w:eastAsiaTheme="minorEastAsia" w:cstheme="minorHAnsi"/>
              <w:lang w:val="en-GB"/>
            </w:rPr>
            <w:fldChar w:fldCharType="end"/>
          </w:r>
        </w:sdtContent>
      </w:sdt>
      <w:r>
        <w:rPr>
          <w:rFonts w:eastAsiaTheme="minorEastAsia" w:cstheme="minorHAnsi"/>
          <w:lang w:val="en-GB"/>
        </w:rPr>
        <w:t xml:space="preserve">. In SPSS this means that one has to make the desired amount of groups, containing the data to be tested for that specific group and choose for an univariate analysis of variance. In advance of any further explanation, it is important to know that the variances of the data groups to be tested are equal. If they are not, an ANOVA is not significant. Testing on equal variances is usually done with a ‘Levene’s test of Equality of Error Variances’. This test tests the null hypothesis that the error variance of the dependent variable is equal across groups. </w:t>
      </w:r>
      <w:sdt>
        <w:sdtPr>
          <w:rPr>
            <w:rFonts w:eastAsiaTheme="minorEastAsia" w:cstheme="minorHAnsi"/>
            <w:lang w:val="en-GB"/>
          </w:rPr>
          <w:id w:val="15715928"/>
          <w:citation/>
        </w:sdtPr>
        <w:sdtContent>
          <w:r w:rsidR="00067D34">
            <w:rPr>
              <w:rFonts w:eastAsiaTheme="minorEastAsia" w:cstheme="minorHAnsi"/>
              <w:lang w:val="en-GB"/>
            </w:rPr>
            <w:fldChar w:fldCharType="begin"/>
          </w:r>
          <w:r w:rsidR="00227C02" w:rsidRPr="00227C02">
            <w:rPr>
              <w:rFonts w:eastAsiaTheme="minorEastAsia" w:cstheme="minorHAnsi"/>
              <w:lang w:val="en-GB"/>
            </w:rPr>
            <w:instrText xml:space="preserve"> CITATION Moo11 \l 1043  </w:instrText>
          </w:r>
          <w:r w:rsidR="00067D34">
            <w:rPr>
              <w:rFonts w:eastAsiaTheme="minorEastAsia" w:cstheme="minorHAnsi"/>
              <w:lang w:val="en-GB"/>
            </w:rPr>
            <w:fldChar w:fldCharType="separate"/>
          </w:r>
          <w:r w:rsidR="00227C02" w:rsidRPr="00227C02">
            <w:rPr>
              <w:rFonts w:eastAsiaTheme="minorEastAsia" w:cstheme="minorHAnsi"/>
              <w:noProof/>
              <w:lang w:val="en-GB"/>
            </w:rPr>
            <w:t>(Moore, McCabe, Alwan, Craig, &amp; Duckworth, 2011)</w:t>
          </w:r>
          <w:r w:rsidR="00067D34">
            <w:rPr>
              <w:rFonts w:eastAsiaTheme="minorEastAsia" w:cstheme="minorHAnsi"/>
              <w:lang w:val="en-GB"/>
            </w:rPr>
            <w:fldChar w:fldCharType="end"/>
          </w:r>
        </w:sdtContent>
      </w:sdt>
    </w:p>
    <w:p w:rsidR="00A717B1" w:rsidRDefault="00A717B1" w:rsidP="00A717B1">
      <w:pPr>
        <w:spacing w:line="360" w:lineRule="auto"/>
        <w:jc w:val="both"/>
        <w:rPr>
          <w:rFonts w:eastAsiaTheme="minorEastAsia" w:cstheme="minorHAnsi"/>
          <w:vertAlign w:val="subscript"/>
          <w:lang w:val="en-GB"/>
        </w:rPr>
      </w:pPr>
      <w:r>
        <w:rPr>
          <w:rFonts w:eastAsiaTheme="minorEastAsia" w:cstheme="minorHAnsi"/>
          <w:lang w:val="en-GB"/>
        </w:rPr>
        <w:tab/>
        <w:t>H</w:t>
      </w:r>
      <w:r>
        <w:rPr>
          <w:rFonts w:eastAsiaTheme="minorEastAsia" w:cstheme="minorHAnsi"/>
          <w:vertAlign w:val="subscript"/>
          <w:lang w:val="en-GB"/>
        </w:rPr>
        <w:t>0</w:t>
      </w:r>
      <w:r>
        <w:rPr>
          <w:rFonts w:eastAsiaTheme="minorEastAsia" w:cstheme="minorHAnsi"/>
          <w:lang w:val="en-GB"/>
        </w:rPr>
        <w:t>:  σ</w:t>
      </w:r>
      <w:r>
        <w:rPr>
          <w:rFonts w:eastAsiaTheme="minorEastAsia" w:cstheme="minorHAnsi"/>
          <w:vertAlign w:val="subscript"/>
          <w:lang w:val="en-GB"/>
        </w:rPr>
        <w:t xml:space="preserve">1 </w:t>
      </w:r>
      <w:r>
        <w:rPr>
          <w:rFonts w:eastAsiaTheme="minorEastAsia" w:cstheme="minorHAnsi"/>
          <w:lang w:val="en-GB"/>
        </w:rPr>
        <w:t>= σ</w:t>
      </w:r>
      <w:r>
        <w:rPr>
          <w:rFonts w:eastAsiaTheme="minorEastAsia" w:cstheme="minorHAnsi"/>
          <w:vertAlign w:val="subscript"/>
          <w:lang w:val="en-GB"/>
        </w:rPr>
        <w:t>2</w:t>
      </w:r>
    </w:p>
    <w:p w:rsidR="00A717B1" w:rsidRDefault="00A717B1" w:rsidP="00A717B1">
      <w:pPr>
        <w:spacing w:line="360" w:lineRule="auto"/>
        <w:jc w:val="both"/>
        <w:rPr>
          <w:rFonts w:eastAsiaTheme="minorEastAsia" w:cstheme="minorHAnsi"/>
          <w:vertAlign w:val="subscript"/>
          <w:lang w:val="en-GB"/>
        </w:rPr>
      </w:pPr>
      <w:r>
        <w:rPr>
          <w:rFonts w:eastAsiaTheme="minorEastAsia" w:cstheme="minorHAnsi"/>
          <w:vertAlign w:val="subscript"/>
          <w:lang w:val="en-GB"/>
        </w:rPr>
        <w:tab/>
      </w:r>
      <w:r>
        <w:rPr>
          <w:rFonts w:eastAsiaTheme="minorEastAsia" w:cstheme="minorHAnsi"/>
          <w:lang w:val="en-GB"/>
        </w:rPr>
        <w:t>H</w:t>
      </w:r>
      <w:r>
        <w:rPr>
          <w:rFonts w:eastAsiaTheme="minorEastAsia" w:cstheme="minorHAnsi"/>
          <w:vertAlign w:val="subscript"/>
          <w:lang w:val="en-GB"/>
        </w:rPr>
        <w:t>a</w:t>
      </w:r>
      <w:r>
        <w:rPr>
          <w:rFonts w:eastAsiaTheme="minorEastAsia" w:cstheme="minorHAnsi"/>
          <w:lang w:val="en-GB"/>
        </w:rPr>
        <w:t>:  σ</w:t>
      </w:r>
      <w:r>
        <w:rPr>
          <w:rFonts w:eastAsiaTheme="minorEastAsia" w:cstheme="minorHAnsi"/>
          <w:vertAlign w:val="subscript"/>
          <w:lang w:val="en-GB"/>
        </w:rPr>
        <w:t>1</w:t>
      </w:r>
      <w:r>
        <w:rPr>
          <w:rFonts w:eastAsiaTheme="minorEastAsia" w:cstheme="minorHAnsi"/>
          <w:lang w:val="en-GB"/>
        </w:rPr>
        <w:t xml:space="preserve"> ≠ σ</w:t>
      </w:r>
      <w:r>
        <w:rPr>
          <w:rFonts w:eastAsiaTheme="minorEastAsia" w:cstheme="minorHAnsi"/>
          <w:vertAlign w:val="subscript"/>
          <w:lang w:val="en-GB"/>
        </w:rPr>
        <w:t>2</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This test basically is a F-test done multiple times. All in all, if the significance value (p-value) is larger than alpha, the null hypothesis cannot be rejected and therefore equal variances are assumed. If this p-value is smaller than alpha, the null hypothesis will be rejected, resulting in the fact that the variances are not equal and rejection of the complete ANOVA test</w:t>
      </w:r>
      <w:r w:rsidR="00B44FD6">
        <w:rPr>
          <w:rFonts w:eastAsiaTheme="minorEastAsia" w:cstheme="minorHAnsi"/>
          <w:lang w:val="en-GB"/>
        </w:rPr>
        <w:t xml:space="preserve"> </w:t>
      </w:r>
      <w:sdt>
        <w:sdtPr>
          <w:rPr>
            <w:rFonts w:eastAsiaTheme="minorEastAsia" w:cstheme="minorHAnsi"/>
            <w:lang w:val="en-GB"/>
          </w:rPr>
          <w:id w:val="15715929"/>
          <w:citation/>
        </w:sdtPr>
        <w:sdtContent>
          <w:r w:rsidR="00067D34">
            <w:rPr>
              <w:rFonts w:eastAsiaTheme="minorEastAsia" w:cstheme="minorHAnsi"/>
              <w:lang w:val="en-GB"/>
            </w:rPr>
            <w:fldChar w:fldCharType="begin"/>
          </w:r>
          <w:r w:rsidR="004F1449" w:rsidRPr="004F1449">
            <w:rPr>
              <w:rFonts w:eastAsiaTheme="minorEastAsia" w:cstheme="minorHAnsi"/>
              <w:lang w:val="en-GB"/>
            </w:rPr>
            <w:instrText xml:space="preserve"> CITATION Car12 \l 1043  </w:instrText>
          </w:r>
          <w:r w:rsidR="00067D34">
            <w:rPr>
              <w:rFonts w:eastAsiaTheme="minorEastAsia" w:cstheme="minorHAnsi"/>
              <w:lang w:val="en-GB"/>
            </w:rPr>
            <w:fldChar w:fldCharType="separate"/>
          </w:r>
          <w:r w:rsidR="004F1449" w:rsidRPr="004F1449">
            <w:rPr>
              <w:rFonts w:eastAsiaTheme="minorEastAsia" w:cstheme="minorHAnsi"/>
              <w:noProof/>
              <w:lang w:val="en-GB"/>
            </w:rPr>
            <w:t>(Carter-Hill, Griffiths, &amp; Lim, 2012)</w:t>
          </w:r>
          <w:r w:rsidR="00067D34">
            <w:rPr>
              <w:rFonts w:eastAsiaTheme="minorEastAsia" w:cstheme="minorHAnsi"/>
              <w:lang w:val="en-GB"/>
            </w:rPr>
            <w:fldChar w:fldCharType="end"/>
          </w:r>
        </w:sdtContent>
      </w:sdt>
      <w:r>
        <w:rPr>
          <w:rFonts w:eastAsiaTheme="minorEastAsia" w:cstheme="minorHAnsi"/>
          <w:lang w:val="en-GB"/>
        </w:rPr>
        <w:t xml:space="preserve">. </w:t>
      </w:r>
    </w:p>
    <w:p w:rsidR="00851B57" w:rsidRDefault="00851B57" w:rsidP="00A717B1">
      <w:pPr>
        <w:spacing w:line="360" w:lineRule="auto"/>
        <w:jc w:val="both"/>
        <w:rPr>
          <w:rFonts w:eastAsiaTheme="minorEastAsia" w:cstheme="minorHAnsi"/>
          <w:lang w:val="en-GB"/>
        </w:rPr>
      </w:pPr>
      <w:r>
        <w:rPr>
          <w:rFonts w:eastAsiaTheme="minorEastAsia" w:cstheme="minorHAnsi"/>
          <w:lang w:val="en-GB"/>
        </w:rPr>
        <w:t>After this Levene’s test one has to check the other of assumptions of the applicable Gauss-Markov theorem</w:t>
      </w:r>
      <w:r w:rsidR="00B44FD6">
        <w:rPr>
          <w:rFonts w:eastAsiaTheme="minorEastAsia" w:cstheme="minorHAnsi"/>
          <w:lang w:val="en-GB"/>
        </w:rPr>
        <w:t xml:space="preserve"> </w:t>
      </w:r>
      <w:sdt>
        <w:sdtPr>
          <w:rPr>
            <w:rFonts w:eastAsiaTheme="minorEastAsia" w:cstheme="minorHAnsi"/>
            <w:lang w:val="en-GB"/>
          </w:rPr>
          <w:id w:val="15715933"/>
          <w:citation/>
        </w:sdtPr>
        <w:sdtContent>
          <w:r w:rsidR="00067D34">
            <w:rPr>
              <w:rFonts w:eastAsiaTheme="minorEastAsia" w:cstheme="minorHAnsi"/>
              <w:lang w:val="en-GB"/>
            </w:rPr>
            <w:fldChar w:fldCharType="begin"/>
          </w:r>
          <w:r w:rsidR="00227C02" w:rsidRPr="00227C02">
            <w:rPr>
              <w:rFonts w:eastAsiaTheme="minorEastAsia" w:cstheme="minorHAnsi"/>
              <w:lang w:val="en-GB"/>
            </w:rPr>
            <w:instrText xml:space="preserve"> CITATION Moo11 \l 1043  </w:instrText>
          </w:r>
          <w:r w:rsidR="00067D34">
            <w:rPr>
              <w:rFonts w:eastAsiaTheme="minorEastAsia" w:cstheme="minorHAnsi"/>
              <w:lang w:val="en-GB"/>
            </w:rPr>
            <w:fldChar w:fldCharType="separate"/>
          </w:r>
          <w:r w:rsidR="00227C02" w:rsidRPr="00227C02">
            <w:rPr>
              <w:rFonts w:eastAsiaTheme="minorEastAsia" w:cstheme="minorHAnsi"/>
              <w:noProof/>
              <w:lang w:val="en-GB"/>
            </w:rPr>
            <w:t>(Moore, McCabe, Alwan, Craig, &amp; Duckworth, 2011)</w:t>
          </w:r>
          <w:r w:rsidR="00067D34">
            <w:rPr>
              <w:rFonts w:eastAsiaTheme="minorEastAsia" w:cstheme="minorHAnsi"/>
              <w:lang w:val="en-GB"/>
            </w:rPr>
            <w:fldChar w:fldCharType="end"/>
          </w:r>
        </w:sdtContent>
      </w:sdt>
      <w:r>
        <w:rPr>
          <w:rFonts w:eastAsiaTheme="minorEastAsia" w:cstheme="minorHAnsi"/>
          <w:lang w:val="en-GB"/>
        </w:rPr>
        <w:t>:</w:t>
      </w:r>
    </w:p>
    <w:p w:rsidR="00851B57" w:rsidRPr="00851B57" w:rsidRDefault="00851B57" w:rsidP="00851B57">
      <w:pPr>
        <w:pStyle w:val="ListParagraph"/>
        <w:numPr>
          <w:ilvl w:val="0"/>
          <w:numId w:val="19"/>
        </w:numPr>
        <w:spacing w:line="360" w:lineRule="auto"/>
        <w:jc w:val="both"/>
        <w:rPr>
          <w:rFonts w:eastAsiaTheme="minorEastAsia" w:cstheme="minorHAnsi"/>
          <w:lang w:val="en-GB"/>
        </w:rPr>
      </w:pPr>
      <w:r w:rsidRPr="00851B57">
        <w:rPr>
          <w:rFonts w:eastAsiaTheme="minorEastAsia" w:cstheme="minorHAnsi"/>
          <w:lang w:val="en-GB"/>
        </w:rPr>
        <w:t xml:space="preserve">Normality; as explained earlier in the theory about the t-test. </w:t>
      </w:r>
    </w:p>
    <w:p w:rsidR="00851B57" w:rsidRPr="00851B57" w:rsidRDefault="00D3415B" w:rsidP="00851B57">
      <w:pPr>
        <w:pStyle w:val="ListParagraph"/>
        <w:numPr>
          <w:ilvl w:val="0"/>
          <w:numId w:val="19"/>
        </w:numPr>
        <w:spacing w:line="360" w:lineRule="auto"/>
        <w:ind w:left="0" w:firstLine="360"/>
        <w:jc w:val="both"/>
        <w:rPr>
          <w:rFonts w:eastAsiaTheme="minorEastAsia" w:cstheme="minorHAnsi"/>
          <w:lang w:val="en-GB"/>
        </w:rPr>
      </w:pPr>
      <w:r>
        <w:rPr>
          <w:rFonts w:eastAsiaTheme="minorEastAsia" w:cstheme="minorHAnsi"/>
          <w:lang w:val="en-GB"/>
        </w:rPr>
        <w:t>No s</w:t>
      </w:r>
      <w:r w:rsidR="00851B57" w:rsidRPr="00851B57">
        <w:rPr>
          <w:rFonts w:eastAsiaTheme="minorEastAsia" w:cstheme="minorHAnsi"/>
          <w:lang w:val="en-GB"/>
        </w:rPr>
        <w:t>erial correlation;</w:t>
      </w:r>
      <w:r w:rsidR="00851B57">
        <w:rPr>
          <w:rFonts w:eastAsiaTheme="minorEastAsia" w:cstheme="minorHAnsi"/>
          <w:lang w:val="en-GB"/>
        </w:rPr>
        <w:t xml:space="preserve"> means that the error terms may not have a</w:t>
      </w:r>
      <w:r>
        <w:rPr>
          <w:rFonts w:eastAsiaTheme="minorEastAsia" w:cstheme="minorHAnsi"/>
          <w:lang w:val="en-GB"/>
        </w:rPr>
        <w:t xml:space="preserve">ny correlation with each other,  inducing a relationship of the variable with itself. </w:t>
      </w:r>
      <w:r w:rsidR="00851B57">
        <w:rPr>
          <w:rFonts w:eastAsiaTheme="minorEastAsia" w:cstheme="minorHAnsi"/>
          <w:lang w:val="en-GB"/>
        </w:rPr>
        <w:t xml:space="preserve"> </w:t>
      </w:r>
    </w:p>
    <w:p w:rsidR="00851B57" w:rsidRPr="00851B57" w:rsidRDefault="00D3415B" w:rsidP="00851B57">
      <w:pPr>
        <w:pStyle w:val="ListParagraph"/>
        <w:numPr>
          <w:ilvl w:val="0"/>
          <w:numId w:val="19"/>
        </w:numPr>
        <w:spacing w:line="360" w:lineRule="auto"/>
        <w:jc w:val="both"/>
        <w:rPr>
          <w:rFonts w:eastAsiaTheme="minorEastAsia" w:cstheme="minorHAnsi"/>
          <w:lang w:val="en-GB"/>
        </w:rPr>
      </w:pPr>
      <w:r>
        <w:rPr>
          <w:rFonts w:eastAsiaTheme="minorEastAsia" w:cstheme="minorHAnsi"/>
          <w:lang w:val="en-GB"/>
        </w:rPr>
        <w:t>No h</w:t>
      </w:r>
      <w:r w:rsidR="00851B57" w:rsidRPr="00851B57">
        <w:rPr>
          <w:rFonts w:eastAsiaTheme="minorEastAsia" w:cstheme="minorHAnsi"/>
          <w:lang w:val="en-GB"/>
        </w:rPr>
        <w:t>eteroskedasticity;</w:t>
      </w:r>
      <w:r w:rsidR="00851B57">
        <w:rPr>
          <w:rFonts w:eastAsiaTheme="minorEastAsia" w:cstheme="minorHAnsi"/>
          <w:lang w:val="en-GB"/>
        </w:rPr>
        <w:t xml:space="preserve"> means that the error variance has to be constant over all the observations</w:t>
      </w:r>
      <w:r>
        <w:rPr>
          <w:rFonts w:eastAsiaTheme="minorEastAsia" w:cstheme="minorHAnsi"/>
          <w:lang w:val="en-GB"/>
        </w:rPr>
        <w:t>. This error term has to be homoskedastic, constant over all observations.</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After the Levene’s test evidencing equal variances</w:t>
      </w:r>
      <w:r w:rsidR="00D3415B">
        <w:rPr>
          <w:rFonts w:eastAsiaTheme="minorEastAsia" w:cstheme="minorHAnsi"/>
          <w:lang w:val="en-GB"/>
        </w:rPr>
        <w:t>, normality is acknowledged</w:t>
      </w:r>
      <w:r>
        <w:rPr>
          <w:rFonts w:eastAsiaTheme="minorEastAsia" w:cstheme="minorHAnsi"/>
          <w:lang w:val="en-GB"/>
        </w:rPr>
        <w:t xml:space="preserve"> </w:t>
      </w:r>
      <w:r w:rsidR="00D3415B">
        <w:rPr>
          <w:rFonts w:eastAsiaTheme="minorEastAsia" w:cstheme="minorHAnsi"/>
          <w:lang w:val="en-GB"/>
        </w:rPr>
        <w:t xml:space="preserve">and serial correlation and heteroskedasticity are absent or </w:t>
      </w:r>
      <w:r>
        <w:rPr>
          <w:rFonts w:eastAsiaTheme="minorEastAsia" w:cstheme="minorHAnsi"/>
          <w:lang w:val="en-GB"/>
        </w:rPr>
        <w:t xml:space="preserve">one can continue with the remaining part of the ANOVA, where it is researched if the group made have a significant effect. So, this means, if an observation is in another group, does this affect its value? </w:t>
      </w:r>
      <w:r w:rsidR="001C6765">
        <w:rPr>
          <w:rFonts w:eastAsiaTheme="minorEastAsia" w:cstheme="minorHAnsi"/>
          <w:lang w:val="en-GB"/>
        </w:rPr>
        <w:t xml:space="preserve">Thus, </w:t>
      </w:r>
      <w:r>
        <w:rPr>
          <w:rFonts w:eastAsiaTheme="minorEastAsia" w:cstheme="minorHAnsi"/>
          <w:lang w:val="en-GB"/>
        </w:rPr>
        <w:t xml:space="preserve">testing if the means across groups are different. This is tested by evaluating the significance of the source ‘group’. If the p-value is larger than alpha, there is no significant effect of group on the value, if the p-value is smaller than alpha, there is a significant effect of the group on the value. </w:t>
      </w:r>
      <w:sdt>
        <w:sdtPr>
          <w:rPr>
            <w:rFonts w:eastAsiaTheme="minorEastAsia" w:cstheme="minorHAnsi"/>
            <w:lang w:val="en-GB"/>
          </w:rPr>
          <w:id w:val="15715934"/>
          <w:citation/>
        </w:sdtPr>
        <w:sdtContent>
          <w:r w:rsidR="00067D34">
            <w:rPr>
              <w:rFonts w:eastAsiaTheme="minorEastAsia" w:cstheme="minorHAnsi"/>
              <w:lang w:val="en-GB"/>
            </w:rPr>
            <w:fldChar w:fldCharType="begin"/>
          </w:r>
          <w:r w:rsidR="00227C02" w:rsidRPr="00227C02">
            <w:rPr>
              <w:rFonts w:eastAsiaTheme="minorEastAsia" w:cstheme="minorHAnsi"/>
              <w:lang w:val="en-GB"/>
            </w:rPr>
            <w:instrText xml:space="preserve"> CITATION Moo11 \l 1043  </w:instrText>
          </w:r>
          <w:r w:rsidR="00067D34">
            <w:rPr>
              <w:rFonts w:eastAsiaTheme="minorEastAsia" w:cstheme="minorHAnsi"/>
              <w:lang w:val="en-GB"/>
            </w:rPr>
            <w:fldChar w:fldCharType="separate"/>
          </w:r>
          <w:r w:rsidR="00227C02" w:rsidRPr="00227C02">
            <w:rPr>
              <w:rFonts w:eastAsiaTheme="minorEastAsia" w:cstheme="minorHAnsi"/>
              <w:noProof/>
              <w:lang w:val="en-GB"/>
            </w:rPr>
            <w:t>(Moore, McCabe, Alwan, Craig, &amp; Duckworth, 2011)</w:t>
          </w:r>
          <w:r w:rsidR="00067D34">
            <w:rPr>
              <w:rFonts w:eastAsiaTheme="minorEastAsia" w:cstheme="minorHAnsi"/>
              <w:lang w:val="en-GB"/>
            </w:rPr>
            <w:fldChar w:fldCharType="end"/>
          </w:r>
        </w:sdtContent>
      </w:sdt>
    </w:p>
    <w:p w:rsidR="00A717B1" w:rsidRDefault="00A717B1" w:rsidP="00D3415B">
      <w:pPr>
        <w:spacing w:line="360" w:lineRule="auto"/>
        <w:rPr>
          <w:rFonts w:eastAsiaTheme="minorEastAsia" w:cstheme="minorHAnsi"/>
          <w:lang w:val="en-GB"/>
        </w:rPr>
      </w:pPr>
      <w:r>
        <w:rPr>
          <w:rFonts w:eastAsiaTheme="minorEastAsia" w:cstheme="minorHAnsi"/>
          <w:noProof/>
          <w:lang w:val="en-US"/>
        </w:rPr>
        <w:lastRenderedPageBreak/>
        <w:drawing>
          <wp:anchor distT="0" distB="0" distL="114300" distR="114300" simplePos="0" relativeHeight="251667456" behindDoc="1" locked="0" layoutInCell="1" allowOverlap="1">
            <wp:simplePos x="0" y="0"/>
            <wp:positionH relativeFrom="column">
              <wp:posOffset>140970</wp:posOffset>
            </wp:positionH>
            <wp:positionV relativeFrom="paragraph">
              <wp:posOffset>3768090</wp:posOffset>
            </wp:positionV>
            <wp:extent cx="5754370" cy="2487930"/>
            <wp:effectExtent l="19050" t="0" r="0" b="0"/>
            <wp:wrapTight wrapText="bothSides">
              <wp:wrapPolygon edited="0">
                <wp:start x="-72" y="0"/>
                <wp:lineTo x="-72" y="21501"/>
                <wp:lineTo x="21595" y="21501"/>
                <wp:lineTo x="21595" y="0"/>
                <wp:lineTo x="-72" y="0"/>
              </wp:wrapPolygon>
            </wp:wrapTight>
            <wp:docPr id="2" name="Afbeelding 4" descr="C:\Users\Gebruiker\Documents\Universiteit\Scriptie\ANOV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ebruiker\Documents\Universiteit\Scriptie\ANOVA.png"/>
                    <pic:cNvPicPr>
                      <a:picLocks noChangeAspect="1" noChangeArrowheads="1"/>
                    </pic:cNvPicPr>
                  </pic:nvPicPr>
                  <pic:blipFill>
                    <a:blip r:embed="rId13" cstate="print"/>
                    <a:srcRect/>
                    <a:stretch>
                      <a:fillRect/>
                    </a:stretch>
                  </pic:blipFill>
                  <pic:spPr bwMode="auto">
                    <a:xfrm>
                      <a:off x="0" y="0"/>
                      <a:ext cx="5754370" cy="2487930"/>
                    </a:xfrm>
                    <a:prstGeom prst="rect">
                      <a:avLst/>
                    </a:prstGeom>
                    <a:noFill/>
                    <a:ln w="9525">
                      <a:noFill/>
                      <a:miter lim="800000"/>
                      <a:headEnd/>
                      <a:tailEnd/>
                    </a:ln>
                  </pic:spPr>
                </pic:pic>
              </a:graphicData>
            </a:graphic>
          </wp:anchor>
        </w:drawing>
      </w:r>
      <w:r>
        <w:rPr>
          <w:rFonts w:eastAsiaTheme="minorEastAsia" w:cstheme="minorHAnsi"/>
          <w:lang w:val="en-GB"/>
        </w:rPr>
        <w:t>In this last situation, the researcher knows there are differences in his testing groups. Now, obviously, he wants to know which groups differ in what ways. This analysis can be done with a post-hoc test of multiple comparisons. So, when the source ‘group’ does have a significant effect and one wants to know how and where the mean differences are, one uses a post-hoc test</w:t>
      </w:r>
      <w:r w:rsidR="009F0A2D">
        <w:rPr>
          <w:rFonts w:eastAsiaTheme="minorEastAsia" w:cstheme="minorHAnsi"/>
          <w:lang w:val="en-GB"/>
        </w:rPr>
        <w:t xml:space="preserve"> </w:t>
      </w:r>
      <w:sdt>
        <w:sdtPr>
          <w:rPr>
            <w:rFonts w:eastAsiaTheme="minorEastAsia" w:cstheme="minorHAnsi"/>
            <w:lang w:val="en-GB"/>
          </w:rPr>
          <w:id w:val="15715935"/>
          <w:citation/>
        </w:sdtPr>
        <w:sdtContent>
          <w:r w:rsidR="00067D34">
            <w:rPr>
              <w:rFonts w:eastAsiaTheme="minorEastAsia" w:cstheme="minorHAnsi"/>
              <w:lang w:val="en-GB"/>
            </w:rPr>
            <w:fldChar w:fldCharType="begin"/>
          </w:r>
          <w:r w:rsidR="009F0A2D" w:rsidRPr="009F0A2D">
            <w:rPr>
              <w:rFonts w:eastAsiaTheme="minorEastAsia" w:cstheme="minorHAnsi"/>
              <w:lang w:val="en-GB"/>
            </w:rPr>
            <w:instrText xml:space="preserve"> CITATION Sha14 \l 1043 </w:instrText>
          </w:r>
          <w:r w:rsidR="00067D34">
            <w:rPr>
              <w:rFonts w:eastAsiaTheme="minorEastAsia" w:cstheme="minorHAnsi"/>
              <w:lang w:val="en-GB"/>
            </w:rPr>
            <w:fldChar w:fldCharType="separate"/>
          </w:r>
          <w:r w:rsidR="009F0A2D" w:rsidRPr="009F0A2D">
            <w:rPr>
              <w:rFonts w:eastAsiaTheme="minorEastAsia" w:cstheme="minorHAnsi"/>
              <w:noProof/>
              <w:lang w:val="en-GB"/>
            </w:rPr>
            <w:t>(Klaasen, 2014)</w:t>
          </w:r>
          <w:r w:rsidR="00067D34">
            <w:rPr>
              <w:rFonts w:eastAsiaTheme="minorEastAsia" w:cstheme="minorHAnsi"/>
              <w:lang w:val="en-GB"/>
            </w:rPr>
            <w:fldChar w:fldCharType="end"/>
          </w:r>
        </w:sdtContent>
      </w:sdt>
      <w:r>
        <w:rPr>
          <w:rFonts w:eastAsiaTheme="minorEastAsia" w:cstheme="minorHAnsi"/>
          <w:lang w:val="en-GB"/>
        </w:rPr>
        <w:t xml:space="preserve">. In this thesis a Bonferroni post-hoc test will be used as this is the most commonly accepted of its kind. This test actually is very easy to understand as it provides confidence intervals for the differences in means between all groups. If the value of 0 is in this confidence interval, one can conclude that there is no significant difference in means between these two groups. By evaluating the confidence intervals and finding the ones in which the value of zero is not included, one can identify the groups which significantly differ and more importantly, how they differ, which group’s means is higher and which’s is lower.  </w:t>
      </w:r>
    </w:p>
    <w:p w:rsidR="00A717B1" w:rsidRDefault="00A717B1" w:rsidP="00A717B1">
      <w:pPr>
        <w:spacing w:line="360" w:lineRule="auto"/>
        <w:jc w:val="both"/>
        <w:rPr>
          <w:rFonts w:eastAsiaTheme="minorEastAsia" w:cstheme="minorHAnsi"/>
          <w:lang w:val="en-GB"/>
        </w:rPr>
      </w:pPr>
    </w:p>
    <w:p w:rsidR="00A717B1" w:rsidRDefault="00327FAD" w:rsidP="00A717B1">
      <w:pPr>
        <w:spacing w:line="360" w:lineRule="auto"/>
        <w:jc w:val="center"/>
        <w:rPr>
          <w:rFonts w:eastAsiaTheme="minorEastAsia" w:cstheme="minorHAnsi"/>
          <w:lang w:val="en-GB"/>
        </w:rPr>
      </w:pPr>
      <w:r>
        <w:rPr>
          <w:rFonts w:eastAsiaTheme="minorEastAsia" w:cstheme="minorHAnsi"/>
          <w:lang w:val="en-GB"/>
        </w:rPr>
        <w:t>Figure 3.2</w:t>
      </w:r>
      <w:r w:rsidR="00A717B1">
        <w:rPr>
          <w:rFonts w:eastAsiaTheme="minorEastAsia" w:cstheme="minorHAnsi"/>
          <w:lang w:val="en-GB"/>
        </w:rPr>
        <w:t>: ANOVA Summary</w:t>
      </w:r>
    </w:p>
    <w:p w:rsidR="00A717B1" w:rsidRDefault="00A717B1" w:rsidP="00A717B1">
      <w:pPr>
        <w:spacing w:line="360" w:lineRule="auto"/>
        <w:rPr>
          <w:rFonts w:eastAsiaTheme="minorEastAsia" w:cstheme="minorHAnsi"/>
          <w:lang w:val="en-GB"/>
        </w:rPr>
      </w:pPr>
    </w:p>
    <w:p w:rsidR="00A717B1" w:rsidRDefault="00A717B1" w:rsidP="00A717B1">
      <w:pPr>
        <w:spacing w:line="360" w:lineRule="auto"/>
        <w:rPr>
          <w:rFonts w:eastAsiaTheme="minorEastAsia" w:cstheme="minorHAnsi"/>
          <w:lang w:val="en-GB"/>
        </w:rPr>
      </w:pPr>
      <w:r>
        <w:rPr>
          <w:rFonts w:eastAsiaTheme="minorEastAsia" w:cstheme="minorHAnsi"/>
          <w:lang w:val="en-GB"/>
        </w:rPr>
        <w:t xml:space="preserve">This figure summarises exactly was is explained about the ANOVA. As explained in 5.2.2 – T-Test, the groups need to be normally distributed (unless proved absolutely impossible after countermeasures), displayed by the ‘bell-like’ form. Levene’s test researches the condition that all variation within groups has to be equal, which is represented by the equal width of the normal distributions above. Lastly, the ANOVA researches if the variation between groups is significant, indicated by the top of the ‘bell-like’ shapes. </w:t>
      </w:r>
      <w:sdt>
        <w:sdtPr>
          <w:rPr>
            <w:rFonts w:eastAsiaTheme="minorEastAsia" w:cstheme="minorHAnsi"/>
            <w:lang w:val="en-GB"/>
          </w:rPr>
          <w:id w:val="15715936"/>
          <w:citation/>
        </w:sdtPr>
        <w:sdtContent>
          <w:r w:rsidR="00067D34">
            <w:rPr>
              <w:rFonts w:eastAsiaTheme="minorEastAsia" w:cstheme="minorHAnsi"/>
              <w:lang w:val="en-GB"/>
            </w:rPr>
            <w:fldChar w:fldCharType="begin"/>
          </w:r>
          <w:r w:rsidR="009F0A2D" w:rsidRPr="00A3693F">
            <w:rPr>
              <w:rFonts w:eastAsiaTheme="minorEastAsia" w:cstheme="minorHAnsi"/>
              <w:lang w:val="en-GB"/>
            </w:rPr>
            <w:instrText xml:space="preserve"> CITATION Sha14 \l 1043 </w:instrText>
          </w:r>
          <w:r w:rsidR="00067D34">
            <w:rPr>
              <w:rFonts w:eastAsiaTheme="minorEastAsia" w:cstheme="minorHAnsi"/>
              <w:lang w:val="en-GB"/>
            </w:rPr>
            <w:fldChar w:fldCharType="separate"/>
          </w:r>
          <w:r w:rsidR="009F0A2D" w:rsidRPr="00A3693F">
            <w:rPr>
              <w:rFonts w:eastAsiaTheme="minorEastAsia" w:cstheme="minorHAnsi"/>
              <w:noProof/>
              <w:lang w:val="en-GB"/>
            </w:rPr>
            <w:t>(Klaasen, 2014)</w:t>
          </w:r>
          <w:r w:rsidR="00067D34">
            <w:rPr>
              <w:rFonts w:eastAsiaTheme="minorEastAsia" w:cstheme="minorHAnsi"/>
              <w:lang w:val="en-GB"/>
            </w:rPr>
            <w:fldChar w:fldCharType="end"/>
          </w:r>
        </w:sdtContent>
      </w:sdt>
    </w:p>
    <w:p w:rsidR="00A717B1" w:rsidRDefault="00A717B1" w:rsidP="00A717B1">
      <w:pPr>
        <w:spacing w:line="360" w:lineRule="auto"/>
        <w:rPr>
          <w:rFonts w:eastAsiaTheme="minorEastAsia" w:cstheme="minorHAnsi"/>
          <w:lang w:val="en-GB"/>
        </w:rPr>
      </w:pPr>
    </w:p>
    <w:p w:rsidR="00A717B1" w:rsidRPr="004A691B" w:rsidRDefault="00A717B1" w:rsidP="00A717B1">
      <w:pPr>
        <w:spacing w:line="360" w:lineRule="auto"/>
        <w:ind w:firstLine="708"/>
        <w:jc w:val="both"/>
        <w:rPr>
          <w:rFonts w:eastAsiaTheme="minorEastAsia" w:cstheme="minorHAnsi"/>
          <w:b/>
          <w:sz w:val="24"/>
          <w:lang w:val="en-GB"/>
        </w:rPr>
      </w:pPr>
      <w:r>
        <w:rPr>
          <w:rFonts w:eastAsiaTheme="minorEastAsia" w:cstheme="minorHAnsi"/>
          <w:b/>
          <w:sz w:val="24"/>
          <w:lang w:val="en-GB"/>
        </w:rPr>
        <w:lastRenderedPageBreak/>
        <w:t>4</w:t>
      </w:r>
      <w:r w:rsidRPr="004A691B">
        <w:rPr>
          <w:rFonts w:eastAsiaTheme="minorEastAsia" w:cstheme="minorHAnsi"/>
          <w:b/>
          <w:sz w:val="24"/>
          <w:lang w:val="en-GB"/>
        </w:rPr>
        <w:t xml:space="preserve"> – </w:t>
      </w:r>
      <w:r>
        <w:rPr>
          <w:rFonts w:eastAsiaTheme="minorEastAsia" w:cstheme="minorHAnsi"/>
          <w:b/>
          <w:sz w:val="24"/>
          <w:lang w:val="en-GB"/>
        </w:rPr>
        <w:t>Research Method</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 A more specific and thorough explanation of the research approach per hypothesis will be given now, in order to acquire a better understanding of how is researched.</w:t>
      </w:r>
    </w:p>
    <w:p w:rsidR="00A717B1" w:rsidRDefault="00A717B1" w:rsidP="00A717B1">
      <w:pPr>
        <w:spacing w:line="360" w:lineRule="auto"/>
        <w:jc w:val="both"/>
        <w:rPr>
          <w:rFonts w:eastAsiaTheme="minorEastAsia" w:cstheme="minorHAnsi"/>
          <w:lang w:val="en-GB"/>
        </w:rPr>
      </w:pPr>
    </w:p>
    <w:p w:rsidR="00A717B1" w:rsidRPr="00136D1C" w:rsidRDefault="00A717B1" w:rsidP="00A717B1">
      <w:pPr>
        <w:spacing w:line="240" w:lineRule="auto"/>
        <w:jc w:val="center"/>
        <w:rPr>
          <w:rFonts w:eastAsiaTheme="minorEastAsia" w:cstheme="minorHAnsi"/>
          <w:b/>
          <w:lang w:val="en-GB"/>
        </w:rPr>
      </w:pPr>
      <w:r w:rsidRPr="00136D1C">
        <w:rPr>
          <w:rFonts w:eastAsiaTheme="minorEastAsia" w:cstheme="minorHAnsi"/>
          <w:b/>
          <w:lang w:val="en-GB"/>
        </w:rPr>
        <w:t>Hypothesis 1 and 2:</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These two are discussed together as they research the exact same thing, but for different years. First of all, the basic M&amp;A data was extracted from ThomsonOne. After this data was sorted on the variable ‘cash’ and filtered (see table </w:t>
      </w:r>
      <w:r w:rsidR="00EE40A8">
        <w:rPr>
          <w:rFonts w:eastAsiaTheme="minorEastAsia" w:cstheme="minorHAnsi"/>
          <w:lang w:val="en-GB"/>
        </w:rPr>
        <w:t>3</w:t>
      </w:r>
      <w:r>
        <w:rPr>
          <w:rFonts w:eastAsiaTheme="minorEastAsia" w:cstheme="minorHAnsi"/>
          <w:lang w:val="en-GB"/>
        </w:rPr>
        <w:t xml:space="preserve">.1), a control and experimental group was made. Subsequently, the data was prepared for the EventStudy Tool. After the tool ran, acquirer and target were matched again and their CARs were summed to acquire the contribution to society as a whole. This contribution to society file was exported to SPSS were a univariate analysis was performed, continued by a Bonferroni post-hoc test to determine where the possible differences in means are located. </w:t>
      </w:r>
    </w:p>
    <w:p w:rsidR="00A717B1" w:rsidRPr="00136D1C" w:rsidRDefault="00A717B1" w:rsidP="00A717B1">
      <w:pPr>
        <w:spacing w:line="240" w:lineRule="auto"/>
        <w:jc w:val="center"/>
        <w:rPr>
          <w:rFonts w:eastAsiaTheme="minorEastAsia" w:cstheme="minorHAnsi"/>
          <w:b/>
          <w:lang w:val="en-GB"/>
        </w:rPr>
      </w:pPr>
      <w:r w:rsidRPr="00136D1C">
        <w:rPr>
          <w:rFonts w:eastAsiaTheme="minorEastAsia" w:cstheme="minorHAnsi"/>
          <w:b/>
          <w:lang w:val="en-GB"/>
        </w:rPr>
        <w:t>Hypothesis 3:</w:t>
      </w:r>
    </w:p>
    <w:p w:rsidR="00A717B1" w:rsidRDefault="00A717B1" w:rsidP="00A717B1">
      <w:pPr>
        <w:spacing w:line="360" w:lineRule="auto"/>
        <w:jc w:val="both"/>
        <w:rPr>
          <w:rFonts w:eastAsiaTheme="minorEastAsia" w:cstheme="minorHAnsi"/>
          <w:lang w:val="en-GB"/>
        </w:rPr>
      </w:pPr>
      <w:r>
        <w:rPr>
          <w:rFonts w:eastAsiaTheme="minorEastAsia" w:cstheme="minorHAnsi"/>
          <w:lang w:val="en-GB"/>
        </w:rPr>
        <w:t xml:space="preserve">As the third hypothesis </w:t>
      </w:r>
      <w:r w:rsidR="003C61F6">
        <w:rPr>
          <w:rFonts w:eastAsiaTheme="minorEastAsia" w:cstheme="minorHAnsi"/>
          <w:lang w:val="en-GB"/>
        </w:rPr>
        <w:t>researches the change over time in serial acquisitions, the value added to society of the first M&amp;A deal was calculated</w:t>
      </w:r>
      <w:r>
        <w:rPr>
          <w:rFonts w:eastAsiaTheme="minorEastAsia" w:cstheme="minorHAnsi"/>
          <w:lang w:val="en-GB"/>
        </w:rPr>
        <w:t>.</w:t>
      </w:r>
      <w:r w:rsidR="003C61F6">
        <w:rPr>
          <w:rFonts w:eastAsiaTheme="minorEastAsia" w:cstheme="minorHAnsi"/>
          <w:lang w:val="en-GB"/>
        </w:rPr>
        <w:t xml:space="preserve"> After that, the average value added of the other M&amp;A deals performed by the same acquirer was calculated. These numbers were tested on a significant difference in means using a independent t-test in SPSS. </w:t>
      </w:r>
      <w:r>
        <w:rPr>
          <w:rFonts w:eastAsiaTheme="minorEastAsia" w:cstheme="minorHAnsi"/>
          <w:lang w:val="en-GB"/>
        </w:rPr>
        <w:t xml:space="preserve"> </w:t>
      </w:r>
    </w:p>
    <w:p w:rsidR="00A717B1" w:rsidRDefault="00A717B1" w:rsidP="00A717B1">
      <w:pPr>
        <w:spacing w:line="360" w:lineRule="auto"/>
        <w:jc w:val="both"/>
        <w:rPr>
          <w:rFonts w:eastAsiaTheme="minorEastAsia" w:cstheme="minorHAnsi"/>
          <w:lang w:val="en-GB"/>
        </w:rPr>
      </w:pPr>
    </w:p>
    <w:p w:rsidR="00A717B1" w:rsidRPr="00136D1C" w:rsidRDefault="00A717B1" w:rsidP="00A717B1">
      <w:pPr>
        <w:spacing w:line="240" w:lineRule="auto"/>
        <w:jc w:val="center"/>
        <w:rPr>
          <w:rFonts w:eastAsiaTheme="minorEastAsia" w:cstheme="minorHAnsi"/>
          <w:b/>
          <w:lang w:val="en-GB"/>
        </w:rPr>
      </w:pPr>
      <w:r w:rsidRPr="00136D1C">
        <w:rPr>
          <w:rFonts w:eastAsiaTheme="minorEastAsia" w:cstheme="minorHAnsi"/>
          <w:b/>
          <w:lang w:val="en-GB"/>
        </w:rPr>
        <w:t>Hypothesis 4:</w:t>
      </w:r>
    </w:p>
    <w:p w:rsidR="00A717B1" w:rsidRPr="0069430A" w:rsidRDefault="00A717B1" w:rsidP="00A717B1">
      <w:pPr>
        <w:spacing w:line="360" w:lineRule="auto"/>
        <w:jc w:val="both"/>
        <w:rPr>
          <w:rFonts w:eastAsiaTheme="minorEastAsia" w:cstheme="minorHAnsi"/>
          <w:lang w:val="en-GB"/>
        </w:rPr>
      </w:pPr>
      <w:r>
        <w:rPr>
          <w:rFonts w:eastAsiaTheme="minorEastAsia" w:cstheme="minorHAnsi"/>
          <w:lang w:val="en-GB"/>
        </w:rPr>
        <w:t>The fourth and last hypothesis was relatively easy to research. The f</w:t>
      </w:r>
      <w:r w:rsidR="00EE40A8">
        <w:rPr>
          <w:rFonts w:eastAsiaTheme="minorEastAsia" w:cstheme="minorHAnsi"/>
          <w:lang w:val="en-GB"/>
        </w:rPr>
        <w:t xml:space="preserve">ormulas mentioned before (see </w:t>
      </w:r>
      <w:r>
        <w:rPr>
          <w:rFonts w:eastAsiaTheme="minorEastAsia" w:cstheme="minorHAnsi"/>
          <w:lang w:val="en-GB"/>
        </w:rPr>
        <w:t>2</w:t>
      </w:r>
      <w:r w:rsidR="00EE40A8">
        <w:rPr>
          <w:rFonts w:eastAsiaTheme="minorEastAsia" w:cstheme="minorHAnsi"/>
          <w:lang w:val="en-GB"/>
        </w:rPr>
        <w:t>.4</w:t>
      </w:r>
      <w:r>
        <w:rPr>
          <w:rFonts w:eastAsiaTheme="minorEastAsia" w:cstheme="minorHAnsi"/>
          <w:lang w:val="en-GB"/>
        </w:rPr>
        <w:t xml:space="preserve"> – The hypotheses) were executed in excel to finally acquire the </w:t>
      </w:r>
      <w:r w:rsidR="003C61F6">
        <w:rPr>
          <w:rFonts w:eastAsiaTheme="minorEastAsia" w:cstheme="minorHAnsi"/>
          <w:lang w:val="en-GB"/>
        </w:rPr>
        <w:t>premium</w:t>
      </w:r>
      <w:r>
        <w:rPr>
          <w:rFonts w:eastAsiaTheme="minorEastAsia" w:cstheme="minorHAnsi"/>
          <w:lang w:val="en-GB"/>
        </w:rPr>
        <w:t xml:space="preserve"> ratio. This value was, again, exported to excel and a t-test on a difference in mean between the control and experimental group was performed in SPSS. As no separation regarding years was made in this hypothesis, </w:t>
      </w:r>
      <w:r w:rsidR="003C61F6">
        <w:rPr>
          <w:rFonts w:eastAsiaTheme="minorEastAsia" w:cstheme="minorHAnsi"/>
          <w:lang w:val="en-GB"/>
        </w:rPr>
        <w:t>premium</w:t>
      </w:r>
      <w:r>
        <w:rPr>
          <w:rFonts w:eastAsiaTheme="minorEastAsia" w:cstheme="minorHAnsi"/>
          <w:lang w:val="en-GB"/>
        </w:rPr>
        <w:t xml:space="preserve"> ratios of both time periods were researched at once. </w:t>
      </w:r>
    </w:p>
    <w:p w:rsidR="00A717B1" w:rsidRPr="003634D5" w:rsidRDefault="00A717B1" w:rsidP="00A717B1">
      <w:pPr>
        <w:spacing w:line="360" w:lineRule="auto"/>
        <w:rPr>
          <w:b/>
          <w:sz w:val="32"/>
          <w:lang w:val="en-GB"/>
        </w:rPr>
      </w:pPr>
      <w:r w:rsidRPr="003634D5">
        <w:rPr>
          <w:b/>
          <w:sz w:val="32"/>
          <w:lang w:val="en-GB"/>
        </w:rPr>
        <w:br w:type="page"/>
      </w:r>
    </w:p>
    <w:p w:rsidR="00A717B1" w:rsidRPr="00E0167F" w:rsidRDefault="00A717B1" w:rsidP="00A717B1">
      <w:pPr>
        <w:spacing w:line="360" w:lineRule="auto"/>
        <w:rPr>
          <w:rFonts w:eastAsiaTheme="minorEastAsia" w:cstheme="minorHAnsi"/>
          <w:lang w:val="en-GB"/>
        </w:rPr>
      </w:pPr>
    </w:p>
    <w:p w:rsidR="00A717B1" w:rsidRDefault="00A717B1" w:rsidP="00A717B1">
      <w:pPr>
        <w:spacing w:line="360" w:lineRule="auto"/>
        <w:jc w:val="right"/>
        <w:rPr>
          <w:b/>
          <w:sz w:val="32"/>
          <w:lang w:val="en-GB"/>
        </w:rPr>
      </w:pPr>
    </w:p>
    <w:p w:rsidR="00EE40A8" w:rsidRDefault="00EE40A8" w:rsidP="00A717B1">
      <w:pPr>
        <w:spacing w:line="360" w:lineRule="auto"/>
        <w:jc w:val="right"/>
        <w:rPr>
          <w:b/>
          <w:sz w:val="32"/>
          <w:lang w:val="en-GB"/>
        </w:rPr>
      </w:pPr>
    </w:p>
    <w:p w:rsidR="001933F6" w:rsidRPr="00A717B1" w:rsidRDefault="00A717B1" w:rsidP="00A717B1">
      <w:pPr>
        <w:spacing w:line="360" w:lineRule="auto"/>
        <w:jc w:val="right"/>
        <w:rPr>
          <w:b/>
          <w:sz w:val="32"/>
          <w:lang w:val="en-GB"/>
        </w:rPr>
      </w:pPr>
      <w:r>
        <w:rPr>
          <w:b/>
          <w:sz w:val="32"/>
          <w:lang w:val="en-GB"/>
        </w:rPr>
        <w:t xml:space="preserve">CHAPTER 4 – </w:t>
      </w:r>
      <w:r w:rsidRPr="00A717B1">
        <w:rPr>
          <w:b/>
          <w:sz w:val="32"/>
          <w:lang w:val="en-GB"/>
        </w:rPr>
        <w:t>RESULTS</w:t>
      </w:r>
      <w:r>
        <w:rPr>
          <w:b/>
          <w:sz w:val="32"/>
          <w:lang w:val="en-GB"/>
        </w:rPr>
        <w:t xml:space="preserve"> </w:t>
      </w:r>
    </w:p>
    <w:p w:rsidR="00A717B1" w:rsidRPr="00A717B1" w:rsidRDefault="00A717B1" w:rsidP="00A717B1">
      <w:pPr>
        <w:spacing w:line="360" w:lineRule="auto"/>
        <w:jc w:val="right"/>
        <w:rPr>
          <w:b/>
          <w:sz w:val="32"/>
          <w:lang w:val="en-GB"/>
        </w:rPr>
      </w:pPr>
      <w:r w:rsidRPr="00A717B1">
        <w:rPr>
          <w:b/>
          <w:sz w:val="32"/>
          <w:lang w:val="en-GB"/>
        </w:rPr>
        <w:t>________________________________________________________</w:t>
      </w:r>
    </w:p>
    <w:p w:rsidR="00A717B1" w:rsidRDefault="00A717B1" w:rsidP="00A717B1">
      <w:pPr>
        <w:spacing w:line="360" w:lineRule="auto"/>
        <w:jc w:val="both"/>
        <w:rPr>
          <w:lang w:val="en-GB"/>
        </w:rPr>
      </w:pPr>
    </w:p>
    <w:p w:rsidR="001933F6" w:rsidRPr="00A717B1" w:rsidRDefault="00A717B1" w:rsidP="00A717B1">
      <w:pPr>
        <w:spacing w:line="360" w:lineRule="auto"/>
        <w:jc w:val="both"/>
        <w:rPr>
          <w:lang w:val="en-GB"/>
        </w:rPr>
      </w:pPr>
      <w:r w:rsidRPr="00A717B1">
        <w:rPr>
          <w:lang w:val="en-GB"/>
        </w:rPr>
        <w:t xml:space="preserve">In this chapter the results deriving from the analysis will be interpreted and discussed. First the data results will be analysed, after which conclusions are drawn and statements regarding the hypotheses are made. </w:t>
      </w:r>
    </w:p>
    <w:p w:rsidR="00A717B1" w:rsidRDefault="00A717B1" w:rsidP="00A717B1">
      <w:pPr>
        <w:spacing w:line="360" w:lineRule="auto"/>
        <w:ind w:firstLine="708"/>
        <w:rPr>
          <w:b/>
          <w:sz w:val="24"/>
          <w:lang w:val="en-GB"/>
        </w:rPr>
      </w:pPr>
    </w:p>
    <w:p w:rsidR="00AC5B79" w:rsidRPr="00A717B1" w:rsidRDefault="00A717B1" w:rsidP="00A717B1">
      <w:pPr>
        <w:spacing w:line="360" w:lineRule="auto"/>
        <w:ind w:firstLine="708"/>
        <w:rPr>
          <w:b/>
          <w:sz w:val="32"/>
          <w:lang w:val="en-GB"/>
        </w:rPr>
      </w:pPr>
      <w:r>
        <w:rPr>
          <w:b/>
          <w:sz w:val="24"/>
          <w:lang w:val="en-GB"/>
        </w:rPr>
        <w:t>1</w:t>
      </w:r>
      <w:r w:rsidR="00E53949" w:rsidRPr="00AC5B79">
        <w:rPr>
          <w:b/>
          <w:sz w:val="24"/>
          <w:lang w:val="en-GB"/>
        </w:rPr>
        <w:t xml:space="preserve"> – Analysis of the data</w:t>
      </w:r>
    </w:p>
    <w:p w:rsidR="00AC5B79" w:rsidRDefault="00AC5B79" w:rsidP="003400E9">
      <w:pPr>
        <w:spacing w:line="360" w:lineRule="auto"/>
        <w:jc w:val="both"/>
        <w:rPr>
          <w:lang w:val="en-GB"/>
        </w:rPr>
      </w:pPr>
      <w:r>
        <w:rPr>
          <w:lang w:val="en-GB"/>
        </w:rPr>
        <w:t xml:space="preserve">The analysis of the data will be done in three steps, one step for each hypothesis where hypothesis 1 and 2 are combined as they research the exact same thing but for different years. </w:t>
      </w:r>
    </w:p>
    <w:p w:rsidR="00AC5B79" w:rsidRDefault="00AC5B79" w:rsidP="003400E9">
      <w:pPr>
        <w:spacing w:line="360" w:lineRule="auto"/>
        <w:jc w:val="both"/>
        <w:rPr>
          <w:lang w:val="en-GB"/>
        </w:rPr>
      </w:pPr>
      <w:r>
        <w:rPr>
          <w:lang w:val="en-GB"/>
        </w:rPr>
        <w:t xml:space="preserve">The </w:t>
      </w:r>
      <w:r w:rsidR="001C6765">
        <w:rPr>
          <w:lang w:val="en-GB"/>
        </w:rPr>
        <w:t>analyses of the first two hypotheses involve</w:t>
      </w:r>
      <w:r>
        <w:rPr>
          <w:lang w:val="en-GB"/>
        </w:rPr>
        <w:t xml:space="preserve"> the interpretation of the ANOVA results</w:t>
      </w:r>
      <w:r w:rsidR="00A16050">
        <w:rPr>
          <w:lang w:val="en-GB"/>
        </w:rPr>
        <w:t xml:space="preserve"> and of the last two involve the interpretation of the performed t-tests</w:t>
      </w:r>
      <w:r>
        <w:rPr>
          <w:lang w:val="en-GB"/>
        </w:rPr>
        <w:t>. Before getting started with ANOVA</w:t>
      </w:r>
      <w:r w:rsidR="00A16050">
        <w:rPr>
          <w:lang w:val="en-GB"/>
        </w:rPr>
        <w:t xml:space="preserve"> or t-tests</w:t>
      </w:r>
      <w:r>
        <w:rPr>
          <w:lang w:val="en-GB"/>
        </w:rPr>
        <w:t xml:space="preserve">, it was of great importance to check the conditions stated under 5.2.2 – T-test. </w:t>
      </w:r>
      <w:r w:rsidR="0022345B">
        <w:rPr>
          <w:lang w:val="en-GB"/>
        </w:rPr>
        <w:t>The first step of the analyses was to correct all data accordingly to continue the analysis without further delay lat</w:t>
      </w:r>
      <w:r w:rsidR="00327FAD">
        <w:rPr>
          <w:lang w:val="en-GB"/>
        </w:rPr>
        <w:t>er on. In the appendix, table 1</w:t>
      </w:r>
      <w:r w:rsidR="00136D1C">
        <w:rPr>
          <w:lang w:val="en-GB"/>
        </w:rPr>
        <w:t xml:space="preserve"> </w:t>
      </w:r>
      <w:r w:rsidR="0022345B">
        <w:rPr>
          <w:lang w:val="en-GB"/>
        </w:rPr>
        <w:t>show</w:t>
      </w:r>
      <w:r w:rsidR="00136D1C">
        <w:rPr>
          <w:lang w:val="en-GB"/>
        </w:rPr>
        <w:t>s</w:t>
      </w:r>
      <w:r w:rsidR="0022345B">
        <w:rPr>
          <w:lang w:val="en-GB"/>
        </w:rPr>
        <w:t xml:space="preserve"> the development of the skewness and Kurtosis criteria regarding the data, after outliers had been removed and the log-transformation has been taken</w:t>
      </w:r>
      <w:r w:rsidR="00CA47A6">
        <w:rPr>
          <w:lang w:val="en-GB"/>
        </w:rPr>
        <w:t xml:space="preserve"> (only if necessary of course)</w:t>
      </w:r>
      <w:r w:rsidR="0022345B">
        <w:rPr>
          <w:lang w:val="en-GB"/>
        </w:rPr>
        <w:t>.</w:t>
      </w:r>
      <w:r w:rsidR="00CA47A6">
        <w:rPr>
          <w:lang w:val="en-GB"/>
        </w:rPr>
        <w:t xml:space="preserve"> As evident from the figures in the appendix, all three data sets did not meet the required standards of the Kurtosis criterium. After deleting outliers, the first two did. However, the residuals/deal value ratio data set needed the log-transformation in order to become a correct and usable dataset. </w:t>
      </w:r>
    </w:p>
    <w:p w:rsidR="00A717B1" w:rsidRDefault="00A717B1" w:rsidP="003400E9">
      <w:pPr>
        <w:spacing w:line="360" w:lineRule="auto"/>
        <w:jc w:val="center"/>
        <w:rPr>
          <w:b/>
          <w:lang w:val="en-GB"/>
        </w:rPr>
      </w:pPr>
    </w:p>
    <w:p w:rsidR="00A717B1" w:rsidRDefault="00A717B1" w:rsidP="003400E9">
      <w:pPr>
        <w:spacing w:line="360" w:lineRule="auto"/>
        <w:jc w:val="center"/>
        <w:rPr>
          <w:b/>
          <w:lang w:val="en-GB"/>
        </w:rPr>
      </w:pPr>
    </w:p>
    <w:p w:rsidR="003400E9" w:rsidRPr="00136D1C" w:rsidRDefault="00CA47A6" w:rsidP="003400E9">
      <w:pPr>
        <w:spacing w:line="360" w:lineRule="auto"/>
        <w:jc w:val="center"/>
        <w:rPr>
          <w:b/>
          <w:lang w:val="en-GB"/>
        </w:rPr>
      </w:pPr>
      <w:r w:rsidRPr="00136D1C">
        <w:rPr>
          <w:b/>
          <w:lang w:val="en-GB"/>
        </w:rPr>
        <w:lastRenderedPageBreak/>
        <w:t>Hypothesis 1 and 2:</w:t>
      </w:r>
    </w:p>
    <w:p w:rsidR="00A16050" w:rsidRDefault="00A16050" w:rsidP="003400E9">
      <w:pPr>
        <w:spacing w:line="360" w:lineRule="auto"/>
        <w:jc w:val="both"/>
        <w:rPr>
          <w:i/>
          <w:lang w:val="en-GB"/>
        </w:rPr>
      </w:pPr>
      <w:r w:rsidRPr="00136D1C">
        <w:rPr>
          <w:i/>
          <w:lang w:val="en-GB"/>
        </w:rPr>
        <w:t xml:space="preserve">The total value added for society in M&amp;A deals is lower in the experimental group than in the control group in 2006-2007. </w:t>
      </w:r>
    </w:p>
    <w:p w:rsidR="00AA6C0F" w:rsidRPr="00136D1C" w:rsidRDefault="00AA6C0F" w:rsidP="003400E9">
      <w:pPr>
        <w:spacing w:line="360" w:lineRule="auto"/>
        <w:jc w:val="both"/>
        <w:rPr>
          <w:i/>
          <w:lang w:val="en-GB"/>
        </w:rPr>
      </w:pPr>
    </w:p>
    <w:p w:rsidR="00A16050" w:rsidRPr="00136D1C" w:rsidRDefault="00A16050" w:rsidP="003400E9">
      <w:pPr>
        <w:spacing w:line="360" w:lineRule="auto"/>
        <w:jc w:val="both"/>
        <w:rPr>
          <w:i/>
          <w:lang w:val="en-GB"/>
        </w:rPr>
      </w:pPr>
      <w:r w:rsidRPr="00136D1C">
        <w:rPr>
          <w:i/>
          <w:lang w:val="en-GB"/>
        </w:rPr>
        <w:t xml:space="preserve">The total value added for society in M&amp;A deals is lower in the experimental group than in the control group in 2011-2012. </w:t>
      </w:r>
    </w:p>
    <w:p w:rsidR="00A16050" w:rsidRDefault="00A16050" w:rsidP="003400E9">
      <w:pPr>
        <w:spacing w:line="360" w:lineRule="auto"/>
        <w:jc w:val="both"/>
        <w:rPr>
          <w:lang w:val="en-GB"/>
        </w:rPr>
      </w:pPr>
      <w:r>
        <w:rPr>
          <w:lang w:val="en-GB"/>
        </w:rPr>
        <w:t>As mentioned before, these two hypotheses were research at once, using an ANOVA and a Bonferroni post-hoc test. Before it is possible to start with an ANOVA, a Levene’s test is necessary. This test is performed and, as evident</w:t>
      </w:r>
      <w:r w:rsidR="00327FAD">
        <w:rPr>
          <w:lang w:val="en-GB"/>
        </w:rPr>
        <w:t xml:space="preserve"> from table </w:t>
      </w:r>
      <w:r w:rsidR="00136D1C">
        <w:rPr>
          <w:lang w:val="en-GB"/>
        </w:rPr>
        <w:t>2</w:t>
      </w:r>
      <w:r>
        <w:rPr>
          <w:lang w:val="en-GB"/>
        </w:rPr>
        <w:t xml:space="preserve"> in the appendix, the error variances are to be assumed equal</w:t>
      </w:r>
      <w:r w:rsidR="009313E4">
        <w:rPr>
          <w:lang w:val="en-GB"/>
        </w:rPr>
        <w:t>, with a p-value of .103</w:t>
      </w:r>
      <w:r>
        <w:rPr>
          <w:lang w:val="en-GB"/>
        </w:rPr>
        <w:t xml:space="preserve">; therefore the ANOVA is legitimate. </w:t>
      </w:r>
    </w:p>
    <w:p w:rsidR="00887DEB" w:rsidRDefault="00887DEB" w:rsidP="003400E9">
      <w:pPr>
        <w:spacing w:line="360" w:lineRule="auto"/>
        <w:jc w:val="both"/>
        <w:rPr>
          <w:lang w:val="en-GB"/>
        </w:rPr>
      </w:pPr>
      <w:r>
        <w:rPr>
          <w:lang w:val="en-GB"/>
        </w:rPr>
        <w:t>Considering the ANOVA, the source group was not significant</w:t>
      </w:r>
      <w:r w:rsidR="009313E4">
        <w:rPr>
          <w:lang w:val="en-GB"/>
        </w:rPr>
        <w:t>, with its p-value of .418</w:t>
      </w:r>
      <w:r>
        <w:rPr>
          <w:lang w:val="en-GB"/>
        </w:rPr>
        <w:t xml:space="preserve">. This leads to the result that there is no significant difference in means between any of the researched four groups. This implies that both the hypothesis are to be rejected as the total value added for society in M&amp;A deals is </w:t>
      </w:r>
      <w:r w:rsidRPr="002D3A72">
        <w:rPr>
          <w:u w:val="single"/>
          <w:lang w:val="en-GB"/>
        </w:rPr>
        <w:t>not</w:t>
      </w:r>
      <w:r>
        <w:rPr>
          <w:lang w:val="en-GB"/>
        </w:rPr>
        <w:t xml:space="preserve"> lower in the experimental group than in the control group for any of the time periods</w:t>
      </w:r>
      <w:r w:rsidR="002D3A72">
        <w:rPr>
          <w:lang w:val="en-GB"/>
        </w:rPr>
        <w:t>; there is no significant difference in this</w:t>
      </w:r>
      <w:r>
        <w:rPr>
          <w:lang w:val="en-GB"/>
        </w:rPr>
        <w:t xml:space="preserve">. </w:t>
      </w:r>
      <w:r w:rsidR="00136D1C">
        <w:rPr>
          <w:lang w:val="en-GB"/>
        </w:rPr>
        <w:t>T</w:t>
      </w:r>
      <w:r w:rsidR="002D3A72">
        <w:rPr>
          <w:lang w:val="en-GB"/>
        </w:rPr>
        <w:t xml:space="preserve">able </w:t>
      </w:r>
      <w:r w:rsidR="003400E9">
        <w:rPr>
          <w:lang w:val="en-GB"/>
        </w:rPr>
        <w:t>3 provides this information</w:t>
      </w:r>
      <w:r w:rsidR="00136D1C">
        <w:rPr>
          <w:lang w:val="en-GB"/>
        </w:rPr>
        <w:t xml:space="preserve"> and</w:t>
      </w:r>
      <w:r w:rsidR="002D3A72">
        <w:rPr>
          <w:lang w:val="en-GB"/>
        </w:rPr>
        <w:t xml:space="preserve"> </w:t>
      </w:r>
      <w:r w:rsidR="00136D1C">
        <w:rPr>
          <w:lang w:val="en-GB"/>
        </w:rPr>
        <w:t xml:space="preserve">also </w:t>
      </w:r>
      <w:r w:rsidR="002D3A72">
        <w:rPr>
          <w:lang w:val="en-GB"/>
        </w:rPr>
        <w:t>contains data about the post-hoc test, which also confirms that the number zero is present in all in the 95% confidence intervals, strengthening the abovementioned result of rejecting both hypotheses.</w:t>
      </w:r>
    </w:p>
    <w:p w:rsidR="005556F3" w:rsidRDefault="005556F3" w:rsidP="003400E9">
      <w:pPr>
        <w:spacing w:line="360" w:lineRule="auto"/>
        <w:jc w:val="center"/>
        <w:rPr>
          <w:b/>
          <w:lang w:val="en-GB"/>
        </w:rPr>
      </w:pPr>
    </w:p>
    <w:p w:rsidR="009F0A2D" w:rsidRDefault="009F0A2D" w:rsidP="003400E9">
      <w:pPr>
        <w:spacing w:line="360" w:lineRule="auto"/>
        <w:jc w:val="center"/>
        <w:rPr>
          <w:b/>
          <w:lang w:val="en-GB"/>
        </w:rPr>
      </w:pPr>
    </w:p>
    <w:p w:rsidR="009F0A2D" w:rsidRDefault="009F0A2D" w:rsidP="003400E9">
      <w:pPr>
        <w:spacing w:line="360" w:lineRule="auto"/>
        <w:jc w:val="center"/>
        <w:rPr>
          <w:b/>
          <w:lang w:val="en-GB"/>
        </w:rPr>
      </w:pPr>
    </w:p>
    <w:p w:rsidR="009F0A2D" w:rsidRDefault="009F0A2D" w:rsidP="003400E9">
      <w:pPr>
        <w:spacing w:line="360" w:lineRule="auto"/>
        <w:jc w:val="center"/>
        <w:rPr>
          <w:b/>
          <w:lang w:val="en-GB"/>
        </w:rPr>
      </w:pPr>
    </w:p>
    <w:p w:rsidR="009F0A2D" w:rsidRDefault="009F0A2D" w:rsidP="003400E9">
      <w:pPr>
        <w:spacing w:line="360" w:lineRule="auto"/>
        <w:jc w:val="center"/>
        <w:rPr>
          <w:b/>
          <w:lang w:val="en-GB"/>
        </w:rPr>
      </w:pPr>
    </w:p>
    <w:p w:rsidR="009F0A2D" w:rsidRDefault="009F0A2D" w:rsidP="003400E9">
      <w:pPr>
        <w:spacing w:line="360" w:lineRule="auto"/>
        <w:jc w:val="center"/>
        <w:rPr>
          <w:b/>
          <w:lang w:val="en-GB"/>
        </w:rPr>
      </w:pPr>
    </w:p>
    <w:p w:rsidR="009F0A2D" w:rsidRDefault="009F0A2D" w:rsidP="003400E9">
      <w:pPr>
        <w:spacing w:line="360" w:lineRule="auto"/>
        <w:jc w:val="center"/>
        <w:rPr>
          <w:b/>
          <w:lang w:val="en-GB"/>
        </w:rPr>
      </w:pPr>
    </w:p>
    <w:p w:rsidR="009F0A2D" w:rsidRDefault="009F0A2D" w:rsidP="003400E9">
      <w:pPr>
        <w:spacing w:line="360" w:lineRule="auto"/>
        <w:jc w:val="center"/>
        <w:rPr>
          <w:b/>
          <w:lang w:val="en-GB"/>
        </w:rPr>
      </w:pPr>
    </w:p>
    <w:p w:rsidR="009F0A2D" w:rsidRDefault="009F0A2D" w:rsidP="003400E9">
      <w:pPr>
        <w:spacing w:line="360" w:lineRule="auto"/>
        <w:jc w:val="center"/>
        <w:rPr>
          <w:b/>
          <w:lang w:val="en-GB"/>
        </w:rPr>
      </w:pPr>
    </w:p>
    <w:p w:rsidR="003400E9" w:rsidRPr="00136D1C" w:rsidRDefault="002D3A72" w:rsidP="003400E9">
      <w:pPr>
        <w:spacing w:line="360" w:lineRule="auto"/>
        <w:jc w:val="center"/>
        <w:rPr>
          <w:b/>
          <w:lang w:val="en-GB"/>
        </w:rPr>
      </w:pPr>
      <w:r w:rsidRPr="00136D1C">
        <w:rPr>
          <w:b/>
          <w:lang w:val="en-GB"/>
        </w:rPr>
        <w:lastRenderedPageBreak/>
        <w:t>Hypothesis 3:</w:t>
      </w:r>
    </w:p>
    <w:p w:rsidR="005F790F" w:rsidRPr="005F790F" w:rsidRDefault="005F790F" w:rsidP="005F790F">
      <w:pPr>
        <w:spacing w:line="360" w:lineRule="auto"/>
        <w:jc w:val="both"/>
        <w:rPr>
          <w:i/>
          <w:lang w:val="en-GB"/>
        </w:rPr>
      </w:pPr>
      <w:r w:rsidRPr="005F790F">
        <w:rPr>
          <w:i/>
          <w:lang w:val="en-GB"/>
        </w:rPr>
        <w:t xml:space="preserve">The change in the value added between the first and the following M&amp;As by the same acquirer is larger in the experimental group than in the control group. </w:t>
      </w:r>
    </w:p>
    <w:p w:rsidR="009F0A2D" w:rsidRDefault="002D3A72" w:rsidP="003400E9">
      <w:pPr>
        <w:spacing w:line="360" w:lineRule="auto"/>
        <w:jc w:val="both"/>
        <w:rPr>
          <w:lang w:val="en-GB"/>
        </w:rPr>
      </w:pPr>
      <w:r>
        <w:rPr>
          <w:lang w:val="en-GB"/>
        </w:rPr>
        <w:t xml:space="preserve">This specific hypothesis is researched with an independent t-test. As mentioned before, this test requires the data adjustments discussed earlier, which are executed appropriately. </w:t>
      </w:r>
      <w:r w:rsidR="003400E9">
        <w:rPr>
          <w:lang w:val="en-GB"/>
        </w:rPr>
        <w:t>Like</w:t>
      </w:r>
      <w:r>
        <w:rPr>
          <w:lang w:val="en-GB"/>
        </w:rPr>
        <w:t xml:space="preserve"> the ANOVA required an additional Levene’s test which had to be ‘passed’ in order to consider the ANOVA legimate, the t-test does </w:t>
      </w:r>
      <w:r w:rsidR="003400E9">
        <w:rPr>
          <w:lang w:val="en-GB"/>
        </w:rPr>
        <w:t>require this too</w:t>
      </w:r>
      <w:r w:rsidR="0061721E">
        <w:rPr>
          <w:lang w:val="en-GB"/>
        </w:rPr>
        <w:t xml:space="preserve"> and therefore this Levene’s test is executed, ‘passed’ and to found in appe</w:t>
      </w:r>
      <w:r w:rsidR="00327FAD">
        <w:rPr>
          <w:lang w:val="en-GB"/>
        </w:rPr>
        <w:t xml:space="preserve">ndix table </w:t>
      </w:r>
      <w:r w:rsidR="00136D1C">
        <w:rPr>
          <w:lang w:val="en-GB"/>
        </w:rPr>
        <w:t>2</w:t>
      </w:r>
      <w:r w:rsidR="003400E9">
        <w:rPr>
          <w:lang w:val="en-GB"/>
        </w:rPr>
        <w:t xml:space="preserve"> with its p-value of .840</w:t>
      </w:r>
      <w:r>
        <w:rPr>
          <w:lang w:val="en-GB"/>
        </w:rPr>
        <w:t xml:space="preserve">. </w:t>
      </w:r>
    </w:p>
    <w:p w:rsidR="002D3A72" w:rsidRDefault="002D3A72" w:rsidP="003400E9">
      <w:pPr>
        <w:spacing w:line="360" w:lineRule="auto"/>
        <w:jc w:val="both"/>
        <w:rPr>
          <w:lang w:val="en-GB"/>
        </w:rPr>
      </w:pPr>
      <w:r>
        <w:rPr>
          <w:lang w:val="en-GB"/>
        </w:rPr>
        <w:t xml:space="preserve">The independent t-test resulted in a very high p-value of .705, </w:t>
      </w:r>
      <w:r w:rsidR="00AA6C0F">
        <w:rPr>
          <w:lang w:val="en-GB"/>
        </w:rPr>
        <w:t>with which the null-hypothesis of the t-test cannot be rejected. This results in rejecting</w:t>
      </w:r>
      <w:r>
        <w:rPr>
          <w:lang w:val="en-GB"/>
        </w:rPr>
        <w:t xml:space="preserve"> the </w:t>
      </w:r>
      <w:r w:rsidR="00AA6C0F">
        <w:rPr>
          <w:lang w:val="en-GB"/>
        </w:rPr>
        <w:t>abovementioned hypothesis</w:t>
      </w:r>
      <w:r>
        <w:rPr>
          <w:lang w:val="en-GB"/>
        </w:rPr>
        <w:t xml:space="preserve">; the change in value added between </w:t>
      </w:r>
      <w:r w:rsidR="005F790F">
        <w:rPr>
          <w:lang w:val="en-GB"/>
        </w:rPr>
        <w:t>the first and following acquisitions</w:t>
      </w:r>
      <w:r>
        <w:rPr>
          <w:lang w:val="en-GB"/>
        </w:rPr>
        <w:t xml:space="preserve"> is </w:t>
      </w:r>
      <w:r>
        <w:rPr>
          <w:u w:val="single"/>
          <w:lang w:val="en-GB"/>
        </w:rPr>
        <w:t>not</w:t>
      </w:r>
      <w:r>
        <w:rPr>
          <w:lang w:val="en-GB"/>
        </w:rPr>
        <w:t xml:space="preserve"> larger in the experimental group than in the control group. Again, the same conclusion as with the first two hypothesis; there is no significant difference between them. The results of the t-test are to be found in appendix table </w:t>
      </w:r>
      <w:r w:rsidR="00136D1C">
        <w:rPr>
          <w:lang w:val="en-GB"/>
        </w:rPr>
        <w:t>4</w:t>
      </w:r>
      <w:r>
        <w:rPr>
          <w:lang w:val="en-GB"/>
        </w:rPr>
        <w:t xml:space="preserve">. </w:t>
      </w:r>
      <w:r w:rsidR="0061721E">
        <w:rPr>
          <w:lang w:val="en-GB"/>
        </w:rPr>
        <w:t xml:space="preserve">This same conclusion can be drawn from interpreting the confidence interval, which do show a zero in it, meaning that there is no significant difference between the groups. </w:t>
      </w:r>
    </w:p>
    <w:p w:rsidR="003400E9" w:rsidRPr="002D3A72" w:rsidRDefault="003400E9" w:rsidP="003400E9">
      <w:pPr>
        <w:spacing w:line="360" w:lineRule="auto"/>
        <w:jc w:val="both"/>
        <w:rPr>
          <w:lang w:val="en-GB"/>
        </w:rPr>
      </w:pPr>
    </w:p>
    <w:p w:rsidR="003400E9" w:rsidRPr="00136D1C" w:rsidRDefault="0061721E" w:rsidP="003400E9">
      <w:pPr>
        <w:spacing w:line="360" w:lineRule="auto"/>
        <w:jc w:val="center"/>
        <w:rPr>
          <w:b/>
          <w:lang w:val="en-GB"/>
        </w:rPr>
      </w:pPr>
      <w:r w:rsidRPr="00136D1C">
        <w:rPr>
          <w:b/>
          <w:lang w:val="en-GB"/>
        </w:rPr>
        <w:t>Hypothesis 4:</w:t>
      </w:r>
    </w:p>
    <w:p w:rsidR="00856F76" w:rsidRPr="00856F76" w:rsidRDefault="00856F76" w:rsidP="00856F76">
      <w:pPr>
        <w:spacing w:line="360" w:lineRule="auto"/>
        <w:jc w:val="both"/>
        <w:rPr>
          <w:i/>
          <w:lang w:val="en-GB"/>
        </w:rPr>
      </w:pPr>
      <w:r w:rsidRPr="00856F76">
        <w:rPr>
          <w:i/>
          <w:lang w:val="en-GB"/>
        </w:rPr>
        <w:t xml:space="preserve">The premium ratio is higher in the experimental group than in the control group. </w:t>
      </w:r>
    </w:p>
    <w:p w:rsidR="0061721E" w:rsidRDefault="0061721E" w:rsidP="003400E9">
      <w:pPr>
        <w:spacing w:line="360" w:lineRule="auto"/>
        <w:jc w:val="both"/>
        <w:rPr>
          <w:lang w:val="en-GB"/>
        </w:rPr>
      </w:pPr>
      <w:r>
        <w:rPr>
          <w:lang w:val="en-GB"/>
        </w:rPr>
        <w:t xml:space="preserve">The </w:t>
      </w:r>
      <w:r w:rsidR="00F57356">
        <w:rPr>
          <w:lang w:val="en-GB"/>
        </w:rPr>
        <w:t>premium</w:t>
      </w:r>
      <w:r>
        <w:rPr>
          <w:lang w:val="en-GB"/>
        </w:rPr>
        <w:t xml:space="preserve"> ratio as defined in the extensive explanation of hypothesis 4 was also </w:t>
      </w:r>
      <w:r w:rsidR="007A5234">
        <w:rPr>
          <w:lang w:val="en-GB"/>
        </w:rPr>
        <w:t>examined</w:t>
      </w:r>
      <w:r>
        <w:rPr>
          <w:lang w:val="en-GB"/>
        </w:rPr>
        <w:t xml:space="preserve"> with an independent t-test. The same applies as to all earlier researched hypothesis, a Levene’s test was necessary. This test is therefore executed appropriately and to be found in appendix t</w:t>
      </w:r>
      <w:r w:rsidR="00327FAD">
        <w:rPr>
          <w:lang w:val="en-GB"/>
        </w:rPr>
        <w:t xml:space="preserve">able </w:t>
      </w:r>
      <w:r w:rsidR="00136D1C">
        <w:rPr>
          <w:lang w:val="en-GB"/>
        </w:rPr>
        <w:t>2</w:t>
      </w:r>
      <w:r>
        <w:rPr>
          <w:lang w:val="en-GB"/>
        </w:rPr>
        <w:t>.</w:t>
      </w:r>
      <w:r w:rsidR="003400E9">
        <w:rPr>
          <w:lang w:val="en-GB"/>
        </w:rPr>
        <w:t xml:space="preserve"> The result was a p-value of .934 which is, of course, high enough to accept the null-hypothesis of equal variances.</w:t>
      </w:r>
      <w:r>
        <w:rPr>
          <w:lang w:val="en-GB"/>
        </w:rPr>
        <w:t xml:space="preserve"> </w:t>
      </w:r>
    </w:p>
    <w:p w:rsidR="003400E9" w:rsidRDefault="0061721E" w:rsidP="00CA47A6">
      <w:pPr>
        <w:spacing w:line="360" w:lineRule="auto"/>
        <w:jc w:val="both"/>
        <w:rPr>
          <w:lang w:val="en-GB"/>
        </w:rPr>
      </w:pPr>
      <w:r>
        <w:rPr>
          <w:lang w:val="en-GB"/>
        </w:rPr>
        <w:t>Just like the ind</w:t>
      </w:r>
      <w:r w:rsidR="003400E9">
        <w:rPr>
          <w:lang w:val="en-GB"/>
        </w:rPr>
        <w:t>ependent t-test of hypothesis 3</w:t>
      </w:r>
      <w:r>
        <w:rPr>
          <w:lang w:val="en-GB"/>
        </w:rPr>
        <w:t xml:space="preserve"> this t-test results in a high p-value</w:t>
      </w:r>
      <w:r w:rsidR="003400E9">
        <w:rPr>
          <w:lang w:val="en-GB"/>
        </w:rPr>
        <w:t>,</w:t>
      </w:r>
      <w:r>
        <w:rPr>
          <w:lang w:val="en-GB"/>
        </w:rPr>
        <w:t xml:space="preserve"> </w:t>
      </w:r>
      <w:r w:rsidR="003400E9">
        <w:rPr>
          <w:lang w:val="en-GB"/>
        </w:rPr>
        <w:t>namely .853</w:t>
      </w:r>
      <w:r w:rsidR="00AA6C0F">
        <w:rPr>
          <w:lang w:val="en-GB"/>
        </w:rPr>
        <w:t>, resulting in not rejecting the null-hypothesis of the t-test</w:t>
      </w:r>
      <w:r w:rsidR="003400E9">
        <w:rPr>
          <w:lang w:val="en-GB"/>
        </w:rPr>
        <w:t>. This implies</w:t>
      </w:r>
      <w:r w:rsidR="00AA6C0F">
        <w:rPr>
          <w:lang w:val="en-GB"/>
        </w:rPr>
        <w:t xml:space="preserve"> the rejection of the </w:t>
      </w:r>
      <w:r>
        <w:rPr>
          <w:lang w:val="en-GB"/>
        </w:rPr>
        <w:t>hypothesis</w:t>
      </w:r>
      <w:r w:rsidR="00AA6C0F">
        <w:rPr>
          <w:lang w:val="en-GB"/>
        </w:rPr>
        <w:t xml:space="preserve"> stated above</w:t>
      </w:r>
      <w:r>
        <w:rPr>
          <w:lang w:val="en-GB"/>
        </w:rPr>
        <w:t xml:space="preserve">; the residue ratio is </w:t>
      </w:r>
      <w:r>
        <w:rPr>
          <w:u w:val="single"/>
          <w:lang w:val="en-GB"/>
        </w:rPr>
        <w:t>not</w:t>
      </w:r>
      <w:r>
        <w:rPr>
          <w:lang w:val="en-GB"/>
        </w:rPr>
        <w:t xml:space="preserve"> higher in the experimental group than in the control group. They are statistically equal; no significant difference in means. </w:t>
      </w:r>
      <w:r w:rsidR="00AA6C0F">
        <w:rPr>
          <w:lang w:val="en-GB"/>
        </w:rPr>
        <w:t>The t-test</w:t>
      </w:r>
      <w:r w:rsidR="00327FAD">
        <w:rPr>
          <w:lang w:val="en-GB"/>
        </w:rPr>
        <w:t xml:space="preserve"> results are in table </w:t>
      </w:r>
      <w:r w:rsidR="00136D1C">
        <w:rPr>
          <w:lang w:val="en-GB"/>
        </w:rPr>
        <w:t>4</w:t>
      </w:r>
      <w:r>
        <w:rPr>
          <w:lang w:val="en-GB"/>
        </w:rPr>
        <w:t xml:space="preserve"> of the appendix and are strengthened by the interpretation of the confidence intervals, which, again, do contain the value zero. </w:t>
      </w:r>
      <w:r w:rsidR="001B4E47">
        <w:rPr>
          <w:lang w:val="en-GB"/>
        </w:rPr>
        <w:tab/>
      </w:r>
    </w:p>
    <w:p w:rsidR="00CA47A6" w:rsidRPr="003400E9" w:rsidRDefault="00A717B1" w:rsidP="00AA6C0F">
      <w:pPr>
        <w:spacing w:line="360" w:lineRule="auto"/>
        <w:ind w:firstLine="708"/>
        <w:rPr>
          <w:lang w:val="en-GB"/>
        </w:rPr>
      </w:pPr>
      <w:r>
        <w:rPr>
          <w:b/>
          <w:sz w:val="24"/>
          <w:lang w:val="en-GB"/>
        </w:rPr>
        <w:lastRenderedPageBreak/>
        <w:t>2 –</w:t>
      </w:r>
      <w:r w:rsidR="001B4E47" w:rsidRPr="003400E9">
        <w:rPr>
          <w:b/>
          <w:sz w:val="24"/>
          <w:lang w:val="en-GB"/>
        </w:rPr>
        <w:t xml:space="preserve"> Conclusion</w:t>
      </w:r>
      <w:r>
        <w:rPr>
          <w:b/>
          <w:sz w:val="24"/>
          <w:lang w:val="en-GB"/>
        </w:rPr>
        <w:t xml:space="preserve"> </w:t>
      </w:r>
    </w:p>
    <w:p w:rsidR="00936907" w:rsidRDefault="00936907" w:rsidP="003400E9">
      <w:pPr>
        <w:spacing w:line="360" w:lineRule="auto"/>
        <w:jc w:val="both"/>
        <w:rPr>
          <w:lang w:val="en-GB"/>
        </w:rPr>
      </w:pPr>
      <w:r w:rsidRPr="003400E9">
        <w:rPr>
          <w:lang w:val="en-GB"/>
        </w:rPr>
        <w:t>After</w:t>
      </w:r>
      <w:r w:rsidR="003400E9" w:rsidRPr="003400E9">
        <w:rPr>
          <w:lang w:val="en-GB"/>
        </w:rPr>
        <w:t xml:space="preserve"> the analysis is performed conclusions can be drawn regarding the hypotheses. </w:t>
      </w:r>
      <w:r w:rsidR="003400E9">
        <w:rPr>
          <w:lang w:val="en-GB"/>
        </w:rPr>
        <w:t xml:space="preserve">To ease this process the earlier mentioned, more mathematical representations of the hypothesis will be addressed </w:t>
      </w:r>
      <w:r>
        <w:rPr>
          <w:lang w:val="en-GB"/>
        </w:rPr>
        <w:t xml:space="preserve">again at the of the evaluation of that specific hypothesis. </w:t>
      </w:r>
    </w:p>
    <w:p w:rsidR="005D7183" w:rsidRDefault="005D7183" w:rsidP="00936907">
      <w:pPr>
        <w:spacing w:line="360" w:lineRule="auto"/>
        <w:jc w:val="center"/>
        <w:rPr>
          <w:b/>
          <w:lang w:val="en-GB"/>
        </w:rPr>
      </w:pPr>
    </w:p>
    <w:p w:rsidR="00936907" w:rsidRPr="00936907" w:rsidRDefault="00936907" w:rsidP="00936907">
      <w:pPr>
        <w:spacing w:line="360" w:lineRule="auto"/>
        <w:jc w:val="center"/>
        <w:rPr>
          <w:b/>
          <w:lang w:val="en-GB"/>
        </w:rPr>
      </w:pPr>
      <w:r w:rsidRPr="00936907">
        <w:rPr>
          <w:b/>
          <w:lang w:val="en-GB"/>
        </w:rPr>
        <w:t>Hypothesis 1 and 2</w:t>
      </w:r>
    </w:p>
    <w:p w:rsidR="001C6765" w:rsidRPr="00D54C69" w:rsidRDefault="001C6765" w:rsidP="001C6765">
      <w:pPr>
        <w:spacing w:line="360" w:lineRule="auto"/>
        <w:jc w:val="both"/>
        <w:rPr>
          <w:i/>
          <w:lang w:val="en-GB"/>
        </w:rPr>
      </w:pPr>
      <w:r w:rsidRPr="00D54C69">
        <w:rPr>
          <w:i/>
          <w:lang w:val="en-GB"/>
        </w:rPr>
        <w:t>H1</w:t>
      </w:r>
      <w:r>
        <w:rPr>
          <w:i/>
          <w:vertAlign w:val="subscript"/>
          <w:lang w:val="en-GB"/>
        </w:rPr>
        <w:t>0</w:t>
      </w:r>
      <w:r>
        <w:rPr>
          <w:i/>
          <w:lang w:val="en-GB"/>
        </w:rPr>
        <w:t>:</w:t>
      </w:r>
      <w:r w:rsidRPr="00D54C69">
        <w:rPr>
          <w:i/>
          <w:lang w:val="en-GB"/>
        </w:rPr>
        <w:t xml:space="preserve"> </w:t>
      </w:r>
      <w:r>
        <w:rPr>
          <w:i/>
          <w:lang w:val="en-GB"/>
        </w:rPr>
        <w:tab/>
        <w:t>AVA</w:t>
      </w:r>
      <w:r>
        <w:rPr>
          <w:i/>
          <w:vertAlign w:val="subscript"/>
          <w:lang w:val="en-GB"/>
        </w:rPr>
        <w:t>2006-2007, 2</w:t>
      </w:r>
      <w:r>
        <w:rPr>
          <w:i/>
          <w:lang w:val="en-GB"/>
        </w:rPr>
        <w:t xml:space="preserve"> </w:t>
      </w:r>
      <w:r w:rsidRPr="00D54C69">
        <w:rPr>
          <w:i/>
          <w:lang w:val="en-GB"/>
        </w:rPr>
        <w:t xml:space="preserve">– </w:t>
      </w:r>
      <w:r w:rsidRPr="00856F76">
        <w:rPr>
          <w:i/>
          <w:lang w:val="en-GB"/>
        </w:rPr>
        <w:t>AVA</w:t>
      </w:r>
      <w:r>
        <w:rPr>
          <w:i/>
          <w:vertAlign w:val="subscript"/>
          <w:lang w:val="en-GB"/>
        </w:rPr>
        <w:t>2006-2007,1</w:t>
      </w:r>
      <w:r w:rsidRPr="00D54C69">
        <w:rPr>
          <w:i/>
          <w:lang w:val="en-GB"/>
        </w:rPr>
        <w:t xml:space="preserve"> = 0 </w:t>
      </w:r>
    </w:p>
    <w:p w:rsidR="001C6765" w:rsidRPr="00D54C69" w:rsidRDefault="001C6765" w:rsidP="001C6765">
      <w:pPr>
        <w:spacing w:line="360" w:lineRule="auto"/>
        <w:jc w:val="both"/>
        <w:rPr>
          <w:i/>
          <w:lang w:val="en-GB"/>
        </w:rPr>
      </w:pPr>
      <w:r w:rsidRPr="00D54C69">
        <w:rPr>
          <w:i/>
          <w:lang w:val="en-GB"/>
        </w:rPr>
        <w:t>H1</w:t>
      </w:r>
      <w:r w:rsidRPr="00D54C69">
        <w:rPr>
          <w:i/>
          <w:vertAlign w:val="subscript"/>
          <w:lang w:val="en-GB"/>
        </w:rPr>
        <w:t>1</w:t>
      </w:r>
      <w:r>
        <w:rPr>
          <w:i/>
          <w:lang w:val="en-GB"/>
        </w:rPr>
        <w:t>:</w:t>
      </w:r>
      <w:r w:rsidRPr="00D54C69">
        <w:rPr>
          <w:i/>
          <w:lang w:val="en-GB"/>
        </w:rPr>
        <w:t xml:space="preserve"> </w:t>
      </w:r>
      <w:r>
        <w:rPr>
          <w:i/>
          <w:lang w:val="en-GB"/>
        </w:rPr>
        <w:tab/>
      </w:r>
      <w:r w:rsidRPr="00856F76">
        <w:rPr>
          <w:i/>
          <w:lang w:val="en-GB"/>
        </w:rPr>
        <w:t>AVA</w:t>
      </w:r>
      <w:r>
        <w:rPr>
          <w:i/>
          <w:vertAlign w:val="subscript"/>
          <w:lang w:val="en-GB"/>
        </w:rPr>
        <w:t>2006-2007,2</w:t>
      </w:r>
      <w:r>
        <w:rPr>
          <w:i/>
          <w:lang w:val="en-GB"/>
        </w:rPr>
        <w:t xml:space="preserve"> </w:t>
      </w:r>
      <w:r w:rsidRPr="00D54C69">
        <w:rPr>
          <w:i/>
          <w:lang w:val="en-GB"/>
        </w:rPr>
        <w:t xml:space="preserve"> – AVA</w:t>
      </w:r>
      <w:r>
        <w:rPr>
          <w:i/>
          <w:vertAlign w:val="subscript"/>
          <w:lang w:val="en-GB"/>
        </w:rPr>
        <w:t xml:space="preserve">2006-2007,1 </w:t>
      </w:r>
      <w:r w:rsidRPr="00D54C69">
        <w:rPr>
          <w:i/>
          <w:lang w:val="en-GB"/>
        </w:rPr>
        <w:t>&gt; 0</w:t>
      </w:r>
    </w:p>
    <w:p w:rsidR="00936907" w:rsidRDefault="003400E9" w:rsidP="00936907">
      <w:pPr>
        <w:spacing w:line="360" w:lineRule="auto"/>
        <w:ind w:firstLine="708"/>
        <w:jc w:val="both"/>
        <w:rPr>
          <w:i/>
          <w:lang w:val="en-GB"/>
        </w:rPr>
      </w:pPr>
      <w:r>
        <w:rPr>
          <w:i/>
          <w:lang w:val="en-GB"/>
        </w:rPr>
        <w:t>Hypothesis 1 implies the expectation of rejection of H1</w:t>
      </w:r>
      <w:r>
        <w:rPr>
          <w:i/>
          <w:vertAlign w:val="subscript"/>
          <w:lang w:val="en-GB"/>
        </w:rPr>
        <w:t>0</w:t>
      </w:r>
      <w:r>
        <w:rPr>
          <w:i/>
          <w:lang w:val="en-GB"/>
        </w:rPr>
        <w:t>.</w:t>
      </w:r>
    </w:p>
    <w:p w:rsidR="007A5234" w:rsidRPr="00F0526C" w:rsidRDefault="007A5234" w:rsidP="00936907">
      <w:pPr>
        <w:spacing w:line="360" w:lineRule="auto"/>
        <w:ind w:firstLine="708"/>
        <w:jc w:val="both"/>
        <w:rPr>
          <w:i/>
          <w:lang w:val="en-GB"/>
        </w:rPr>
      </w:pPr>
    </w:p>
    <w:p w:rsidR="001C6765" w:rsidRPr="00D54C69" w:rsidRDefault="001C6765" w:rsidP="001C6765">
      <w:pPr>
        <w:spacing w:line="360" w:lineRule="auto"/>
        <w:jc w:val="both"/>
        <w:rPr>
          <w:i/>
          <w:lang w:val="en-GB"/>
        </w:rPr>
      </w:pPr>
      <w:r w:rsidRPr="00D54C69">
        <w:rPr>
          <w:i/>
          <w:lang w:val="en-GB"/>
        </w:rPr>
        <w:t>H</w:t>
      </w:r>
      <w:r>
        <w:rPr>
          <w:i/>
          <w:lang w:val="en-GB"/>
        </w:rPr>
        <w:t>2</w:t>
      </w:r>
      <w:r w:rsidRPr="00D54C69">
        <w:rPr>
          <w:i/>
          <w:vertAlign w:val="subscript"/>
          <w:lang w:val="en-GB"/>
        </w:rPr>
        <w:t>0</w:t>
      </w:r>
      <w:r>
        <w:rPr>
          <w:i/>
          <w:lang w:val="en-GB"/>
        </w:rPr>
        <w:t xml:space="preserve">: </w:t>
      </w:r>
      <w:r w:rsidRPr="00D54C69">
        <w:rPr>
          <w:i/>
          <w:lang w:val="en-GB"/>
        </w:rPr>
        <w:t xml:space="preserve"> </w:t>
      </w:r>
      <w:r>
        <w:rPr>
          <w:i/>
          <w:lang w:val="en-GB"/>
        </w:rPr>
        <w:tab/>
        <w:t>AVA</w:t>
      </w:r>
      <w:r>
        <w:rPr>
          <w:i/>
          <w:vertAlign w:val="subscript"/>
          <w:lang w:val="en-GB"/>
        </w:rPr>
        <w:t>2011-2012,2</w:t>
      </w:r>
      <w:r w:rsidRPr="00D54C69">
        <w:rPr>
          <w:i/>
          <w:lang w:val="en-GB"/>
        </w:rPr>
        <w:t xml:space="preserve"> – </w:t>
      </w:r>
      <w:r>
        <w:rPr>
          <w:i/>
          <w:lang w:val="en-GB"/>
        </w:rPr>
        <w:t>AVA</w:t>
      </w:r>
      <w:r>
        <w:rPr>
          <w:i/>
          <w:vertAlign w:val="subscript"/>
          <w:lang w:val="en-GB"/>
        </w:rPr>
        <w:t>2011-2012,1</w:t>
      </w:r>
      <w:r w:rsidRPr="00D54C69">
        <w:rPr>
          <w:i/>
          <w:lang w:val="en-GB"/>
        </w:rPr>
        <w:t xml:space="preserve"> = 0 </w:t>
      </w:r>
    </w:p>
    <w:p w:rsidR="001C6765" w:rsidRPr="00D54C69" w:rsidRDefault="001C6765" w:rsidP="001C6765">
      <w:pPr>
        <w:spacing w:line="360" w:lineRule="auto"/>
        <w:jc w:val="both"/>
        <w:rPr>
          <w:i/>
          <w:lang w:val="en-GB"/>
        </w:rPr>
      </w:pPr>
      <w:r w:rsidRPr="00D54C69">
        <w:rPr>
          <w:i/>
          <w:lang w:val="en-GB"/>
        </w:rPr>
        <w:t>H</w:t>
      </w:r>
      <w:r>
        <w:rPr>
          <w:i/>
          <w:lang w:val="en-GB"/>
        </w:rPr>
        <w:t>2</w:t>
      </w:r>
      <w:r w:rsidRPr="00D54C69">
        <w:rPr>
          <w:i/>
          <w:vertAlign w:val="subscript"/>
          <w:lang w:val="en-GB"/>
        </w:rPr>
        <w:t>1</w:t>
      </w:r>
      <w:r>
        <w:rPr>
          <w:i/>
          <w:lang w:val="en-GB"/>
        </w:rPr>
        <w:t>:</w:t>
      </w:r>
      <w:r>
        <w:rPr>
          <w:i/>
          <w:lang w:val="en-GB"/>
        </w:rPr>
        <w:tab/>
      </w:r>
      <w:r w:rsidRPr="00D54C69">
        <w:rPr>
          <w:i/>
          <w:lang w:val="en-GB"/>
        </w:rPr>
        <w:t xml:space="preserve"> </w:t>
      </w:r>
      <w:r>
        <w:rPr>
          <w:i/>
          <w:lang w:val="en-GB"/>
        </w:rPr>
        <w:t>AVA</w:t>
      </w:r>
      <w:r>
        <w:rPr>
          <w:i/>
          <w:vertAlign w:val="subscript"/>
          <w:lang w:val="en-GB"/>
        </w:rPr>
        <w:t>2011-2012,2</w:t>
      </w:r>
      <w:r w:rsidRPr="00D54C69">
        <w:rPr>
          <w:i/>
          <w:lang w:val="en-GB"/>
        </w:rPr>
        <w:t xml:space="preserve"> – </w:t>
      </w:r>
      <w:r>
        <w:rPr>
          <w:i/>
          <w:lang w:val="en-GB"/>
        </w:rPr>
        <w:t>AVA</w:t>
      </w:r>
      <w:r>
        <w:rPr>
          <w:i/>
          <w:vertAlign w:val="subscript"/>
          <w:lang w:val="en-GB"/>
        </w:rPr>
        <w:t>2011-2012,1</w:t>
      </w:r>
      <w:r w:rsidRPr="00D54C69">
        <w:rPr>
          <w:i/>
          <w:lang w:val="en-GB"/>
        </w:rPr>
        <w:t xml:space="preserve"> &gt; 0</w:t>
      </w:r>
    </w:p>
    <w:p w:rsidR="003400E9" w:rsidRDefault="003400E9" w:rsidP="003400E9">
      <w:pPr>
        <w:spacing w:line="360" w:lineRule="auto"/>
        <w:ind w:left="708"/>
        <w:jc w:val="both"/>
        <w:rPr>
          <w:i/>
          <w:lang w:val="en-GB"/>
        </w:rPr>
      </w:pPr>
      <w:r>
        <w:rPr>
          <w:i/>
          <w:lang w:val="en-GB"/>
        </w:rPr>
        <w:t>Hypothesis 2 implies the expectation of rejection of H2</w:t>
      </w:r>
      <w:r>
        <w:rPr>
          <w:i/>
          <w:vertAlign w:val="subscript"/>
          <w:lang w:val="en-GB"/>
        </w:rPr>
        <w:t>0</w:t>
      </w:r>
      <w:r>
        <w:rPr>
          <w:i/>
          <w:lang w:val="en-GB"/>
        </w:rPr>
        <w:t>.</w:t>
      </w:r>
    </w:p>
    <w:p w:rsidR="00936907" w:rsidRPr="00936907" w:rsidRDefault="00936907" w:rsidP="00936907">
      <w:pPr>
        <w:spacing w:line="360" w:lineRule="auto"/>
        <w:jc w:val="both"/>
        <w:rPr>
          <w:lang w:val="en-GB"/>
        </w:rPr>
      </w:pPr>
      <w:r>
        <w:rPr>
          <w:lang w:val="en-GB"/>
        </w:rPr>
        <w:t xml:space="preserve">Once again, hypothesis 1 and 2 are discussed together as they still research the exact same thing. From the analysis of the ANOVA, the conclusion of </w:t>
      </w:r>
      <w:r>
        <w:rPr>
          <w:u w:val="single"/>
          <w:lang w:val="en-GB"/>
        </w:rPr>
        <w:t>not</w:t>
      </w:r>
      <w:r>
        <w:rPr>
          <w:lang w:val="en-GB"/>
        </w:rPr>
        <w:t xml:space="preserve"> rejecting the H1</w:t>
      </w:r>
      <w:r>
        <w:rPr>
          <w:vertAlign w:val="subscript"/>
          <w:lang w:val="en-GB"/>
        </w:rPr>
        <w:t>0</w:t>
      </w:r>
      <w:r>
        <w:rPr>
          <w:lang w:val="en-GB"/>
        </w:rPr>
        <w:t xml:space="preserve"> and H2</w:t>
      </w:r>
      <w:r>
        <w:rPr>
          <w:vertAlign w:val="subscript"/>
          <w:lang w:val="en-GB"/>
        </w:rPr>
        <w:t>0</w:t>
      </w:r>
      <w:r>
        <w:rPr>
          <w:lang w:val="en-GB"/>
        </w:rPr>
        <w:t xml:space="preserve"> has to be drawn. As mentioned before, there simply is no significant difference in means between any of the researched groups. This results is mainly attributable to the fact that the data contained a high standard deviation, which indirectly results in higher p-values. </w:t>
      </w:r>
      <w:r w:rsidR="00C53F9F">
        <w:rPr>
          <w:lang w:val="en-GB"/>
        </w:rPr>
        <w:t>Therefore, the conclusion is that the value added for society, as defined earlier</w:t>
      </w:r>
      <w:r w:rsidR="00BD4F4F">
        <w:rPr>
          <w:lang w:val="en-GB"/>
        </w:rPr>
        <w:t xml:space="preserve">, does </w:t>
      </w:r>
      <w:r w:rsidR="00BD4F4F" w:rsidRPr="00BD4F4F">
        <w:rPr>
          <w:u w:val="single"/>
          <w:lang w:val="en-GB"/>
        </w:rPr>
        <w:t>not</w:t>
      </w:r>
      <w:r w:rsidR="00BD4F4F">
        <w:rPr>
          <w:lang w:val="en-GB"/>
        </w:rPr>
        <w:t xml:space="preserve"> differ among the researched groups. </w:t>
      </w:r>
    </w:p>
    <w:p w:rsidR="00936907" w:rsidRDefault="00936907" w:rsidP="003400E9">
      <w:pPr>
        <w:spacing w:line="360" w:lineRule="auto"/>
        <w:jc w:val="both"/>
        <w:rPr>
          <w:i/>
          <w:lang w:val="en-GB"/>
        </w:rPr>
      </w:pPr>
    </w:p>
    <w:p w:rsidR="008F0E13" w:rsidRDefault="008F0E13" w:rsidP="005D7183">
      <w:pPr>
        <w:jc w:val="center"/>
        <w:rPr>
          <w:b/>
          <w:lang w:val="en-GB"/>
        </w:rPr>
      </w:pPr>
    </w:p>
    <w:p w:rsidR="008F0E13" w:rsidRDefault="008F0E13" w:rsidP="005D7183">
      <w:pPr>
        <w:jc w:val="center"/>
        <w:rPr>
          <w:b/>
          <w:lang w:val="en-GB"/>
        </w:rPr>
      </w:pPr>
    </w:p>
    <w:p w:rsidR="008F0E13" w:rsidRDefault="008F0E13" w:rsidP="005D7183">
      <w:pPr>
        <w:jc w:val="center"/>
        <w:rPr>
          <w:b/>
          <w:lang w:val="en-GB"/>
        </w:rPr>
      </w:pPr>
    </w:p>
    <w:p w:rsidR="008F0E13" w:rsidRDefault="008F0E13" w:rsidP="005D7183">
      <w:pPr>
        <w:jc w:val="center"/>
        <w:rPr>
          <w:b/>
          <w:lang w:val="en-GB"/>
        </w:rPr>
      </w:pPr>
    </w:p>
    <w:p w:rsidR="007A5234" w:rsidRDefault="007A5234">
      <w:pPr>
        <w:rPr>
          <w:b/>
          <w:lang w:val="en-GB"/>
        </w:rPr>
      </w:pPr>
      <w:r>
        <w:rPr>
          <w:b/>
          <w:lang w:val="en-GB"/>
        </w:rPr>
        <w:br w:type="page"/>
      </w:r>
    </w:p>
    <w:p w:rsidR="00936907" w:rsidRPr="005D7183" w:rsidRDefault="00936907" w:rsidP="005D7183">
      <w:pPr>
        <w:jc w:val="center"/>
        <w:rPr>
          <w:i/>
          <w:lang w:val="en-GB"/>
        </w:rPr>
      </w:pPr>
      <w:r>
        <w:rPr>
          <w:b/>
          <w:lang w:val="en-GB"/>
        </w:rPr>
        <w:lastRenderedPageBreak/>
        <w:t>Hypothesis 3</w:t>
      </w:r>
    </w:p>
    <w:p w:rsidR="003400E9" w:rsidRPr="00F0526C" w:rsidRDefault="003400E9" w:rsidP="003400E9">
      <w:pPr>
        <w:spacing w:line="360" w:lineRule="auto"/>
        <w:jc w:val="both"/>
        <w:rPr>
          <w:i/>
          <w:lang w:val="en-GB"/>
        </w:rPr>
      </w:pPr>
      <w:r w:rsidRPr="00F0526C">
        <w:rPr>
          <w:i/>
          <w:lang w:val="en-GB"/>
        </w:rPr>
        <w:t>H</w:t>
      </w:r>
      <w:r>
        <w:rPr>
          <w:i/>
          <w:lang w:val="en-GB"/>
        </w:rPr>
        <w:t>3</w:t>
      </w:r>
      <w:r w:rsidRPr="00F0526C">
        <w:rPr>
          <w:i/>
          <w:vertAlign w:val="subscript"/>
          <w:lang w:val="en-GB"/>
        </w:rPr>
        <w:t>0</w:t>
      </w:r>
      <w:r>
        <w:rPr>
          <w:i/>
          <w:lang w:val="en-GB"/>
        </w:rPr>
        <w:t>:</w:t>
      </w:r>
      <w:r>
        <w:rPr>
          <w:i/>
          <w:lang w:val="en-GB"/>
        </w:rPr>
        <w:tab/>
      </w:r>
      <w:r w:rsidRPr="00F0526C">
        <w:rPr>
          <w:i/>
          <w:lang w:val="en-GB"/>
        </w:rPr>
        <w:t xml:space="preserve"> </w:t>
      </w:r>
      <w:r>
        <w:rPr>
          <w:rFonts w:cstheme="minorHAnsi"/>
          <w:i/>
          <w:lang w:val="en-GB"/>
        </w:rPr>
        <w:t>Δ</w:t>
      </w:r>
      <w:r w:rsidRPr="00F0526C">
        <w:rPr>
          <w:i/>
          <w:lang w:val="en-GB"/>
        </w:rPr>
        <w:t>A</w:t>
      </w:r>
      <w:r>
        <w:rPr>
          <w:i/>
          <w:lang w:val="en-GB"/>
        </w:rPr>
        <w:t>VA</w:t>
      </w:r>
      <w:r>
        <w:rPr>
          <w:i/>
          <w:vertAlign w:val="subscript"/>
          <w:lang w:val="en-GB"/>
        </w:rPr>
        <w:t>1</w:t>
      </w:r>
      <w:r w:rsidRPr="00F0526C">
        <w:rPr>
          <w:i/>
          <w:lang w:val="en-GB"/>
        </w:rPr>
        <w:t xml:space="preserve"> – </w:t>
      </w:r>
      <w:r>
        <w:rPr>
          <w:rFonts w:cstheme="minorHAnsi"/>
          <w:i/>
          <w:lang w:val="en-GB"/>
        </w:rPr>
        <w:t>Δ</w:t>
      </w:r>
      <w:r w:rsidRPr="00F0526C">
        <w:rPr>
          <w:i/>
          <w:lang w:val="en-GB"/>
        </w:rPr>
        <w:t>A</w:t>
      </w:r>
      <w:r>
        <w:rPr>
          <w:i/>
          <w:lang w:val="en-GB"/>
        </w:rPr>
        <w:t>VA</w:t>
      </w:r>
      <w:r>
        <w:rPr>
          <w:i/>
          <w:vertAlign w:val="subscript"/>
          <w:lang w:val="en-GB"/>
        </w:rPr>
        <w:t>2</w:t>
      </w:r>
      <w:r w:rsidRPr="00F0526C">
        <w:rPr>
          <w:i/>
          <w:lang w:val="en-GB"/>
        </w:rPr>
        <w:t xml:space="preserve"> = 0 </w:t>
      </w:r>
    </w:p>
    <w:p w:rsidR="003400E9" w:rsidRPr="00F0526C" w:rsidRDefault="003400E9" w:rsidP="003400E9">
      <w:pPr>
        <w:spacing w:line="360" w:lineRule="auto"/>
        <w:jc w:val="both"/>
        <w:rPr>
          <w:i/>
          <w:lang w:val="en-GB"/>
        </w:rPr>
      </w:pPr>
      <w:r w:rsidRPr="000A03F5">
        <w:rPr>
          <w:i/>
          <w:lang w:val="en-GB"/>
        </w:rPr>
        <w:t>H3</w:t>
      </w:r>
      <w:r>
        <w:rPr>
          <w:i/>
          <w:vertAlign w:val="subscript"/>
          <w:lang w:val="en-GB"/>
        </w:rPr>
        <w:t>1</w:t>
      </w:r>
      <w:r>
        <w:rPr>
          <w:i/>
          <w:lang w:val="en-GB"/>
        </w:rPr>
        <w:t>:</w:t>
      </w:r>
      <w:r>
        <w:rPr>
          <w:i/>
          <w:lang w:val="en-GB"/>
        </w:rPr>
        <w:tab/>
      </w:r>
      <w:r w:rsidRPr="000A03F5">
        <w:rPr>
          <w:rFonts w:cstheme="minorHAnsi"/>
          <w:i/>
          <w:lang w:val="en-GB"/>
        </w:rPr>
        <w:t>Δ</w:t>
      </w:r>
      <w:r w:rsidRPr="000A03F5">
        <w:rPr>
          <w:i/>
          <w:lang w:val="en-GB"/>
        </w:rPr>
        <w:t>AVA</w:t>
      </w:r>
      <w:r w:rsidR="001C6765">
        <w:rPr>
          <w:i/>
          <w:vertAlign w:val="subscript"/>
          <w:lang w:val="en-GB"/>
        </w:rPr>
        <w:t>1</w:t>
      </w:r>
      <w:r w:rsidRPr="00F0526C">
        <w:rPr>
          <w:i/>
          <w:lang w:val="en-GB"/>
        </w:rPr>
        <w:t xml:space="preserve"> –</w:t>
      </w:r>
      <w:r>
        <w:rPr>
          <w:rFonts w:cstheme="minorHAnsi"/>
          <w:i/>
          <w:lang w:val="en-GB"/>
        </w:rPr>
        <w:t>Δ</w:t>
      </w:r>
      <w:r w:rsidRPr="00F0526C">
        <w:rPr>
          <w:i/>
          <w:lang w:val="en-GB"/>
        </w:rPr>
        <w:t xml:space="preserve"> A</w:t>
      </w:r>
      <w:r>
        <w:rPr>
          <w:i/>
          <w:lang w:val="en-GB"/>
        </w:rPr>
        <w:t>VA</w:t>
      </w:r>
      <w:r>
        <w:rPr>
          <w:i/>
          <w:vertAlign w:val="subscript"/>
          <w:lang w:val="en-GB"/>
        </w:rPr>
        <w:t>2</w:t>
      </w:r>
      <w:r>
        <w:rPr>
          <w:i/>
          <w:lang w:val="en-GB"/>
        </w:rPr>
        <w:t xml:space="preserve"> &gt;</w:t>
      </w:r>
      <w:r w:rsidRPr="00F0526C">
        <w:rPr>
          <w:i/>
          <w:lang w:val="en-GB"/>
        </w:rPr>
        <w:t xml:space="preserve"> 0</w:t>
      </w:r>
    </w:p>
    <w:p w:rsidR="003400E9" w:rsidRDefault="003400E9" w:rsidP="003400E9">
      <w:pPr>
        <w:spacing w:line="360" w:lineRule="auto"/>
        <w:ind w:left="708"/>
        <w:jc w:val="both"/>
        <w:rPr>
          <w:i/>
          <w:lang w:val="en-GB"/>
        </w:rPr>
      </w:pPr>
      <w:r>
        <w:rPr>
          <w:i/>
          <w:lang w:val="en-GB"/>
        </w:rPr>
        <w:t>Hypothesis 3 induces the expectation of rejection of H3</w:t>
      </w:r>
      <w:r>
        <w:rPr>
          <w:i/>
          <w:vertAlign w:val="subscript"/>
          <w:lang w:val="en-GB"/>
        </w:rPr>
        <w:t>0</w:t>
      </w:r>
      <w:r>
        <w:rPr>
          <w:i/>
          <w:lang w:val="en-GB"/>
        </w:rPr>
        <w:t>.</w:t>
      </w:r>
    </w:p>
    <w:p w:rsidR="00936907" w:rsidRDefault="00936907" w:rsidP="004E26F8">
      <w:pPr>
        <w:spacing w:line="360" w:lineRule="auto"/>
        <w:jc w:val="both"/>
        <w:rPr>
          <w:lang w:val="en-GB"/>
        </w:rPr>
      </w:pPr>
      <w:r>
        <w:rPr>
          <w:lang w:val="en-GB"/>
        </w:rPr>
        <w:t xml:space="preserve">Hypothesis 3 actually researched if there was a learning effect present in the behaviour of the CEOs of the companies with more idle cash. This because of the expectation that these CEOs would take inferior decisions regarding M&amp;As. </w:t>
      </w:r>
      <w:r w:rsidR="00C53F9F">
        <w:rPr>
          <w:lang w:val="en-GB"/>
        </w:rPr>
        <w:t>However, now it has become evident that there is no significant difference is the value added to society between the two situations of having more against having less idle cash, the expectations of rejecting H3</w:t>
      </w:r>
      <w:r w:rsidR="00C53F9F">
        <w:rPr>
          <w:vertAlign w:val="subscript"/>
          <w:lang w:val="en-GB"/>
        </w:rPr>
        <w:t>0</w:t>
      </w:r>
      <w:r w:rsidR="00C53F9F">
        <w:rPr>
          <w:lang w:val="en-GB"/>
        </w:rPr>
        <w:t xml:space="preserve"> have tempered. </w:t>
      </w:r>
    </w:p>
    <w:p w:rsidR="005556F3" w:rsidRDefault="00C53F9F" w:rsidP="00F1612B">
      <w:pPr>
        <w:spacing w:line="360" w:lineRule="auto"/>
        <w:jc w:val="both"/>
        <w:rPr>
          <w:b/>
          <w:lang w:val="en-GB"/>
        </w:rPr>
      </w:pPr>
      <w:r>
        <w:rPr>
          <w:lang w:val="en-GB"/>
        </w:rPr>
        <w:t>This tempering of expectations seems right as H3</w:t>
      </w:r>
      <w:r>
        <w:rPr>
          <w:vertAlign w:val="subscript"/>
          <w:lang w:val="en-GB"/>
        </w:rPr>
        <w:t>0</w:t>
      </w:r>
      <w:r>
        <w:rPr>
          <w:lang w:val="en-GB"/>
        </w:rPr>
        <w:t xml:space="preserve"> cannot be rejected on the basis of the data analysis. The conclusion is that the change in value added for society over </w:t>
      </w:r>
      <w:r w:rsidR="005F790F">
        <w:rPr>
          <w:lang w:val="en-GB"/>
        </w:rPr>
        <w:t>multiple acquisitions</w:t>
      </w:r>
      <w:r>
        <w:rPr>
          <w:lang w:val="en-GB"/>
        </w:rPr>
        <w:t xml:space="preserve"> does </w:t>
      </w:r>
      <w:r w:rsidRPr="00BD4F4F">
        <w:rPr>
          <w:u w:val="single"/>
          <w:lang w:val="en-GB"/>
        </w:rPr>
        <w:t>not</w:t>
      </w:r>
      <w:r>
        <w:rPr>
          <w:lang w:val="en-GB"/>
        </w:rPr>
        <w:t xml:space="preserve"> differ significantly between the experimental and control group</w:t>
      </w:r>
      <w:r w:rsidR="00F1612B">
        <w:rPr>
          <w:lang w:val="en-GB"/>
        </w:rPr>
        <w:t>, contradicting the hypothesis and the findings of Doukas and Petmezas (2007)</w:t>
      </w:r>
      <w:r>
        <w:rPr>
          <w:lang w:val="en-GB"/>
        </w:rPr>
        <w:t>.</w:t>
      </w:r>
    </w:p>
    <w:p w:rsidR="001C6765" w:rsidRPr="00F1612B" w:rsidRDefault="00C53F9F" w:rsidP="00F1612B">
      <w:pPr>
        <w:spacing w:line="360" w:lineRule="auto"/>
        <w:ind w:left="708"/>
        <w:jc w:val="center"/>
        <w:rPr>
          <w:b/>
          <w:lang w:val="en-GB"/>
        </w:rPr>
      </w:pPr>
      <w:r w:rsidRPr="0004153A">
        <w:rPr>
          <w:b/>
          <w:lang w:val="en-GB"/>
        </w:rPr>
        <w:t>Hypothesis 4</w:t>
      </w:r>
    </w:p>
    <w:p w:rsidR="001C6765" w:rsidRPr="00F0526C" w:rsidRDefault="001C6765" w:rsidP="001C6765">
      <w:pPr>
        <w:spacing w:line="360" w:lineRule="auto"/>
        <w:jc w:val="both"/>
        <w:rPr>
          <w:i/>
          <w:lang w:val="en-GB"/>
        </w:rPr>
      </w:pPr>
      <w:r w:rsidRPr="00F0526C">
        <w:rPr>
          <w:i/>
          <w:lang w:val="en-GB"/>
        </w:rPr>
        <w:t>H</w:t>
      </w:r>
      <w:r>
        <w:rPr>
          <w:i/>
          <w:lang w:val="en-GB"/>
        </w:rPr>
        <w:t>4</w:t>
      </w:r>
      <w:r w:rsidRPr="00F0526C">
        <w:rPr>
          <w:i/>
          <w:vertAlign w:val="subscript"/>
          <w:lang w:val="en-GB"/>
        </w:rPr>
        <w:t>0</w:t>
      </w:r>
      <w:r>
        <w:rPr>
          <w:i/>
          <w:lang w:val="en-GB"/>
        </w:rPr>
        <w:t>:</w:t>
      </w:r>
      <w:r>
        <w:rPr>
          <w:i/>
          <w:lang w:val="en-GB"/>
        </w:rPr>
        <w:tab/>
      </w:r>
      <w:r w:rsidRPr="00F0526C">
        <w:rPr>
          <w:i/>
          <w:lang w:val="en-GB"/>
        </w:rPr>
        <w:t xml:space="preserve"> </w:t>
      </w:r>
      <w:r>
        <w:rPr>
          <w:i/>
          <w:lang w:val="en-GB"/>
        </w:rPr>
        <w:t>P</w:t>
      </w:r>
      <w:r>
        <w:rPr>
          <w:rFonts w:cstheme="minorHAnsi"/>
          <w:i/>
          <w:lang w:val="en-GB"/>
        </w:rPr>
        <w:t>R</w:t>
      </w:r>
      <w:r>
        <w:rPr>
          <w:rFonts w:cstheme="minorHAnsi"/>
          <w:i/>
          <w:vertAlign w:val="subscript"/>
          <w:lang w:val="en-GB"/>
        </w:rPr>
        <w:t>1</w:t>
      </w:r>
      <w:r w:rsidRPr="00F0526C">
        <w:rPr>
          <w:i/>
          <w:lang w:val="en-GB"/>
        </w:rPr>
        <w:t xml:space="preserve"> – </w:t>
      </w:r>
      <w:r>
        <w:rPr>
          <w:i/>
          <w:lang w:val="en-GB"/>
        </w:rPr>
        <w:t>P</w:t>
      </w:r>
      <w:r>
        <w:rPr>
          <w:rFonts w:cstheme="minorHAnsi"/>
          <w:i/>
          <w:lang w:val="en-GB"/>
        </w:rPr>
        <w:t>R</w:t>
      </w:r>
      <w:r>
        <w:rPr>
          <w:rFonts w:cstheme="minorHAnsi"/>
          <w:i/>
          <w:vertAlign w:val="subscript"/>
          <w:lang w:val="en-GB"/>
        </w:rPr>
        <w:t>2</w:t>
      </w:r>
      <w:r w:rsidRPr="00F0526C">
        <w:rPr>
          <w:i/>
          <w:lang w:val="en-GB"/>
        </w:rPr>
        <w:t xml:space="preserve"> = 0 </w:t>
      </w:r>
    </w:p>
    <w:p w:rsidR="001C6765" w:rsidRPr="00F0526C" w:rsidRDefault="001C6765" w:rsidP="001C6765">
      <w:pPr>
        <w:spacing w:line="360" w:lineRule="auto"/>
        <w:jc w:val="both"/>
        <w:rPr>
          <w:i/>
          <w:lang w:val="en-GB"/>
        </w:rPr>
      </w:pPr>
      <w:r w:rsidRPr="00F0526C">
        <w:rPr>
          <w:i/>
          <w:lang w:val="en-GB"/>
        </w:rPr>
        <w:t>H</w:t>
      </w:r>
      <w:r>
        <w:rPr>
          <w:i/>
          <w:lang w:val="en-GB"/>
        </w:rPr>
        <w:t>4</w:t>
      </w:r>
      <w:r>
        <w:rPr>
          <w:i/>
          <w:vertAlign w:val="subscript"/>
          <w:lang w:val="en-GB"/>
        </w:rPr>
        <w:t>1</w:t>
      </w:r>
      <w:r>
        <w:rPr>
          <w:i/>
          <w:lang w:val="en-GB"/>
        </w:rPr>
        <w:t>:</w:t>
      </w:r>
      <w:r w:rsidRPr="00F0526C">
        <w:rPr>
          <w:i/>
          <w:lang w:val="en-GB"/>
        </w:rPr>
        <w:t xml:space="preserve"> </w:t>
      </w:r>
      <w:r>
        <w:rPr>
          <w:i/>
          <w:lang w:val="en-GB"/>
        </w:rPr>
        <w:tab/>
        <w:t>P</w:t>
      </w:r>
      <w:r>
        <w:rPr>
          <w:rFonts w:cstheme="minorHAnsi"/>
          <w:i/>
          <w:lang w:val="en-GB"/>
        </w:rPr>
        <w:t>R</w:t>
      </w:r>
      <w:r>
        <w:rPr>
          <w:rFonts w:cstheme="minorHAnsi"/>
          <w:i/>
          <w:vertAlign w:val="subscript"/>
          <w:lang w:val="en-GB"/>
        </w:rPr>
        <w:t>1</w:t>
      </w:r>
      <w:r w:rsidRPr="00F0526C">
        <w:rPr>
          <w:i/>
          <w:lang w:val="en-GB"/>
        </w:rPr>
        <w:t xml:space="preserve"> – </w:t>
      </w:r>
      <w:r>
        <w:rPr>
          <w:i/>
          <w:lang w:val="en-GB"/>
        </w:rPr>
        <w:t>P</w:t>
      </w:r>
      <w:r>
        <w:rPr>
          <w:rFonts w:cstheme="minorHAnsi"/>
          <w:i/>
          <w:lang w:val="en-GB"/>
        </w:rPr>
        <w:t>R</w:t>
      </w:r>
      <w:r>
        <w:rPr>
          <w:rFonts w:cstheme="minorHAnsi"/>
          <w:i/>
          <w:vertAlign w:val="subscript"/>
          <w:lang w:val="en-GB"/>
        </w:rPr>
        <w:t>2</w:t>
      </w:r>
      <w:r>
        <w:rPr>
          <w:i/>
          <w:lang w:val="en-GB"/>
        </w:rPr>
        <w:t xml:space="preserve"> &gt;</w:t>
      </w:r>
      <w:r w:rsidRPr="00F0526C">
        <w:rPr>
          <w:i/>
          <w:lang w:val="en-GB"/>
        </w:rPr>
        <w:t xml:space="preserve"> 0 </w:t>
      </w:r>
    </w:p>
    <w:p w:rsidR="003400E9" w:rsidRDefault="003400E9" w:rsidP="003400E9">
      <w:pPr>
        <w:spacing w:line="360" w:lineRule="auto"/>
        <w:ind w:left="708"/>
        <w:jc w:val="both"/>
        <w:rPr>
          <w:i/>
          <w:lang w:val="en-GB"/>
        </w:rPr>
      </w:pPr>
      <w:r>
        <w:rPr>
          <w:i/>
          <w:lang w:val="en-GB"/>
        </w:rPr>
        <w:t>Hypothesis 4 induces the expectation of rejection of H4</w:t>
      </w:r>
      <w:r>
        <w:rPr>
          <w:i/>
          <w:vertAlign w:val="subscript"/>
          <w:lang w:val="en-GB"/>
        </w:rPr>
        <w:t>0</w:t>
      </w:r>
      <w:r>
        <w:rPr>
          <w:i/>
          <w:lang w:val="en-GB"/>
        </w:rPr>
        <w:t>.</w:t>
      </w:r>
    </w:p>
    <w:p w:rsidR="00936907" w:rsidRDefault="00C53F9F" w:rsidP="00936907">
      <w:pPr>
        <w:spacing w:line="360" w:lineRule="auto"/>
        <w:jc w:val="both"/>
        <w:rPr>
          <w:lang w:val="en-GB"/>
        </w:rPr>
      </w:pPr>
      <w:r w:rsidRPr="00C53F9F">
        <w:rPr>
          <w:lang w:val="en-GB"/>
        </w:rPr>
        <w:t xml:space="preserve">Hypothesis 4 is designed to research the monetary aspect </w:t>
      </w:r>
      <w:r>
        <w:rPr>
          <w:lang w:val="en-GB"/>
        </w:rPr>
        <w:t xml:space="preserve">of the involved M&amp;As. The expectation was a significant difference in the </w:t>
      </w:r>
      <w:r w:rsidR="00856F76">
        <w:rPr>
          <w:lang w:val="en-GB"/>
        </w:rPr>
        <w:t>premium</w:t>
      </w:r>
      <w:r>
        <w:rPr>
          <w:lang w:val="en-GB"/>
        </w:rPr>
        <w:t xml:space="preserve"> ratio, as mathematically represented before, between the two researched groups. This ratio was to be expected higher in the experimental group, as all the hypothesis were pointed towards the point of view in which M&amp;As from the experimental group were considered inferior. However, since the earlier hypothesis did not endorse this position, the same is true as for hypothesis 3; the expectations of rejecting H4</w:t>
      </w:r>
      <w:r>
        <w:rPr>
          <w:vertAlign w:val="subscript"/>
          <w:lang w:val="en-GB"/>
        </w:rPr>
        <w:t>0</w:t>
      </w:r>
      <w:r>
        <w:rPr>
          <w:lang w:val="en-GB"/>
        </w:rPr>
        <w:t xml:space="preserve"> has tempered.</w:t>
      </w:r>
    </w:p>
    <w:p w:rsidR="00C53F9F" w:rsidRPr="00C53F9F" w:rsidRDefault="00C53F9F" w:rsidP="00936907">
      <w:pPr>
        <w:spacing w:line="360" w:lineRule="auto"/>
        <w:jc w:val="both"/>
        <w:rPr>
          <w:lang w:val="en-GB"/>
        </w:rPr>
      </w:pPr>
      <w:r>
        <w:rPr>
          <w:lang w:val="en-GB"/>
        </w:rPr>
        <w:t>And once again, this tempering seems right. H4</w:t>
      </w:r>
      <w:r>
        <w:rPr>
          <w:vertAlign w:val="subscript"/>
          <w:lang w:val="en-GB"/>
        </w:rPr>
        <w:t>0</w:t>
      </w:r>
      <w:r>
        <w:rPr>
          <w:lang w:val="en-GB"/>
        </w:rPr>
        <w:t xml:space="preserve"> cannot and will not be rejected as the analysis proves that there is no significant difference in the earlier specified ratios. Therefore, it can be concluded that the </w:t>
      </w:r>
      <w:r w:rsidR="00856F76">
        <w:rPr>
          <w:lang w:val="en-GB"/>
        </w:rPr>
        <w:t>premium</w:t>
      </w:r>
      <w:r>
        <w:rPr>
          <w:lang w:val="en-GB"/>
        </w:rPr>
        <w:t xml:space="preserve"> ratio is statistically </w:t>
      </w:r>
      <w:r w:rsidRPr="00BD4F4F">
        <w:rPr>
          <w:u w:val="single"/>
          <w:lang w:val="en-GB"/>
        </w:rPr>
        <w:t>equal</w:t>
      </w:r>
      <w:r>
        <w:rPr>
          <w:lang w:val="en-GB"/>
        </w:rPr>
        <w:t xml:space="preserve"> across the group with more and the group with less idle cash. </w:t>
      </w:r>
    </w:p>
    <w:p w:rsidR="00CA47A6" w:rsidRPr="00C53F9F" w:rsidRDefault="00CA47A6" w:rsidP="003400E9">
      <w:pPr>
        <w:spacing w:line="360" w:lineRule="auto"/>
        <w:rPr>
          <w:lang w:val="en-GB"/>
        </w:rPr>
      </w:pPr>
    </w:p>
    <w:p w:rsidR="00AA6C0F" w:rsidRDefault="00AA6C0F" w:rsidP="00AA6C0F">
      <w:pPr>
        <w:ind w:firstLine="708"/>
        <w:jc w:val="right"/>
        <w:rPr>
          <w:b/>
          <w:sz w:val="32"/>
          <w:lang w:val="en-GB"/>
        </w:rPr>
      </w:pPr>
    </w:p>
    <w:p w:rsidR="00AA6C0F" w:rsidRDefault="00AA6C0F" w:rsidP="00AA6C0F">
      <w:pPr>
        <w:ind w:firstLine="708"/>
        <w:jc w:val="right"/>
        <w:rPr>
          <w:b/>
          <w:sz w:val="32"/>
          <w:lang w:val="en-GB"/>
        </w:rPr>
      </w:pPr>
    </w:p>
    <w:p w:rsidR="00327FAD" w:rsidRPr="001B4E47" w:rsidRDefault="00327FAD" w:rsidP="00AA6C0F">
      <w:pPr>
        <w:ind w:firstLine="708"/>
        <w:jc w:val="right"/>
        <w:rPr>
          <w:b/>
          <w:sz w:val="32"/>
          <w:lang w:val="en-GB"/>
        </w:rPr>
      </w:pPr>
      <w:r>
        <w:rPr>
          <w:b/>
          <w:sz w:val="32"/>
          <w:lang w:val="en-GB"/>
        </w:rPr>
        <w:t>SUMMARY AND CONCLUSION</w:t>
      </w:r>
    </w:p>
    <w:p w:rsidR="00327FAD" w:rsidRDefault="00327FAD" w:rsidP="00327FAD">
      <w:pPr>
        <w:spacing w:line="360" w:lineRule="auto"/>
        <w:jc w:val="right"/>
        <w:rPr>
          <w:b/>
          <w:sz w:val="32"/>
          <w:lang w:val="en-GB"/>
        </w:rPr>
      </w:pPr>
      <w:r w:rsidRPr="001B4E47">
        <w:rPr>
          <w:b/>
          <w:sz w:val="32"/>
          <w:lang w:val="en-GB"/>
        </w:rPr>
        <w:t>________________________________________________________</w:t>
      </w:r>
    </w:p>
    <w:p w:rsidR="00A3693F" w:rsidRDefault="00A3693F" w:rsidP="00A3693F">
      <w:pPr>
        <w:spacing w:line="360" w:lineRule="auto"/>
        <w:rPr>
          <w:b/>
          <w:lang w:val="en-GB"/>
        </w:rPr>
      </w:pPr>
    </w:p>
    <w:p w:rsidR="00A3693F" w:rsidRPr="00A3693F" w:rsidRDefault="00A3693F" w:rsidP="00A3693F">
      <w:pPr>
        <w:spacing w:line="360" w:lineRule="auto"/>
        <w:jc w:val="both"/>
        <w:rPr>
          <w:lang w:val="en-GB"/>
        </w:rPr>
      </w:pPr>
      <w:r>
        <w:rPr>
          <w:lang w:val="en-GB"/>
        </w:rPr>
        <w:t xml:space="preserve">To conclude this research with, the results of the individual hypotheses will be melted together in order to provide an answer for the main research question. After that final conclusion, a short discussion will follow in which the shortcomings of this research will be mentioned and recommendations for further research are suggested. </w:t>
      </w:r>
    </w:p>
    <w:p w:rsidR="00A3693F" w:rsidRDefault="00A3693F" w:rsidP="00A3693F">
      <w:pPr>
        <w:spacing w:line="360" w:lineRule="auto"/>
        <w:rPr>
          <w:b/>
          <w:lang w:val="en-GB"/>
        </w:rPr>
      </w:pPr>
    </w:p>
    <w:p w:rsidR="0050415C" w:rsidRPr="00A3693F" w:rsidRDefault="00A3693F" w:rsidP="00A3693F">
      <w:pPr>
        <w:spacing w:line="360" w:lineRule="auto"/>
        <w:ind w:firstLine="708"/>
        <w:rPr>
          <w:b/>
          <w:sz w:val="24"/>
          <w:lang w:val="en-GB"/>
        </w:rPr>
      </w:pPr>
      <w:r w:rsidRPr="00A3693F">
        <w:rPr>
          <w:b/>
          <w:sz w:val="24"/>
          <w:lang w:val="en-GB"/>
        </w:rPr>
        <w:t>1 - R</w:t>
      </w:r>
      <w:r w:rsidR="0050415C" w:rsidRPr="00A3693F">
        <w:rPr>
          <w:b/>
          <w:sz w:val="24"/>
          <w:lang w:val="en-GB"/>
        </w:rPr>
        <w:t>esearch Question</w:t>
      </w:r>
      <w:r w:rsidRPr="00A3693F">
        <w:rPr>
          <w:b/>
          <w:sz w:val="24"/>
          <w:lang w:val="en-GB"/>
        </w:rPr>
        <w:t xml:space="preserve"> </w:t>
      </w:r>
    </w:p>
    <w:p w:rsidR="0050415C" w:rsidRDefault="0050415C" w:rsidP="0050415C">
      <w:pPr>
        <w:spacing w:line="360" w:lineRule="auto"/>
        <w:jc w:val="both"/>
        <w:rPr>
          <w:b/>
          <w:i/>
          <w:lang w:val="en-GB"/>
        </w:rPr>
      </w:pPr>
      <w:r>
        <w:rPr>
          <w:b/>
          <w:i/>
          <w:lang w:val="en-GB"/>
        </w:rPr>
        <w:t>Do cash rich companies make inferior decisions regarding merger and acquisition deals in comparison with other non cash rich companies, and if so, why?</w:t>
      </w:r>
    </w:p>
    <w:p w:rsidR="0050415C" w:rsidRDefault="0050415C" w:rsidP="0050415C">
      <w:pPr>
        <w:spacing w:line="360" w:lineRule="auto"/>
        <w:ind w:left="708"/>
        <w:jc w:val="both"/>
        <w:rPr>
          <w:b/>
          <w:i/>
          <w:lang w:val="en-GB"/>
        </w:rPr>
      </w:pPr>
      <w:r>
        <w:rPr>
          <w:b/>
          <w:i/>
          <w:lang w:val="en-GB"/>
        </w:rPr>
        <w:t>H</w:t>
      </w:r>
      <w:r>
        <w:rPr>
          <w:b/>
          <w:i/>
          <w:vertAlign w:val="subscript"/>
          <w:lang w:val="en-GB"/>
        </w:rPr>
        <w:t>0</w:t>
      </w:r>
      <w:r>
        <w:rPr>
          <w:b/>
          <w:i/>
          <w:lang w:val="en-GB"/>
        </w:rPr>
        <w:t>: Companies with more idle cash make inferior M&amp;A decisions in comparison with companies with less idle cash.</w:t>
      </w:r>
    </w:p>
    <w:p w:rsidR="0050415C" w:rsidRDefault="0050415C" w:rsidP="0050415C">
      <w:pPr>
        <w:spacing w:line="360" w:lineRule="auto"/>
        <w:jc w:val="both"/>
        <w:rPr>
          <w:lang w:val="en-GB"/>
        </w:rPr>
      </w:pPr>
      <w:r>
        <w:rPr>
          <w:lang w:val="en-GB"/>
        </w:rPr>
        <w:t xml:space="preserve">All four earlier discussed hypotheses were necessary to make statements and draw conclusions about what it was all about; the research question. </w:t>
      </w:r>
    </w:p>
    <w:p w:rsidR="0050415C" w:rsidRDefault="0050415C" w:rsidP="0050415C">
      <w:pPr>
        <w:spacing w:line="360" w:lineRule="auto"/>
        <w:jc w:val="both"/>
        <w:rPr>
          <w:lang w:val="en-GB"/>
        </w:rPr>
      </w:pPr>
      <w:r>
        <w:rPr>
          <w:lang w:val="en-GB"/>
        </w:rPr>
        <w:t xml:space="preserve">As all hypotheses were extensions of the research question, which eased the research, all those hypotheses were of the same beliefs as the research question. This means, they were all pointed into a position in which they considered M&amp;A deals performed by companies with more idle cash inferior. The first two hypothesis researched the aspect of value added for society in terms of cumulative abnormal returns. The third researched the change in value added for society as the expectation was that the worse performing companies, the companies in the experimental group, will learn from their faults and perform better in upcoming </w:t>
      </w:r>
      <w:r w:rsidR="007A5234">
        <w:rPr>
          <w:lang w:val="en-GB"/>
        </w:rPr>
        <w:t>M&amp;As</w:t>
      </w:r>
      <w:r>
        <w:rPr>
          <w:lang w:val="en-GB"/>
        </w:rPr>
        <w:t xml:space="preserve">. Finally, the last hypotheses researched the monetary aspects, more specifically, if the cash rich firms did overpay the M&amp;As or not. </w:t>
      </w:r>
    </w:p>
    <w:p w:rsidR="0050415C" w:rsidRDefault="0050415C" w:rsidP="0050415C">
      <w:pPr>
        <w:spacing w:line="360" w:lineRule="auto"/>
        <w:jc w:val="both"/>
        <w:rPr>
          <w:lang w:val="en-GB"/>
        </w:rPr>
      </w:pPr>
      <w:r>
        <w:rPr>
          <w:lang w:val="en-GB"/>
        </w:rPr>
        <w:lastRenderedPageBreak/>
        <w:t xml:space="preserve">After the results and conclusions of the hypothesis were analysed it became clear that there was no significant difference in the contribution for society across the researched groups (hypotheses 1 and 2). Also, the change in value added for society </w:t>
      </w:r>
      <w:r w:rsidR="00130EFE">
        <w:rPr>
          <w:lang w:val="en-GB"/>
        </w:rPr>
        <w:t xml:space="preserve">for serial acquirers </w:t>
      </w:r>
      <w:r>
        <w:rPr>
          <w:lang w:val="en-GB"/>
        </w:rPr>
        <w:t>over time cannot be considered different when comparing the experimental group with the control group (hypothesis 3). Lastly, the monetary aspects as defined by the earlier mentioned ratio is also considered to be statistically equal between the two researched groups (hypothesis 4). These findings all point in the same direction; there being no significant difference in the evaluation of the M&amp;As between the different groups. As there is not a single indication to assume any differences in the M&amp;As in the defined research groups, the H</w:t>
      </w:r>
      <w:r>
        <w:rPr>
          <w:vertAlign w:val="subscript"/>
          <w:lang w:val="en-GB"/>
        </w:rPr>
        <w:t>0</w:t>
      </w:r>
      <w:r>
        <w:rPr>
          <w:lang w:val="en-GB"/>
        </w:rPr>
        <w:t xml:space="preserve"> of this research has to be rejected. </w:t>
      </w:r>
      <w:r w:rsidR="006D4898">
        <w:rPr>
          <w:lang w:val="en-GB"/>
        </w:rPr>
        <w:t xml:space="preserve">The same negative relationship found by Morck, Shleifer and Vishny (1990) between overconfidence  and M&amp;A performance in American companies could not have been found in European companies. </w:t>
      </w:r>
    </w:p>
    <w:p w:rsidR="00A3693F" w:rsidRDefault="0050415C" w:rsidP="00A3693F">
      <w:pPr>
        <w:spacing w:line="360" w:lineRule="auto"/>
        <w:rPr>
          <w:b/>
          <w:lang w:val="en-GB"/>
        </w:rPr>
      </w:pPr>
      <w:r>
        <w:rPr>
          <w:b/>
          <w:lang w:val="en-GB"/>
        </w:rPr>
        <w:t xml:space="preserve">Companies with more idle cash make </w:t>
      </w:r>
      <w:r>
        <w:rPr>
          <w:b/>
          <w:u w:val="single"/>
          <w:lang w:val="en-GB"/>
        </w:rPr>
        <w:t>no</w:t>
      </w:r>
      <w:r w:rsidRPr="004E26F8">
        <w:rPr>
          <w:b/>
          <w:lang w:val="en-GB"/>
        </w:rPr>
        <w:t xml:space="preserve"> </w:t>
      </w:r>
      <w:r>
        <w:rPr>
          <w:b/>
          <w:lang w:val="en-GB"/>
        </w:rPr>
        <w:t>inferior M&amp;A decisions in comparison with companies with less idle cash</w:t>
      </w:r>
      <w:r w:rsidR="00A3693F">
        <w:rPr>
          <w:b/>
          <w:lang w:val="en-GB"/>
        </w:rPr>
        <w:t>.</w:t>
      </w:r>
    </w:p>
    <w:p w:rsidR="008771EC" w:rsidRDefault="008771EC" w:rsidP="008771EC">
      <w:pPr>
        <w:spacing w:line="360" w:lineRule="auto"/>
        <w:rPr>
          <w:rFonts w:cstheme="minorHAnsi"/>
          <w:sz w:val="20"/>
          <w:lang w:val="en-GB"/>
        </w:rPr>
      </w:pPr>
    </w:p>
    <w:p w:rsidR="008771EC" w:rsidRPr="008771EC" w:rsidRDefault="008771EC" w:rsidP="008771EC">
      <w:pPr>
        <w:spacing w:line="360" w:lineRule="auto"/>
        <w:rPr>
          <w:rFonts w:cstheme="minorHAnsi"/>
          <w:b/>
          <w:sz w:val="24"/>
          <w:lang w:val="en-GB"/>
        </w:rPr>
      </w:pPr>
      <w:r w:rsidRPr="008771EC">
        <w:rPr>
          <w:rFonts w:cstheme="minorHAnsi"/>
          <w:b/>
          <w:sz w:val="24"/>
          <w:lang w:val="en-GB"/>
        </w:rPr>
        <w:tab/>
        <w:t xml:space="preserve">2 – Discussion </w:t>
      </w:r>
    </w:p>
    <w:p w:rsidR="008771EC" w:rsidRDefault="008771EC" w:rsidP="008771EC">
      <w:pPr>
        <w:spacing w:line="360" w:lineRule="auto"/>
        <w:jc w:val="both"/>
        <w:rPr>
          <w:rFonts w:cstheme="minorHAnsi"/>
          <w:lang w:val="en-GB"/>
        </w:rPr>
      </w:pPr>
      <w:r>
        <w:rPr>
          <w:rFonts w:cstheme="minorHAnsi"/>
          <w:lang w:val="en-GB"/>
        </w:rPr>
        <w:t>Like every other research, this research obviously encourages some discussion. A first subject of this discussion could be the fact that more factors than discussed in this research are influencing the superiority</w:t>
      </w:r>
      <w:r w:rsidR="001E100D">
        <w:rPr>
          <w:rFonts w:cstheme="minorHAnsi"/>
          <w:lang w:val="en-GB"/>
        </w:rPr>
        <w:t xml:space="preserve"> or </w:t>
      </w:r>
      <w:r>
        <w:rPr>
          <w:rFonts w:cstheme="minorHAnsi"/>
          <w:lang w:val="en-GB"/>
        </w:rPr>
        <w:t xml:space="preserve">inferiority of the M&amp;A deals. Not only the contribution to society, the change in value added to society </w:t>
      </w:r>
      <w:r w:rsidRPr="008771EC">
        <w:rPr>
          <w:rFonts w:cstheme="minorHAnsi"/>
          <w:lang w:val="en-GB"/>
        </w:rPr>
        <w:t xml:space="preserve"> </w:t>
      </w:r>
      <w:r>
        <w:rPr>
          <w:rFonts w:cstheme="minorHAnsi"/>
          <w:lang w:val="en-GB"/>
        </w:rPr>
        <w:t xml:space="preserve">and the monetary aspect are important in researching this. There are countless factors influencing this. However, in this research, the researched aspects were considered the most important and chosen for that reason. </w:t>
      </w:r>
    </w:p>
    <w:p w:rsidR="006055A1" w:rsidRDefault="008771EC" w:rsidP="008771EC">
      <w:pPr>
        <w:spacing w:line="360" w:lineRule="auto"/>
        <w:jc w:val="both"/>
        <w:rPr>
          <w:rFonts w:cstheme="minorHAnsi"/>
          <w:lang w:val="en-GB"/>
        </w:rPr>
      </w:pPr>
      <w:r>
        <w:rPr>
          <w:rFonts w:cstheme="minorHAnsi"/>
          <w:lang w:val="en-GB"/>
        </w:rPr>
        <w:t>Also, the event window chosen in the EventStudy Tool in DataStream can give rise to some discussion as others may have different opinions on what is necessary and what is helpful. Furtermore, concerning this EvenStudy Tool, the MeanAdjustedReturn instead of the MarketModelAdjustedReturn</w:t>
      </w:r>
      <w:r w:rsidR="006055A1">
        <w:rPr>
          <w:rFonts w:cstheme="minorHAnsi"/>
          <w:lang w:val="en-GB"/>
        </w:rPr>
        <w:t xml:space="preserve"> could have been chosen to obtain data regarding (C)ARs. Possibly, different results and conclusions would have been drawn. </w:t>
      </w:r>
    </w:p>
    <w:p w:rsidR="001E100D" w:rsidRDefault="006055A1" w:rsidP="001E100D">
      <w:pPr>
        <w:spacing w:line="360" w:lineRule="auto"/>
        <w:jc w:val="both"/>
        <w:rPr>
          <w:rFonts w:cstheme="minorHAnsi"/>
          <w:lang w:val="en-GB"/>
        </w:rPr>
      </w:pPr>
      <w:r>
        <w:rPr>
          <w:rFonts w:cstheme="minorHAnsi"/>
          <w:lang w:val="en-GB"/>
        </w:rPr>
        <w:t xml:space="preserve">Lastly, the inference of the financial crisis is, of course, a factor. Who knows what the results would have been in the absence of the financial crisis? </w:t>
      </w:r>
      <w:r w:rsidR="001E100D">
        <w:rPr>
          <w:rFonts w:cstheme="minorHAnsi"/>
          <w:lang w:val="en-GB"/>
        </w:rPr>
        <w:t>This could obviously not have been tested now, but maybe it can be interestin</w:t>
      </w:r>
      <w:r w:rsidR="003F3821">
        <w:rPr>
          <w:rFonts w:cstheme="minorHAnsi"/>
          <w:lang w:val="en-GB"/>
        </w:rPr>
        <w:t>g to do this in later researches</w:t>
      </w:r>
      <w:r w:rsidR="001E100D">
        <w:rPr>
          <w:rFonts w:cstheme="minorHAnsi"/>
          <w:lang w:val="en-GB"/>
        </w:rPr>
        <w:t>.</w:t>
      </w:r>
    </w:p>
    <w:p w:rsidR="001E100D" w:rsidRDefault="001E100D" w:rsidP="001E100D">
      <w:pPr>
        <w:spacing w:line="360" w:lineRule="auto"/>
        <w:jc w:val="both"/>
        <w:rPr>
          <w:rFonts w:cstheme="minorHAnsi"/>
          <w:lang w:val="en-GB"/>
        </w:rPr>
      </w:pPr>
    </w:p>
    <w:p w:rsidR="008771EC" w:rsidRPr="006D4898" w:rsidRDefault="001E100D" w:rsidP="006D4898">
      <w:pPr>
        <w:spacing w:line="360" w:lineRule="auto"/>
        <w:jc w:val="both"/>
        <w:rPr>
          <w:rFonts w:cstheme="minorHAnsi"/>
          <w:lang w:val="en-GB"/>
        </w:rPr>
      </w:pPr>
      <w:r>
        <w:rPr>
          <w:rFonts w:cstheme="minorHAnsi"/>
          <w:lang w:val="en-GB"/>
        </w:rPr>
        <w:lastRenderedPageBreak/>
        <w:tab/>
      </w:r>
      <w:r w:rsidRPr="001E100D">
        <w:rPr>
          <w:rFonts w:cstheme="minorHAnsi"/>
          <w:b/>
          <w:sz w:val="24"/>
          <w:lang w:val="en-GB"/>
        </w:rPr>
        <w:t>3 – Recommendation</w:t>
      </w:r>
      <w:r>
        <w:rPr>
          <w:rFonts w:cstheme="minorHAnsi"/>
          <w:b/>
          <w:sz w:val="24"/>
          <w:lang w:val="en-GB"/>
        </w:rPr>
        <w:t>s</w:t>
      </w:r>
      <w:r w:rsidRPr="001E100D">
        <w:rPr>
          <w:rFonts w:cstheme="minorHAnsi"/>
          <w:b/>
          <w:sz w:val="24"/>
          <w:lang w:val="en-GB"/>
        </w:rPr>
        <w:t xml:space="preserve"> for further research</w:t>
      </w:r>
      <w:r w:rsidR="006055A1" w:rsidRPr="001E100D">
        <w:rPr>
          <w:rFonts w:cstheme="minorHAnsi"/>
          <w:b/>
          <w:sz w:val="24"/>
          <w:lang w:val="en-GB"/>
        </w:rPr>
        <w:t xml:space="preserve"> </w:t>
      </w:r>
    </w:p>
    <w:p w:rsidR="001E100D" w:rsidRDefault="001E100D" w:rsidP="001E100D">
      <w:pPr>
        <w:spacing w:line="360" w:lineRule="auto"/>
        <w:jc w:val="both"/>
        <w:rPr>
          <w:b/>
          <w:lang w:val="en-GB"/>
        </w:rPr>
      </w:pPr>
      <w:r w:rsidRPr="001E100D">
        <w:rPr>
          <w:rFonts w:cstheme="minorHAnsi"/>
          <w:lang w:val="en-GB"/>
        </w:rPr>
        <w:t xml:space="preserve">The recommendations for further research logically follow from the discussion. The first one is to take more or different influencing factors into account when researching the superiority or inferiority of M&amp;A deals between two groups. This could be aspects like payment method, acquirer’s or target’s country and laws, differing economic environments etc. </w:t>
      </w:r>
    </w:p>
    <w:p w:rsidR="001E100D" w:rsidRDefault="001E100D" w:rsidP="001E100D">
      <w:pPr>
        <w:spacing w:line="360" w:lineRule="auto"/>
        <w:jc w:val="both"/>
        <w:rPr>
          <w:lang w:val="en-GB"/>
        </w:rPr>
      </w:pPr>
      <w:r w:rsidRPr="001E100D">
        <w:rPr>
          <w:lang w:val="en-GB"/>
        </w:rPr>
        <w:t>Secondly</w:t>
      </w:r>
      <w:r>
        <w:rPr>
          <w:lang w:val="en-GB"/>
        </w:rPr>
        <w:t xml:space="preserve">, it could be interesting to use the </w:t>
      </w:r>
      <w:r>
        <w:rPr>
          <w:rFonts w:cstheme="minorHAnsi"/>
          <w:lang w:val="en-GB"/>
        </w:rPr>
        <w:t>MeanAdjustedReturn instead of the MarketModelAdjustedReturn</w:t>
      </w:r>
      <w:r w:rsidRPr="001E100D">
        <w:rPr>
          <w:lang w:val="en-GB"/>
        </w:rPr>
        <w:t xml:space="preserve"> </w:t>
      </w:r>
      <w:r>
        <w:rPr>
          <w:lang w:val="en-GB"/>
        </w:rPr>
        <w:t xml:space="preserve">in obtaining the data to calculate the value added for society from. Also, setting a different event window in further research can lead to interesting </w:t>
      </w:r>
      <w:r w:rsidR="00F83BC2">
        <w:rPr>
          <w:lang w:val="en-GB"/>
        </w:rPr>
        <w:t>results.</w:t>
      </w:r>
    </w:p>
    <w:p w:rsidR="008771EC" w:rsidRPr="001E100D" w:rsidRDefault="00F83BC2" w:rsidP="001E100D">
      <w:pPr>
        <w:spacing w:line="360" w:lineRule="auto"/>
        <w:jc w:val="both"/>
        <w:rPr>
          <w:lang w:val="en-GB"/>
        </w:rPr>
      </w:pPr>
      <w:r>
        <w:rPr>
          <w:lang w:val="en-GB"/>
        </w:rPr>
        <w:t xml:space="preserve">Lastly, as the financial crisis could have distorted the results, it could be interesting to do this same research over years after the financial crisis. Therefore, that research should have to wait some years, but can lead to different results. </w:t>
      </w:r>
      <w:r w:rsidR="008771EC" w:rsidRPr="001E100D">
        <w:rPr>
          <w:lang w:val="en-GB"/>
        </w:rPr>
        <w:br w:type="page"/>
      </w:r>
    </w:p>
    <w:p w:rsidR="000C5854" w:rsidRPr="008771EC" w:rsidRDefault="000C5854" w:rsidP="008771EC">
      <w:pPr>
        <w:spacing w:line="360" w:lineRule="auto"/>
        <w:rPr>
          <w:b/>
          <w:lang w:val="en-GB"/>
        </w:rPr>
      </w:pPr>
    </w:p>
    <w:p w:rsidR="002977C9" w:rsidRDefault="002977C9" w:rsidP="005A062F">
      <w:pPr>
        <w:spacing w:line="360" w:lineRule="auto"/>
        <w:rPr>
          <w:rFonts w:cstheme="minorHAnsi"/>
          <w:sz w:val="20"/>
          <w:lang w:val="en-GB"/>
        </w:rPr>
      </w:pPr>
    </w:p>
    <w:p w:rsidR="002977C9" w:rsidRDefault="002977C9" w:rsidP="005A062F">
      <w:pPr>
        <w:spacing w:line="360" w:lineRule="auto"/>
        <w:rPr>
          <w:rFonts w:cstheme="minorHAnsi"/>
          <w:sz w:val="20"/>
          <w:lang w:val="en-GB"/>
        </w:rPr>
      </w:pPr>
    </w:p>
    <w:p w:rsidR="002977C9" w:rsidRDefault="002977C9" w:rsidP="002977C9">
      <w:pPr>
        <w:spacing w:line="360" w:lineRule="auto"/>
        <w:jc w:val="right"/>
        <w:rPr>
          <w:rFonts w:cstheme="minorHAnsi"/>
          <w:b/>
          <w:sz w:val="32"/>
          <w:lang w:val="en-GB"/>
        </w:rPr>
      </w:pPr>
    </w:p>
    <w:p w:rsidR="002D3A72" w:rsidRPr="002977C9" w:rsidRDefault="008F0E13" w:rsidP="002977C9">
      <w:pPr>
        <w:spacing w:line="360" w:lineRule="auto"/>
        <w:jc w:val="right"/>
        <w:rPr>
          <w:rFonts w:cstheme="minorHAnsi"/>
          <w:b/>
          <w:sz w:val="32"/>
          <w:lang w:val="en-GB"/>
        </w:rPr>
      </w:pPr>
      <w:r>
        <w:rPr>
          <w:rFonts w:cstheme="minorHAnsi"/>
          <w:b/>
          <w:sz w:val="32"/>
          <w:lang w:val="en-GB"/>
        </w:rPr>
        <w:t xml:space="preserve">CHAPTER 6 - </w:t>
      </w:r>
      <w:r w:rsidR="002977C9" w:rsidRPr="002977C9">
        <w:rPr>
          <w:rFonts w:cstheme="minorHAnsi"/>
          <w:b/>
          <w:sz w:val="32"/>
          <w:lang w:val="en-GB"/>
        </w:rPr>
        <w:t>SOURCES</w:t>
      </w:r>
    </w:p>
    <w:p w:rsidR="002977C9" w:rsidRPr="002977C9" w:rsidRDefault="002977C9" w:rsidP="002977C9">
      <w:pPr>
        <w:spacing w:line="360" w:lineRule="auto"/>
        <w:jc w:val="right"/>
        <w:rPr>
          <w:rFonts w:cstheme="minorHAnsi"/>
          <w:b/>
          <w:sz w:val="32"/>
          <w:lang w:val="en-GB"/>
        </w:rPr>
      </w:pPr>
      <w:r w:rsidRPr="002977C9">
        <w:rPr>
          <w:rFonts w:cstheme="minorHAnsi"/>
          <w:b/>
          <w:sz w:val="32"/>
          <w:lang w:val="en-GB"/>
        </w:rPr>
        <w:t>___</w:t>
      </w:r>
      <w:r>
        <w:rPr>
          <w:rFonts w:cstheme="minorHAnsi"/>
          <w:b/>
          <w:sz w:val="32"/>
          <w:lang w:val="en-GB"/>
        </w:rPr>
        <w:t>___</w:t>
      </w:r>
      <w:r w:rsidRPr="002977C9">
        <w:rPr>
          <w:rFonts w:cstheme="minorHAnsi"/>
          <w:b/>
          <w:sz w:val="32"/>
          <w:lang w:val="en-GB"/>
        </w:rPr>
        <w:t>__________________________________________________</w:t>
      </w:r>
    </w:p>
    <w:p w:rsidR="00C45DA4" w:rsidRDefault="00C45DA4" w:rsidP="00C45DA4">
      <w:pPr>
        <w:pStyle w:val="Bibliography"/>
        <w:rPr>
          <w:rFonts w:cstheme="minorHAnsi"/>
          <w:b/>
          <w:lang w:val="en-GB"/>
        </w:rPr>
      </w:pPr>
    </w:p>
    <w:p w:rsidR="00D853B9" w:rsidRPr="00D853B9" w:rsidRDefault="00067D34" w:rsidP="00D853B9">
      <w:pPr>
        <w:pStyle w:val="Bibliography"/>
        <w:rPr>
          <w:noProof/>
          <w:lang w:val="en-GB"/>
        </w:rPr>
      </w:pPr>
      <w:r>
        <w:rPr>
          <w:rFonts w:cstheme="minorHAnsi"/>
          <w:b/>
          <w:lang w:val="en-GB"/>
        </w:rPr>
        <w:fldChar w:fldCharType="begin"/>
      </w:r>
      <w:r w:rsidR="00D853B9" w:rsidRPr="00D853B9">
        <w:rPr>
          <w:rFonts w:cstheme="minorHAnsi"/>
          <w:b/>
          <w:lang w:val="en-GB"/>
        </w:rPr>
        <w:instrText xml:space="preserve"> BIBLIOGRAPHY  \l 1043 </w:instrText>
      </w:r>
      <w:r>
        <w:rPr>
          <w:rFonts w:cstheme="minorHAnsi"/>
          <w:b/>
          <w:lang w:val="en-GB"/>
        </w:rPr>
        <w:fldChar w:fldCharType="separate"/>
      </w:r>
      <w:r w:rsidR="00D853B9" w:rsidRPr="00D853B9">
        <w:rPr>
          <w:noProof/>
          <w:lang w:val="en-GB"/>
        </w:rPr>
        <w:t xml:space="preserve">Andrade, G., Mitchell, M., &amp; Stafford, E. (2001). New Evidence and Perspective on Mergers. </w:t>
      </w:r>
      <w:r w:rsidR="00D853B9" w:rsidRPr="00D853B9">
        <w:rPr>
          <w:i/>
          <w:iCs/>
          <w:noProof/>
          <w:lang w:val="en-GB"/>
        </w:rPr>
        <w:t>Journal of Economic Perspectives, 15</w:t>
      </w:r>
      <w:r w:rsidR="00D853B9" w:rsidRPr="00D853B9">
        <w:rPr>
          <w:noProof/>
          <w:lang w:val="en-GB"/>
        </w:rPr>
        <w:t xml:space="preserve"> , 103-120.</w:t>
      </w:r>
    </w:p>
    <w:p w:rsidR="00D853B9" w:rsidRPr="00D853B9" w:rsidRDefault="00D853B9" w:rsidP="00D853B9">
      <w:pPr>
        <w:pStyle w:val="Bibliography"/>
        <w:rPr>
          <w:noProof/>
          <w:lang w:val="en-GB"/>
        </w:rPr>
      </w:pPr>
      <w:r w:rsidRPr="00D853B9">
        <w:rPr>
          <w:noProof/>
          <w:lang w:val="en-GB"/>
        </w:rPr>
        <w:t xml:space="preserve">Arnold, G. (2005). </w:t>
      </w:r>
      <w:r w:rsidRPr="00D853B9">
        <w:rPr>
          <w:i/>
          <w:iCs/>
          <w:noProof/>
          <w:lang w:val="en-GB"/>
        </w:rPr>
        <w:t>Corporate Financial Management.</w:t>
      </w:r>
      <w:r w:rsidRPr="00D853B9">
        <w:rPr>
          <w:noProof/>
          <w:lang w:val="en-GB"/>
        </w:rPr>
        <w:t xml:space="preserve"> Harlow, England: Financial Times.</w:t>
      </w:r>
    </w:p>
    <w:p w:rsidR="00D853B9" w:rsidRPr="00D853B9" w:rsidRDefault="00D853B9" w:rsidP="00D853B9">
      <w:pPr>
        <w:pStyle w:val="Bibliography"/>
        <w:rPr>
          <w:noProof/>
          <w:lang w:val="en-GB"/>
        </w:rPr>
      </w:pPr>
      <w:r w:rsidRPr="00D853B9">
        <w:rPr>
          <w:noProof/>
          <w:lang w:val="en-GB"/>
        </w:rPr>
        <w:t xml:space="preserve">Besanko, D., Dranove, D., Shanley, M., &amp; Schaefer, S. (2010). </w:t>
      </w:r>
      <w:r w:rsidRPr="00D853B9">
        <w:rPr>
          <w:i/>
          <w:iCs/>
          <w:noProof/>
          <w:lang w:val="en-GB"/>
        </w:rPr>
        <w:t>Economies of Strategy, fifth edition.</w:t>
      </w:r>
      <w:r w:rsidRPr="00D853B9">
        <w:rPr>
          <w:noProof/>
          <w:lang w:val="en-GB"/>
        </w:rPr>
        <w:t xml:space="preserve"> River Street, Hoboken, New-Jersey: Wiley and Sons.</w:t>
      </w:r>
    </w:p>
    <w:p w:rsidR="00D853B9" w:rsidRPr="00D853B9" w:rsidRDefault="00D853B9" w:rsidP="00D853B9">
      <w:pPr>
        <w:pStyle w:val="Bibliography"/>
        <w:rPr>
          <w:noProof/>
          <w:lang w:val="en-GB"/>
        </w:rPr>
      </w:pPr>
      <w:r w:rsidRPr="00D853B9">
        <w:rPr>
          <w:noProof/>
          <w:lang w:val="en-GB"/>
        </w:rPr>
        <w:t xml:space="preserve">Bressane, B. P., &amp; Maia, M. V. (2010). </w:t>
      </w:r>
      <w:r w:rsidRPr="00D853B9">
        <w:rPr>
          <w:i/>
          <w:iCs/>
          <w:noProof/>
          <w:lang w:val="en-GB"/>
        </w:rPr>
        <w:t>CEO Overconfidence and the Impact on M&amp;A Activity.</w:t>
      </w:r>
      <w:r w:rsidRPr="00D853B9">
        <w:rPr>
          <w:noProof/>
          <w:lang w:val="en-GB"/>
        </w:rPr>
        <w:t xml:space="preserve"> SSRN: http://papers.ssrn.com/sol3/papers.cfm?abstract_id=1674467.</w:t>
      </w:r>
    </w:p>
    <w:p w:rsidR="00D853B9" w:rsidRDefault="00D853B9" w:rsidP="00D853B9">
      <w:pPr>
        <w:pStyle w:val="Bibliography"/>
        <w:rPr>
          <w:noProof/>
        </w:rPr>
      </w:pPr>
      <w:r>
        <w:rPr>
          <w:noProof/>
        </w:rPr>
        <w:t xml:space="preserve">Campbell, H. (2011). </w:t>
      </w:r>
      <w:r>
        <w:rPr>
          <w:i/>
          <w:iCs/>
          <w:noProof/>
        </w:rPr>
        <w:t>NASDAQ.</w:t>
      </w:r>
      <w:r>
        <w:rPr>
          <w:noProof/>
        </w:rPr>
        <w:t xml:space="preserve"> Opgeroepen op Mei 18, 2014, van NASDAQ.com: http://www.nasdaq.com/investing/glossary/r/risk-premium</w:t>
      </w:r>
    </w:p>
    <w:p w:rsidR="00D853B9" w:rsidRPr="00D853B9" w:rsidRDefault="00D853B9" w:rsidP="00D853B9">
      <w:pPr>
        <w:pStyle w:val="Bibliography"/>
        <w:rPr>
          <w:noProof/>
          <w:lang w:val="en-GB"/>
        </w:rPr>
      </w:pPr>
      <w:r w:rsidRPr="00D853B9">
        <w:rPr>
          <w:noProof/>
          <w:lang w:val="en-GB"/>
        </w:rPr>
        <w:t xml:space="preserve">Carter-Hill, Griffiths, &amp; Lim. (2012). </w:t>
      </w:r>
      <w:r w:rsidRPr="00D853B9">
        <w:rPr>
          <w:i/>
          <w:iCs/>
          <w:noProof/>
          <w:lang w:val="en-GB"/>
        </w:rPr>
        <w:t>Principles of Econometrics, fourth edition.</w:t>
      </w:r>
      <w:r w:rsidRPr="00D853B9">
        <w:rPr>
          <w:noProof/>
          <w:lang w:val="en-GB"/>
        </w:rPr>
        <w:t xml:space="preserve"> River Street, Hoboken, New-Jersey: Wiley Inc.</w:t>
      </w:r>
    </w:p>
    <w:p w:rsidR="00D853B9" w:rsidRPr="00D853B9" w:rsidRDefault="00D853B9" w:rsidP="00D853B9">
      <w:pPr>
        <w:pStyle w:val="Bibliography"/>
        <w:rPr>
          <w:noProof/>
          <w:lang w:val="en-GB"/>
        </w:rPr>
      </w:pPr>
      <w:r w:rsidRPr="00D853B9">
        <w:rPr>
          <w:noProof/>
          <w:lang w:val="en-GB"/>
        </w:rPr>
        <w:t xml:space="preserve">Chong, J., Jin, Y., &amp; Phillips, M. (2013). </w:t>
      </w:r>
      <w:r w:rsidRPr="00D853B9">
        <w:rPr>
          <w:i/>
          <w:iCs/>
          <w:noProof/>
          <w:lang w:val="en-GB"/>
        </w:rPr>
        <w:t>The Entrepreneur's Cost of Capital: Incorporating Downside Risk in the Buildup Method.</w:t>
      </w:r>
      <w:r w:rsidRPr="00D853B9">
        <w:rPr>
          <w:noProof/>
          <w:lang w:val="en-GB"/>
        </w:rPr>
        <w:t xml:space="preserve"> MacroRisk Analytics.</w:t>
      </w:r>
    </w:p>
    <w:p w:rsidR="00D853B9" w:rsidRPr="00D853B9" w:rsidRDefault="00D853B9" w:rsidP="00D853B9">
      <w:pPr>
        <w:pStyle w:val="Bibliography"/>
        <w:rPr>
          <w:noProof/>
          <w:lang w:val="en-GB"/>
        </w:rPr>
      </w:pPr>
      <w:r w:rsidRPr="00D853B9">
        <w:rPr>
          <w:noProof/>
          <w:lang w:val="en-GB"/>
        </w:rPr>
        <w:t xml:space="preserve">DeMarzo, P., &amp; Berk, J. (2011). </w:t>
      </w:r>
      <w:r w:rsidRPr="00D853B9">
        <w:rPr>
          <w:i/>
          <w:iCs/>
          <w:noProof/>
          <w:lang w:val="en-GB"/>
        </w:rPr>
        <w:t>Corporate Finance, second edition.</w:t>
      </w:r>
      <w:r w:rsidRPr="00D853B9">
        <w:rPr>
          <w:noProof/>
          <w:lang w:val="en-GB"/>
        </w:rPr>
        <w:t xml:space="preserve"> Stanford: Pearson.</w:t>
      </w:r>
    </w:p>
    <w:p w:rsidR="00D853B9" w:rsidRPr="00D853B9" w:rsidRDefault="00D853B9" w:rsidP="00D853B9">
      <w:pPr>
        <w:pStyle w:val="Bibliography"/>
        <w:rPr>
          <w:noProof/>
          <w:lang w:val="en-GB"/>
        </w:rPr>
      </w:pPr>
      <w:r w:rsidRPr="00D853B9">
        <w:rPr>
          <w:noProof/>
          <w:lang w:val="en-GB"/>
        </w:rPr>
        <w:t xml:space="preserve">Doukas, &amp; Petmezas. (2007). Acquisitions, overconfident managers and self attribution bias. </w:t>
      </w:r>
      <w:r w:rsidRPr="00D853B9">
        <w:rPr>
          <w:i/>
          <w:iCs/>
          <w:noProof/>
          <w:lang w:val="en-GB"/>
        </w:rPr>
        <w:t>European Financial Management, 13</w:t>
      </w:r>
      <w:r w:rsidRPr="00D853B9">
        <w:rPr>
          <w:noProof/>
          <w:lang w:val="en-GB"/>
        </w:rPr>
        <w:t xml:space="preserve"> , 531-577.</w:t>
      </w:r>
    </w:p>
    <w:p w:rsidR="00D853B9" w:rsidRDefault="00D853B9" w:rsidP="00D853B9">
      <w:pPr>
        <w:pStyle w:val="Bibliography"/>
        <w:rPr>
          <w:noProof/>
        </w:rPr>
      </w:pPr>
      <w:r w:rsidRPr="00D853B9">
        <w:rPr>
          <w:noProof/>
          <w:lang w:val="en-GB"/>
        </w:rPr>
        <w:t xml:space="preserve">Doukas, J., &amp; Petmezas, D. (2006). </w:t>
      </w:r>
      <w:r w:rsidRPr="00D853B9">
        <w:rPr>
          <w:i/>
          <w:iCs/>
          <w:noProof/>
          <w:lang w:val="en-GB"/>
        </w:rPr>
        <w:t>Acquisitions, Overconfident Managers and Self-Attribution Bias.</w:t>
      </w:r>
      <w:r w:rsidRPr="00D853B9">
        <w:rPr>
          <w:noProof/>
          <w:lang w:val="en-GB"/>
        </w:rPr>
        <w:t xml:space="preserve"> </w:t>
      </w:r>
      <w:r>
        <w:rPr>
          <w:noProof/>
        </w:rPr>
        <w:t>Durham.</w:t>
      </w:r>
    </w:p>
    <w:p w:rsidR="00D853B9" w:rsidRDefault="00D853B9" w:rsidP="00D853B9">
      <w:pPr>
        <w:pStyle w:val="Bibliography"/>
        <w:rPr>
          <w:noProof/>
        </w:rPr>
      </w:pPr>
      <w:r>
        <w:rPr>
          <w:noProof/>
        </w:rPr>
        <w:t xml:space="preserve">EDSC. (2010). </w:t>
      </w:r>
      <w:r>
        <w:rPr>
          <w:i/>
          <w:iCs/>
          <w:noProof/>
        </w:rPr>
        <w:t>EDSC Tools.</w:t>
      </w:r>
      <w:r>
        <w:rPr>
          <w:noProof/>
        </w:rPr>
        <w:t xml:space="preserve"> Opgeroepen op Mei 29, 2014, van http://www.eur.nl/fileadmin/ASSETS/edsc/Handleidingen/Datastream/Datastream_Event_Study_Tool.pdf</w:t>
      </w:r>
    </w:p>
    <w:p w:rsidR="00D853B9" w:rsidRDefault="00D853B9" w:rsidP="00D853B9">
      <w:pPr>
        <w:pStyle w:val="Bibliography"/>
        <w:rPr>
          <w:noProof/>
        </w:rPr>
      </w:pPr>
      <w:r>
        <w:rPr>
          <w:noProof/>
        </w:rPr>
        <w:lastRenderedPageBreak/>
        <w:t xml:space="preserve">EL Allali, T. (2009). </w:t>
      </w:r>
      <w:r>
        <w:rPr>
          <w:i/>
          <w:iCs/>
          <w:noProof/>
        </w:rPr>
        <w:t>CEO Overconfidence in het M&amp;A besluitvormingsproces.</w:t>
      </w:r>
      <w:r>
        <w:rPr>
          <w:noProof/>
        </w:rPr>
        <w:t xml:space="preserve"> Rotterdam: Erasmus Universiteit Rotterdam.</w:t>
      </w:r>
    </w:p>
    <w:p w:rsidR="00D853B9" w:rsidRPr="00D853B9" w:rsidRDefault="00D853B9" w:rsidP="00D853B9">
      <w:pPr>
        <w:pStyle w:val="Bibliography"/>
        <w:rPr>
          <w:noProof/>
          <w:lang w:val="en-GB"/>
        </w:rPr>
      </w:pPr>
      <w:r>
        <w:rPr>
          <w:noProof/>
        </w:rPr>
        <w:t xml:space="preserve">Fama, E. F., &amp; French, K. R. (2004). </w:t>
      </w:r>
      <w:r w:rsidRPr="00D853B9">
        <w:rPr>
          <w:noProof/>
          <w:lang w:val="en-GB"/>
        </w:rPr>
        <w:t xml:space="preserve">The Capital Asset Pricing Model: Theory and Evidence. </w:t>
      </w:r>
      <w:r w:rsidRPr="00D853B9">
        <w:rPr>
          <w:i/>
          <w:iCs/>
          <w:noProof/>
          <w:lang w:val="en-GB"/>
        </w:rPr>
        <w:t>Journal of Economic Perspectives, 18 (3)</w:t>
      </w:r>
      <w:r w:rsidRPr="00D853B9">
        <w:rPr>
          <w:noProof/>
          <w:lang w:val="en-GB"/>
        </w:rPr>
        <w:t xml:space="preserve"> , 25-46.</w:t>
      </w:r>
    </w:p>
    <w:p w:rsidR="00D853B9" w:rsidRPr="00D853B9" w:rsidRDefault="00D853B9" w:rsidP="00D853B9">
      <w:pPr>
        <w:pStyle w:val="Bibliography"/>
        <w:rPr>
          <w:noProof/>
          <w:lang w:val="en-GB"/>
        </w:rPr>
      </w:pPr>
      <w:r w:rsidRPr="00D853B9">
        <w:rPr>
          <w:noProof/>
          <w:lang w:val="en-GB"/>
        </w:rPr>
        <w:t xml:space="preserve">Ferris, S., Jayaraman, N., &amp; Sabherwal, S. (2012). </w:t>
      </w:r>
      <w:r w:rsidRPr="00D853B9">
        <w:rPr>
          <w:i/>
          <w:iCs/>
          <w:noProof/>
          <w:lang w:val="en-GB"/>
        </w:rPr>
        <w:t>CEO Overconfidence and International Merger and Acquisition Activity.</w:t>
      </w:r>
      <w:r w:rsidRPr="00D853B9">
        <w:rPr>
          <w:noProof/>
          <w:lang w:val="en-GB"/>
        </w:rPr>
        <w:t xml:space="preserve"> SSRN: http://papers.ssrn.com/sol3/papers.cfm?abstract_id=1982286.</w:t>
      </w:r>
    </w:p>
    <w:p w:rsidR="00D853B9" w:rsidRPr="00063D39" w:rsidRDefault="00D853B9" w:rsidP="00D853B9">
      <w:pPr>
        <w:pStyle w:val="Bibliography"/>
        <w:rPr>
          <w:noProof/>
          <w:lang w:val="en-GB"/>
        </w:rPr>
      </w:pPr>
      <w:r w:rsidRPr="00D853B9">
        <w:rPr>
          <w:noProof/>
          <w:lang w:val="en-GB"/>
        </w:rPr>
        <w:t xml:space="preserve">Forbes, D. (2005). Are some entrepeneurs more overconfident than others? </w:t>
      </w:r>
      <w:r w:rsidRPr="00063D39">
        <w:rPr>
          <w:i/>
          <w:iCs/>
          <w:noProof/>
          <w:lang w:val="en-GB"/>
        </w:rPr>
        <w:t>Journal of Business Venturing, 20</w:t>
      </w:r>
      <w:r w:rsidRPr="00063D39">
        <w:rPr>
          <w:noProof/>
          <w:lang w:val="en-GB"/>
        </w:rPr>
        <w:t xml:space="preserve"> , 623-640.</w:t>
      </w:r>
    </w:p>
    <w:p w:rsidR="00D853B9" w:rsidRPr="00D853B9" w:rsidRDefault="00D853B9" w:rsidP="00D853B9">
      <w:pPr>
        <w:pStyle w:val="Bibliography"/>
        <w:rPr>
          <w:noProof/>
          <w:lang w:val="en-GB"/>
        </w:rPr>
      </w:pPr>
      <w:r w:rsidRPr="00D853B9">
        <w:rPr>
          <w:noProof/>
          <w:lang w:val="en-GB"/>
        </w:rPr>
        <w:t xml:space="preserve">Geurts, &amp; Pavlov. (2006). </w:t>
      </w:r>
      <w:r w:rsidRPr="00D853B9">
        <w:rPr>
          <w:i/>
          <w:iCs/>
          <w:noProof/>
          <w:lang w:val="en-GB"/>
        </w:rPr>
        <w:t>Calculating the Cost of Capital for REITs.</w:t>
      </w:r>
      <w:r w:rsidRPr="00D853B9">
        <w:rPr>
          <w:noProof/>
          <w:lang w:val="en-GB"/>
        </w:rPr>
        <w:t xml:space="preserve"> </w:t>
      </w:r>
    </w:p>
    <w:p w:rsidR="00D853B9" w:rsidRPr="00D853B9" w:rsidRDefault="00D853B9" w:rsidP="00D853B9">
      <w:pPr>
        <w:pStyle w:val="Bibliography"/>
        <w:rPr>
          <w:noProof/>
          <w:lang w:val="en-GB"/>
        </w:rPr>
      </w:pPr>
      <w:r w:rsidRPr="00D853B9">
        <w:rPr>
          <w:noProof/>
          <w:lang w:val="en-GB"/>
        </w:rPr>
        <w:t xml:space="preserve">Healy, P., Palepu, K., &amp; Rubak, R. (1990). Does corporate performance improve after mergers? </w:t>
      </w:r>
      <w:r w:rsidRPr="00D853B9">
        <w:rPr>
          <w:i/>
          <w:iCs/>
          <w:noProof/>
          <w:lang w:val="en-GB"/>
        </w:rPr>
        <w:t>JFEC, 31</w:t>
      </w:r>
      <w:r w:rsidRPr="00D853B9">
        <w:rPr>
          <w:noProof/>
          <w:lang w:val="en-GB"/>
        </w:rPr>
        <w:t xml:space="preserve"> , 135-176.</w:t>
      </w:r>
    </w:p>
    <w:p w:rsidR="00D853B9" w:rsidRPr="00D853B9" w:rsidRDefault="00D853B9" w:rsidP="00D853B9">
      <w:pPr>
        <w:pStyle w:val="Bibliography"/>
        <w:rPr>
          <w:noProof/>
          <w:lang w:val="en-GB"/>
        </w:rPr>
      </w:pPr>
      <w:r w:rsidRPr="00D853B9">
        <w:rPr>
          <w:noProof/>
          <w:lang w:val="en-GB"/>
        </w:rPr>
        <w:t xml:space="preserve">Hirschleiver, Low, &amp; Teoh. (2012). Are confident CEOs better innovators? </w:t>
      </w:r>
      <w:r w:rsidRPr="00D853B9">
        <w:rPr>
          <w:i/>
          <w:iCs/>
          <w:noProof/>
          <w:lang w:val="en-GB"/>
        </w:rPr>
        <w:t>Journal of Finance, 67</w:t>
      </w:r>
      <w:r w:rsidRPr="00D853B9">
        <w:rPr>
          <w:noProof/>
          <w:lang w:val="en-GB"/>
        </w:rPr>
        <w:t xml:space="preserve"> , 1457-1498.</w:t>
      </w:r>
    </w:p>
    <w:p w:rsidR="00D853B9" w:rsidRDefault="00D853B9" w:rsidP="00D853B9">
      <w:pPr>
        <w:pStyle w:val="Bibliography"/>
        <w:rPr>
          <w:noProof/>
        </w:rPr>
      </w:pPr>
      <w:r w:rsidRPr="00D853B9">
        <w:rPr>
          <w:noProof/>
          <w:lang w:val="en-GB"/>
        </w:rPr>
        <w:t xml:space="preserve">Institute of Mergers, A. a. (2013). </w:t>
      </w:r>
      <w:r w:rsidRPr="00D853B9">
        <w:rPr>
          <w:i/>
          <w:iCs/>
          <w:noProof/>
          <w:lang w:val="en-GB"/>
        </w:rPr>
        <w:t>Institute of Mergers, Acquisitions and Alliances.</w:t>
      </w:r>
      <w:r w:rsidRPr="00D853B9">
        <w:rPr>
          <w:noProof/>
          <w:lang w:val="en-GB"/>
        </w:rPr>
        <w:t xml:space="preserve"> </w:t>
      </w:r>
      <w:r>
        <w:rPr>
          <w:noProof/>
        </w:rPr>
        <w:t>Opgeroepen op May 1, 2014, van imaa-institute: http://www.imaa-institute.org/statistics-mergers-acquisitions.html#MergersAcquisitions_Worldwide</w:t>
      </w:r>
    </w:p>
    <w:p w:rsidR="00D853B9" w:rsidRDefault="00D853B9" w:rsidP="00D853B9">
      <w:pPr>
        <w:pStyle w:val="Bibliography"/>
        <w:rPr>
          <w:noProof/>
        </w:rPr>
      </w:pPr>
      <w:r w:rsidRPr="00D853B9">
        <w:rPr>
          <w:noProof/>
          <w:lang w:val="en-GB"/>
        </w:rPr>
        <w:t xml:space="preserve">Johnson, Whittington, &amp; Scholes. (2011). </w:t>
      </w:r>
      <w:r w:rsidRPr="00D853B9">
        <w:rPr>
          <w:i/>
          <w:iCs/>
          <w:noProof/>
          <w:lang w:val="en-GB"/>
        </w:rPr>
        <w:t>Exploring Strategy.</w:t>
      </w:r>
      <w:r w:rsidRPr="00D853B9">
        <w:rPr>
          <w:noProof/>
          <w:lang w:val="en-GB"/>
        </w:rPr>
        <w:t xml:space="preserve"> </w:t>
      </w:r>
      <w:r>
        <w:rPr>
          <w:noProof/>
        </w:rPr>
        <w:t>Opgeroepen op Mei 19, 2014, van Slideshare: http://www.slideshare.net/tutor2u/buss4-2012-research-bullet-1</w:t>
      </w:r>
    </w:p>
    <w:p w:rsidR="00D853B9" w:rsidRDefault="00D853B9" w:rsidP="00D853B9">
      <w:pPr>
        <w:pStyle w:val="Bibliography"/>
        <w:rPr>
          <w:noProof/>
        </w:rPr>
      </w:pPr>
      <w:r w:rsidRPr="00D853B9">
        <w:rPr>
          <w:noProof/>
          <w:lang w:val="en-GB"/>
        </w:rPr>
        <w:t xml:space="preserve">Kilduff, J. (2013, December 12). </w:t>
      </w:r>
      <w:r w:rsidRPr="00D853B9">
        <w:rPr>
          <w:i/>
          <w:iCs/>
          <w:noProof/>
          <w:lang w:val="en-GB"/>
        </w:rPr>
        <w:t>UK companies dominate European M&amp;A in 2013.</w:t>
      </w:r>
      <w:r w:rsidRPr="00D853B9">
        <w:rPr>
          <w:noProof/>
          <w:lang w:val="en-GB"/>
        </w:rPr>
        <w:t xml:space="preserve"> </w:t>
      </w:r>
      <w:r>
        <w:rPr>
          <w:noProof/>
        </w:rPr>
        <w:t>Opgeroepen op May 22, 2014, van http://www.towerswatson.com/en-GB/Press/2013/12/UK-companies-dominate-European-M-and-A-in-2013</w:t>
      </w:r>
    </w:p>
    <w:p w:rsidR="00D853B9" w:rsidRPr="00D853B9" w:rsidRDefault="00D853B9" w:rsidP="00D853B9">
      <w:pPr>
        <w:pStyle w:val="Bibliography"/>
        <w:rPr>
          <w:noProof/>
          <w:lang w:val="en-GB"/>
        </w:rPr>
      </w:pPr>
      <w:r w:rsidRPr="00D853B9">
        <w:rPr>
          <w:noProof/>
          <w:lang w:val="en-GB"/>
        </w:rPr>
        <w:t>Klaasen, S. (2014, June 5). (S. v. Hart, Interviewer)</w:t>
      </w:r>
    </w:p>
    <w:p w:rsidR="00D853B9" w:rsidRPr="00D853B9" w:rsidRDefault="00D853B9" w:rsidP="00D853B9">
      <w:pPr>
        <w:pStyle w:val="Bibliography"/>
        <w:rPr>
          <w:noProof/>
          <w:lang w:val="en-GB"/>
        </w:rPr>
      </w:pPr>
      <w:r w:rsidRPr="00D853B9">
        <w:rPr>
          <w:noProof/>
          <w:lang w:val="en-GB"/>
        </w:rPr>
        <w:t xml:space="preserve">Lintner, J. (1965). The Capital Asset Pricing Model: Theory and Evidence. </w:t>
      </w:r>
      <w:r w:rsidRPr="00D853B9">
        <w:rPr>
          <w:i/>
          <w:iCs/>
          <w:noProof/>
          <w:lang w:val="en-GB"/>
        </w:rPr>
        <w:t>Journal of Economic Perspectives, 18 (3)</w:t>
      </w:r>
      <w:r w:rsidRPr="00D853B9">
        <w:rPr>
          <w:noProof/>
          <w:lang w:val="en-GB"/>
        </w:rPr>
        <w:t xml:space="preserve"> , 25-46.</w:t>
      </w:r>
    </w:p>
    <w:p w:rsidR="00D853B9" w:rsidRPr="00D853B9" w:rsidRDefault="00D853B9" w:rsidP="00D853B9">
      <w:pPr>
        <w:pStyle w:val="Bibliography"/>
        <w:rPr>
          <w:noProof/>
          <w:lang w:val="en-GB"/>
        </w:rPr>
      </w:pPr>
      <w:r w:rsidRPr="00D853B9">
        <w:rPr>
          <w:noProof/>
          <w:lang w:val="en-GB"/>
        </w:rPr>
        <w:t xml:space="preserve">MacKinley, W. (1997). Event Studies in Economics and Finance. </w:t>
      </w:r>
      <w:r w:rsidRPr="00D853B9">
        <w:rPr>
          <w:i/>
          <w:iCs/>
          <w:noProof/>
          <w:lang w:val="en-GB"/>
        </w:rPr>
        <w:t>Journal of Economic Literature, 35</w:t>
      </w:r>
      <w:r w:rsidRPr="00D853B9">
        <w:rPr>
          <w:noProof/>
          <w:lang w:val="en-GB"/>
        </w:rPr>
        <w:t xml:space="preserve"> , 13-39.</w:t>
      </w:r>
    </w:p>
    <w:p w:rsidR="00D853B9" w:rsidRPr="00D853B9" w:rsidRDefault="00D853B9" w:rsidP="00D853B9">
      <w:pPr>
        <w:pStyle w:val="Bibliography"/>
        <w:rPr>
          <w:noProof/>
          <w:lang w:val="en-GB"/>
        </w:rPr>
      </w:pPr>
      <w:r w:rsidRPr="00D853B9">
        <w:rPr>
          <w:noProof/>
          <w:lang w:val="en-GB"/>
        </w:rPr>
        <w:t xml:space="preserve">Malemendier, U., &amp; Tate, G. (2005). CEO Overconfidence and Corporate Investment. </w:t>
      </w:r>
      <w:r w:rsidRPr="00D853B9">
        <w:rPr>
          <w:i/>
          <w:iCs/>
          <w:noProof/>
          <w:lang w:val="en-GB"/>
        </w:rPr>
        <w:t>European Financial Management, 11</w:t>
      </w:r>
      <w:r w:rsidRPr="00D853B9">
        <w:rPr>
          <w:noProof/>
          <w:lang w:val="en-GB"/>
        </w:rPr>
        <w:t xml:space="preserve"> , 649-659.</w:t>
      </w:r>
    </w:p>
    <w:p w:rsidR="00D853B9" w:rsidRPr="00D853B9" w:rsidRDefault="00D853B9" w:rsidP="00D853B9">
      <w:pPr>
        <w:pStyle w:val="Bibliography"/>
        <w:rPr>
          <w:noProof/>
          <w:lang w:val="en-GB"/>
        </w:rPr>
      </w:pPr>
      <w:r w:rsidRPr="00D853B9">
        <w:rPr>
          <w:noProof/>
          <w:lang w:val="en-GB"/>
        </w:rPr>
        <w:t xml:space="preserve">Malmendier, U., &amp; Tate, G. (2008, May 22). Who makes acquisitions? CEO overconfidence and the market's reaction. </w:t>
      </w:r>
      <w:r w:rsidRPr="00D853B9">
        <w:rPr>
          <w:i/>
          <w:iCs/>
          <w:noProof/>
          <w:lang w:val="en-GB"/>
        </w:rPr>
        <w:t>Journal of Financial Economics, 89</w:t>
      </w:r>
      <w:r w:rsidRPr="00D853B9">
        <w:rPr>
          <w:noProof/>
          <w:lang w:val="en-GB"/>
        </w:rPr>
        <w:t xml:space="preserve"> , 20-43.</w:t>
      </w:r>
    </w:p>
    <w:p w:rsidR="00D853B9" w:rsidRPr="00D853B9" w:rsidRDefault="00D853B9" w:rsidP="00D853B9">
      <w:pPr>
        <w:pStyle w:val="Bibliography"/>
        <w:rPr>
          <w:noProof/>
          <w:lang w:val="en-GB"/>
        </w:rPr>
      </w:pPr>
      <w:r w:rsidRPr="00D853B9">
        <w:rPr>
          <w:noProof/>
          <w:lang w:val="en-GB"/>
        </w:rPr>
        <w:t xml:space="preserve">Marchan, D. (2013). </w:t>
      </w:r>
      <w:r w:rsidRPr="00D853B9">
        <w:rPr>
          <w:i/>
          <w:iCs/>
          <w:noProof/>
          <w:lang w:val="en-GB"/>
        </w:rPr>
        <w:t>Analyzing How Financial Crisis Has Changed M&amp;A Deals.</w:t>
      </w:r>
      <w:r w:rsidRPr="00D853B9">
        <w:rPr>
          <w:noProof/>
          <w:lang w:val="en-GB"/>
        </w:rPr>
        <w:t xml:space="preserve"> Moscow: The Moscow Times.</w:t>
      </w:r>
    </w:p>
    <w:p w:rsidR="00D853B9" w:rsidRDefault="00D853B9" w:rsidP="00D853B9">
      <w:pPr>
        <w:pStyle w:val="Bibliography"/>
        <w:rPr>
          <w:noProof/>
        </w:rPr>
      </w:pPr>
      <w:r w:rsidRPr="00D853B9">
        <w:rPr>
          <w:noProof/>
          <w:lang w:val="en-GB"/>
        </w:rPr>
        <w:lastRenderedPageBreak/>
        <w:t xml:space="preserve">McClure, B. (2009, February 25). </w:t>
      </w:r>
      <w:r w:rsidRPr="00D853B9">
        <w:rPr>
          <w:i/>
          <w:iCs/>
          <w:noProof/>
          <w:lang w:val="en-GB"/>
        </w:rPr>
        <w:t>Mergers and Acquisitions.</w:t>
      </w:r>
      <w:r w:rsidRPr="00D853B9">
        <w:rPr>
          <w:noProof/>
          <w:lang w:val="en-GB"/>
        </w:rPr>
        <w:t xml:space="preserve"> </w:t>
      </w:r>
      <w:r>
        <w:rPr>
          <w:noProof/>
        </w:rPr>
        <w:t>Opgeroepen op June 16, 2014, van Investopedia: http://www.investopedia.com/university/mergers/</w:t>
      </w:r>
    </w:p>
    <w:p w:rsidR="00D853B9" w:rsidRDefault="00D853B9" w:rsidP="00D853B9">
      <w:pPr>
        <w:pStyle w:val="Bibliography"/>
        <w:rPr>
          <w:noProof/>
        </w:rPr>
      </w:pPr>
      <w:r w:rsidRPr="00D853B9">
        <w:rPr>
          <w:noProof/>
          <w:lang w:val="en-GB"/>
        </w:rPr>
        <w:t xml:space="preserve">Mider, Z., Campbell, M., &amp; Chan, C. (2012, September 27). </w:t>
      </w:r>
      <w:r w:rsidRPr="00D853B9">
        <w:rPr>
          <w:i/>
          <w:iCs/>
          <w:noProof/>
          <w:lang w:val="en-GB"/>
        </w:rPr>
        <w:t>M&amp;A Slumps to Lowest Level Since Financial Crisis’s Nadir.</w:t>
      </w:r>
      <w:r w:rsidRPr="00D853B9">
        <w:rPr>
          <w:noProof/>
          <w:lang w:val="en-GB"/>
        </w:rPr>
        <w:t xml:space="preserve"> </w:t>
      </w:r>
      <w:r>
        <w:rPr>
          <w:noProof/>
        </w:rPr>
        <w:t>Opgeroepen op June 12, 2014, van BloomBerg: http://www.bloomberg.com/news/2012-09-27/m-a-slumps-to-lowest-level-since-financial-crisis-s-nadir.html</w:t>
      </w:r>
    </w:p>
    <w:p w:rsidR="00D853B9" w:rsidRPr="00D853B9" w:rsidRDefault="00D853B9" w:rsidP="00D853B9">
      <w:pPr>
        <w:pStyle w:val="Bibliography"/>
        <w:rPr>
          <w:noProof/>
          <w:lang w:val="en-GB"/>
        </w:rPr>
      </w:pPr>
      <w:r w:rsidRPr="00D853B9">
        <w:rPr>
          <w:noProof/>
          <w:lang w:val="en-GB"/>
        </w:rPr>
        <w:t xml:space="preserve">Moore, McCabe, Alwan, Craig, &amp; Duckworth. (2011). </w:t>
      </w:r>
      <w:r w:rsidRPr="00D853B9">
        <w:rPr>
          <w:i/>
          <w:iCs/>
          <w:noProof/>
          <w:lang w:val="en-GB"/>
        </w:rPr>
        <w:t>The practice of statistics for business and economics, third edition.</w:t>
      </w:r>
      <w:r w:rsidRPr="00D853B9">
        <w:rPr>
          <w:noProof/>
          <w:lang w:val="en-GB"/>
        </w:rPr>
        <w:t xml:space="preserve"> USA: W.H. Freeman and Company.</w:t>
      </w:r>
    </w:p>
    <w:p w:rsidR="00D853B9" w:rsidRPr="00D853B9" w:rsidRDefault="00D853B9" w:rsidP="00D853B9">
      <w:pPr>
        <w:pStyle w:val="Bibliography"/>
        <w:rPr>
          <w:noProof/>
          <w:lang w:val="en-GB"/>
        </w:rPr>
      </w:pPr>
      <w:r w:rsidRPr="00D853B9">
        <w:rPr>
          <w:noProof/>
          <w:lang w:val="en-GB"/>
        </w:rPr>
        <w:t xml:space="preserve">Morck, R., Shleifer, A., &amp; Vishny, R. (1990). Do managerial objectives drive bad acquisitions. </w:t>
      </w:r>
      <w:r w:rsidRPr="00D853B9">
        <w:rPr>
          <w:i/>
          <w:iCs/>
          <w:noProof/>
          <w:lang w:val="en-GB"/>
        </w:rPr>
        <w:t>The Journal of Finance, 45 (1)</w:t>
      </w:r>
      <w:r w:rsidRPr="00D853B9">
        <w:rPr>
          <w:noProof/>
          <w:lang w:val="en-GB"/>
        </w:rPr>
        <w:t xml:space="preserve"> , 31-48.</w:t>
      </w:r>
    </w:p>
    <w:p w:rsidR="00D853B9" w:rsidRPr="00D853B9" w:rsidRDefault="00D853B9" w:rsidP="00D853B9">
      <w:pPr>
        <w:pStyle w:val="Bibliography"/>
        <w:rPr>
          <w:noProof/>
          <w:lang w:val="en-GB"/>
        </w:rPr>
      </w:pPr>
      <w:r w:rsidRPr="00D853B9">
        <w:rPr>
          <w:noProof/>
          <w:lang w:val="en-GB"/>
        </w:rPr>
        <w:t xml:space="preserve">Mossin, J. (1966). The Capital Asset Pricing Model: Theory and Evidence. </w:t>
      </w:r>
      <w:r w:rsidRPr="00D853B9">
        <w:rPr>
          <w:i/>
          <w:iCs/>
          <w:noProof/>
          <w:lang w:val="en-GB"/>
        </w:rPr>
        <w:t>Journal of Economic Perspectives, 18 (3)</w:t>
      </w:r>
      <w:r w:rsidRPr="00D853B9">
        <w:rPr>
          <w:noProof/>
          <w:lang w:val="en-GB"/>
        </w:rPr>
        <w:t xml:space="preserve"> , 25-46.</w:t>
      </w:r>
    </w:p>
    <w:p w:rsidR="00D853B9" w:rsidRPr="00D853B9" w:rsidRDefault="00D853B9" w:rsidP="00D853B9">
      <w:pPr>
        <w:pStyle w:val="Bibliography"/>
        <w:rPr>
          <w:noProof/>
          <w:lang w:val="en-GB"/>
        </w:rPr>
      </w:pPr>
      <w:r w:rsidRPr="00D853B9">
        <w:rPr>
          <w:noProof/>
          <w:lang w:val="en-GB"/>
        </w:rPr>
        <w:t xml:space="preserve">Perold, A. (2004). The Capital Asset Pricing Model. </w:t>
      </w:r>
      <w:r w:rsidRPr="00D853B9">
        <w:rPr>
          <w:i/>
          <w:iCs/>
          <w:noProof/>
          <w:lang w:val="en-GB"/>
        </w:rPr>
        <w:t>Journal of Economic Perspectives, 18 (3)</w:t>
      </w:r>
      <w:r w:rsidRPr="00D853B9">
        <w:rPr>
          <w:noProof/>
          <w:lang w:val="en-GB"/>
        </w:rPr>
        <w:t xml:space="preserve"> , 25-46.</w:t>
      </w:r>
    </w:p>
    <w:p w:rsidR="00D853B9" w:rsidRPr="00D853B9" w:rsidRDefault="00D853B9" w:rsidP="00D853B9">
      <w:pPr>
        <w:pStyle w:val="Bibliography"/>
        <w:rPr>
          <w:noProof/>
          <w:lang w:val="en-GB"/>
        </w:rPr>
      </w:pPr>
      <w:r w:rsidRPr="00D853B9">
        <w:rPr>
          <w:noProof/>
          <w:lang w:val="en-GB"/>
        </w:rPr>
        <w:t xml:space="preserve">Roll, R. (1986). The Hubris Hypothesis of Corporate Takeovers. </w:t>
      </w:r>
      <w:r w:rsidRPr="00D853B9">
        <w:rPr>
          <w:i/>
          <w:iCs/>
          <w:noProof/>
          <w:lang w:val="en-GB"/>
        </w:rPr>
        <w:t>Journal of Business, 59</w:t>
      </w:r>
      <w:r w:rsidRPr="00D853B9">
        <w:rPr>
          <w:noProof/>
          <w:lang w:val="en-GB"/>
        </w:rPr>
        <w:t xml:space="preserve"> , 197-216.</w:t>
      </w:r>
    </w:p>
    <w:p w:rsidR="00D853B9" w:rsidRPr="00D853B9" w:rsidRDefault="00D853B9" w:rsidP="00D853B9">
      <w:pPr>
        <w:pStyle w:val="Bibliography"/>
        <w:rPr>
          <w:noProof/>
          <w:lang w:val="en-GB"/>
        </w:rPr>
      </w:pPr>
      <w:r w:rsidRPr="00D853B9">
        <w:rPr>
          <w:noProof/>
          <w:lang w:val="en-GB"/>
        </w:rPr>
        <w:t xml:space="preserve">Roussanov, N., &amp; Savor, P. (2012). </w:t>
      </w:r>
      <w:r w:rsidRPr="00D853B9">
        <w:rPr>
          <w:i/>
          <w:iCs/>
          <w:noProof/>
          <w:lang w:val="en-GB"/>
        </w:rPr>
        <w:t>Status, Marriage and Managers' Attitudes to Risk.</w:t>
      </w:r>
      <w:r w:rsidRPr="00D853B9">
        <w:rPr>
          <w:noProof/>
          <w:lang w:val="en-GB"/>
        </w:rPr>
        <w:t xml:space="preserve"> Unpublished Working Paper.</w:t>
      </w:r>
    </w:p>
    <w:p w:rsidR="00D853B9" w:rsidRPr="00D853B9" w:rsidRDefault="00D853B9" w:rsidP="00D853B9">
      <w:pPr>
        <w:pStyle w:val="Bibliography"/>
        <w:rPr>
          <w:noProof/>
          <w:lang w:val="en-GB"/>
        </w:rPr>
      </w:pPr>
      <w:r w:rsidRPr="00D853B9">
        <w:rPr>
          <w:noProof/>
          <w:lang w:val="en-GB"/>
        </w:rPr>
        <w:t xml:space="preserve">Schwab, K. (2013-2014). </w:t>
      </w:r>
      <w:r w:rsidRPr="00D853B9">
        <w:rPr>
          <w:i/>
          <w:iCs/>
          <w:noProof/>
          <w:lang w:val="en-GB"/>
        </w:rPr>
        <w:t>The Global Competitiveness Report.</w:t>
      </w:r>
      <w:r w:rsidRPr="00D853B9">
        <w:rPr>
          <w:noProof/>
          <w:lang w:val="en-GB"/>
        </w:rPr>
        <w:t xml:space="preserve"> World Economic Forum.</w:t>
      </w:r>
    </w:p>
    <w:p w:rsidR="00D853B9" w:rsidRPr="00D853B9" w:rsidRDefault="00D853B9" w:rsidP="00D853B9">
      <w:pPr>
        <w:pStyle w:val="Bibliography"/>
        <w:rPr>
          <w:noProof/>
          <w:lang w:val="en-GB"/>
        </w:rPr>
      </w:pPr>
      <w:r w:rsidRPr="00D853B9">
        <w:rPr>
          <w:noProof/>
          <w:lang w:val="en-GB"/>
        </w:rPr>
        <w:t xml:space="preserve">Sharpe, W. (1964). Capital Asset Prices – A Theory of Market Equilibrium Under Conditions of Risk. </w:t>
      </w:r>
      <w:r w:rsidRPr="00D853B9">
        <w:rPr>
          <w:i/>
          <w:iCs/>
          <w:noProof/>
          <w:lang w:val="en-GB"/>
        </w:rPr>
        <w:t>The Journal of Finance, 19 (3)</w:t>
      </w:r>
      <w:r w:rsidRPr="00D853B9">
        <w:rPr>
          <w:noProof/>
          <w:lang w:val="en-GB"/>
        </w:rPr>
        <w:t xml:space="preserve"> , 425-443.</w:t>
      </w:r>
    </w:p>
    <w:p w:rsidR="00D853B9" w:rsidRPr="00D853B9" w:rsidRDefault="00D853B9" w:rsidP="00D853B9">
      <w:pPr>
        <w:pStyle w:val="Bibliography"/>
        <w:rPr>
          <w:noProof/>
          <w:lang w:val="en-GB"/>
        </w:rPr>
      </w:pPr>
      <w:r w:rsidRPr="00D853B9">
        <w:rPr>
          <w:noProof/>
          <w:lang w:val="en-GB"/>
        </w:rPr>
        <w:t xml:space="preserve">Stechyshyna, N. (2012). </w:t>
      </w:r>
      <w:r w:rsidRPr="00D853B9">
        <w:rPr>
          <w:i/>
          <w:iCs/>
          <w:noProof/>
          <w:lang w:val="en-GB"/>
        </w:rPr>
        <w:t>Manager's overconfidence and risk taking attitutes and the cross industry acquisitions.</w:t>
      </w:r>
      <w:r w:rsidRPr="00D853B9">
        <w:rPr>
          <w:noProof/>
          <w:lang w:val="en-GB"/>
        </w:rPr>
        <w:t xml:space="preserve"> </w:t>
      </w:r>
    </w:p>
    <w:p w:rsidR="00D853B9" w:rsidRPr="00D853B9" w:rsidRDefault="00D853B9" w:rsidP="00D853B9">
      <w:pPr>
        <w:pStyle w:val="Bibliography"/>
        <w:rPr>
          <w:noProof/>
          <w:lang w:val="en-GB"/>
        </w:rPr>
      </w:pPr>
      <w:r w:rsidRPr="00D853B9">
        <w:rPr>
          <w:noProof/>
          <w:lang w:val="en-GB"/>
        </w:rPr>
        <w:t xml:space="preserve">Treynor, J. (1962). </w:t>
      </w:r>
      <w:r w:rsidRPr="00D853B9">
        <w:rPr>
          <w:i/>
          <w:iCs/>
          <w:noProof/>
          <w:lang w:val="en-GB"/>
        </w:rPr>
        <w:t>Toward a Theory of Market Value of Risky Assets.</w:t>
      </w:r>
      <w:r w:rsidRPr="00D853B9">
        <w:rPr>
          <w:noProof/>
          <w:lang w:val="en-GB"/>
        </w:rPr>
        <w:t xml:space="preserve"> SSRN: http://papers.ssrn.com/sol3/papers.cfm?abstract_id=628187.</w:t>
      </w:r>
    </w:p>
    <w:p w:rsidR="00D853B9" w:rsidRPr="00D853B9" w:rsidRDefault="00D853B9" w:rsidP="00D853B9">
      <w:pPr>
        <w:pStyle w:val="Bibliography"/>
        <w:rPr>
          <w:noProof/>
          <w:lang w:val="en-GB"/>
        </w:rPr>
      </w:pPr>
      <w:r w:rsidRPr="00D853B9">
        <w:rPr>
          <w:noProof/>
          <w:lang w:val="en-GB"/>
        </w:rPr>
        <w:t xml:space="preserve">Unknown. (2008). </w:t>
      </w:r>
      <w:r w:rsidRPr="00D853B9">
        <w:rPr>
          <w:i/>
          <w:iCs/>
          <w:noProof/>
          <w:lang w:val="en-GB"/>
        </w:rPr>
        <w:t>CEO Overconfidence in M&amp;A Decision.</w:t>
      </w:r>
      <w:r w:rsidRPr="00D853B9">
        <w:rPr>
          <w:noProof/>
          <w:lang w:val="en-GB"/>
        </w:rPr>
        <w:t xml:space="preserve"> Edinburgh: University of Edinburgh.</w:t>
      </w:r>
    </w:p>
    <w:p w:rsidR="00D853B9" w:rsidRPr="00D853B9" w:rsidRDefault="00D853B9" w:rsidP="00D853B9">
      <w:pPr>
        <w:pStyle w:val="Bibliography"/>
        <w:rPr>
          <w:noProof/>
          <w:lang w:val="en-GB"/>
        </w:rPr>
      </w:pPr>
      <w:r w:rsidRPr="00D853B9">
        <w:rPr>
          <w:noProof/>
          <w:lang w:val="en-GB"/>
        </w:rPr>
        <w:t xml:space="preserve">Yu, C.-F. (2013). </w:t>
      </w:r>
      <w:r w:rsidRPr="00D853B9">
        <w:rPr>
          <w:i/>
          <w:iCs/>
          <w:noProof/>
          <w:lang w:val="en-GB"/>
        </w:rPr>
        <w:t>CEO Overconfidence, CEO Compensation and Earnings Manipulation.</w:t>
      </w:r>
      <w:r w:rsidRPr="00D853B9">
        <w:rPr>
          <w:noProof/>
          <w:lang w:val="en-GB"/>
        </w:rPr>
        <w:t xml:space="preserve"> Adelaide: University of Adelaide.</w:t>
      </w:r>
    </w:p>
    <w:p w:rsidR="00D853B9" w:rsidRDefault="00067D34" w:rsidP="00D853B9">
      <w:pPr>
        <w:spacing w:line="360" w:lineRule="auto"/>
        <w:rPr>
          <w:rFonts w:cstheme="minorHAnsi"/>
          <w:b/>
          <w:lang w:val="en-GB"/>
        </w:rPr>
      </w:pPr>
      <w:r>
        <w:rPr>
          <w:rFonts w:cstheme="minorHAnsi"/>
          <w:b/>
          <w:lang w:val="en-GB"/>
        </w:rPr>
        <w:fldChar w:fldCharType="end"/>
      </w:r>
    </w:p>
    <w:p w:rsidR="00D853B9" w:rsidRDefault="00D853B9">
      <w:pPr>
        <w:rPr>
          <w:rFonts w:cstheme="minorHAnsi"/>
          <w:b/>
          <w:lang w:val="en-GB"/>
        </w:rPr>
      </w:pPr>
      <w:r>
        <w:rPr>
          <w:rFonts w:cstheme="minorHAnsi"/>
          <w:b/>
          <w:lang w:val="en-GB"/>
        </w:rPr>
        <w:br w:type="page"/>
      </w:r>
    </w:p>
    <w:p w:rsidR="002977C9" w:rsidRPr="002977C9" w:rsidRDefault="003C1B9E" w:rsidP="00D853B9">
      <w:pPr>
        <w:spacing w:line="360" w:lineRule="auto"/>
        <w:rPr>
          <w:rFonts w:cstheme="minorHAnsi"/>
          <w:b/>
          <w:lang w:val="en-GB"/>
        </w:rPr>
      </w:pPr>
      <w:r w:rsidRPr="002977C9">
        <w:rPr>
          <w:rFonts w:cstheme="minorHAnsi"/>
          <w:b/>
          <w:lang w:val="en-GB"/>
        </w:rPr>
        <w:lastRenderedPageBreak/>
        <w:t>Figure 1.1</w:t>
      </w:r>
      <w:r w:rsidRPr="002977C9">
        <w:rPr>
          <w:rFonts w:cstheme="minorHAnsi"/>
          <w:b/>
          <w:lang w:val="en-GB"/>
        </w:rPr>
        <w:tab/>
      </w:r>
      <w:r w:rsidRPr="002977C9">
        <w:rPr>
          <w:b/>
          <w:lang w:val="en-GB"/>
        </w:rPr>
        <w:t>Value and number of M&amp;As worldwide</w:t>
      </w:r>
    </w:p>
    <w:p w:rsidR="003C1B9E" w:rsidRPr="002977C9" w:rsidRDefault="002977C9" w:rsidP="003C1B9E">
      <w:pPr>
        <w:spacing w:line="360" w:lineRule="auto"/>
        <w:rPr>
          <w:rFonts w:cstheme="minorHAnsi"/>
          <w:lang w:val="en-GB"/>
        </w:rPr>
      </w:pPr>
      <w:r>
        <w:rPr>
          <w:rFonts w:cstheme="minorHAnsi"/>
          <w:lang w:val="en-GB"/>
        </w:rPr>
        <w:t>http://www.imaa-</w:t>
      </w:r>
      <w:r w:rsidRPr="002977C9">
        <w:rPr>
          <w:rFonts w:cstheme="minorHAnsi"/>
          <w:lang w:val="en-GB"/>
        </w:rPr>
        <w:t>institute.org/images/figure_announced%20mergers%20&amp;%20acquisitions%20(worldwide).jpg</w:t>
      </w:r>
      <w:r w:rsidR="003C1B9E" w:rsidRPr="002977C9">
        <w:rPr>
          <w:rFonts w:cstheme="minorHAnsi"/>
          <w:lang w:val="en-GB"/>
        </w:rPr>
        <w:tab/>
      </w:r>
    </w:p>
    <w:p w:rsidR="00A20FDF" w:rsidRDefault="00A20FDF" w:rsidP="003C1B9E">
      <w:pPr>
        <w:spacing w:line="360" w:lineRule="auto"/>
        <w:rPr>
          <w:rFonts w:cstheme="minorHAnsi"/>
          <w:b/>
          <w:lang w:val="en-GB"/>
        </w:rPr>
      </w:pPr>
    </w:p>
    <w:p w:rsidR="002977C9" w:rsidRPr="002977C9" w:rsidRDefault="003C1B9E" w:rsidP="003C1B9E">
      <w:pPr>
        <w:spacing w:line="360" w:lineRule="auto"/>
        <w:rPr>
          <w:rFonts w:cstheme="minorHAnsi"/>
          <w:b/>
          <w:lang w:val="en-GB"/>
        </w:rPr>
      </w:pPr>
      <w:r w:rsidRPr="002977C9">
        <w:rPr>
          <w:rFonts w:cstheme="minorHAnsi"/>
          <w:b/>
          <w:lang w:val="en-GB"/>
        </w:rPr>
        <w:t>Figure 1.2</w:t>
      </w:r>
      <w:r w:rsidRPr="002977C9">
        <w:rPr>
          <w:rFonts w:cstheme="minorHAnsi"/>
          <w:b/>
          <w:lang w:val="en-GB"/>
        </w:rPr>
        <w:tab/>
      </w:r>
      <w:r w:rsidRPr="002977C9">
        <w:rPr>
          <w:b/>
          <w:lang w:val="en-GB"/>
        </w:rPr>
        <w:t>Value and number of M&amp;As in Europe</w:t>
      </w:r>
      <w:r w:rsidRPr="002977C9">
        <w:rPr>
          <w:rFonts w:cstheme="minorHAnsi"/>
          <w:b/>
          <w:lang w:val="en-GB"/>
        </w:rPr>
        <w:tab/>
      </w:r>
    </w:p>
    <w:p w:rsidR="003C1B9E" w:rsidRPr="002977C9" w:rsidRDefault="002977C9" w:rsidP="003C1B9E">
      <w:pPr>
        <w:spacing w:line="360" w:lineRule="auto"/>
        <w:rPr>
          <w:rFonts w:cstheme="minorHAnsi"/>
          <w:lang w:val="en-GB"/>
        </w:rPr>
      </w:pPr>
      <w:r w:rsidRPr="002977C9">
        <w:rPr>
          <w:rFonts w:cstheme="minorHAnsi"/>
          <w:lang w:val="en-GB"/>
        </w:rPr>
        <w:t>http://www.imaa-institute.org/images/figure_announced%20mergers%20&amp;%20acquisitions%20(europe).jpg</w:t>
      </w:r>
      <w:r w:rsidR="003C1B9E" w:rsidRPr="002977C9">
        <w:rPr>
          <w:rFonts w:cstheme="minorHAnsi"/>
          <w:lang w:val="en-GB"/>
        </w:rPr>
        <w:tab/>
      </w:r>
    </w:p>
    <w:p w:rsidR="00A20FDF" w:rsidRDefault="00A20FDF" w:rsidP="003C1B9E">
      <w:pPr>
        <w:spacing w:line="360" w:lineRule="auto"/>
        <w:rPr>
          <w:rFonts w:cstheme="minorHAnsi"/>
          <w:b/>
          <w:lang w:val="en-GB"/>
        </w:rPr>
      </w:pPr>
    </w:p>
    <w:p w:rsidR="002977C9" w:rsidRPr="002977C9" w:rsidRDefault="003C1B9E" w:rsidP="003C1B9E">
      <w:pPr>
        <w:spacing w:line="360" w:lineRule="auto"/>
        <w:rPr>
          <w:b/>
          <w:lang w:val="en-GB"/>
        </w:rPr>
      </w:pPr>
      <w:r w:rsidRPr="002977C9">
        <w:rPr>
          <w:rFonts w:cstheme="minorHAnsi"/>
          <w:b/>
          <w:lang w:val="en-GB"/>
        </w:rPr>
        <w:t>Figure 1.3</w:t>
      </w:r>
      <w:r w:rsidRPr="002977C9">
        <w:rPr>
          <w:rFonts w:cstheme="minorHAnsi"/>
          <w:b/>
          <w:lang w:val="en-GB"/>
        </w:rPr>
        <w:tab/>
      </w:r>
      <w:r w:rsidRPr="002977C9">
        <w:rPr>
          <w:b/>
          <w:lang w:val="en-GB"/>
        </w:rPr>
        <w:t>The most important acquiring countries</w:t>
      </w:r>
    </w:p>
    <w:p w:rsidR="003C1B9E" w:rsidRPr="002977C9" w:rsidRDefault="00067D34" w:rsidP="003C1B9E">
      <w:pPr>
        <w:spacing w:line="360" w:lineRule="auto"/>
        <w:rPr>
          <w:rFonts w:cstheme="minorHAnsi"/>
        </w:rPr>
      </w:pPr>
      <w:hyperlink r:id="rId14" w:history="1">
        <w:r w:rsidR="002977C9" w:rsidRPr="002977C9">
          <w:rPr>
            <w:rStyle w:val="Hyperlink"/>
            <w:rFonts w:cstheme="minorHAnsi"/>
            <w:color w:val="auto"/>
            <w:u w:val="none"/>
          </w:rPr>
          <w:t>http://europatientrights.eu/</w:t>
        </w:r>
      </w:hyperlink>
      <w:r w:rsidR="002977C9" w:rsidRPr="002977C9">
        <w:rPr>
          <w:rFonts w:cstheme="minorHAnsi"/>
        </w:rPr>
        <w:t xml:space="preserve"> (bewerkt in Paint)</w:t>
      </w:r>
      <w:r w:rsidR="003C1B9E" w:rsidRPr="002977C9">
        <w:rPr>
          <w:rFonts w:cstheme="minorHAnsi"/>
        </w:rPr>
        <w:tab/>
      </w:r>
      <w:r w:rsidR="003C1B9E" w:rsidRPr="002977C9">
        <w:rPr>
          <w:rFonts w:cstheme="minorHAnsi"/>
        </w:rPr>
        <w:tab/>
      </w:r>
    </w:p>
    <w:p w:rsidR="00A20FDF" w:rsidRPr="00F1612B" w:rsidRDefault="00A20FDF" w:rsidP="003C1B9E">
      <w:pPr>
        <w:spacing w:line="360" w:lineRule="auto"/>
        <w:rPr>
          <w:rFonts w:cstheme="minorHAnsi"/>
          <w:b/>
        </w:rPr>
      </w:pPr>
    </w:p>
    <w:p w:rsidR="002977C9" w:rsidRPr="002977C9" w:rsidRDefault="00327FAD" w:rsidP="003C1B9E">
      <w:pPr>
        <w:spacing w:line="360" w:lineRule="auto"/>
        <w:rPr>
          <w:rFonts w:cstheme="minorHAnsi"/>
          <w:b/>
          <w:shd w:val="clear" w:color="auto" w:fill="FFFFFF"/>
          <w:lang w:val="en-GB"/>
        </w:rPr>
      </w:pPr>
      <w:r>
        <w:rPr>
          <w:rFonts w:cstheme="minorHAnsi"/>
          <w:b/>
          <w:lang w:val="en-GB"/>
        </w:rPr>
        <w:t>Figure 3</w:t>
      </w:r>
      <w:r w:rsidR="003C1B9E" w:rsidRPr="002977C9">
        <w:rPr>
          <w:rFonts w:cstheme="minorHAnsi"/>
          <w:b/>
          <w:lang w:val="en-GB"/>
        </w:rPr>
        <w:t>.1</w:t>
      </w:r>
      <w:r w:rsidR="003C1B9E" w:rsidRPr="002977C9">
        <w:rPr>
          <w:rFonts w:cstheme="minorHAnsi"/>
          <w:b/>
          <w:lang w:val="en-GB"/>
        </w:rPr>
        <w:tab/>
      </w:r>
      <w:r w:rsidR="003C1B9E" w:rsidRPr="002977C9">
        <w:rPr>
          <w:rFonts w:cstheme="minorHAnsi"/>
          <w:b/>
          <w:shd w:val="clear" w:color="auto" w:fill="FFFFFF"/>
          <w:lang w:val="en-GB"/>
        </w:rPr>
        <w:t>Security Market Line</w:t>
      </w:r>
    </w:p>
    <w:p w:rsidR="003C1B9E" w:rsidRPr="002977C9" w:rsidRDefault="00067D34" w:rsidP="003C1B9E">
      <w:pPr>
        <w:spacing w:line="360" w:lineRule="auto"/>
        <w:rPr>
          <w:rFonts w:cstheme="minorHAnsi"/>
          <w:lang w:val="en-GB"/>
        </w:rPr>
      </w:pPr>
      <w:hyperlink r:id="rId15" w:history="1">
        <w:r w:rsidR="002977C9" w:rsidRPr="002977C9">
          <w:rPr>
            <w:rStyle w:val="Hyperlink"/>
            <w:rFonts w:cstheme="minorHAnsi"/>
            <w:color w:val="auto"/>
            <w:u w:val="none"/>
            <w:lang w:val="en-GB"/>
          </w:rPr>
          <w:t>http://www.themanagementor.com/enlightenmentorareas/finance/cfa/SecurityMarketLine.htm</w:t>
        </w:r>
      </w:hyperlink>
    </w:p>
    <w:p w:rsidR="00A20FDF" w:rsidRDefault="00A20FDF" w:rsidP="003C1B9E">
      <w:pPr>
        <w:spacing w:line="360" w:lineRule="auto"/>
        <w:rPr>
          <w:rFonts w:cstheme="minorHAnsi"/>
          <w:b/>
          <w:lang w:val="en-GB"/>
        </w:rPr>
      </w:pPr>
    </w:p>
    <w:p w:rsidR="003C1B9E" w:rsidRPr="002977C9" w:rsidRDefault="003C1B9E" w:rsidP="003C1B9E">
      <w:pPr>
        <w:spacing w:line="360" w:lineRule="auto"/>
        <w:rPr>
          <w:rFonts w:eastAsiaTheme="minorEastAsia" w:cstheme="minorHAnsi"/>
          <w:b/>
          <w:lang w:val="en-GB"/>
        </w:rPr>
      </w:pPr>
      <w:r w:rsidRPr="002977C9">
        <w:rPr>
          <w:rFonts w:cstheme="minorHAnsi"/>
          <w:b/>
          <w:lang w:val="en-GB"/>
        </w:rPr>
        <w:t xml:space="preserve">Figure </w:t>
      </w:r>
      <w:r w:rsidR="00327FAD">
        <w:rPr>
          <w:rFonts w:cstheme="minorHAnsi"/>
          <w:b/>
          <w:lang w:val="en-GB"/>
        </w:rPr>
        <w:t>3.2</w:t>
      </w:r>
      <w:r w:rsidRPr="002977C9">
        <w:rPr>
          <w:rFonts w:cstheme="minorHAnsi"/>
          <w:b/>
          <w:lang w:val="en-GB"/>
        </w:rPr>
        <w:tab/>
      </w:r>
      <w:r w:rsidRPr="002977C9">
        <w:rPr>
          <w:rFonts w:eastAsiaTheme="minorEastAsia" w:cstheme="minorHAnsi"/>
          <w:b/>
          <w:lang w:val="en-GB"/>
        </w:rPr>
        <w:t>ANOVA Summary</w:t>
      </w:r>
    </w:p>
    <w:p w:rsidR="008F0E13" w:rsidRPr="008F0E13" w:rsidRDefault="00067D34" w:rsidP="003C1B9E">
      <w:pPr>
        <w:spacing w:line="360" w:lineRule="auto"/>
        <w:rPr>
          <w:rFonts w:cstheme="minorHAnsi"/>
          <w:lang w:val="en-GB"/>
        </w:rPr>
      </w:pPr>
      <w:hyperlink r:id="rId16" w:history="1">
        <w:r w:rsidR="008F0E13" w:rsidRPr="008F0E13">
          <w:rPr>
            <w:rStyle w:val="Hyperlink"/>
            <w:rFonts w:cstheme="minorHAnsi"/>
            <w:color w:val="auto"/>
            <w:u w:val="none"/>
            <w:lang w:val="en-GB"/>
          </w:rPr>
          <w:t>http://www.soc.napier.ac.uk/~cs181/Modules/CM/Statistics/Statistics%205.html</w:t>
        </w:r>
      </w:hyperlink>
    </w:p>
    <w:p w:rsidR="008F0E13" w:rsidRDefault="008F0E13">
      <w:pPr>
        <w:rPr>
          <w:rFonts w:cstheme="minorHAnsi"/>
          <w:lang w:val="en-GB"/>
        </w:rPr>
      </w:pPr>
      <w:r>
        <w:rPr>
          <w:rFonts w:cstheme="minorHAnsi"/>
          <w:lang w:val="en-GB"/>
        </w:rPr>
        <w:br w:type="page"/>
      </w:r>
    </w:p>
    <w:p w:rsidR="008F0E13" w:rsidRDefault="008F0E13" w:rsidP="008F0E13">
      <w:pPr>
        <w:spacing w:line="360" w:lineRule="auto"/>
        <w:jc w:val="right"/>
        <w:rPr>
          <w:b/>
          <w:sz w:val="32"/>
          <w:lang w:val="en-GB"/>
        </w:rPr>
      </w:pPr>
    </w:p>
    <w:p w:rsidR="00146CDE" w:rsidRDefault="00146CDE" w:rsidP="008F0E13">
      <w:pPr>
        <w:spacing w:line="360" w:lineRule="auto"/>
        <w:jc w:val="right"/>
        <w:rPr>
          <w:b/>
          <w:sz w:val="32"/>
          <w:lang w:val="en-GB"/>
        </w:rPr>
      </w:pPr>
    </w:p>
    <w:p w:rsidR="00A20FDF" w:rsidRDefault="00A20FDF" w:rsidP="008F0E13">
      <w:pPr>
        <w:spacing w:line="360" w:lineRule="auto"/>
        <w:jc w:val="right"/>
        <w:rPr>
          <w:b/>
          <w:sz w:val="32"/>
          <w:lang w:val="en-GB"/>
        </w:rPr>
      </w:pPr>
    </w:p>
    <w:p w:rsidR="008F0E13" w:rsidRPr="001B4E47" w:rsidRDefault="008F0E13" w:rsidP="008F0E13">
      <w:pPr>
        <w:spacing w:line="360" w:lineRule="auto"/>
        <w:jc w:val="right"/>
        <w:rPr>
          <w:b/>
          <w:sz w:val="32"/>
          <w:lang w:val="en-GB"/>
        </w:rPr>
      </w:pPr>
      <w:r>
        <w:rPr>
          <w:b/>
          <w:sz w:val="32"/>
          <w:lang w:val="en-GB"/>
        </w:rPr>
        <w:t xml:space="preserve">CHAPTER 7 - </w:t>
      </w:r>
      <w:r w:rsidRPr="001B4E47">
        <w:rPr>
          <w:b/>
          <w:sz w:val="32"/>
          <w:lang w:val="en-GB"/>
        </w:rPr>
        <w:t>APPENDIX</w:t>
      </w:r>
    </w:p>
    <w:p w:rsidR="008F0E13" w:rsidRPr="001B4E47" w:rsidRDefault="008F0E13" w:rsidP="00A20FDF">
      <w:pPr>
        <w:spacing w:line="360" w:lineRule="auto"/>
        <w:jc w:val="right"/>
        <w:rPr>
          <w:b/>
          <w:sz w:val="32"/>
          <w:lang w:val="en-GB"/>
        </w:rPr>
      </w:pPr>
      <w:r w:rsidRPr="001B4E47">
        <w:rPr>
          <w:b/>
          <w:sz w:val="32"/>
          <w:lang w:val="en-GB"/>
        </w:rPr>
        <w:t>________________________________________________________</w:t>
      </w:r>
    </w:p>
    <w:tbl>
      <w:tblPr>
        <w:tblW w:w="6625" w:type="dxa"/>
        <w:tblInd w:w="11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
        <w:gridCol w:w="3798"/>
        <w:gridCol w:w="1123"/>
        <w:gridCol w:w="891"/>
        <w:gridCol w:w="796"/>
      </w:tblGrid>
      <w:tr w:rsidR="008F0E13" w:rsidRPr="00BE3808" w:rsidTr="008F0E13">
        <w:trPr>
          <w:gridBefore w:val="1"/>
          <w:wBefore w:w="17" w:type="dxa"/>
          <w:cantSplit/>
          <w:trHeight w:val="715"/>
          <w:tblHeader/>
        </w:trPr>
        <w:tc>
          <w:tcPr>
            <w:tcW w:w="6608" w:type="dxa"/>
            <w:gridSpan w:val="4"/>
            <w:tcBorders>
              <w:top w:val="nil"/>
              <w:left w:val="nil"/>
              <w:bottom w:val="nil"/>
              <w:right w:val="nil"/>
            </w:tcBorders>
            <w:shd w:val="clear" w:color="auto" w:fill="FFFFFF"/>
            <w:vAlign w:val="center"/>
          </w:tcPr>
          <w:p w:rsidR="008F0E13" w:rsidRPr="00136D1C" w:rsidRDefault="008F0E13" w:rsidP="008F0E13">
            <w:pPr>
              <w:spacing w:line="320" w:lineRule="atLeast"/>
              <w:ind w:left="60" w:right="60"/>
              <w:jc w:val="center"/>
              <w:rPr>
                <w:rFonts w:cstheme="minorHAnsi"/>
                <w:b/>
                <w:bCs/>
                <w:sz w:val="24"/>
                <w:lang w:val="en-GB"/>
              </w:rPr>
            </w:pPr>
            <w:r>
              <w:rPr>
                <w:rFonts w:cstheme="minorHAnsi"/>
                <w:b/>
                <w:bCs/>
                <w:sz w:val="24"/>
                <w:lang w:val="en-GB"/>
              </w:rPr>
              <w:t xml:space="preserve">Table </w:t>
            </w:r>
            <w:r w:rsidRPr="00136D1C">
              <w:rPr>
                <w:rFonts w:cstheme="minorHAnsi"/>
                <w:b/>
                <w:bCs/>
                <w:sz w:val="24"/>
                <w:lang w:val="en-GB"/>
              </w:rPr>
              <w:t>1</w:t>
            </w:r>
          </w:p>
          <w:p w:rsidR="008F0E13" w:rsidRPr="00BE3808" w:rsidRDefault="008F0E13" w:rsidP="008F0E13">
            <w:pPr>
              <w:spacing w:line="320" w:lineRule="atLeast"/>
              <w:ind w:left="60" w:right="60"/>
              <w:jc w:val="center"/>
              <w:rPr>
                <w:rFonts w:cstheme="minorHAnsi"/>
                <w:sz w:val="20"/>
                <w:lang w:val="en-GB"/>
              </w:rPr>
            </w:pPr>
            <w:r w:rsidRPr="00136D1C">
              <w:rPr>
                <w:rFonts w:cstheme="minorHAnsi"/>
                <w:b/>
                <w:bCs/>
                <w:sz w:val="24"/>
                <w:lang w:val="en-GB"/>
              </w:rPr>
              <w:t>Development Descriptive Statistics</w:t>
            </w: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color w:val="000000"/>
                <w:lang w:val="en-GB" w:eastAsia="nl-NL"/>
              </w:rPr>
            </w:pPr>
          </w:p>
        </w:tc>
        <w:tc>
          <w:tcPr>
            <w:tcW w:w="1123" w:type="dxa"/>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color w:val="000000"/>
                <w:lang w:val="en-GB" w:eastAsia="nl-NL"/>
              </w:rPr>
            </w:pPr>
          </w:p>
        </w:tc>
        <w:tc>
          <w:tcPr>
            <w:tcW w:w="891" w:type="dxa"/>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color w:val="000000"/>
                <w:lang w:val="en-GB" w:eastAsia="nl-NL"/>
              </w:rPr>
            </w:pP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color w:val="000000"/>
                <w:lang w:val="en-GB" w:eastAsia="nl-NL"/>
              </w:rPr>
            </w:pPr>
          </w:p>
        </w:tc>
        <w:tc>
          <w:tcPr>
            <w:tcW w:w="1123" w:type="dxa"/>
            <w:tcBorders>
              <w:top w:val="nil"/>
              <w:left w:val="nil"/>
              <w:bottom w:val="nil"/>
              <w:right w:val="nil"/>
            </w:tcBorders>
            <w:shd w:val="clear" w:color="auto" w:fill="auto"/>
            <w:noWrap/>
            <w:vAlign w:val="bottom"/>
            <w:hideMark/>
          </w:tcPr>
          <w:p w:rsidR="008F0E13" w:rsidRPr="00BE3808" w:rsidRDefault="008F0E13" w:rsidP="008F0E13">
            <w:pPr>
              <w:spacing w:after="0" w:line="240" w:lineRule="auto"/>
              <w:jc w:val="center"/>
              <w:rPr>
                <w:rFonts w:ascii="Calibri" w:eastAsia="Times New Roman" w:hAnsi="Calibri" w:cs="Calibri"/>
                <w:b/>
                <w:color w:val="000000"/>
                <w:lang w:eastAsia="nl-NL"/>
              </w:rPr>
            </w:pPr>
            <w:r w:rsidRPr="00BE3808">
              <w:rPr>
                <w:rFonts w:ascii="Calibri" w:eastAsia="Times New Roman" w:hAnsi="Calibri" w:cs="Calibri"/>
                <w:b/>
                <w:color w:val="000000"/>
                <w:lang w:eastAsia="nl-NL"/>
              </w:rPr>
              <w:t>Skewness</w:t>
            </w:r>
          </w:p>
        </w:tc>
        <w:tc>
          <w:tcPr>
            <w:tcW w:w="891" w:type="dxa"/>
            <w:tcBorders>
              <w:top w:val="nil"/>
              <w:left w:val="nil"/>
              <w:bottom w:val="nil"/>
              <w:right w:val="nil"/>
            </w:tcBorders>
            <w:shd w:val="clear" w:color="auto" w:fill="auto"/>
            <w:noWrap/>
            <w:vAlign w:val="bottom"/>
            <w:hideMark/>
          </w:tcPr>
          <w:p w:rsidR="008F0E13" w:rsidRPr="00BE3808" w:rsidRDefault="008F0E13" w:rsidP="008F0E13">
            <w:pPr>
              <w:spacing w:after="0" w:line="240" w:lineRule="auto"/>
              <w:jc w:val="center"/>
              <w:rPr>
                <w:rFonts w:ascii="Calibri" w:eastAsia="Times New Roman" w:hAnsi="Calibri" w:cs="Calibri"/>
                <w:b/>
                <w:color w:val="000000"/>
                <w:lang w:eastAsia="nl-NL"/>
              </w:rPr>
            </w:pPr>
            <w:r w:rsidRPr="00BE3808">
              <w:rPr>
                <w:rFonts w:ascii="Calibri" w:eastAsia="Times New Roman" w:hAnsi="Calibri" w:cs="Calibri"/>
                <w:b/>
                <w:color w:val="000000"/>
                <w:lang w:eastAsia="nl-NL"/>
              </w:rPr>
              <w:t>Kurtosis</w:t>
            </w: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eastAsia="nl-NL"/>
              </w:rPr>
            </w:pPr>
            <w:r w:rsidRPr="00BE3808">
              <w:rPr>
                <w:rFonts w:ascii="Calibri" w:eastAsia="Times New Roman" w:hAnsi="Calibri" w:cs="Calibri"/>
                <w:b/>
                <w:color w:val="000000"/>
                <w:lang w:eastAsia="nl-NL"/>
              </w:rPr>
              <w:t>Contribution_to_society</w:t>
            </w:r>
          </w:p>
        </w:tc>
        <w:tc>
          <w:tcPr>
            <w:tcW w:w="1123"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0,807</w:t>
            </w:r>
          </w:p>
        </w:tc>
        <w:tc>
          <w:tcPr>
            <w:tcW w:w="891" w:type="dxa"/>
            <w:tcBorders>
              <w:top w:val="nil"/>
              <w:left w:val="nil"/>
              <w:bottom w:val="nil"/>
              <w:right w:val="nil"/>
            </w:tcBorders>
            <w:shd w:val="clear" w:color="auto" w:fill="auto"/>
            <w:noWrap/>
            <w:vAlign w:val="bottom"/>
            <w:hideMark/>
          </w:tcPr>
          <w:p w:rsidR="008F0E13" w:rsidRPr="003A6801" w:rsidRDefault="008F0E13" w:rsidP="008F0E13">
            <w:pPr>
              <w:spacing w:after="0" w:line="240" w:lineRule="auto"/>
              <w:jc w:val="center"/>
              <w:rPr>
                <w:rFonts w:ascii="Calibri" w:eastAsia="Times New Roman" w:hAnsi="Calibri" w:cs="Calibri"/>
                <w:color w:val="FF0000"/>
                <w:lang w:eastAsia="nl-NL"/>
              </w:rPr>
            </w:pPr>
            <w:r w:rsidRPr="003A6801">
              <w:rPr>
                <w:rFonts w:ascii="Calibri" w:eastAsia="Times New Roman" w:hAnsi="Calibri" w:cs="Calibri"/>
                <w:color w:val="FF0000"/>
                <w:lang w:eastAsia="nl-NL"/>
              </w:rPr>
              <w:t>6,342</w:t>
            </w: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val="en-GB" w:eastAsia="nl-NL"/>
              </w:rPr>
            </w:pPr>
            <w:r w:rsidRPr="00BE3808">
              <w:rPr>
                <w:rFonts w:ascii="Calibri" w:eastAsia="Times New Roman" w:hAnsi="Calibri" w:cs="Calibri"/>
                <w:b/>
                <w:color w:val="000000"/>
                <w:lang w:val="en-GB" w:eastAsia="nl-NL"/>
              </w:rPr>
              <w:t>Contribution_to_society_diff_time</w:t>
            </w:r>
          </w:p>
        </w:tc>
        <w:tc>
          <w:tcPr>
            <w:tcW w:w="1123"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0,661</w:t>
            </w:r>
          </w:p>
        </w:tc>
        <w:tc>
          <w:tcPr>
            <w:tcW w:w="891" w:type="dxa"/>
            <w:tcBorders>
              <w:top w:val="nil"/>
              <w:left w:val="nil"/>
              <w:bottom w:val="nil"/>
              <w:right w:val="nil"/>
            </w:tcBorders>
            <w:shd w:val="clear" w:color="auto" w:fill="auto"/>
            <w:noWrap/>
            <w:vAlign w:val="bottom"/>
            <w:hideMark/>
          </w:tcPr>
          <w:p w:rsidR="008F0E13" w:rsidRPr="003A6801" w:rsidRDefault="008F0E13" w:rsidP="008F0E13">
            <w:pPr>
              <w:spacing w:after="0" w:line="240" w:lineRule="auto"/>
              <w:jc w:val="center"/>
              <w:rPr>
                <w:rFonts w:ascii="Calibri" w:eastAsia="Times New Roman" w:hAnsi="Calibri" w:cs="Calibri"/>
                <w:color w:val="FF0000"/>
                <w:lang w:eastAsia="nl-NL"/>
              </w:rPr>
            </w:pPr>
            <w:r w:rsidRPr="003A6801">
              <w:rPr>
                <w:rFonts w:ascii="Calibri" w:eastAsia="Times New Roman" w:hAnsi="Calibri" w:cs="Calibri"/>
                <w:color w:val="FF0000"/>
                <w:lang w:eastAsia="nl-NL"/>
              </w:rPr>
              <w:t>3,212</w:t>
            </w: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eastAsia="nl-NL"/>
              </w:rPr>
            </w:pPr>
            <w:r w:rsidRPr="00BE3808">
              <w:rPr>
                <w:rFonts w:ascii="Calibri" w:eastAsia="Times New Roman" w:hAnsi="Calibri" w:cs="Calibri"/>
                <w:b/>
                <w:color w:val="000000"/>
                <w:lang w:eastAsia="nl-NL"/>
              </w:rPr>
              <w:t>Residuals</w:t>
            </w:r>
          </w:p>
        </w:tc>
        <w:tc>
          <w:tcPr>
            <w:tcW w:w="1123" w:type="dxa"/>
            <w:tcBorders>
              <w:top w:val="nil"/>
              <w:left w:val="nil"/>
              <w:bottom w:val="nil"/>
              <w:right w:val="nil"/>
            </w:tcBorders>
            <w:shd w:val="clear" w:color="auto" w:fill="auto"/>
            <w:noWrap/>
            <w:vAlign w:val="bottom"/>
            <w:hideMark/>
          </w:tcPr>
          <w:p w:rsidR="008F0E13" w:rsidRPr="003A6801" w:rsidRDefault="008F0E13" w:rsidP="008F0E13">
            <w:pPr>
              <w:spacing w:after="0" w:line="240" w:lineRule="auto"/>
              <w:jc w:val="center"/>
              <w:rPr>
                <w:rFonts w:ascii="Calibri" w:eastAsia="Times New Roman" w:hAnsi="Calibri" w:cs="Calibri"/>
                <w:color w:val="FF0000"/>
                <w:lang w:eastAsia="nl-NL"/>
              </w:rPr>
            </w:pPr>
            <w:r w:rsidRPr="003A6801">
              <w:rPr>
                <w:rFonts w:ascii="Calibri" w:eastAsia="Times New Roman" w:hAnsi="Calibri" w:cs="Calibri"/>
                <w:color w:val="FF0000"/>
                <w:lang w:eastAsia="nl-NL"/>
              </w:rPr>
              <w:t>-9,676</w:t>
            </w:r>
          </w:p>
        </w:tc>
        <w:tc>
          <w:tcPr>
            <w:tcW w:w="891" w:type="dxa"/>
            <w:tcBorders>
              <w:top w:val="nil"/>
              <w:left w:val="nil"/>
              <w:bottom w:val="nil"/>
              <w:right w:val="nil"/>
            </w:tcBorders>
            <w:shd w:val="clear" w:color="auto" w:fill="auto"/>
            <w:noWrap/>
            <w:vAlign w:val="bottom"/>
            <w:hideMark/>
          </w:tcPr>
          <w:p w:rsidR="008F0E13" w:rsidRPr="003A6801" w:rsidRDefault="008F0E13" w:rsidP="008F0E13">
            <w:pPr>
              <w:spacing w:after="0" w:line="240" w:lineRule="auto"/>
              <w:jc w:val="center"/>
              <w:rPr>
                <w:rFonts w:ascii="Calibri" w:eastAsia="Times New Roman" w:hAnsi="Calibri" w:cs="Calibri"/>
                <w:color w:val="FF0000"/>
                <w:lang w:eastAsia="nl-NL"/>
              </w:rPr>
            </w:pPr>
            <w:r w:rsidRPr="003A6801">
              <w:rPr>
                <w:rFonts w:ascii="Calibri" w:eastAsia="Times New Roman" w:hAnsi="Calibri" w:cs="Calibri"/>
                <w:color w:val="FF0000"/>
                <w:lang w:eastAsia="nl-NL"/>
              </w:rPr>
              <w:t>104,007</w:t>
            </w: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FF0000"/>
                <w:lang w:eastAsia="nl-NL"/>
              </w:rPr>
            </w:pPr>
            <w:r w:rsidRPr="00BE3808">
              <w:rPr>
                <w:rFonts w:ascii="Calibri" w:eastAsia="Times New Roman" w:hAnsi="Calibri" w:cs="Calibri"/>
                <w:b/>
                <w:color w:val="FF0000"/>
                <w:lang w:eastAsia="nl-NL"/>
              </w:rPr>
              <w:t>After removing outliers</w:t>
            </w:r>
          </w:p>
        </w:tc>
        <w:tc>
          <w:tcPr>
            <w:tcW w:w="1123" w:type="dxa"/>
            <w:tcBorders>
              <w:top w:val="nil"/>
              <w:left w:val="nil"/>
              <w:bottom w:val="nil"/>
              <w:right w:val="nil"/>
            </w:tcBorders>
            <w:shd w:val="clear" w:color="auto" w:fill="auto"/>
            <w:noWrap/>
            <w:vAlign w:val="bottom"/>
            <w:hideMark/>
          </w:tcPr>
          <w:p w:rsidR="008F0E13" w:rsidRPr="00BE3808" w:rsidRDefault="008F0E13" w:rsidP="008F0E13">
            <w:pPr>
              <w:spacing w:after="0" w:line="240" w:lineRule="auto"/>
              <w:jc w:val="center"/>
              <w:rPr>
                <w:rFonts w:ascii="Calibri" w:eastAsia="Times New Roman" w:hAnsi="Calibri" w:cs="Calibri"/>
                <w:color w:val="000000"/>
                <w:lang w:eastAsia="nl-NL"/>
              </w:rPr>
            </w:pPr>
          </w:p>
        </w:tc>
        <w:tc>
          <w:tcPr>
            <w:tcW w:w="891" w:type="dxa"/>
            <w:tcBorders>
              <w:top w:val="nil"/>
              <w:left w:val="nil"/>
              <w:bottom w:val="nil"/>
              <w:right w:val="nil"/>
            </w:tcBorders>
            <w:shd w:val="clear" w:color="auto" w:fill="auto"/>
            <w:noWrap/>
            <w:vAlign w:val="bottom"/>
            <w:hideMark/>
          </w:tcPr>
          <w:p w:rsidR="008F0E13" w:rsidRPr="00BE3808" w:rsidRDefault="008F0E13" w:rsidP="008F0E13">
            <w:pPr>
              <w:spacing w:after="0" w:line="240" w:lineRule="auto"/>
              <w:jc w:val="center"/>
              <w:rPr>
                <w:rFonts w:ascii="Calibri" w:eastAsia="Times New Roman" w:hAnsi="Calibri" w:cs="Calibri"/>
                <w:color w:val="000000"/>
                <w:lang w:eastAsia="nl-NL"/>
              </w:rPr>
            </w:pP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eastAsia="nl-NL"/>
              </w:rPr>
            </w:pPr>
            <w:r w:rsidRPr="00BE3808">
              <w:rPr>
                <w:rFonts w:ascii="Calibri" w:eastAsia="Times New Roman" w:hAnsi="Calibri" w:cs="Calibri"/>
                <w:b/>
                <w:color w:val="000000"/>
                <w:lang w:eastAsia="nl-NL"/>
              </w:rPr>
              <w:t>Contribution_to_society</w:t>
            </w:r>
          </w:p>
        </w:tc>
        <w:tc>
          <w:tcPr>
            <w:tcW w:w="1123"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0,448</w:t>
            </w:r>
          </w:p>
        </w:tc>
        <w:tc>
          <w:tcPr>
            <w:tcW w:w="891"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2,293</w:t>
            </w: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val="en-GB" w:eastAsia="nl-NL"/>
              </w:rPr>
            </w:pPr>
            <w:r w:rsidRPr="00BE3808">
              <w:rPr>
                <w:rFonts w:ascii="Calibri" w:eastAsia="Times New Roman" w:hAnsi="Calibri" w:cs="Calibri"/>
                <w:b/>
                <w:color w:val="000000"/>
                <w:lang w:val="en-GB" w:eastAsia="nl-NL"/>
              </w:rPr>
              <w:t>Contribution_to_society_diff_time</w:t>
            </w:r>
          </w:p>
        </w:tc>
        <w:tc>
          <w:tcPr>
            <w:tcW w:w="1123"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0,639</w:t>
            </w:r>
          </w:p>
        </w:tc>
        <w:tc>
          <w:tcPr>
            <w:tcW w:w="891"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1,867</w:t>
            </w:r>
          </w:p>
        </w:tc>
      </w:tr>
      <w:tr w:rsidR="008F0E13" w:rsidRPr="00BE3808"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eastAsia="nl-NL"/>
              </w:rPr>
            </w:pPr>
            <w:r w:rsidRPr="00BE3808">
              <w:rPr>
                <w:rFonts w:ascii="Calibri" w:eastAsia="Times New Roman" w:hAnsi="Calibri" w:cs="Calibri"/>
                <w:b/>
                <w:color w:val="000000"/>
                <w:lang w:eastAsia="nl-NL"/>
              </w:rPr>
              <w:t>Residuals</w:t>
            </w:r>
          </w:p>
        </w:tc>
        <w:tc>
          <w:tcPr>
            <w:tcW w:w="1123" w:type="dxa"/>
            <w:tcBorders>
              <w:top w:val="nil"/>
              <w:left w:val="nil"/>
              <w:bottom w:val="nil"/>
              <w:right w:val="nil"/>
            </w:tcBorders>
            <w:shd w:val="clear" w:color="auto" w:fill="auto"/>
            <w:noWrap/>
            <w:vAlign w:val="bottom"/>
            <w:hideMark/>
          </w:tcPr>
          <w:p w:rsidR="008F0E13" w:rsidRPr="003A6801" w:rsidRDefault="008F0E13" w:rsidP="008F0E13">
            <w:pPr>
              <w:spacing w:after="0" w:line="240" w:lineRule="auto"/>
              <w:jc w:val="center"/>
              <w:rPr>
                <w:rFonts w:ascii="Calibri" w:eastAsia="Times New Roman" w:hAnsi="Calibri" w:cs="Calibri"/>
                <w:color w:val="FF0000"/>
                <w:lang w:eastAsia="nl-NL"/>
              </w:rPr>
            </w:pPr>
            <w:r w:rsidRPr="003A6801">
              <w:rPr>
                <w:rFonts w:ascii="Calibri" w:eastAsia="Times New Roman" w:hAnsi="Calibri" w:cs="Calibri"/>
                <w:color w:val="FF0000"/>
                <w:lang w:eastAsia="nl-NL"/>
              </w:rPr>
              <w:t>-9,518</w:t>
            </w:r>
          </w:p>
        </w:tc>
        <w:tc>
          <w:tcPr>
            <w:tcW w:w="891" w:type="dxa"/>
            <w:tcBorders>
              <w:top w:val="nil"/>
              <w:left w:val="nil"/>
              <w:bottom w:val="nil"/>
              <w:right w:val="nil"/>
            </w:tcBorders>
            <w:shd w:val="clear" w:color="auto" w:fill="auto"/>
            <w:noWrap/>
            <w:vAlign w:val="bottom"/>
            <w:hideMark/>
          </w:tcPr>
          <w:p w:rsidR="008F0E13" w:rsidRPr="003A6801" w:rsidRDefault="008F0E13" w:rsidP="008F0E13">
            <w:pPr>
              <w:spacing w:after="0" w:line="240" w:lineRule="auto"/>
              <w:jc w:val="center"/>
              <w:rPr>
                <w:rFonts w:ascii="Calibri" w:eastAsia="Times New Roman" w:hAnsi="Calibri" w:cs="Calibri"/>
                <w:color w:val="FF0000"/>
                <w:lang w:eastAsia="nl-NL"/>
              </w:rPr>
            </w:pPr>
            <w:r w:rsidRPr="003A6801">
              <w:rPr>
                <w:rFonts w:ascii="Calibri" w:eastAsia="Times New Roman" w:hAnsi="Calibri" w:cs="Calibri"/>
                <w:color w:val="FF0000"/>
                <w:lang w:eastAsia="nl-NL"/>
              </w:rPr>
              <w:t>100,624</w:t>
            </w:r>
          </w:p>
        </w:tc>
      </w:tr>
      <w:tr w:rsidR="008F0E13" w:rsidRPr="00F94970"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FF0000"/>
                <w:lang w:val="en-GB" w:eastAsia="nl-NL"/>
              </w:rPr>
            </w:pPr>
            <w:r w:rsidRPr="00BE3808">
              <w:rPr>
                <w:rFonts w:ascii="Calibri" w:eastAsia="Times New Roman" w:hAnsi="Calibri" w:cs="Calibri"/>
                <w:b/>
                <w:color w:val="FF0000"/>
                <w:lang w:val="en-GB" w:eastAsia="nl-NL"/>
              </w:rPr>
              <w:t>After log-transformation (if necessary)</w:t>
            </w:r>
          </w:p>
        </w:tc>
        <w:tc>
          <w:tcPr>
            <w:tcW w:w="1123" w:type="dxa"/>
            <w:tcBorders>
              <w:top w:val="nil"/>
              <w:left w:val="nil"/>
              <w:bottom w:val="nil"/>
              <w:right w:val="nil"/>
            </w:tcBorders>
            <w:shd w:val="clear" w:color="auto" w:fill="auto"/>
            <w:noWrap/>
            <w:vAlign w:val="bottom"/>
            <w:hideMark/>
          </w:tcPr>
          <w:p w:rsidR="008F0E13" w:rsidRPr="00BE3808" w:rsidRDefault="008F0E13" w:rsidP="008F0E13">
            <w:pPr>
              <w:spacing w:after="0" w:line="240" w:lineRule="auto"/>
              <w:jc w:val="center"/>
              <w:rPr>
                <w:rFonts w:ascii="Calibri" w:eastAsia="Times New Roman" w:hAnsi="Calibri" w:cs="Calibri"/>
                <w:color w:val="000000"/>
                <w:lang w:val="en-GB" w:eastAsia="nl-NL"/>
              </w:rPr>
            </w:pPr>
          </w:p>
        </w:tc>
        <w:tc>
          <w:tcPr>
            <w:tcW w:w="891" w:type="dxa"/>
            <w:tcBorders>
              <w:top w:val="nil"/>
              <w:left w:val="nil"/>
              <w:bottom w:val="nil"/>
              <w:right w:val="nil"/>
            </w:tcBorders>
            <w:shd w:val="clear" w:color="auto" w:fill="auto"/>
            <w:noWrap/>
            <w:vAlign w:val="bottom"/>
            <w:hideMark/>
          </w:tcPr>
          <w:p w:rsidR="008F0E13" w:rsidRPr="00BE3808" w:rsidRDefault="008F0E13" w:rsidP="008F0E13">
            <w:pPr>
              <w:spacing w:after="0" w:line="240" w:lineRule="auto"/>
              <w:jc w:val="center"/>
              <w:rPr>
                <w:rFonts w:ascii="Calibri" w:eastAsia="Times New Roman" w:hAnsi="Calibri" w:cs="Calibri"/>
                <w:color w:val="000000"/>
                <w:lang w:val="en-GB" w:eastAsia="nl-NL"/>
              </w:rPr>
            </w:pPr>
          </w:p>
        </w:tc>
      </w:tr>
      <w:tr w:rsidR="008F0E13" w:rsidRPr="00A20FDF"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eastAsia="nl-NL"/>
              </w:rPr>
            </w:pPr>
            <w:r w:rsidRPr="00BE3808">
              <w:rPr>
                <w:rFonts w:ascii="Calibri" w:eastAsia="Times New Roman" w:hAnsi="Calibri" w:cs="Calibri"/>
                <w:b/>
                <w:color w:val="000000"/>
                <w:lang w:eastAsia="nl-NL"/>
              </w:rPr>
              <w:t>Contribution_to_society</w:t>
            </w:r>
          </w:p>
        </w:tc>
        <w:tc>
          <w:tcPr>
            <w:tcW w:w="1123"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0,448</w:t>
            </w:r>
          </w:p>
        </w:tc>
        <w:tc>
          <w:tcPr>
            <w:tcW w:w="891"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2,293</w:t>
            </w:r>
          </w:p>
        </w:tc>
      </w:tr>
      <w:tr w:rsidR="008F0E13" w:rsidRPr="00A20FDF"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300"/>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val="en-GB" w:eastAsia="nl-NL"/>
              </w:rPr>
            </w:pPr>
            <w:r w:rsidRPr="00BE3808">
              <w:rPr>
                <w:rFonts w:ascii="Calibri" w:eastAsia="Times New Roman" w:hAnsi="Calibri" w:cs="Calibri"/>
                <w:b/>
                <w:color w:val="000000"/>
                <w:lang w:val="en-GB" w:eastAsia="nl-NL"/>
              </w:rPr>
              <w:t>Contribution_to_society_diff_time</w:t>
            </w:r>
          </w:p>
        </w:tc>
        <w:tc>
          <w:tcPr>
            <w:tcW w:w="1123"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0,639</w:t>
            </w:r>
          </w:p>
        </w:tc>
        <w:tc>
          <w:tcPr>
            <w:tcW w:w="891"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1,867</w:t>
            </w:r>
          </w:p>
        </w:tc>
      </w:tr>
      <w:tr w:rsidR="008F0E13" w:rsidRPr="00A20FDF" w:rsidTr="00A20F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796" w:type="dxa"/>
          <w:trHeight w:val="87"/>
        </w:trPr>
        <w:tc>
          <w:tcPr>
            <w:tcW w:w="3815" w:type="dxa"/>
            <w:gridSpan w:val="2"/>
            <w:tcBorders>
              <w:top w:val="nil"/>
              <w:left w:val="nil"/>
              <w:bottom w:val="nil"/>
              <w:right w:val="nil"/>
            </w:tcBorders>
            <w:shd w:val="clear" w:color="auto" w:fill="auto"/>
            <w:noWrap/>
            <w:vAlign w:val="bottom"/>
            <w:hideMark/>
          </w:tcPr>
          <w:p w:rsidR="008F0E13" w:rsidRPr="00BE3808" w:rsidRDefault="008F0E13" w:rsidP="008F0E13">
            <w:pPr>
              <w:spacing w:after="0" w:line="240" w:lineRule="auto"/>
              <w:rPr>
                <w:rFonts w:ascii="Calibri" w:eastAsia="Times New Roman" w:hAnsi="Calibri" w:cs="Calibri"/>
                <w:b/>
                <w:color w:val="000000"/>
                <w:lang w:eastAsia="nl-NL"/>
              </w:rPr>
            </w:pPr>
            <w:r w:rsidRPr="00BE3808">
              <w:rPr>
                <w:rFonts w:ascii="Calibri" w:eastAsia="Times New Roman" w:hAnsi="Calibri" w:cs="Calibri"/>
                <w:b/>
                <w:color w:val="000000"/>
                <w:lang w:eastAsia="nl-NL"/>
              </w:rPr>
              <w:t>Residuals</w:t>
            </w:r>
          </w:p>
        </w:tc>
        <w:tc>
          <w:tcPr>
            <w:tcW w:w="1123"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0,17</w:t>
            </w:r>
            <w:r w:rsidR="00A20FDF">
              <w:rPr>
                <w:rFonts w:ascii="Calibri" w:eastAsia="Times New Roman" w:hAnsi="Calibri" w:cs="Calibri"/>
                <w:color w:val="4F6228" w:themeColor="accent3" w:themeShade="80"/>
                <w:lang w:eastAsia="nl-NL"/>
              </w:rPr>
              <w:t>0</w:t>
            </w:r>
          </w:p>
        </w:tc>
        <w:tc>
          <w:tcPr>
            <w:tcW w:w="891" w:type="dxa"/>
            <w:tcBorders>
              <w:top w:val="nil"/>
              <w:left w:val="nil"/>
              <w:bottom w:val="nil"/>
              <w:right w:val="nil"/>
            </w:tcBorders>
            <w:shd w:val="clear" w:color="auto" w:fill="auto"/>
            <w:noWrap/>
            <w:vAlign w:val="bottom"/>
            <w:hideMark/>
          </w:tcPr>
          <w:p w:rsidR="008F0E13" w:rsidRPr="00A20FDF" w:rsidRDefault="008F0E13" w:rsidP="008F0E13">
            <w:pPr>
              <w:spacing w:after="0" w:line="240" w:lineRule="auto"/>
              <w:jc w:val="center"/>
              <w:rPr>
                <w:rFonts w:ascii="Calibri" w:eastAsia="Times New Roman" w:hAnsi="Calibri" w:cs="Calibri"/>
                <w:color w:val="4F6228" w:themeColor="accent3" w:themeShade="80"/>
                <w:lang w:eastAsia="nl-NL"/>
              </w:rPr>
            </w:pPr>
            <w:r w:rsidRPr="00A20FDF">
              <w:rPr>
                <w:rFonts w:ascii="Calibri" w:eastAsia="Times New Roman" w:hAnsi="Calibri" w:cs="Calibri"/>
                <w:color w:val="4F6228" w:themeColor="accent3" w:themeShade="80"/>
                <w:lang w:eastAsia="nl-NL"/>
              </w:rPr>
              <w:t>0,924</w:t>
            </w:r>
          </w:p>
        </w:tc>
      </w:tr>
    </w:tbl>
    <w:p w:rsidR="008F0E13" w:rsidRPr="00136D1C" w:rsidRDefault="008F0E13" w:rsidP="008F0E13">
      <w:pPr>
        <w:spacing w:line="360" w:lineRule="auto"/>
        <w:jc w:val="center"/>
        <w:rPr>
          <w:rFonts w:cstheme="minorHAnsi"/>
          <w:b/>
          <w:sz w:val="24"/>
          <w:lang w:val="en-GB"/>
        </w:rPr>
      </w:pPr>
    </w:p>
    <w:p w:rsidR="008F0E13" w:rsidRPr="00136D1C" w:rsidRDefault="008F0E13" w:rsidP="008F0E13">
      <w:pPr>
        <w:spacing w:line="360" w:lineRule="auto"/>
        <w:jc w:val="center"/>
        <w:rPr>
          <w:rFonts w:cstheme="minorHAnsi"/>
          <w:b/>
          <w:sz w:val="24"/>
          <w:lang w:val="en-GB"/>
        </w:rPr>
      </w:pPr>
      <w:r>
        <w:rPr>
          <w:rFonts w:cstheme="minorHAnsi"/>
          <w:b/>
          <w:sz w:val="24"/>
          <w:lang w:val="en-GB"/>
        </w:rPr>
        <w:t>Table 2</w:t>
      </w:r>
    </w:p>
    <w:p w:rsidR="008F0E13" w:rsidRPr="00136D1C" w:rsidRDefault="008F0E13" w:rsidP="008F0E13">
      <w:pPr>
        <w:spacing w:line="360" w:lineRule="auto"/>
        <w:jc w:val="center"/>
        <w:rPr>
          <w:rFonts w:cstheme="minorHAnsi"/>
          <w:b/>
          <w:sz w:val="24"/>
          <w:lang w:val="en-GB"/>
        </w:rPr>
      </w:pPr>
      <w:r w:rsidRPr="00136D1C">
        <w:rPr>
          <w:rFonts w:cstheme="minorHAnsi"/>
          <w:b/>
          <w:sz w:val="24"/>
          <w:lang w:val="en-GB"/>
        </w:rPr>
        <w:t>Levene’s Tests</w:t>
      </w:r>
    </w:p>
    <w:tbl>
      <w:tblPr>
        <w:tblW w:w="5963" w:type="dxa"/>
        <w:tblInd w:w="1562" w:type="dxa"/>
        <w:tblCellMar>
          <w:left w:w="70" w:type="dxa"/>
          <w:right w:w="70" w:type="dxa"/>
        </w:tblCellMar>
        <w:tblLook w:val="04A0"/>
      </w:tblPr>
      <w:tblGrid>
        <w:gridCol w:w="4273"/>
        <w:gridCol w:w="647"/>
        <w:gridCol w:w="1043"/>
      </w:tblGrid>
      <w:tr w:rsidR="008F0E13" w:rsidTr="008F0E13">
        <w:trPr>
          <w:trHeight w:val="300"/>
        </w:trPr>
        <w:tc>
          <w:tcPr>
            <w:tcW w:w="4273" w:type="dxa"/>
            <w:tcBorders>
              <w:top w:val="nil"/>
              <w:left w:val="nil"/>
              <w:bottom w:val="nil"/>
              <w:right w:val="nil"/>
            </w:tcBorders>
            <w:shd w:val="clear" w:color="auto" w:fill="auto"/>
            <w:noWrap/>
            <w:vAlign w:val="bottom"/>
            <w:hideMark/>
          </w:tcPr>
          <w:p w:rsidR="008F0E13" w:rsidRPr="00136D1C" w:rsidRDefault="008F0E13" w:rsidP="008F0E13">
            <w:pPr>
              <w:jc w:val="center"/>
              <w:rPr>
                <w:rFonts w:ascii="Calibri" w:hAnsi="Calibri" w:cs="Calibri"/>
                <w:b/>
                <w:color w:val="000000"/>
              </w:rPr>
            </w:pPr>
          </w:p>
        </w:tc>
        <w:tc>
          <w:tcPr>
            <w:tcW w:w="647" w:type="dxa"/>
            <w:tcBorders>
              <w:top w:val="nil"/>
              <w:left w:val="nil"/>
              <w:bottom w:val="nil"/>
              <w:right w:val="nil"/>
            </w:tcBorders>
            <w:shd w:val="clear" w:color="auto" w:fill="auto"/>
            <w:noWrap/>
            <w:vAlign w:val="bottom"/>
            <w:hideMark/>
          </w:tcPr>
          <w:p w:rsidR="008F0E13" w:rsidRPr="00136D1C" w:rsidRDefault="008F0E13" w:rsidP="008F0E13">
            <w:pPr>
              <w:jc w:val="center"/>
              <w:rPr>
                <w:rFonts w:ascii="Calibri" w:hAnsi="Calibri" w:cs="Calibri"/>
                <w:b/>
                <w:color w:val="000000"/>
              </w:rPr>
            </w:pPr>
            <w:r w:rsidRPr="00136D1C">
              <w:rPr>
                <w:rFonts w:ascii="Calibri" w:hAnsi="Calibri" w:cs="Calibri"/>
                <w:b/>
                <w:color w:val="000000"/>
              </w:rPr>
              <w:t>F</w:t>
            </w:r>
          </w:p>
        </w:tc>
        <w:tc>
          <w:tcPr>
            <w:tcW w:w="1043" w:type="dxa"/>
            <w:tcBorders>
              <w:top w:val="nil"/>
              <w:left w:val="nil"/>
              <w:bottom w:val="nil"/>
              <w:right w:val="nil"/>
            </w:tcBorders>
            <w:shd w:val="clear" w:color="auto" w:fill="auto"/>
            <w:noWrap/>
            <w:vAlign w:val="bottom"/>
            <w:hideMark/>
          </w:tcPr>
          <w:p w:rsidR="008F0E13" w:rsidRPr="00136D1C" w:rsidRDefault="008F0E13" w:rsidP="008F0E13">
            <w:pPr>
              <w:jc w:val="center"/>
              <w:rPr>
                <w:rFonts w:ascii="Calibri" w:hAnsi="Calibri" w:cs="Calibri"/>
                <w:b/>
                <w:color w:val="000000"/>
              </w:rPr>
            </w:pPr>
            <w:r w:rsidRPr="00136D1C">
              <w:rPr>
                <w:rFonts w:ascii="Calibri" w:hAnsi="Calibri" w:cs="Calibri"/>
                <w:b/>
                <w:color w:val="000000"/>
              </w:rPr>
              <w:t>Sig.</w:t>
            </w:r>
          </w:p>
        </w:tc>
      </w:tr>
      <w:tr w:rsidR="008F0E13" w:rsidTr="008F0E13">
        <w:trPr>
          <w:trHeight w:val="300"/>
        </w:trPr>
        <w:tc>
          <w:tcPr>
            <w:tcW w:w="4273" w:type="dxa"/>
            <w:tcBorders>
              <w:top w:val="nil"/>
              <w:left w:val="nil"/>
              <w:bottom w:val="nil"/>
              <w:right w:val="nil"/>
            </w:tcBorders>
            <w:shd w:val="clear" w:color="auto" w:fill="auto"/>
            <w:noWrap/>
            <w:vAlign w:val="bottom"/>
            <w:hideMark/>
          </w:tcPr>
          <w:p w:rsidR="008F0E13" w:rsidRPr="00136D1C" w:rsidRDefault="008F0E13" w:rsidP="008F0E13">
            <w:pPr>
              <w:rPr>
                <w:rFonts w:ascii="Calibri" w:hAnsi="Calibri" w:cs="Calibri"/>
                <w:b/>
                <w:color w:val="000000"/>
              </w:rPr>
            </w:pPr>
            <w:r w:rsidRPr="00136D1C">
              <w:rPr>
                <w:rFonts w:ascii="Calibri" w:hAnsi="Calibri" w:cs="Calibri"/>
                <w:b/>
                <w:color w:val="000000"/>
              </w:rPr>
              <w:t>Hypothesis 1 and 2</w:t>
            </w:r>
          </w:p>
        </w:tc>
        <w:tc>
          <w:tcPr>
            <w:tcW w:w="647" w:type="dxa"/>
            <w:tcBorders>
              <w:top w:val="nil"/>
              <w:left w:val="nil"/>
              <w:bottom w:val="nil"/>
              <w:right w:val="nil"/>
            </w:tcBorders>
            <w:shd w:val="clear" w:color="auto" w:fill="auto"/>
            <w:noWrap/>
            <w:vAlign w:val="bottom"/>
            <w:hideMark/>
          </w:tcPr>
          <w:p w:rsidR="008F0E13" w:rsidRDefault="008F0E13" w:rsidP="008F0E13">
            <w:pPr>
              <w:jc w:val="center"/>
              <w:rPr>
                <w:rFonts w:ascii="Calibri" w:hAnsi="Calibri" w:cs="Calibri"/>
                <w:color w:val="000000"/>
              </w:rPr>
            </w:pPr>
            <w:r>
              <w:rPr>
                <w:rFonts w:ascii="Calibri" w:hAnsi="Calibri" w:cs="Calibri"/>
                <w:color w:val="000000"/>
              </w:rPr>
              <w:t>2,075</w:t>
            </w:r>
          </w:p>
        </w:tc>
        <w:tc>
          <w:tcPr>
            <w:tcW w:w="1043" w:type="dxa"/>
            <w:tcBorders>
              <w:top w:val="nil"/>
              <w:left w:val="nil"/>
              <w:bottom w:val="nil"/>
              <w:right w:val="nil"/>
            </w:tcBorders>
            <w:shd w:val="clear" w:color="auto" w:fill="auto"/>
            <w:noWrap/>
            <w:vAlign w:val="bottom"/>
            <w:hideMark/>
          </w:tcPr>
          <w:p w:rsidR="008F0E13" w:rsidRDefault="008F0E13" w:rsidP="008F0E13">
            <w:pPr>
              <w:jc w:val="center"/>
              <w:rPr>
                <w:rFonts w:ascii="Calibri" w:hAnsi="Calibri" w:cs="Calibri"/>
                <w:color w:val="000000"/>
              </w:rPr>
            </w:pPr>
            <w:r>
              <w:rPr>
                <w:rFonts w:ascii="Calibri" w:hAnsi="Calibri" w:cs="Calibri"/>
                <w:color w:val="000000"/>
              </w:rPr>
              <w:t>0,103</w:t>
            </w:r>
          </w:p>
        </w:tc>
      </w:tr>
      <w:tr w:rsidR="008F0E13" w:rsidTr="008F0E13">
        <w:trPr>
          <w:trHeight w:val="300"/>
        </w:trPr>
        <w:tc>
          <w:tcPr>
            <w:tcW w:w="4273" w:type="dxa"/>
            <w:tcBorders>
              <w:top w:val="nil"/>
              <w:left w:val="nil"/>
              <w:bottom w:val="nil"/>
              <w:right w:val="nil"/>
            </w:tcBorders>
            <w:shd w:val="clear" w:color="auto" w:fill="auto"/>
            <w:noWrap/>
            <w:vAlign w:val="bottom"/>
            <w:hideMark/>
          </w:tcPr>
          <w:p w:rsidR="008F0E13" w:rsidRPr="00136D1C" w:rsidRDefault="008F0E13" w:rsidP="008F0E13">
            <w:pPr>
              <w:rPr>
                <w:rFonts w:ascii="Calibri" w:hAnsi="Calibri" w:cs="Calibri"/>
                <w:b/>
                <w:color w:val="000000"/>
              </w:rPr>
            </w:pPr>
            <w:r w:rsidRPr="00136D1C">
              <w:rPr>
                <w:rFonts w:ascii="Calibri" w:hAnsi="Calibri" w:cs="Calibri"/>
                <w:b/>
                <w:color w:val="000000"/>
              </w:rPr>
              <w:t>Hypothesis 3</w:t>
            </w:r>
          </w:p>
        </w:tc>
        <w:tc>
          <w:tcPr>
            <w:tcW w:w="647" w:type="dxa"/>
            <w:tcBorders>
              <w:top w:val="nil"/>
              <w:left w:val="nil"/>
              <w:bottom w:val="nil"/>
              <w:right w:val="nil"/>
            </w:tcBorders>
            <w:shd w:val="clear" w:color="auto" w:fill="auto"/>
            <w:noWrap/>
            <w:vAlign w:val="bottom"/>
            <w:hideMark/>
          </w:tcPr>
          <w:p w:rsidR="008F0E13" w:rsidRDefault="008F0E13" w:rsidP="008F0E13">
            <w:pPr>
              <w:jc w:val="center"/>
              <w:rPr>
                <w:rFonts w:ascii="Calibri" w:hAnsi="Calibri" w:cs="Calibri"/>
                <w:color w:val="000000"/>
              </w:rPr>
            </w:pPr>
            <w:r>
              <w:rPr>
                <w:rFonts w:ascii="Calibri" w:hAnsi="Calibri" w:cs="Calibri"/>
                <w:color w:val="000000"/>
              </w:rPr>
              <w:t>0,041</w:t>
            </w:r>
          </w:p>
        </w:tc>
        <w:tc>
          <w:tcPr>
            <w:tcW w:w="1043" w:type="dxa"/>
            <w:tcBorders>
              <w:top w:val="nil"/>
              <w:left w:val="nil"/>
              <w:bottom w:val="nil"/>
              <w:right w:val="nil"/>
            </w:tcBorders>
            <w:shd w:val="clear" w:color="auto" w:fill="auto"/>
            <w:noWrap/>
            <w:vAlign w:val="bottom"/>
            <w:hideMark/>
          </w:tcPr>
          <w:p w:rsidR="008F0E13" w:rsidRDefault="008F0E13" w:rsidP="008F0E13">
            <w:pPr>
              <w:jc w:val="center"/>
              <w:rPr>
                <w:rFonts w:ascii="Calibri" w:hAnsi="Calibri" w:cs="Calibri"/>
                <w:color w:val="000000"/>
              </w:rPr>
            </w:pPr>
            <w:r>
              <w:rPr>
                <w:rFonts w:ascii="Calibri" w:hAnsi="Calibri" w:cs="Calibri"/>
                <w:color w:val="000000"/>
              </w:rPr>
              <w:t>0,84</w:t>
            </w:r>
            <w:r w:rsidR="00A20FDF">
              <w:rPr>
                <w:rFonts w:ascii="Calibri" w:hAnsi="Calibri" w:cs="Calibri"/>
                <w:color w:val="000000"/>
              </w:rPr>
              <w:t>0</w:t>
            </w:r>
          </w:p>
        </w:tc>
      </w:tr>
      <w:tr w:rsidR="008F0E13" w:rsidTr="008F0E13">
        <w:trPr>
          <w:trHeight w:val="300"/>
        </w:trPr>
        <w:tc>
          <w:tcPr>
            <w:tcW w:w="4273" w:type="dxa"/>
            <w:tcBorders>
              <w:top w:val="nil"/>
              <w:left w:val="nil"/>
              <w:bottom w:val="nil"/>
              <w:right w:val="nil"/>
            </w:tcBorders>
            <w:shd w:val="clear" w:color="auto" w:fill="auto"/>
            <w:noWrap/>
            <w:vAlign w:val="bottom"/>
            <w:hideMark/>
          </w:tcPr>
          <w:p w:rsidR="008F0E13" w:rsidRPr="00136D1C" w:rsidRDefault="008F0E13" w:rsidP="008F0E13">
            <w:pPr>
              <w:rPr>
                <w:rFonts w:ascii="Calibri" w:hAnsi="Calibri" w:cs="Calibri"/>
                <w:b/>
                <w:color w:val="000000"/>
              </w:rPr>
            </w:pPr>
            <w:r w:rsidRPr="00136D1C">
              <w:rPr>
                <w:rFonts w:ascii="Calibri" w:hAnsi="Calibri" w:cs="Calibri"/>
                <w:b/>
                <w:color w:val="000000"/>
              </w:rPr>
              <w:t>Hypothesis 4</w:t>
            </w:r>
          </w:p>
        </w:tc>
        <w:tc>
          <w:tcPr>
            <w:tcW w:w="647" w:type="dxa"/>
            <w:tcBorders>
              <w:top w:val="nil"/>
              <w:left w:val="nil"/>
              <w:bottom w:val="nil"/>
              <w:right w:val="nil"/>
            </w:tcBorders>
            <w:shd w:val="clear" w:color="auto" w:fill="auto"/>
            <w:noWrap/>
            <w:vAlign w:val="bottom"/>
            <w:hideMark/>
          </w:tcPr>
          <w:p w:rsidR="008F0E13" w:rsidRDefault="008F0E13" w:rsidP="008F0E13">
            <w:pPr>
              <w:jc w:val="center"/>
              <w:rPr>
                <w:rFonts w:ascii="Calibri" w:hAnsi="Calibri" w:cs="Calibri"/>
                <w:color w:val="000000"/>
              </w:rPr>
            </w:pPr>
            <w:r>
              <w:rPr>
                <w:rFonts w:ascii="Calibri" w:hAnsi="Calibri" w:cs="Calibri"/>
                <w:color w:val="000000"/>
              </w:rPr>
              <w:t>0,007</w:t>
            </w:r>
          </w:p>
        </w:tc>
        <w:tc>
          <w:tcPr>
            <w:tcW w:w="1043" w:type="dxa"/>
            <w:tcBorders>
              <w:top w:val="nil"/>
              <w:left w:val="nil"/>
              <w:bottom w:val="nil"/>
              <w:right w:val="nil"/>
            </w:tcBorders>
            <w:shd w:val="clear" w:color="auto" w:fill="auto"/>
            <w:noWrap/>
            <w:vAlign w:val="bottom"/>
            <w:hideMark/>
          </w:tcPr>
          <w:p w:rsidR="008F0E13" w:rsidRDefault="008F0E13" w:rsidP="008F0E13">
            <w:pPr>
              <w:jc w:val="center"/>
              <w:rPr>
                <w:rFonts w:ascii="Calibri" w:hAnsi="Calibri" w:cs="Calibri"/>
                <w:color w:val="000000"/>
              </w:rPr>
            </w:pPr>
            <w:r>
              <w:rPr>
                <w:rFonts w:ascii="Calibri" w:hAnsi="Calibri" w:cs="Calibri"/>
                <w:color w:val="000000"/>
              </w:rPr>
              <w:t>0,934</w:t>
            </w:r>
          </w:p>
        </w:tc>
      </w:tr>
    </w:tbl>
    <w:p w:rsidR="008F0E13" w:rsidRPr="00BE3808" w:rsidRDefault="008F0E13" w:rsidP="008F0E13">
      <w:pPr>
        <w:spacing w:line="360" w:lineRule="auto"/>
        <w:rPr>
          <w:rFonts w:cstheme="minorHAnsi"/>
          <w:sz w:val="20"/>
          <w:lang w:val="en-GB"/>
        </w:rPr>
      </w:pPr>
    </w:p>
    <w:p w:rsidR="008F0E13" w:rsidRDefault="008F0E13" w:rsidP="008F0E13">
      <w:pPr>
        <w:spacing w:line="360" w:lineRule="auto"/>
        <w:rPr>
          <w:rFonts w:cstheme="minorHAnsi"/>
          <w:b/>
          <w:bCs/>
          <w:sz w:val="20"/>
          <w:lang w:val="en-GB"/>
        </w:rPr>
      </w:pPr>
    </w:p>
    <w:p w:rsidR="008F0E13" w:rsidRPr="00136D1C" w:rsidRDefault="008F0E13" w:rsidP="008F0E13">
      <w:pPr>
        <w:spacing w:line="360" w:lineRule="auto"/>
        <w:jc w:val="center"/>
        <w:rPr>
          <w:rFonts w:cstheme="minorHAnsi"/>
          <w:b/>
          <w:bCs/>
          <w:sz w:val="24"/>
          <w:lang w:val="en-GB"/>
        </w:rPr>
      </w:pPr>
      <w:r>
        <w:rPr>
          <w:rFonts w:cstheme="minorHAnsi"/>
          <w:b/>
          <w:bCs/>
          <w:sz w:val="24"/>
          <w:lang w:val="en-GB"/>
        </w:rPr>
        <w:t>Table 3</w:t>
      </w:r>
    </w:p>
    <w:p w:rsidR="008F0E13" w:rsidRPr="00136D1C" w:rsidRDefault="008F0E13" w:rsidP="008F0E13">
      <w:pPr>
        <w:spacing w:line="360" w:lineRule="auto"/>
        <w:jc w:val="center"/>
        <w:rPr>
          <w:rFonts w:cstheme="minorHAnsi"/>
          <w:sz w:val="24"/>
          <w:lang w:val="en-GB"/>
        </w:rPr>
      </w:pPr>
      <w:r w:rsidRPr="00136D1C">
        <w:rPr>
          <w:rFonts w:cstheme="minorHAnsi"/>
          <w:b/>
          <w:bCs/>
          <w:sz w:val="24"/>
          <w:lang w:val="en-GB"/>
        </w:rPr>
        <w:t>ANOVA Results</w:t>
      </w:r>
    </w:p>
    <w:tbl>
      <w:tblPr>
        <w:tblW w:w="5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3511"/>
        <w:gridCol w:w="1661"/>
      </w:tblGrid>
      <w:tr w:rsidR="008F0E13" w:rsidRPr="00BE3808" w:rsidTr="008F0E13">
        <w:trPr>
          <w:cantSplit/>
          <w:tblHeader/>
        </w:trPr>
        <w:tc>
          <w:tcPr>
            <w:tcW w:w="3511"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8F0E13" w:rsidRPr="00BE3808" w:rsidRDefault="008F0E13" w:rsidP="008F0E13">
            <w:pPr>
              <w:spacing w:line="320" w:lineRule="atLeast"/>
              <w:ind w:left="60" w:right="60"/>
              <w:jc w:val="center"/>
              <w:rPr>
                <w:rFonts w:cstheme="minorHAnsi"/>
                <w:sz w:val="20"/>
              </w:rPr>
            </w:pPr>
            <w:r w:rsidRPr="00BE3808">
              <w:rPr>
                <w:rFonts w:cstheme="minorHAnsi"/>
                <w:sz w:val="20"/>
              </w:rPr>
              <w:t>Source</w:t>
            </w:r>
          </w:p>
        </w:tc>
        <w:tc>
          <w:tcPr>
            <w:tcW w:w="1661" w:type="dxa"/>
            <w:tcBorders>
              <w:top w:val="single" w:sz="16" w:space="0" w:color="000000"/>
              <w:left w:val="single" w:sz="16" w:space="0" w:color="000000"/>
              <w:bottom w:val="single" w:sz="16" w:space="0" w:color="000000"/>
            </w:tcBorders>
            <w:shd w:val="clear" w:color="auto" w:fill="FFFFFF"/>
            <w:vAlign w:val="bottom"/>
          </w:tcPr>
          <w:p w:rsidR="008F0E13" w:rsidRPr="00BE3808" w:rsidRDefault="008F0E13" w:rsidP="008F0E13">
            <w:pPr>
              <w:spacing w:line="320" w:lineRule="atLeast"/>
              <w:ind w:left="60" w:right="60"/>
              <w:jc w:val="center"/>
              <w:rPr>
                <w:rFonts w:cstheme="minorHAnsi"/>
                <w:sz w:val="20"/>
              </w:rPr>
            </w:pPr>
            <w:r w:rsidRPr="00BE3808">
              <w:rPr>
                <w:rFonts w:cstheme="minorHAnsi"/>
                <w:sz w:val="20"/>
              </w:rPr>
              <w:t>Sig.</w:t>
            </w:r>
          </w:p>
        </w:tc>
      </w:tr>
      <w:tr w:rsidR="008F0E13" w:rsidRPr="00BE3808" w:rsidTr="008F0E13">
        <w:trPr>
          <w:cantSplit/>
          <w:tblHeader/>
        </w:trPr>
        <w:tc>
          <w:tcPr>
            <w:tcW w:w="3511" w:type="dxa"/>
            <w:tcBorders>
              <w:top w:val="single" w:sz="16" w:space="0" w:color="000000"/>
              <w:left w:val="single" w:sz="16" w:space="0" w:color="000000"/>
              <w:bottom w:val="nil"/>
              <w:right w:val="single" w:sz="16" w:space="0" w:color="000000"/>
            </w:tcBorders>
            <w:shd w:val="clear" w:color="auto" w:fill="FFFFFF"/>
          </w:tcPr>
          <w:p w:rsidR="008F0E13" w:rsidRPr="00BE3808" w:rsidRDefault="008F0E13" w:rsidP="008F0E13">
            <w:pPr>
              <w:spacing w:line="320" w:lineRule="atLeast"/>
              <w:ind w:left="60" w:right="60"/>
              <w:jc w:val="center"/>
              <w:rPr>
                <w:rFonts w:cstheme="minorHAnsi"/>
                <w:sz w:val="20"/>
              </w:rPr>
            </w:pPr>
            <w:r w:rsidRPr="00BE3808">
              <w:rPr>
                <w:rFonts w:cstheme="minorHAnsi"/>
                <w:sz w:val="20"/>
              </w:rPr>
              <w:t>Corrected Model</w:t>
            </w:r>
          </w:p>
        </w:tc>
        <w:tc>
          <w:tcPr>
            <w:tcW w:w="1661" w:type="dxa"/>
            <w:tcBorders>
              <w:top w:val="single" w:sz="16" w:space="0" w:color="000000"/>
              <w:left w:val="single" w:sz="16" w:space="0" w:color="000000"/>
              <w:bottom w:val="nil"/>
            </w:tcBorders>
            <w:shd w:val="clear" w:color="auto" w:fill="FFFFFF"/>
          </w:tcPr>
          <w:p w:rsidR="008F0E13" w:rsidRPr="00BE3808" w:rsidRDefault="008F0E13" w:rsidP="008F0E13">
            <w:pPr>
              <w:spacing w:line="320" w:lineRule="atLeast"/>
              <w:ind w:left="60" w:right="60"/>
              <w:jc w:val="center"/>
              <w:rPr>
                <w:rFonts w:cstheme="minorHAnsi"/>
                <w:sz w:val="20"/>
              </w:rPr>
            </w:pPr>
            <w:r w:rsidRPr="00BE3808">
              <w:rPr>
                <w:rFonts w:cstheme="minorHAnsi"/>
                <w:sz w:val="20"/>
              </w:rPr>
              <w:t>.418</w:t>
            </w:r>
          </w:p>
        </w:tc>
      </w:tr>
      <w:tr w:rsidR="008F0E13" w:rsidRPr="00BE3808" w:rsidTr="008F0E13">
        <w:trPr>
          <w:cantSplit/>
          <w:tblHeader/>
        </w:trPr>
        <w:tc>
          <w:tcPr>
            <w:tcW w:w="3511" w:type="dxa"/>
            <w:tcBorders>
              <w:top w:val="nil"/>
              <w:left w:val="single" w:sz="16" w:space="0" w:color="000000"/>
              <w:bottom w:val="nil"/>
              <w:right w:val="single" w:sz="16" w:space="0" w:color="000000"/>
            </w:tcBorders>
            <w:shd w:val="clear" w:color="auto" w:fill="FFFFFF"/>
          </w:tcPr>
          <w:p w:rsidR="008F0E13" w:rsidRPr="00BE3808" w:rsidRDefault="008F0E13" w:rsidP="008F0E13">
            <w:pPr>
              <w:spacing w:line="320" w:lineRule="atLeast"/>
              <w:ind w:left="60" w:right="60"/>
              <w:jc w:val="center"/>
              <w:rPr>
                <w:rFonts w:cstheme="minorHAnsi"/>
                <w:sz w:val="20"/>
              </w:rPr>
            </w:pPr>
            <w:r w:rsidRPr="00BE3808">
              <w:rPr>
                <w:rFonts w:cstheme="minorHAnsi"/>
                <w:sz w:val="20"/>
              </w:rPr>
              <w:t>Intercept</w:t>
            </w:r>
          </w:p>
        </w:tc>
        <w:tc>
          <w:tcPr>
            <w:tcW w:w="1661" w:type="dxa"/>
            <w:tcBorders>
              <w:top w:val="nil"/>
              <w:left w:val="single" w:sz="16" w:space="0" w:color="000000"/>
              <w:bottom w:val="nil"/>
            </w:tcBorders>
            <w:shd w:val="clear" w:color="auto" w:fill="FFFFFF"/>
          </w:tcPr>
          <w:p w:rsidR="008F0E13" w:rsidRPr="00BE3808" w:rsidRDefault="008F0E13" w:rsidP="008F0E13">
            <w:pPr>
              <w:spacing w:line="320" w:lineRule="atLeast"/>
              <w:ind w:left="60" w:right="60"/>
              <w:jc w:val="center"/>
              <w:rPr>
                <w:rFonts w:cstheme="minorHAnsi"/>
                <w:sz w:val="20"/>
              </w:rPr>
            </w:pPr>
            <w:r w:rsidRPr="00BE3808">
              <w:rPr>
                <w:rFonts w:cstheme="minorHAnsi"/>
                <w:sz w:val="20"/>
              </w:rPr>
              <w:t>.010</w:t>
            </w:r>
          </w:p>
        </w:tc>
      </w:tr>
      <w:tr w:rsidR="008F0E13" w:rsidRPr="00BE3808" w:rsidTr="008F0E13">
        <w:trPr>
          <w:cantSplit/>
        </w:trPr>
        <w:tc>
          <w:tcPr>
            <w:tcW w:w="3511" w:type="dxa"/>
            <w:tcBorders>
              <w:top w:val="nil"/>
              <w:left w:val="single" w:sz="16" w:space="0" w:color="000000"/>
              <w:bottom w:val="single" w:sz="16" w:space="0" w:color="000000"/>
              <w:right w:val="single" w:sz="16" w:space="0" w:color="000000"/>
            </w:tcBorders>
            <w:shd w:val="clear" w:color="auto" w:fill="FFFFFF"/>
          </w:tcPr>
          <w:p w:rsidR="008F0E13" w:rsidRPr="00BE3808" w:rsidRDefault="00A20FDF" w:rsidP="00A20FDF">
            <w:pPr>
              <w:spacing w:line="320" w:lineRule="atLeast"/>
              <w:ind w:left="60" w:right="60"/>
              <w:jc w:val="center"/>
              <w:rPr>
                <w:rFonts w:cstheme="minorHAnsi"/>
                <w:sz w:val="20"/>
              </w:rPr>
            </w:pPr>
            <w:r>
              <w:rPr>
                <w:rFonts w:cstheme="minorHAnsi"/>
                <w:sz w:val="20"/>
              </w:rPr>
              <w:t>Grou</w:t>
            </w:r>
            <w:r w:rsidR="008F0E13" w:rsidRPr="00BE3808">
              <w:rPr>
                <w:rFonts w:cstheme="minorHAnsi"/>
                <w:sz w:val="20"/>
              </w:rPr>
              <w:t>p</w:t>
            </w:r>
            <w:r>
              <w:rPr>
                <w:rFonts w:cstheme="minorHAnsi"/>
                <w:sz w:val="20"/>
              </w:rPr>
              <w:t>_year</w:t>
            </w:r>
          </w:p>
        </w:tc>
        <w:tc>
          <w:tcPr>
            <w:tcW w:w="1661" w:type="dxa"/>
            <w:tcBorders>
              <w:top w:val="nil"/>
              <w:left w:val="single" w:sz="16" w:space="0" w:color="000000"/>
              <w:bottom w:val="single" w:sz="16" w:space="0" w:color="000000"/>
            </w:tcBorders>
            <w:shd w:val="clear" w:color="auto" w:fill="FFFFFF"/>
          </w:tcPr>
          <w:p w:rsidR="008F0E13" w:rsidRPr="00BE3808" w:rsidRDefault="008F0E13" w:rsidP="008F0E13">
            <w:pPr>
              <w:spacing w:line="320" w:lineRule="atLeast"/>
              <w:ind w:left="60" w:right="60"/>
              <w:jc w:val="center"/>
              <w:rPr>
                <w:rFonts w:cstheme="minorHAnsi"/>
                <w:sz w:val="20"/>
              </w:rPr>
            </w:pPr>
            <w:r w:rsidRPr="00BE3808">
              <w:rPr>
                <w:rFonts w:cstheme="minorHAnsi"/>
                <w:sz w:val="20"/>
              </w:rPr>
              <w:t>.418</w:t>
            </w:r>
          </w:p>
        </w:tc>
      </w:tr>
    </w:tbl>
    <w:tbl>
      <w:tblPr>
        <w:tblpPr w:leftFromText="141" w:rightFromText="141" w:vertAnchor="text" w:horzAnchor="margin" w:tblpY="374"/>
        <w:tblW w:w="9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851"/>
        <w:gridCol w:w="2905"/>
        <w:gridCol w:w="1693"/>
        <w:gridCol w:w="1690"/>
      </w:tblGrid>
      <w:tr w:rsidR="008F0E13" w:rsidTr="008F0E13">
        <w:trPr>
          <w:cantSplit/>
          <w:trHeight w:val="519"/>
          <w:tblHeader/>
        </w:trPr>
        <w:tc>
          <w:tcPr>
            <w:tcW w:w="9139" w:type="dxa"/>
            <w:gridSpan w:val="4"/>
            <w:tcBorders>
              <w:top w:val="nil"/>
              <w:left w:val="nil"/>
              <w:bottom w:val="nil"/>
              <w:right w:val="nil"/>
            </w:tcBorders>
            <w:shd w:val="clear" w:color="auto" w:fill="FFFFFF"/>
            <w:vAlign w:val="center"/>
          </w:tcPr>
          <w:p w:rsidR="008F0E13" w:rsidRDefault="008F0E13" w:rsidP="008F0E13">
            <w:pPr>
              <w:spacing w:line="320" w:lineRule="atLeast"/>
              <w:ind w:right="60"/>
              <w:rPr>
                <w:rFonts w:ascii="Arial" w:hAnsi="Arial" w:cs="Arial"/>
                <w:sz w:val="18"/>
                <w:szCs w:val="18"/>
              </w:rPr>
            </w:pPr>
          </w:p>
        </w:tc>
      </w:tr>
      <w:tr w:rsidR="008F0E13" w:rsidTr="008F0E13">
        <w:trPr>
          <w:cantSplit/>
          <w:trHeight w:val="519"/>
          <w:tblHeader/>
        </w:trPr>
        <w:tc>
          <w:tcPr>
            <w:tcW w:w="9139" w:type="dxa"/>
            <w:gridSpan w:val="4"/>
            <w:tcBorders>
              <w:top w:val="nil"/>
              <w:left w:val="nil"/>
              <w:bottom w:val="nil"/>
              <w:right w:val="nil"/>
            </w:tcBorders>
            <w:shd w:val="clear" w:color="auto" w:fill="FFFFFF"/>
            <w:vAlign w:val="bottom"/>
          </w:tcPr>
          <w:p w:rsidR="008F0E13" w:rsidRPr="00136D1C" w:rsidRDefault="008F0E13" w:rsidP="008F0E13">
            <w:pPr>
              <w:spacing w:line="320" w:lineRule="atLeast"/>
              <w:ind w:right="60"/>
              <w:jc w:val="center"/>
              <w:rPr>
                <w:rFonts w:ascii="Arial" w:hAnsi="Arial" w:cs="Arial"/>
                <w:b/>
                <w:sz w:val="18"/>
                <w:szCs w:val="18"/>
              </w:rPr>
            </w:pPr>
            <w:r w:rsidRPr="00136D1C">
              <w:rPr>
                <w:rFonts w:ascii="Arial" w:hAnsi="Arial" w:cs="Arial"/>
                <w:b/>
                <w:szCs w:val="18"/>
              </w:rPr>
              <w:t>Post-Hoc Tests</w:t>
            </w:r>
          </w:p>
        </w:tc>
      </w:tr>
      <w:tr w:rsidR="008F0E13" w:rsidTr="008F0E13">
        <w:trPr>
          <w:cantSplit/>
          <w:trHeight w:val="519"/>
          <w:tblHeader/>
        </w:trPr>
        <w:tc>
          <w:tcPr>
            <w:tcW w:w="2851" w:type="dxa"/>
            <w:vMerge w:val="restart"/>
            <w:tcBorders>
              <w:top w:val="single" w:sz="16" w:space="0" w:color="000000"/>
              <w:left w:val="single" w:sz="16" w:space="0" w:color="000000"/>
              <w:bottom w:val="single" w:sz="16" w:space="0" w:color="000000"/>
              <w:right w:val="nil"/>
            </w:tcBorders>
            <w:shd w:val="clear" w:color="auto" w:fill="FFFFFF"/>
            <w:vAlign w:val="bottom"/>
          </w:tcPr>
          <w:p w:rsidR="008F0E13" w:rsidRDefault="00A20FDF" w:rsidP="00A20FDF">
            <w:pPr>
              <w:spacing w:line="320" w:lineRule="atLeast"/>
              <w:ind w:left="60" w:right="60"/>
              <w:jc w:val="center"/>
              <w:rPr>
                <w:rFonts w:ascii="Arial" w:hAnsi="Arial" w:cs="Arial"/>
                <w:sz w:val="18"/>
                <w:szCs w:val="18"/>
              </w:rPr>
            </w:pPr>
            <w:r>
              <w:rPr>
                <w:rFonts w:ascii="Arial" w:hAnsi="Arial" w:cs="Arial"/>
                <w:sz w:val="18"/>
                <w:szCs w:val="18"/>
              </w:rPr>
              <w:t>(I) Grou</w:t>
            </w:r>
            <w:r w:rsidR="008F0E13">
              <w:rPr>
                <w:rFonts w:ascii="Arial" w:hAnsi="Arial" w:cs="Arial"/>
                <w:sz w:val="18"/>
                <w:szCs w:val="18"/>
              </w:rPr>
              <w:t>p_</w:t>
            </w:r>
            <w:r>
              <w:rPr>
                <w:rFonts w:ascii="Arial" w:hAnsi="Arial" w:cs="Arial"/>
                <w:sz w:val="18"/>
                <w:szCs w:val="18"/>
              </w:rPr>
              <w:t>year</w:t>
            </w:r>
          </w:p>
        </w:tc>
        <w:tc>
          <w:tcPr>
            <w:tcW w:w="2905" w:type="dxa"/>
            <w:vMerge w:val="restart"/>
            <w:tcBorders>
              <w:top w:val="single" w:sz="16" w:space="0" w:color="000000"/>
              <w:left w:val="nil"/>
              <w:bottom w:val="single" w:sz="16" w:space="0" w:color="000000"/>
              <w:right w:val="single" w:sz="16" w:space="0" w:color="000000"/>
            </w:tcBorders>
            <w:shd w:val="clear" w:color="auto" w:fill="FFFFFF"/>
            <w:vAlign w:val="bottom"/>
          </w:tcPr>
          <w:p w:rsidR="008F0E13" w:rsidRDefault="008F0E13" w:rsidP="00A20FDF">
            <w:pPr>
              <w:spacing w:line="320" w:lineRule="atLeast"/>
              <w:ind w:left="60" w:right="60"/>
              <w:jc w:val="center"/>
              <w:rPr>
                <w:rFonts w:ascii="Arial" w:hAnsi="Arial" w:cs="Arial"/>
                <w:sz w:val="18"/>
                <w:szCs w:val="18"/>
              </w:rPr>
            </w:pPr>
            <w:r>
              <w:rPr>
                <w:rFonts w:ascii="Arial" w:hAnsi="Arial" w:cs="Arial"/>
                <w:sz w:val="18"/>
                <w:szCs w:val="18"/>
              </w:rPr>
              <w:t xml:space="preserve">(J) </w:t>
            </w:r>
            <w:r w:rsidR="00A20FDF">
              <w:rPr>
                <w:rFonts w:ascii="Arial" w:hAnsi="Arial" w:cs="Arial"/>
                <w:sz w:val="18"/>
                <w:szCs w:val="18"/>
              </w:rPr>
              <w:t>Group_year</w:t>
            </w:r>
          </w:p>
        </w:tc>
        <w:tc>
          <w:tcPr>
            <w:tcW w:w="3383" w:type="dxa"/>
            <w:gridSpan w:val="2"/>
            <w:tcBorders>
              <w:top w:val="single" w:sz="16" w:space="0" w:color="000000"/>
              <w:left w:val="single" w:sz="16" w:space="0" w:color="000000"/>
              <w:right w:val="single" w:sz="16" w:space="0" w:color="000000"/>
            </w:tcBorders>
            <w:shd w:val="clear" w:color="auto" w:fill="FFFFFF"/>
            <w:vAlign w:val="bottom"/>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95% Confidence Interval</w:t>
            </w:r>
          </w:p>
        </w:tc>
      </w:tr>
      <w:tr w:rsidR="008F0E13" w:rsidTr="008F0E13">
        <w:trPr>
          <w:cantSplit/>
          <w:trHeight w:val="144"/>
          <w:tblHeader/>
        </w:trPr>
        <w:tc>
          <w:tcPr>
            <w:tcW w:w="2851" w:type="dxa"/>
            <w:vMerge/>
            <w:tcBorders>
              <w:top w:val="single" w:sz="16" w:space="0" w:color="000000"/>
              <w:left w:val="single" w:sz="16" w:space="0" w:color="000000"/>
              <w:bottom w:val="single" w:sz="16" w:space="0" w:color="000000"/>
              <w:right w:val="nil"/>
            </w:tcBorders>
            <w:shd w:val="clear" w:color="auto" w:fill="FFFFFF"/>
            <w:vAlign w:val="bottom"/>
          </w:tcPr>
          <w:p w:rsidR="008F0E13" w:rsidRDefault="008F0E13" w:rsidP="008F0E13">
            <w:pPr>
              <w:jc w:val="center"/>
              <w:rPr>
                <w:rFonts w:ascii="Arial" w:hAnsi="Arial" w:cs="Arial"/>
                <w:sz w:val="18"/>
                <w:szCs w:val="18"/>
              </w:rPr>
            </w:pPr>
          </w:p>
        </w:tc>
        <w:tc>
          <w:tcPr>
            <w:tcW w:w="2905" w:type="dxa"/>
            <w:vMerge/>
            <w:tcBorders>
              <w:top w:val="single" w:sz="16" w:space="0" w:color="000000"/>
              <w:left w:val="nil"/>
              <w:bottom w:val="single" w:sz="16" w:space="0" w:color="000000"/>
              <w:right w:val="single" w:sz="16" w:space="0" w:color="000000"/>
            </w:tcBorders>
            <w:shd w:val="clear" w:color="auto" w:fill="FFFFFF"/>
            <w:vAlign w:val="bottom"/>
          </w:tcPr>
          <w:p w:rsidR="008F0E13" w:rsidRDefault="008F0E13" w:rsidP="008F0E13">
            <w:pPr>
              <w:jc w:val="center"/>
              <w:rPr>
                <w:rFonts w:ascii="Arial" w:hAnsi="Arial" w:cs="Arial"/>
                <w:sz w:val="18"/>
                <w:szCs w:val="18"/>
              </w:rPr>
            </w:pPr>
          </w:p>
        </w:tc>
        <w:tc>
          <w:tcPr>
            <w:tcW w:w="1693" w:type="dxa"/>
            <w:tcBorders>
              <w:left w:val="single" w:sz="16" w:space="0" w:color="000000"/>
              <w:bottom w:val="single" w:sz="16" w:space="0" w:color="000000"/>
            </w:tcBorders>
            <w:shd w:val="clear" w:color="auto" w:fill="FFFFFF"/>
            <w:vAlign w:val="bottom"/>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Lower Bound</w:t>
            </w:r>
          </w:p>
        </w:tc>
        <w:tc>
          <w:tcPr>
            <w:tcW w:w="1690" w:type="dxa"/>
            <w:tcBorders>
              <w:bottom w:val="single" w:sz="16" w:space="0" w:color="000000"/>
              <w:right w:val="single" w:sz="16" w:space="0" w:color="000000"/>
            </w:tcBorders>
            <w:shd w:val="clear" w:color="auto" w:fill="FFFFFF"/>
            <w:vAlign w:val="bottom"/>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Upper Bound</w:t>
            </w:r>
          </w:p>
        </w:tc>
      </w:tr>
      <w:tr w:rsidR="008F0E13" w:rsidTr="008F0E13">
        <w:trPr>
          <w:cantSplit/>
          <w:trHeight w:val="519"/>
          <w:tblHeader/>
        </w:trPr>
        <w:tc>
          <w:tcPr>
            <w:tcW w:w="2851" w:type="dxa"/>
            <w:vMerge w:val="restart"/>
            <w:tcBorders>
              <w:top w:val="single" w:sz="16" w:space="0" w:color="000000"/>
              <w:left w:val="single" w:sz="16" w:space="0" w:color="000000"/>
              <w:right w:val="nil"/>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control 2006</w:t>
            </w:r>
          </w:p>
        </w:tc>
        <w:tc>
          <w:tcPr>
            <w:tcW w:w="2905" w:type="dxa"/>
            <w:tcBorders>
              <w:top w:val="single" w:sz="16" w:space="0" w:color="000000"/>
              <w:left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control 2011</w:t>
            </w:r>
          </w:p>
        </w:tc>
        <w:tc>
          <w:tcPr>
            <w:tcW w:w="1693" w:type="dxa"/>
            <w:tcBorders>
              <w:top w:val="single" w:sz="16" w:space="0" w:color="000000"/>
              <w:left w:val="single" w:sz="16" w:space="0" w:color="000000"/>
              <w:bottom w:val="nil"/>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-.0400499</w:t>
            </w:r>
          </w:p>
        </w:tc>
        <w:tc>
          <w:tcPr>
            <w:tcW w:w="1690" w:type="dxa"/>
            <w:tcBorders>
              <w:top w:val="single" w:sz="16" w:space="0" w:color="000000"/>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.0343621</w:t>
            </w:r>
          </w:p>
        </w:tc>
      </w:tr>
      <w:tr w:rsidR="008F0E13" w:rsidTr="008F0E13">
        <w:trPr>
          <w:cantSplit/>
          <w:trHeight w:val="144"/>
          <w:tblHeader/>
        </w:trPr>
        <w:tc>
          <w:tcPr>
            <w:tcW w:w="2851" w:type="dxa"/>
            <w:vMerge/>
            <w:tcBorders>
              <w:top w:val="single" w:sz="16" w:space="0" w:color="000000"/>
              <w:left w:val="single" w:sz="16" w:space="0" w:color="000000"/>
              <w:right w:val="nil"/>
            </w:tcBorders>
            <w:shd w:val="clear" w:color="auto" w:fill="FFFFFF"/>
          </w:tcPr>
          <w:p w:rsidR="008F0E13" w:rsidRDefault="008F0E13" w:rsidP="008F0E13">
            <w:pPr>
              <w:jc w:val="center"/>
              <w:rPr>
                <w:rFonts w:ascii="Arial" w:hAnsi="Arial" w:cs="Arial"/>
                <w:sz w:val="18"/>
                <w:szCs w:val="18"/>
              </w:rPr>
            </w:pPr>
          </w:p>
        </w:tc>
        <w:tc>
          <w:tcPr>
            <w:tcW w:w="2905" w:type="dxa"/>
            <w:tcBorders>
              <w:top w:val="nil"/>
              <w:left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exp 2006</w:t>
            </w:r>
          </w:p>
        </w:tc>
        <w:tc>
          <w:tcPr>
            <w:tcW w:w="1693" w:type="dxa"/>
            <w:tcBorders>
              <w:top w:val="nil"/>
              <w:left w:val="single" w:sz="16" w:space="0" w:color="000000"/>
              <w:bottom w:val="nil"/>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-.0271143</w:t>
            </w:r>
          </w:p>
        </w:tc>
        <w:tc>
          <w:tcPr>
            <w:tcW w:w="1690" w:type="dxa"/>
            <w:tcBorders>
              <w:top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.0324103</w:t>
            </w:r>
          </w:p>
        </w:tc>
      </w:tr>
      <w:tr w:rsidR="008F0E13" w:rsidTr="008F0E13">
        <w:trPr>
          <w:cantSplit/>
          <w:trHeight w:val="144"/>
          <w:tblHeader/>
        </w:trPr>
        <w:tc>
          <w:tcPr>
            <w:tcW w:w="2851" w:type="dxa"/>
            <w:vMerge/>
            <w:tcBorders>
              <w:top w:val="single" w:sz="16" w:space="0" w:color="000000"/>
              <w:left w:val="single" w:sz="16" w:space="0" w:color="000000"/>
              <w:right w:val="nil"/>
            </w:tcBorders>
            <w:shd w:val="clear" w:color="auto" w:fill="FFFFFF"/>
          </w:tcPr>
          <w:p w:rsidR="008F0E13" w:rsidRDefault="008F0E13" w:rsidP="008F0E13">
            <w:pPr>
              <w:jc w:val="center"/>
              <w:rPr>
                <w:rFonts w:ascii="Arial" w:hAnsi="Arial" w:cs="Arial"/>
                <w:sz w:val="18"/>
                <w:szCs w:val="18"/>
              </w:rPr>
            </w:pPr>
          </w:p>
        </w:tc>
        <w:tc>
          <w:tcPr>
            <w:tcW w:w="2905" w:type="dxa"/>
            <w:tcBorders>
              <w:top w:val="nil"/>
              <w:left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exp 2011</w:t>
            </w:r>
          </w:p>
        </w:tc>
        <w:tc>
          <w:tcPr>
            <w:tcW w:w="1693" w:type="dxa"/>
            <w:tcBorders>
              <w:top w:val="nil"/>
              <w:lef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-.0156530</w:t>
            </w:r>
          </w:p>
        </w:tc>
        <w:tc>
          <w:tcPr>
            <w:tcW w:w="1690" w:type="dxa"/>
            <w:tcBorders>
              <w:top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.0571902</w:t>
            </w:r>
          </w:p>
        </w:tc>
      </w:tr>
      <w:tr w:rsidR="008F0E13" w:rsidTr="008F0E13">
        <w:trPr>
          <w:cantSplit/>
          <w:trHeight w:val="519"/>
          <w:tblHeader/>
        </w:trPr>
        <w:tc>
          <w:tcPr>
            <w:tcW w:w="2851" w:type="dxa"/>
            <w:vMerge w:val="restart"/>
            <w:tcBorders>
              <w:left w:val="single" w:sz="16" w:space="0" w:color="000000"/>
              <w:right w:val="nil"/>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control 2011</w:t>
            </w:r>
          </w:p>
        </w:tc>
        <w:tc>
          <w:tcPr>
            <w:tcW w:w="2905" w:type="dxa"/>
            <w:tcBorders>
              <w:left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control 2006</w:t>
            </w:r>
          </w:p>
        </w:tc>
        <w:tc>
          <w:tcPr>
            <w:tcW w:w="1693" w:type="dxa"/>
            <w:tcBorders>
              <w:left w:val="single" w:sz="16" w:space="0" w:color="000000"/>
              <w:bottom w:val="nil"/>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-.0343621</w:t>
            </w:r>
          </w:p>
        </w:tc>
        <w:tc>
          <w:tcPr>
            <w:tcW w:w="1690" w:type="dxa"/>
            <w:tcBorders>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.0400499</w:t>
            </w:r>
          </w:p>
        </w:tc>
      </w:tr>
      <w:tr w:rsidR="008F0E13" w:rsidTr="008F0E13">
        <w:trPr>
          <w:cantSplit/>
          <w:trHeight w:val="144"/>
          <w:tblHeader/>
        </w:trPr>
        <w:tc>
          <w:tcPr>
            <w:tcW w:w="2851" w:type="dxa"/>
            <w:vMerge/>
            <w:tcBorders>
              <w:left w:val="single" w:sz="16" w:space="0" w:color="000000"/>
              <w:right w:val="nil"/>
            </w:tcBorders>
            <w:shd w:val="clear" w:color="auto" w:fill="FFFFFF"/>
          </w:tcPr>
          <w:p w:rsidR="008F0E13" w:rsidRDefault="008F0E13" w:rsidP="008F0E13">
            <w:pPr>
              <w:jc w:val="center"/>
              <w:rPr>
                <w:rFonts w:ascii="Arial" w:hAnsi="Arial" w:cs="Arial"/>
                <w:sz w:val="18"/>
                <w:szCs w:val="18"/>
              </w:rPr>
            </w:pPr>
          </w:p>
        </w:tc>
        <w:tc>
          <w:tcPr>
            <w:tcW w:w="2905" w:type="dxa"/>
            <w:tcBorders>
              <w:top w:val="nil"/>
              <w:left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exp 2006</w:t>
            </w:r>
          </w:p>
        </w:tc>
        <w:tc>
          <w:tcPr>
            <w:tcW w:w="1693" w:type="dxa"/>
            <w:tcBorders>
              <w:top w:val="nil"/>
              <w:left w:val="single" w:sz="16" w:space="0" w:color="000000"/>
              <w:bottom w:val="nil"/>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-.0320249</w:t>
            </w:r>
          </w:p>
        </w:tc>
        <w:tc>
          <w:tcPr>
            <w:tcW w:w="1690" w:type="dxa"/>
            <w:tcBorders>
              <w:top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.0430087</w:t>
            </w:r>
          </w:p>
        </w:tc>
      </w:tr>
      <w:tr w:rsidR="008F0E13" w:rsidTr="008F0E13">
        <w:trPr>
          <w:cantSplit/>
          <w:trHeight w:val="144"/>
          <w:tblHeader/>
        </w:trPr>
        <w:tc>
          <w:tcPr>
            <w:tcW w:w="2851" w:type="dxa"/>
            <w:vMerge/>
            <w:tcBorders>
              <w:left w:val="single" w:sz="16" w:space="0" w:color="000000"/>
              <w:right w:val="nil"/>
            </w:tcBorders>
            <w:shd w:val="clear" w:color="auto" w:fill="FFFFFF"/>
          </w:tcPr>
          <w:p w:rsidR="008F0E13" w:rsidRDefault="008F0E13" w:rsidP="008F0E13">
            <w:pPr>
              <w:jc w:val="center"/>
              <w:rPr>
                <w:rFonts w:ascii="Arial" w:hAnsi="Arial" w:cs="Arial"/>
                <w:sz w:val="18"/>
                <w:szCs w:val="18"/>
              </w:rPr>
            </w:pPr>
          </w:p>
        </w:tc>
        <w:tc>
          <w:tcPr>
            <w:tcW w:w="2905" w:type="dxa"/>
            <w:tcBorders>
              <w:top w:val="nil"/>
              <w:left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exp 2011</w:t>
            </w:r>
          </w:p>
        </w:tc>
        <w:tc>
          <w:tcPr>
            <w:tcW w:w="1693" w:type="dxa"/>
            <w:tcBorders>
              <w:top w:val="nil"/>
              <w:lef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-.0193788</w:t>
            </w:r>
          </w:p>
        </w:tc>
        <w:tc>
          <w:tcPr>
            <w:tcW w:w="1690" w:type="dxa"/>
            <w:tcBorders>
              <w:top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.0666037</w:t>
            </w:r>
          </w:p>
        </w:tc>
      </w:tr>
      <w:tr w:rsidR="008F0E13" w:rsidTr="008F0E13">
        <w:trPr>
          <w:cantSplit/>
          <w:trHeight w:val="519"/>
          <w:tblHeader/>
        </w:trPr>
        <w:tc>
          <w:tcPr>
            <w:tcW w:w="2851" w:type="dxa"/>
            <w:vMerge w:val="restart"/>
            <w:tcBorders>
              <w:left w:val="single" w:sz="16" w:space="0" w:color="000000"/>
              <w:right w:val="nil"/>
            </w:tcBorders>
            <w:shd w:val="clear" w:color="auto" w:fill="FFFFFF"/>
          </w:tcPr>
          <w:p w:rsidR="008F0E13" w:rsidRPr="00A20FDF" w:rsidRDefault="008F0E13" w:rsidP="008F0E13">
            <w:pPr>
              <w:spacing w:line="320" w:lineRule="atLeast"/>
              <w:ind w:left="60" w:right="60"/>
              <w:jc w:val="center"/>
              <w:rPr>
                <w:rFonts w:ascii="Arial" w:hAnsi="Arial" w:cs="Arial"/>
                <w:b/>
                <w:color w:val="FF0000"/>
                <w:sz w:val="18"/>
                <w:szCs w:val="18"/>
              </w:rPr>
            </w:pPr>
            <w:r w:rsidRPr="00A20FDF">
              <w:rPr>
                <w:rFonts w:ascii="Arial" w:hAnsi="Arial" w:cs="Arial"/>
                <w:b/>
                <w:color w:val="FF0000"/>
                <w:sz w:val="18"/>
                <w:szCs w:val="18"/>
              </w:rPr>
              <w:t>exp 2006</w:t>
            </w:r>
          </w:p>
        </w:tc>
        <w:tc>
          <w:tcPr>
            <w:tcW w:w="2905" w:type="dxa"/>
            <w:tcBorders>
              <w:left w:val="nil"/>
              <w:bottom w:val="nil"/>
              <w:right w:val="single" w:sz="16" w:space="0" w:color="000000"/>
            </w:tcBorders>
            <w:shd w:val="clear" w:color="auto" w:fill="FFFFFF"/>
          </w:tcPr>
          <w:p w:rsidR="008F0E13" w:rsidRPr="00A20FDF" w:rsidRDefault="008F0E13" w:rsidP="008F0E13">
            <w:pPr>
              <w:spacing w:line="320" w:lineRule="atLeast"/>
              <w:ind w:left="60" w:right="60"/>
              <w:jc w:val="center"/>
              <w:rPr>
                <w:rFonts w:ascii="Arial" w:hAnsi="Arial" w:cs="Arial"/>
                <w:b/>
                <w:color w:val="FF0000"/>
                <w:sz w:val="18"/>
                <w:szCs w:val="18"/>
              </w:rPr>
            </w:pPr>
            <w:r w:rsidRPr="00A20FDF">
              <w:rPr>
                <w:rFonts w:ascii="Arial" w:hAnsi="Arial" w:cs="Arial"/>
                <w:b/>
                <w:color w:val="FF0000"/>
                <w:sz w:val="18"/>
                <w:szCs w:val="18"/>
              </w:rPr>
              <w:t>control 2006</w:t>
            </w:r>
          </w:p>
        </w:tc>
        <w:tc>
          <w:tcPr>
            <w:tcW w:w="1693" w:type="dxa"/>
            <w:tcBorders>
              <w:left w:val="single" w:sz="16" w:space="0" w:color="000000"/>
              <w:bottom w:val="nil"/>
            </w:tcBorders>
            <w:shd w:val="clear" w:color="auto" w:fill="FFFFFF"/>
          </w:tcPr>
          <w:p w:rsidR="008F0E13" w:rsidRPr="00A20FDF" w:rsidRDefault="008F0E13" w:rsidP="008F0E13">
            <w:pPr>
              <w:spacing w:line="320" w:lineRule="atLeast"/>
              <w:ind w:left="60" w:right="60"/>
              <w:jc w:val="center"/>
              <w:rPr>
                <w:rFonts w:ascii="Arial" w:hAnsi="Arial" w:cs="Arial"/>
                <w:b/>
                <w:color w:val="FF0000"/>
                <w:sz w:val="18"/>
                <w:szCs w:val="18"/>
              </w:rPr>
            </w:pPr>
            <w:r w:rsidRPr="00A20FDF">
              <w:rPr>
                <w:rFonts w:ascii="Arial" w:hAnsi="Arial" w:cs="Arial"/>
                <w:b/>
                <w:color w:val="FF0000"/>
                <w:sz w:val="18"/>
                <w:szCs w:val="18"/>
              </w:rPr>
              <w:t>-.0324103</w:t>
            </w:r>
          </w:p>
        </w:tc>
        <w:tc>
          <w:tcPr>
            <w:tcW w:w="1690" w:type="dxa"/>
            <w:tcBorders>
              <w:bottom w:val="nil"/>
              <w:right w:val="single" w:sz="16" w:space="0" w:color="000000"/>
            </w:tcBorders>
            <w:shd w:val="clear" w:color="auto" w:fill="FFFFFF"/>
          </w:tcPr>
          <w:p w:rsidR="008F0E13" w:rsidRPr="00A20FDF" w:rsidRDefault="008F0E13" w:rsidP="008F0E13">
            <w:pPr>
              <w:spacing w:line="320" w:lineRule="atLeast"/>
              <w:ind w:left="60" w:right="60"/>
              <w:jc w:val="center"/>
              <w:rPr>
                <w:rFonts w:ascii="Arial" w:hAnsi="Arial" w:cs="Arial"/>
                <w:b/>
                <w:color w:val="FF0000"/>
                <w:sz w:val="18"/>
                <w:szCs w:val="18"/>
              </w:rPr>
            </w:pPr>
            <w:r w:rsidRPr="00A20FDF">
              <w:rPr>
                <w:rFonts w:ascii="Arial" w:hAnsi="Arial" w:cs="Arial"/>
                <w:b/>
                <w:color w:val="FF0000"/>
                <w:sz w:val="18"/>
                <w:szCs w:val="18"/>
              </w:rPr>
              <w:t>.0271143</w:t>
            </w:r>
          </w:p>
        </w:tc>
      </w:tr>
      <w:tr w:rsidR="008F0E13" w:rsidTr="008F0E13">
        <w:trPr>
          <w:cantSplit/>
          <w:trHeight w:val="144"/>
          <w:tblHeader/>
        </w:trPr>
        <w:tc>
          <w:tcPr>
            <w:tcW w:w="2851" w:type="dxa"/>
            <w:vMerge/>
            <w:tcBorders>
              <w:left w:val="single" w:sz="16" w:space="0" w:color="000000"/>
              <w:right w:val="nil"/>
            </w:tcBorders>
            <w:shd w:val="clear" w:color="auto" w:fill="FFFFFF"/>
          </w:tcPr>
          <w:p w:rsidR="008F0E13" w:rsidRDefault="008F0E13" w:rsidP="008F0E13">
            <w:pPr>
              <w:jc w:val="center"/>
              <w:rPr>
                <w:rFonts w:ascii="Arial" w:hAnsi="Arial" w:cs="Arial"/>
                <w:sz w:val="18"/>
                <w:szCs w:val="18"/>
              </w:rPr>
            </w:pPr>
          </w:p>
        </w:tc>
        <w:tc>
          <w:tcPr>
            <w:tcW w:w="2905" w:type="dxa"/>
            <w:tcBorders>
              <w:top w:val="nil"/>
              <w:left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control 2011</w:t>
            </w:r>
          </w:p>
        </w:tc>
        <w:tc>
          <w:tcPr>
            <w:tcW w:w="1693" w:type="dxa"/>
            <w:tcBorders>
              <w:top w:val="nil"/>
              <w:left w:val="single" w:sz="16" w:space="0" w:color="000000"/>
              <w:bottom w:val="nil"/>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-.0430087</w:t>
            </w:r>
          </w:p>
        </w:tc>
        <w:tc>
          <w:tcPr>
            <w:tcW w:w="1690" w:type="dxa"/>
            <w:tcBorders>
              <w:top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.0320249</w:t>
            </w:r>
          </w:p>
        </w:tc>
      </w:tr>
      <w:tr w:rsidR="008F0E13" w:rsidTr="008F0E13">
        <w:trPr>
          <w:cantSplit/>
          <w:trHeight w:val="144"/>
          <w:tblHeader/>
        </w:trPr>
        <w:tc>
          <w:tcPr>
            <w:tcW w:w="2851" w:type="dxa"/>
            <w:vMerge/>
            <w:tcBorders>
              <w:left w:val="single" w:sz="16" w:space="0" w:color="000000"/>
              <w:right w:val="nil"/>
            </w:tcBorders>
            <w:shd w:val="clear" w:color="auto" w:fill="FFFFFF"/>
          </w:tcPr>
          <w:p w:rsidR="008F0E13" w:rsidRDefault="008F0E13" w:rsidP="008F0E13">
            <w:pPr>
              <w:jc w:val="center"/>
              <w:rPr>
                <w:rFonts w:ascii="Arial" w:hAnsi="Arial" w:cs="Arial"/>
                <w:sz w:val="18"/>
                <w:szCs w:val="18"/>
              </w:rPr>
            </w:pPr>
          </w:p>
        </w:tc>
        <w:tc>
          <w:tcPr>
            <w:tcW w:w="2905" w:type="dxa"/>
            <w:tcBorders>
              <w:top w:val="nil"/>
              <w:left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exp 2011</w:t>
            </w:r>
          </w:p>
        </w:tc>
        <w:tc>
          <w:tcPr>
            <w:tcW w:w="1693" w:type="dxa"/>
            <w:tcBorders>
              <w:top w:val="nil"/>
              <w:lef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-.0186184</w:t>
            </w:r>
          </w:p>
        </w:tc>
        <w:tc>
          <w:tcPr>
            <w:tcW w:w="1690" w:type="dxa"/>
            <w:tcBorders>
              <w:top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.0548596</w:t>
            </w:r>
          </w:p>
        </w:tc>
      </w:tr>
      <w:tr w:rsidR="008F0E13" w:rsidTr="008F0E13">
        <w:trPr>
          <w:cantSplit/>
          <w:trHeight w:val="536"/>
          <w:tblHeader/>
        </w:trPr>
        <w:tc>
          <w:tcPr>
            <w:tcW w:w="2851" w:type="dxa"/>
            <w:vMerge w:val="restart"/>
            <w:tcBorders>
              <w:left w:val="single" w:sz="16" w:space="0" w:color="000000"/>
              <w:bottom w:val="single" w:sz="16" w:space="0" w:color="000000"/>
              <w:right w:val="nil"/>
            </w:tcBorders>
            <w:shd w:val="clear" w:color="auto" w:fill="FFFFFF"/>
          </w:tcPr>
          <w:p w:rsidR="008F0E13" w:rsidRPr="00A20FDF" w:rsidRDefault="008F0E13" w:rsidP="008F0E13">
            <w:pPr>
              <w:spacing w:line="320" w:lineRule="atLeast"/>
              <w:ind w:left="60" w:right="60"/>
              <w:jc w:val="center"/>
              <w:rPr>
                <w:rFonts w:ascii="Arial" w:hAnsi="Arial" w:cs="Arial"/>
                <w:b/>
                <w:color w:val="FF0000"/>
                <w:sz w:val="18"/>
                <w:szCs w:val="18"/>
              </w:rPr>
            </w:pPr>
            <w:r w:rsidRPr="00A20FDF">
              <w:rPr>
                <w:rFonts w:ascii="Arial" w:hAnsi="Arial" w:cs="Arial"/>
                <w:b/>
                <w:color w:val="FF0000"/>
                <w:sz w:val="18"/>
                <w:szCs w:val="18"/>
              </w:rPr>
              <w:t>exp 2011</w:t>
            </w:r>
          </w:p>
        </w:tc>
        <w:tc>
          <w:tcPr>
            <w:tcW w:w="2905" w:type="dxa"/>
            <w:tcBorders>
              <w:left w:val="nil"/>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control 2006</w:t>
            </w:r>
          </w:p>
        </w:tc>
        <w:tc>
          <w:tcPr>
            <w:tcW w:w="1693" w:type="dxa"/>
            <w:tcBorders>
              <w:left w:val="single" w:sz="16" w:space="0" w:color="000000"/>
              <w:bottom w:val="nil"/>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-.0571902</w:t>
            </w:r>
          </w:p>
        </w:tc>
        <w:tc>
          <w:tcPr>
            <w:tcW w:w="1690" w:type="dxa"/>
            <w:tcBorders>
              <w:bottom w:val="nil"/>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.0156530</w:t>
            </w:r>
          </w:p>
        </w:tc>
      </w:tr>
      <w:tr w:rsidR="008F0E13" w:rsidTr="008F0E13">
        <w:trPr>
          <w:cantSplit/>
          <w:trHeight w:val="144"/>
          <w:tblHeader/>
        </w:trPr>
        <w:tc>
          <w:tcPr>
            <w:tcW w:w="2851" w:type="dxa"/>
            <w:vMerge/>
            <w:tcBorders>
              <w:left w:val="single" w:sz="16" w:space="0" w:color="000000"/>
              <w:bottom w:val="single" w:sz="16" w:space="0" w:color="000000"/>
              <w:right w:val="nil"/>
            </w:tcBorders>
            <w:shd w:val="clear" w:color="auto" w:fill="FFFFFF"/>
          </w:tcPr>
          <w:p w:rsidR="008F0E13" w:rsidRDefault="008F0E13" w:rsidP="008F0E13">
            <w:pPr>
              <w:jc w:val="center"/>
              <w:rPr>
                <w:rFonts w:ascii="Arial" w:hAnsi="Arial" w:cs="Arial"/>
                <w:sz w:val="18"/>
                <w:szCs w:val="18"/>
              </w:rPr>
            </w:pPr>
          </w:p>
        </w:tc>
        <w:tc>
          <w:tcPr>
            <w:tcW w:w="2905" w:type="dxa"/>
            <w:tcBorders>
              <w:top w:val="nil"/>
              <w:left w:val="nil"/>
              <w:bottom w:val="nil"/>
              <w:right w:val="single" w:sz="16" w:space="0" w:color="000000"/>
            </w:tcBorders>
            <w:shd w:val="clear" w:color="auto" w:fill="FFFFFF"/>
          </w:tcPr>
          <w:p w:rsidR="008F0E13" w:rsidRPr="00A20FDF" w:rsidRDefault="008F0E13" w:rsidP="008F0E13">
            <w:pPr>
              <w:spacing w:line="320" w:lineRule="atLeast"/>
              <w:ind w:left="60" w:right="60"/>
              <w:jc w:val="center"/>
              <w:rPr>
                <w:rFonts w:ascii="Arial" w:hAnsi="Arial" w:cs="Arial"/>
                <w:b/>
                <w:color w:val="FF0000"/>
                <w:sz w:val="18"/>
                <w:szCs w:val="18"/>
              </w:rPr>
            </w:pPr>
            <w:r w:rsidRPr="00A20FDF">
              <w:rPr>
                <w:rFonts w:ascii="Arial" w:hAnsi="Arial" w:cs="Arial"/>
                <w:b/>
                <w:color w:val="FF0000"/>
                <w:sz w:val="18"/>
                <w:szCs w:val="18"/>
              </w:rPr>
              <w:t>control 2011</w:t>
            </w:r>
          </w:p>
        </w:tc>
        <w:tc>
          <w:tcPr>
            <w:tcW w:w="1693" w:type="dxa"/>
            <w:tcBorders>
              <w:top w:val="nil"/>
              <w:left w:val="single" w:sz="16" w:space="0" w:color="000000"/>
              <w:bottom w:val="nil"/>
            </w:tcBorders>
            <w:shd w:val="clear" w:color="auto" w:fill="FFFFFF"/>
          </w:tcPr>
          <w:p w:rsidR="008F0E13" w:rsidRPr="00A20FDF" w:rsidRDefault="008F0E13" w:rsidP="008F0E13">
            <w:pPr>
              <w:spacing w:line="320" w:lineRule="atLeast"/>
              <w:ind w:left="60" w:right="60"/>
              <w:jc w:val="center"/>
              <w:rPr>
                <w:rFonts w:ascii="Arial" w:hAnsi="Arial" w:cs="Arial"/>
                <w:b/>
                <w:color w:val="FF0000"/>
                <w:sz w:val="18"/>
                <w:szCs w:val="18"/>
              </w:rPr>
            </w:pPr>
            <w:r w:rsidRPr="00A20FDF">
              <w:rPr>
                <w:rFonts w:ascii="Arial" w:hAnsi="Arial" w:cs="Arial"/>
                <w:b/>
                <w:color w:val="FF0000"/>
                <w:sz w:val="18"/>
                <w:szCs w:val="18"/>
              </w:rPr>
              <w:t>-.0666037</w:t>
            </w:r>
          </w:p>
        </w:tc>
        <w:tc>
          <w:tcPr>
            <w:tcW w:w="1690" w:type="dxa"/>
            <w:tcBorders>
              <w:top w:val="nil"/>
              <w:bottom w:val="nil"/>
              <w:right w:val="single" w:sz="16" w:space="0" w:color="000000"/>
            </w:tcBorders>
            <w:shd w:val="clear" w:color="auto" w:fill="FFFFFF"/>
          </w:tcPr>
          <w:p w:rsidR="008F0E13" w:rsidRPr="00A20FDF" w:rsidRDefault="008F0E13" w:rsidP="008F0E13">
            <w:pPr>
              <w:spacing w:line="320" w:lineRule="atLeast"/>
              <w:ind w:left="60" w:right="60"/>
              <w:jc w:val="center"/>
              <w:rPr>
                <w:rFonts w:ascii="Arial" w:hAnsi="Arial" w:cs="Arial"/>
                <w:b/>
                <w:color w:val="FF0000"/>
                <w:sz w:val="18"/>
                <w:szCs w:val="18"/>
              </w:rPr>
            </w:pPr>
            <w:r w:rsidRPr="00A20FDF">
              <w:rPr>
                <w:rFonts w:ascii="Arial" w:hAnsi="Arial" w:cs="Arial"/>
                <w:b/>
                <w:color w:val="FF0000"/>
                <w:sz w:val="18"/>
                <w:szCs w:val="18"/>
              </w:rPr>
              <w:t>.0193788</w:t>
            </w:r>
          </w:p>
        </w:tc>
      </w:tr>
      <w:tr w:rsidR="008F0E13" w:rsidTr="008F0E13">
        <w:trPr>
          <w:cantSplit/>
          <w:trHeight w:val="144"/>
        </w:trPr>
        <w:tc>
          <w:tcPr>
            <w:tcW w:w="2851" w:type="dxa"/>
            <w:vMerge/>
            <w:tcBorders>
              <w:left w:val="single" w:sz="16" w:space="0" w:color="000000"/>
              <w:bottom w:val="single" w:sz="16" w:space="0" w:color="000000"/>
              <w:right w:val="nil"/>
            </w:tcBorders>
            <w:shd w:val="clear" w:color="auto" w:fill="FFFFFF"/>
          </w:tcPr>
          <w:p w:rsidR="008F0E13" w:rsidRDefault="008F0E13" w:rsidP="008F0E13">
            <w:pPr>
              <w:jc w:val="center"/>
              <w:rPr>
                <w:rFonts w:ascii="Arial" w:hAnsi="Arial" w:cs="Arial"/>
                <w:sz w:val="18"/>
                <w:szCs w:val="18"/>
              </w:rPr>
            </w:pPr>
          </w:p>
        </w:tc>
        <w:tc>
          <w:tcPr>
            <w:tcW w:w="2905" w:type="dxa"/>
            <w:tcBorders>
              <w:top w:val="nil"/>
              <w:left w:val="nil"/>
              <w:bottom w:val="single" w:sz="16" w:space="0" w:color="000000"/>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exp 2006</w:t>
            </w:r>
          </w:p>
        </w:tc>
        <w:tc>
          <w:tcPr>
            <w:tcW w:w="1693" w:type="dxa"/>
            <w:tcBorders>
              <w:top w:val="nil"/>
              <w:left w:val="single" w:sz="16" w:space="0" w:color="000000"/>
              <w:bottom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-.0548596</w:t>
            </w:r>
          </w:p>
        </w:tc>
        <w:tc>
          <w:tcPr>
            <w:tcW w:w="1690" w:type="dxa"/>
            <w:tcBorders>
              <w:top w:val="nil"/>
              <w:bottom w:val="single" w:sz="16" w:space="0" w:color="000000"/>
              <w:right w:val="single" w:sz="16" w:space="0" w:color="000000"/>
            </w:tcBorders>
            <w:shd w:val="clear" w:color="auto" w:fill="FFFFFF"/>
          </w:tcPr>
          <w:p w:rsidR="008F0E13" w:rsidRDefault="008F0E13" w:rsidP="008F0E13">
            <w:pPr>
              <w:spacing w:line="320" w:lineRule="atLeast"/>
              <w:ind w:left="60" w:right="60"/>
              <w:jc w:val="center"/>
              <w:rPr>
                <w:rFonts w:ascii="Arial" w:hAnsi="Arial" w:cs="Arial"/>
                <w:sz w:val="18"/>
                <w:szCs w:val="18"/>
              </w:rPr>
            </w:pPr>
            <w:r>
              <w:rPr>
                <w:rFonts w:ascii="Arial" w:hAnsi="Arial" w:cs="Arial"/>
                <w:sz w:val="18"/>
                <w:szCs w:val="18"/>
              </w:rPr>
              <w:t>.0186184</w:t>
            </w:r>
          </w:p>
        </w:tc>
      </w:tr>
    </w:tbl>
    <w:p w:rsidR="008F0E13" w:rsidRPr="00136D1C" w:rsidRDefault="008F0E13" w:rsidP="008F0E13">
      <w:pPr>
        <w:spacing w:line="360" w:lineRule="auto"/>
        <w:jc w:val="center"/>
        <w:rPr>
          <w:rFonts w:cstheme="minorHAnsi"/>
          <w:b/>
          <w:sz w:val="24"/>
          <w:lang w:val="en-GB"/>
        </w:rPr>
      </w:pPr>
      <w:r>
        <w:rPr>
          <w:rFonts w:cstheme="minorHAnsi"/>
          <w:b/>
          <w:sz w:val="24"/>
          <w:lang w:val="en-GB"/>
        </w:rPr>
        <w:lastRenderedPageBreak/>
        <w:t xml:space="preserve">Table </w:t>
      </w:r>
      <w:r w:rsidRPr="00136D1C">
        <w:rPr>
          <w:rFonts w:cstheme="minorHAnsi"/>
          <w:b/>
          <w:sz w:val="24"/>
          <w:lang w:val="en-GB"/>
        </w:rPr>
        <w:t>4</w:t>
      </w:r>
    </w:p>
    <w:p w:rsidR="008F0E13" w:rsidRPr="00136D1C" w:rsidRDefault="008F0E13" w:rsidP="008F0E13">
      <w:pPr>
        <w:spacing w:line="360" w:lineRule="auto"/>
        <w:jc w:val="center"/>
        <w:rPr>
          <w:rFonts w:cstheme="minorHAnsi"/>
          <w:b/>
          <w:sz w:val="24"/>
          <w:lang w:val="en-GB"/>
        </w:rPr>
      </w:pPr>
      <w:r w:rsidRPr="00136D1C">
        <w:rPr>
          <w:rFonts w:cstheme="minorHAnsi"/>
          <w:b/>
          <w:sz w:val="24"/>
          <w:lang w:val="en-GB"/>
        </w:rPr>
        <w:t>Independent t-tests</w:t>
      </w:r>
    </w:p>
    <w:tbl>
      <w:tblPr>
        <w:tblpPr w:leftFromText="141" w:rightFromText="141" w:vertAnchor="text" w:horzAnchor="page" w:tblpX="901" w:tblpY="221"/>
        <w:tblW w:w="8920" w:type="dxa"/>
        <w:tblCellMar>
          <w:left w:w="70" w:type="dxa"/>
          <w:right w:w="70" w:type="dxa"/>
        </w:tblCellMar>
        <w:tblLook w:val="04A0"/>
      </w:tblPr>
      <w:tblGrid>
        <w:gridCol w:w="3760"/>
        <w:gridCol w:w="1160"/>
        <w:gridCol w:w="1360"/>
        <w:gridCol w:w="1320"/>
        <w:gridCol w:w="1320"/>
      </w:tblGrid>
      <w:tr w:rsidR="008F0E13" w:rsidRPr="000C5854" w:rsidTr="008F0E13">
        <w:trPr>
          <w:trHeight w:val="627"/>
        </w:trPr>
        <w:tc>
          <w:tcPr>
            <w:tcW w:w="37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color w:val="000000"/>
                <w:lang w:eastAsia="nl-NL"/>
              </w:rPr>
            </w:pPr>
          </w:p>
        </w:tc>
        <w:tc>
          <w:tcPr>
            <w:tcW w:w="11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b/>
                <w:color w:val="000000"/>
                <w:lang w:eastAsia="nl-NL"/>
              </w:rPr>
            </w:pPr>
            <w:r w:rsidRPr="000C5854">
              <w:rPr>
                <w:rFonts w:ascii="Calibri" w:eastAsia="Times New Roman" w:hAnsi="Calibri" w:cs="Calibri"/>
                <w:b/>
                <w:color w:val="000000"/>
                <w:lang w:eastAsia="nl-NL"/>
              </w:rPr>
              <w:t>t</w:t>
            </w:r>
          </w:p>
        </w:tc>
        <w:tc>
          <w:tcPr>
            <w:tcW w:w="13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b/>
                <w:color w:val="000000"/>
                <w:lang w:eastAsia="nl-NL"/>
              </w:rPr>
            </w:pPr>
            <w:r w:rsidRPr="000C5854">
              <w:rPr>
                <w:rFonts w:ascii="Calibri" w:eastAsia="Times New Roman" w:hAnsi="Calibri" w:cs="Calibri"/>
                <w:b/>
                <w:color w:val="000000"/>
                <w:lang w:eastAsia="nl-NL"/>
              </w:rPr>
              <w:t>Sig. (2-tailed)</w:t>
            </w:r>
          </w:p>
        </w:tc>
        <w:tc>
          <w:tcPr>
            <w:tcW w:w="132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b/>
                <w:color w:val="000000"/>
                <w:lang w:eastAsia="nl-NL"/>
              </w:rPr>
            </w:pPr>
            <w:r w:rsidRPr="000C5854">
              <w:rPr>
                <w:rFonts w:ascii="Calibri" w:eastAsia="Times New Roman" w:hAnsi="Calibri" w:cs="Calibri"/>
                <w:b/>
                <w:color w:val="000000"/>
                <w:lang w:eastAsia="nl-NL"/>
              </w:rPr>
              <w:t>Lower Bound</w:t>
            </w:r>
          </w:p>
        </w:tc>
        <w:tc>
          <w:tcPr>
            <w:tcW w:w="132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b/>
                <w:color w:val="000000"/>
                <w:lang w:eastAsia="nl-NL"/>
              </w:rPr>
            </w:pPr>
            <w:r w:rsidRPr="000C5854">
              <w:rPr>
                <w:rFonts w:ascii="Calibri" w:eastAsia="Times New Roman" w:hAnsi="Calibri" w:cs="Calibri"/>
                <w:b/>
                <w:color w:val="000000"/>
                <w:lang w:eastAsia="nl-NL"/>
              </w:rPr>
              <w:t>Upper Bound</w:t>
            </w:r>
          </w:p>
        </w:tc>
      </w:tr>
      <w:tr w:rsidR="008F0E13" w:rsidRPr="000C5854" w:rsidTr="008F0E13">
        <w:trPr>
          <w:trHeight w:val="300"/>
        </w:trPr>
        <w:tc>
          <w:tcPr>
            <w:tcW w:w="37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b/>
                <w:color w:val="000000"/>
                <w:lang w:eastAsia="nl-NL"/>
              </w:rPr>
            </w:pPr>
            <w:r w:rsidRPr="000C5854">
              <w:rPr>
                <w:rFonts w:ascii="Calibri" w:eastAsia="Times New Roman" w:hAnsi="Calibri" w:cs="Calibri"/>
                <w:b/>
                <w:color w:val="000000"/>
                <w:lang w:eastAsia="nl-NL"/>
              </w:rPr>
              <w:t>Hypothesis 3</w:t>
            </w:r>
          </w:p>
        </w:tc>
        <w:tc>
          <w:tcPr>
            <w:tcW w:w="11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color w:val="000000"/>
                <w:lang w:eastAsia="nl-NL"/>
              </w:rPr>
            </w:pPr>
            <w:r w:rsidRPr="000C5854">
              <w:rPr>
                <w:rFonts w:ascii="Calibri" w:eastAsia="Times New Roman" w:hAnsi="Calibri" w:cs="Calibri"/>
                <w:color w:val="000000"/>
                <w:lang w:eastAsia="nl-NL"/>
              </w:rPr>
              <w:t>-0,38</w:t>
            </w:r>
            <w:r w:rsidR="00A20FDF">
              <w:rPr>
                <w:rFonts w:ascii="Calibri" w:eastAsia="Times New Roman" w:hAnsi="Calibri" w:cs="Calibri"/>
                <w:color w:val="000000"/>
                <w:lang w:eastAsia="nl-NL"/>
              </w:rPr>
              <w:t>0</w:t>
            </w:r>
          </w:p>
        </w:tc>
        <w:tc>
          <w:tcPr>
            <w:tcW w:w="13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color w:val="000000"/>
                <w:lang w:eastAsia="nl-NL"/>
              </w:rPr>
            </w:pPr>
            <w:r w:rsidRPr="000C5854">
              <w:rPr>
                <w:rFonts w:ascii="Calibri" w:eastAsia="Times New Roman" w:hAnsi="Calibri" w:cs="Calibri"/>
                <w:color w:val="000000"/>
                <w:lang w:eastAsia="nl-NL"/>
              </w:rPr>
              <w:t>0,705</w:t>
            </w:r>
          </w:p>
        </w:tc>
        <w:tc>
          <w:tcPr>
            <w:tcW w:w="1320" w:type="dxa"/>
            <w:tcBorders>
              <w:top w:val="nil"/>
              <w:left w:val="nil"/>
              <w:bottom w:val="nil"/>
              <w:right w:val="nil"/>
            </w:tcBorders>
            <w:shd w:val="clear" w:color="auto" w:fill="auto"/>
            <w:noWrap/>
            <w:vAlign w:val="bottom"/>
            <w:hideMark/>
          </w:tcPr>
          <w:p w:rsidR="00A20FDF" w:rsidRDefault="00A20FDF" w:rsidP="008F0E13">
            <w:pPr>
              <w:spacing w:after="0" w:line="240" w:lineRule="auto"/>
              <w:jc w:val="center"/>
              <w:rPr>
                <w:rFonts w:ascii="Calibri" w:eastAsia="Times New Roman" w:hAnsi="Calibri" w:cs="Calibri"/>
                <w:color w:val="000000"/>
                <w:lang w:eastAsia="nl-NL"/>
              </w:rPr>
            </w:pPr>
          </w:p>
          <w:p w:rsidR="008F0E13" w:rsidRPr="000C5854" w:rsidRDefault="008F0E13" w:rsidP="008F0E13">
            <w:pPr>
              <w:spacing w:after="0" w:line="240" w:lineRule="auto"/>
              <w:jc w:val="center"/>
              <w:rPr>
                <w:rFonts w:ascii="Calibri" w:eastAsia="Times New Roman" w:hAnsi="Calibri" w:cs="Calibri"/>
                <w:color w:val="000000"/>
                <w:lang w:eastAsia="nl-NL"/>
              </w:rPr>
            </w:pPr>
            <w:r w:rsidRPr="000C5854">
              <w:rPr>
                <w:rFonts w:ascii="Calibri" w:eastAsia="Times New Roman" w:hAnsi="Calibri" w:cs="Calibri"/>
                <w:color w:val="000000"/>
                <w:lang w:eastAsia="nl-NL"/>
              </w:rPr>
              <w:t>0,058785631</w:t>
            </w:r>
          </w:p>
        </w:tc>
        <w:tc>
          <w:tcPr>
            <w:tcW w:w="132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color w:val="000000"/>
                <w:lang w:eastAsia="nl-NL"/>
              </w:rPr>
            </w:pPr>
            <w:r w:rsidRPr="000C5854">
              <w:rPr>
                <w:rFonts w:ascii="Calibri" w:eastAsia="Times New Roman" w:hAnsi="Calibri" w:cs="Calibri"/>
                <w:color w:val="000000"/>
                <w:lang w:eastAsia="nl-NL"/>
              </w:rPr>
              <w:t>0,03984173</w:t>
            </w:r>
          </w:p>
        </w:tc>
      </w:tr>
      <w:tr w:rsidR="008F0E13" w:rsidRPr="000C5854" w:rsidTr="008F0E13">
        <w:trPr>
          <w:trHeight w:val="300"/>
        </w:trPr>
        <w:tc>
          <w:tcPr>
            <w:tcW w:w="37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b/>
                <w:color w:val="000000"/>
                <w:lang w:eastAsia="nl-NL"/>
              </w:rPr>
            </w:pPr>
            <w:r w:rsidRPr="000C5854">
              <w:rPr>
                <w:rFonts w:ascii="Calibri" w:eastAsia="Times New Roman" w:hAnsi="Calibri" w:cs="Calibri"/>
                <w:b/>
                <w:color w:val="000000"/>
                <w:lang w:eastAsia="nl-NL"/>
              </w:rPr>
              <w:t>Hypothesis 4</w:t>
            </w:r>
          </w:p>
        </w:tc>
        <w:tc>
          <w:tcPr>
            <w:tcW w:w="11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color w:val="000000"/>
                <w:lang w:eastAsia="nl-NL"/>
              </w:rPr>
            </w:pPr>
            <w:r w:rsidRPr="000C5854">
              <w:rPr>
                <w:rFonts w:ascii="Calibri" w:eastAsia="Times New Roman" w:hAnsi="Calibri" w:cs="Calibri"/>
                <w:color w:val="000000"/>
                <w:lang w:eastAsia="nl-NL"/>
              </w:rPr>
              <w:t>-0,185</w:t>
            </w:r>
          </w:p>
        </w:tc>
        <w:tc>
          <w:tcPr>
            <w:tcW w:w="136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color w:val="000000"/>
                <w:lang w:eastAsia="nl-NL"/>
              </w:rPr>
            </w:pPr>
            <w:r w:rsidRPr="000C5854">
              <w:rPr>
                <w:rFonts w:ascii="Calibri" w:eastAsia="Times New Roman" w:hAnsi="Calibri" w:cs="Calibri"/>
                <w:color w:val="000000"/>
                <w:lang w:eastAsia="nl-NL"/>
              </w:rPr>
              <w:t>0,853</w:t>
            </w:r>
          </w:p>
        </w:tc>
        <w:tc>
          <w:tcPr>
            <w:tcW w:w="132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color w:val="000000"/>
                <w:lang w:eastAsia="nl-NL"/>
              </w:rPr>
            </w:pPr>
            <w:r w:rsidRPr="000C5854">
              <w:rPr>
                <w:rFonts w:ascii="Calibri" w:eastAsia="Times New Roman" w:hAnsi="Calibri" w:cs="Calibri"/>
                <w:color w:val="000000"/>
                <w:lang w:eastAsia="nl-NL"/>
              </w:rPr>
              <w:t>-0,38921</w:t>
            </w:r>
          </w:p>
        </w:tc>
        <w:tc>
          <w:tcPr>
            <w:tcW w:w="1320" w:type="dxa"/>
            <w:tcBorders>
              <w:top w:val="nil"/>
              <w:left w:val="nil"/>
              <w:bottom w:val="nil"/>
              <w:right w:val="nil"/>
            </w:tcBorders>
            <w:shd w:val="clear" w:color="auto" w:fill="auto"/>
            <w:noWrap/>
            <w:vAlign w:val="bottom"/>
            <w:hideMark/>
          </w:tcPr>
          <w:p w:rsidR="008F0E13" w:rsidRPr="000C5854" w:rsidRDefault="008F0E13" w:rsidP="008F0E13">
            <w:pPr>
              <w:spacing w:after="0" w:line="240" w:lineRule="auto"/>
              <w:jc w:val="center"/>
              <w:rPr>
                <w:rFonts w:ascii="Calibri" w:eastAsia="Times New Roman" w:hAnsi="Calibri" w:cs="Calibri"/>
                <w:color w:val="000000"/>
                <w:lang w:eastAsia="nl-NL"/>
              </w:rPr>
            </w:pPr>
            <w:r w:rsidRPr="000C5854">
              <w:rPr>
                <w:rFonts w:ascii="Calibri" w:eastAsia="Times New Roman" w:hAnsi="Calibri" w:cs="Calibri"/>
                <w:color w:val="000000"/>
                <w:lang w:eastAsia="nl-NL"/>
              </w:rPr>
              <w:t>0,32228</w:t>
            </w:r>
          </w:p>
        </w:tc>
      </w:tr>
    </w:tbl>
    <w:p w:rsidR="002977C9" w:rsidRPr="002977C9" w:rsidRDefault="002977C9" w:rsidP="003C1B9E">
      <w:pPr>
        <w:spacing w:line="360" w:lineRule="auto"/>
        <w:rPr>
          <w:rFonts w:cstheme="minorHAnsi"/>
          <w:lang w:val="en-GB"/>
        </w:rPr>
      </w:pPr>
    </w:p>
    <w:p w:rsidR="00DE1D11" w:rsidRPr="002977C9" w:rsidRDefault="00DE1D11" w:rsidP="005A062F">
      <w:pPr>
        <w:tabs>
          <w:tab w:val="left" w:pos="6616"/>
        </w:tabs>
        <w:spacing w:line="360" w:lineRule="auto"/>
        <w:rPr>
          <w:rFonts w:cstheme="minorHAnsi"/>
          <w:lang w:val="en-GB"/>
        </w:rPr>
      </w:pPr>
      <w:r w:rsidRPr="002977C9">
        <w:rPr>
          <w:rFonts w:cstheme="minorHAnsi"/>
          <w:lang w:val="en-GB"/>
        </w:rPr>
        <w:t xml:space="preserve"> </w:t>
      </w:r>
    </w:p>
    <w:sectPr w:rsidR="00DE1D11" w:rsidRPr="002977C9" w:rsidSect="003A6801">
      <w:headerReference w:type="default" r:id="rId17"/>
      <w:footerReference w:type="default" r:id="rId18"/>
      <w:headerReference w:type="first" r:id="rId19"/>
      <w:pgSz w:w="11906" w:h="16838"/>
      <w:pgMar w:top="1701" w:right="1418" w:bottom="1701" w:left="1418"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3808" w:rsidRDefault="00903808" w:rsidP="00A05717">
      <w:pPr>
        <w:spacing w:after="0" w:line="240" w:lineRule="auto"/>
      </w:pPr>
      <w:r>
        <w:separator/>
      </w:r>
    </w:p>
  </w:endnote>
  <w:endnote w:type="continuationSeparator" w:id="0">
    <w:p w:rsidR="00903808" w:rsidRDefault="00903808" w:rsidP="00A057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59915"/>
      <w:docPartObj>
        <w:docPartGallery w:val="Page Numbers (Bottom of Page)"/>
        <w:docPartUnique/>
      </w:docPartObj>
    </w:sdtPr>
    <w:sdtContent>
      <w:p w:rsidR="00231982" w:rsidRDefault="00067D34">
        <w:pPr>
          <w:pStyle w:val="Footer"/>
        </w:pPr>
        <w:r w:rsidRPr="00067D34">
          <w:rPr>
            <w:noProof/>
            <w:lang w:eastAsia="zh-TW"/>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74762" type="#_x0000_t5" style="position:absolute;margin-left:2803.3pt;margin-top:0;width:167.4pt;height:161.8pt;z-index:251663360;mso-position-horizontal:right;mso-position-horizontal-relative:page;mso-position-vertical:bottom;mso-position-vertical-relative:page" adj="21600" fillcolor="#d2eaf1 [824]" stroked="f">
              <v:textbox style="mso-next-textbox:#_x0000_s74762">
                <w:txbxContent>
                  <w:p w:rsidR="00231982" w:rsidRDefault="00067D34">
                    <w:pPr>
                      <w:jc w:val="center"/>
                      <w:rPr>
                        <w:szCs w:val="72"/>
                      </w:rPr>
                    </w:pPr>
                    <w:fldSimple w:instr=" PAGE    \* MERGEFORMAT ">
                      <w:r w:rsidR="000566D4" w:rsidRPr="000566D4">
                        <w:rPr>
                          <w:rFonts w:asciiTheme="majorHAnsi" w:hAnsiTheme="majorHAnsi"/>
                          <w:noProof/>
                          <w:color w:val="FFFFFF" w:themeColor="background1"/>
                          <w:sz w:val="72"/>
                          <w:szCs w:val="72"/>
                        </w:rPr>
                        <w:t>1</w:t>
                      </w:r>
                    </w:fldSimple>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3808" w:rsidRDefault="00903808" w:rsidP="00A05717">
      <w:pPr>
        <w:spacing w:after="0" w:line="240" w:lineRule="auto"/>
      </w:pPr>
      <w:r>
        <w:separator/>
      </w:r>
    </w:p>
  </w:footnote>
  <w:footnote w:type="continuationSeparator" w:id="0">
    <w:p w:rsidR="00903808" w:rsidRDefault="00903808" w:rsidP="00A0571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982" w:rsidRDefault="00231982">
    <w:pPr>
      <w:pStyle w:val="Header"/>
    </w:pPr>
    <w:r w:rsidRPr="009E11B0">
      <w:rPr>
        <w:noProof/>
        <w:lang w:val="en-US"/>
      </w:rPr>
      <w:drawing>
        <wp:anchor distT="0" distB="0" distL="114300" distR="114300" simplePos="0" relativeHeight="251659264" behindDoc="1" locked="0" layoutInCell="1" allowOverlap="1">
          <wp:simplePos x="0" y="0"/>
          <wp:positionH relativeFrom="column">
            <wp:posOffset>3828415</wp:posOffset>
          </wp:positionH>
          <wp:positionV relativeFrom="paragraph">
            <wp:posOffset>-333375</wp:posOffset>
          </wp:positionV>
          <wp:extent cx="2281555" cy="711835"/>
          <wp:effectExtent l="19050" t="0" r="4445" b="0"/>
          <wp:wrapTight wrapText="bothSides">
            <wp:wrapPolygon edited="0">
              <wp:start x="-180" y="0"/>
              <wp:lineTo x="-180" y="20810"/>
              <wp:lineTo x="21642" y="20810"/>
              <wp:lineTo x="21642" y="0"/>
              <wp:lineTo x="-180" y="0"/>
            </wp:wrapPolygon>
          </wp:wrapTight>
          <wp:docPr id="7" name="Afbeelding 1" descr="erasmus-universiteit-rotterdam-eu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universiteit-rotterdam-eur_1.jpg"/>
                  <pic:cNvPicPr/>
                </pic:nvPicPr>
                <pic:blipFill>
                  <a:blip r:embed="rId1"/>
                  <a:stretch>
                    <a:fillRect/>
                  </a:stretch>
                </pic:blipFill>
                <pic:spPr>
                  <a:xfrm>
                    <a:off x="0" y="0"/>
                    <a:ext cx="2281555" cy="711835"/>
                  </a:xfrm>
                  <a:prstGeom prst="rect">
                    <a:avLst/>
                  </a:prstGeom>
                </pic:spPr>
              </pic:pic>
            </a:graphicData>
          </a:graphic>
        </wp:anchor>
      </w:drawing>
    </w:r>
  </w:p>
  <w:p w:rsidR="00231982" w:rsidRDefault="0023198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982" w:rsidRDefault="00231982">
    <w:pPr>
      <w:pStyle w:val="Header"/>
    </w:pPr>
    <w:r w:rsidRPr="00C50CFC">
      <w:rPr>
        <w:noProof/>
        <w:lang w:val="en-US"/>
      </w:rPr>
      <w:drawing>
        <wp:anchor distT="0" distB="0" distL="114300" distR="114300" simplePos="0" relativeHeight="251661312" behindDoc="1" locked="0" layoutInCell="1" allowOverlap="1">
          <wp:simplePos x="0" y="0"/>
          <wp:positionH relativeFrom="column">
            <wp:posOffset>3977640</wp:posOffset>
          </wp:positionH>
          <wp:positionV relativeFrom="paragraph">
            <wp:posOffset>-290830</wp:posOffset>
          </wp:positionV>
          <wp:extent cx="2283460" cy="711835"/>
          <wp:effectExtent l="19050" t="0" r="2540" b="0"/>
          <wp:wrapTight wrapText="bothSides">
            <wp:wrapPolygon edited="0">
              <wp:start x="-180" y="0"/>
              <wp:lineTo x="-180" y="20810"/>
              <wp:lineTo x="21624" y="20810"/>
              <wp:lineTo x="21624" y="0"/>
              <wp:lineTo x="-180" y="0"/>
            </wp:wrapPolygon>
          </wp:wrapTight>
          <wp:docPr id="1" name="Afbeelding 1" descr="erasmus-universiteit-rotterdam-eu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universiteit-rotterdam-eur_1.jpg"/>
                  <pic:cNvPicPr/>
                </pic:nvPicPr>
                <pic:blipFill>
                  <a:blip r:embed="rId1"/>
                  <a:stretch>
                    <a:fillRect/>
                  </a:stretch>
                </pic:blipFill>
                <pic:spPr>
                  <a:xfrm>
                    <a:off x="0" y="0"/>
                    <a:ext cx="2283460" cy="711835"/>
                  </a:xfrm>
                  <a:prstGeom prst="rect">
                    <a:avLst/>
                  </a:prstGeom>
                </pic:spPr>
              </pic:pic>
            </a:graphicData>
          </a:graphic>
        </wp:anchor>
      </w:drawing>
    </w:r>
  </w:p>
  <w:p w:rsidR="00231982" w:rsidRDefault="0023198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91464"/>
    <w:multiLevelType w:val="hybridMultilevel"/>
    <w:tmpl w:val="C834E508"/>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8C402BD"/>
    <w:multiLevelType w:val="multilevel"/>
    <w:tmpl w:val="74624F14"/>
    <w:lvl w:ilvl="0">
      <w:start w:val="1"/>
      <w:numFmt w:val="decimal"/>
      <w:lvlText w:val="%1"/>
      <w:lvlJc w:val="left"/>
      <w:pPr>
        <w:ind w:left="360" w:hanging="360"/>
      </w:pPr>
      <w:rPr>
        <w:rFonts w:hint="default"/>
      </w:rPr>
    </w:lvl>
    <w:lvl w:ilvl="1">
      <w:start w:val="1"/>
      <w:numFmt w:val="decimal"/>
      <w:lvlText w:val="%1.%2"/>
      <w:lvlJc w:val="left"/>
      <w:pPr>
        <w:ind w:left="1770" w:hanging="360"/>
      </w:pPr>
      <w:rPr>
        <w:rFonts w:hint="default"/>
      </w:rPr>
    </w:lvl>
    <w:lvl w:ilvl="2">
      <w:start w:val="1"/>
      <w:numFmt w:val="decimal"/>
      <w:lvlText w:val="%1.%2.%3"/>
      <w:lvlJc w:val="left"/>
      <w:pPr>
        <w:ind w:left="3540" w:hanging="720"/>
      </w:pPr>
      <w:rPr>
        <w:rFonts w:hint="default"/>
      </w:rPr>
    </w:lvl>
    <w:lvl w:ilvl="3">
      <w:start w:val="1"/>
      <w:numFmt w:val="decimal"/>
      <w:lvlText w:val="%1.%2.%3.%4"/>
      <w:lvlJc w:val="left"/>
      <w:pPr>
        <w:ind w:left="4950" w:hanging="720"/>
      </w:pPr>
      <w:rPr>
        <w:rFonts w:hint="default"/>
      </w:rPr>
    </w:lvl>
    <w:lvl w:ilvl="4">
      <w:start w:val="1"/>
      <w:numFmt w:val="decimal"/>
      <w:lvlText w:val="%1.%2.%3.%4.%5"/>
      <w:lvlJc w:val="left"/>
      <w:pPr>
        <w:ind w:left="6720" w:hanging="1080"/>
      </w:pPr>
      <w:rPr>
        <w:rFonts w:hint="default"/>
      </w:rPr>
    </w:lvl>
    <w:lvl w:ilvl="5">
      <w:start w:val="1"/>
      <w:numFmt w:val="decimal"/>
      <w:lvlText w:val="%1.%2.%3.%4.%5.%6"/>
      <w:lvlJc w:val="left"/>
      <w:pPr>
        <w:ind w:left="8130" w:hanging="1080"/>
      </w:pPr>
      <w:rPr>
        <w:rFonts w:hint="default"/>
      </w:rPr>
    </w:lvl>
    <w:lvl w:ilvl="6">
      <w:start w:val="1"/>
      <w:numFmt w:val="decimal"/>
      <w:lvlText w:val="%1.%2.%3.%4.%5.%6.%7"/>
      <w:lvlJc w:val="left"/>
      <w:pPr>
        <w:ind w:left="9900" w:hanging="1440"/>
      </w:pPr>
      <w:rPr>
        <w:rFonts w:hint="default"/>
      </w:rPr>
    </w:lvl>
    <w:lvl w:ilvl="7">
      <w:start w:val="1"/>
      <w:numFmt w:val="decimal"/>
      <w:lvlText w:val="%1.%2.%3.%4.%5.%6.%7.%8"/>
      <w:lvlJc w:val="left"/>
      <w:pPr>
        <w:ind w:left="11310" w:hanging="1440"/>
      </w:pPr>
      <w:rPr>
        <w:rFonts w:hint="default"/>
      </w:rPr>
    </w:lvl>
    <w:lvl w:ilvl="8">
      <w:start w:val="1"/>
      <w:numFmt w:val="decimal"/>
      <w:lvlText w:val="%1.%2.%3.%4.%5.%6.%7.%8.%9"/>
      <w:lvlJc w:val="left"/>
      <w:pPr>
        <w:ind w:left="12720" w:hanging="1440"/>
      </w:pPr>
      <w:rPr>
        <w:rFonts w:hint="default"/>
      </w:rPr>
    </w:lvl>
  </w:abstractNum>
  <w:abstractNum w:abstractNumId="2">
    <w:nsid w:val="12C25592"/>
    <w:multiLevelType w:val="hybridMultilevel"/>
    <w:tmpl w:val="0612189C"/>
    <w:lvl w:ilvl="0" w:tplc="04130013">
      <w:start w:val="1"/>
      <w:numFmt w:val="upperRoman"/>
      <w:lvlText w:val="%1."/>
      <w:lvlJc w:val="righ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309028D"/>
    <w:multiLevelType w:val="hybridMultilevel"/>
    <w:tmpl w:val="0F6E311E"/>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2071BE6"/>
    <w:multiLevelType w:val="multilevel"/>
    <w:tmpl w:val="02666656"/>
    <w:lvl w:ilvl="0">
      <w:start w:val="1"/>
      <w:numFmt w:val="decimal"/>
      <w:lvlText w:val="%1"/>
      <w:lvlJc w:val="left"/>
      <w:pPr>
        <w:ind w:left="360" w:hanging="360"/>
      </w:pPr>
      <w:rPr>
        <w:rFonts w:hint="default"/>
      </w:rPr>
    </w:lvl>
    <w:lvl w:ilvl="1">
      <w:start w:val="1"/>
      <w:numFmt w:val="decimal"/>
      <w:lvlText w:val="%1.%2"/>
      <w:lvlJc w:val="left"/>
      <w:pPr>
        <w:ind w:left="1770" w:hanging="360"/>
      </w:pPr>
      <w:rPr>
        <w:rFonts w:hint="default"/>
      </w:rPr>
    </w:lvl>
    <w:lvl w:ilvl="2">
      <w:start w:val="1"/>
      <w:numFmt w:val="decimal"/>
      <w:lvlText w:val="%1.%2.%3"/>
      <w:lvlJc w:val="left"/>
      <w:pPr>
        <w:ind w:left="3540" w:hanging="720"/>
      </w:pPr>
      <w:rPr>
        <w:rFonts w:hint="default"/>
      </w:rPr>
    </w:lvl>
    <w:lvl w:ilvl="3">
      <w:start w:val="1"/>
      <w:numFmt w:val="decimal"/>
      <w:lvlText w:val="%1.%2.%3.%4"/>
      <w:lvlJc w:val="left"/>
      <w:pPr>
        <w:ind w:left="4950" w:hanging="720"/>
      </w:pPr>
      <w:rPr>
        <w:rFonts w:hint="default"/>
      </w:rPr>
    </w:lvl>
    <w:lvl w:ilvl="4">
      <w:start w:val="1"/>
      <w:numFmt w:val="decimal"/>
      <w:lvlText w:val="%1.%2.%3.%4.%5"/>
      <w:lvlJc w:val="left"/>
      <w:pPr>
        <w:ind w:left="6720" w:hanging="1080"/>
      </w:pPr>
      <w:rPr>
        <w:rFonts w:hint="default"/>
      </w:rPr>
    </w:lvl>
    <w:lvl w:ilvl="5">
      <w:start w:val="1"/>
      <w:numFmt w:val="decimal"/>
      <w:lvlText w:val="%1.%2.%3.%4.%5.%6"/>
      <w:lvlJc w:val="left"/>
      <w:pPr>
        <w:ind w:left="8130" w:hanging="1080"/>
      </w:pPr>
      <w:rPr>
        <w:rFonts w:hint="default"/>
      </w:rPr>
    </w:lvl>
    <w:lvl w:ilvl="6">
      <w:start w:val="1"/>
      <w:numFmt w:val="decimal"/>
      <w:lvlText w:val="%1.%2.%3.%4.%5.%6.%7"/>
      <w:lvlJc w:val="left"/>
      <w:pPr>
        <w:ind w:left="9900" w:hanging="1440"/>
      </w:pPr>
      <w:rPr>
        <w:rFonts w:hint="default"/>
      </w:rPr>
    </w:lvl>
    <w:lvl w:ilvl="7">
      <w:start w:val="1"/>
      <w:numFmt w:val="decimal"/>
      <w:lvlText w:val="%1.%2.%3.%4.%5.%6.%7.%8"/>
      <w:lvlJc w:val="left"/>
      <w:pPr>
        <w:ind w:left="11310" w:hanging="1440"/>
      </w:pPr>
      <w:rPr>
        <w:rFonts w:hint="default"/>
      </w:rPr>
    </w:lvl>
    <w:lvl w:ilvl="8">
      <w:start w:val="1"/>
      <w:numFmt w:val="decimal"/>
      <w:lvlText w:val="%1.%2.%3.%4.%5.%6.%7.%8.%9"/>
      <w:lvlJc w:val="left"/>
      <w:pPr>
        <w:ind w:left="12720" w:hanging="1440"/>
      </w:pPr>
      <w:rPr>
        <w:rFonts w:hint="default"/>
      </w:rPr>
    </w:lvl>
  </w:abstractNum>
  <w:abstractNum w:abstractNumId="5">
    <w:nsid w:val="230943F5"/>
    <w:multiLevelType w:val="hybridMultilevel"/>
    <w:tmpl w:val="9968C330"/>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355F3410"/>
    <w:multiLevelType w:val="hybridMultilevel"/>
    <w:tmpl w:val="4932560C"/>
    <w:lvl w:ilvl="0" w:tplc="27C86B20">
      <w:numFmt w:val="bullet"/>
      <w:lvlText w:val=""/>
      <w:lvlJc w:val="left"/>
      <w:pPr>
        <w:ind w:left="1410" w:hanging="705"/>
      </w:pPr>
      <w:rPr>
        <w:rFonts w:ascii="Symbol" w:eastAsiaTheme="minorEastAsia" w:hAnsi="Symbol" w:cstheme="minorHAnsi"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7">
    <w:nsid w:val="3828036B"/>
    <w:multiLevelType w:val="hybridMultilevel"/>
    <w:tmpl w:val="8BD4EB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A790301"/>
    <w:multiLevelType w:val="hybridMultilevel"/>
    <w:tmpl w:val="3A30974E"/>
    <w:lvl w:ilvl="0" w:tplc="B28AEB80">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3BB83FE0"/>
    <w:multiLevelType w:val="multilevel"/>
    <w:tmpl w:val="4AA64E84"/>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eastAsia="Times New Roman" w:hAnsi="Times New Roman" w:cs="Times New Roman"/>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0">
    <w:nsid w:val="46A26AA8"/>
    <w:multiLevelType w:val="multilevel"/>
    <w:tmpl w:val="30EEA2B0"/>
    <w:lvl w:ilvl="0">
      <w:start w:val="1"/>
      <w:numFmt w:val="upperRoman"/>
      <w:lvlText w:val="%1."/>
      <w:lvlJc w:val="right"/>
      <w:pPr>
        <w:ind w:left="720" w:hanging="360"/>
      </w:pPr>
    </w:lvl>
    <w:lvl w:ilvl="1">
      <w:start w:val="1"/>
      <w:numFmt w:val="decimal"/>
      <w:isLgl/>
      <w:lvlText w:val="%1.%2"/>
      <w:lvlJc w:val="left"/>
      <w:pPr>
        <w:ind w:left="1252" w:hanging="555"/>
      </w:pPr>
      <w:rPr>
        <w:rFonts w:hint="default"/>
      </w:rPr>
    </w:lvl>
    <w:lvl w:ilvl="2">
      <w:start w:val="2"/>
      <w:numFmt w:val="decimal"/>
      <w:isLgl/>
      <w:lvlText w:val="%1.%2.%3"/>
      <w:lvlJc w:val="left"/>
      <w:pPr>
        <w:ind w:left="1754" w:hanging="720"/>
      </w:pPr>
      <w:rPr>
        <w:rFonts w:hint="default"/>
      </w:rPr>
    </w:lvl>
    <w:lvl w:ilvl="3">
      <w:start w:val="1"/>
      <w:numFmt w:val="decimal"/>
      <w:isLgl/>
      <w:lvlText w:val="%1.%2.%3.%4"/>
      <w:lvlJc w:val="left"/>
      <w:pPr>
        <w:ind w:left="2091" w:hanging="720"/>
      </w:pPr>
      <w:rPr>
        <w:rFonts w:hint="default"/>
      </w:rPr>
    </w:lvl>
    <w:lvl w:ilvl="4">
      <w:start w:val="1"/>
      <w:numFmt w:val="decimal"/>
      <w:isLgl/>
      <w:lvlText w:val="%1.%2.%3.%4.%5"/>
      <w:lvlJc w:val="left"/>
      <w:pPr>
        <w:ind w:left="2788" w:hanging="1080"/>
      </w:pPr>
      <w:rPr>
        <w:rFonts w:hint="default"/>
      </w:rPr>
    </w:lvl>
    <w:lvl w:ilvl="5">
      <w:start w:val="1"/>
      <w:numFmt w:val="decimal"/>
      <w:isLgl/>
      <w:lvlText w:val="%1.%2.%3.%4.%5.%6"/>
      <w:lvlJc w:val="left"/>
      <w:pPr>
        <w:ind w:left="3125" w:hanging="1080"/>
      </w:pPr>
      <w:rPr>
        <w:rFonts w:hint="default"/>
      </w:rPr>
    </w:lvl>
    <w:lvl w:ilvl="6">
      <w:start w:val="1"/>
      <w:numFmt w:val="decimal"/>
      <w:isLgl/>
      <w:lvlText w:val="%1.%2.%3.%4.%5.%6.%7"/>
      <w:lvlJc w:val="left"/>
      <w:pPr>
        <w:ind w:left="3822" w:hanging="1440"/>
      </w:pPr>
      <w:rPr>
        <w:rFonts w:hint="default"/>
      </w:rPr>
    </w:lvl>
    <w:lvl w:ilvl="7">
      <w:start w:val="1"/>
      <w:numFmt w:val="decimal"/>
      <w:isLgl/>
      <w:lvlText w:val="%1.%2.%3.%4.%5.%6.%7.%8"/>
      <w:lvlJc w:val="left"/>
      <w:pPr>
        <w:ind w:left="4159" w:hanging="1440"/>
      </w:pPr>
      <w:rPr>
        <w:rFonts w:hint="default"/>
      </w:rPr>
    </w:lvl>
    <w:lvl w:ilvl="8">
      <w:start w:val="1"/>
      <w:numFmt w:val="decimal"/>
      <w:isLgl/>
      <w:lvlText w:val="%1.%2.%3.%4.%5.%6.%7.%8.%9"/>
      <w:lvlJc w:val="left"/>
      <w:pPr>
        <w:ind w:left="4856" w:hanging="1800"/>
      </w:pPr>
      <w:rPr>
        <w:rFonts w:hint="default"/>
      </w:rPr>
    </w:lvl>
  </w:abstractNum>
  <w:abstractNum w:abstractNumId="11">
    <w:nsid w:val="49947D99"/>
    <w:multiLevelType w:val="multilevel"/>
    <w:tmpl w:val="74624F14"/>
    <w:lvl w:ilvl="0">
      <w:start w:val="1"/>
      <w:numFmt w:val="decimal"/>
      <w:lvlText w:val="%1"/>
      <w:lvlJc w:val="left"/>
      <w:pPr>
        <w:ind w:left="360" w:hanging="360"/>
      </w:pPr>
      <w:rPr>
        <w:rFonts w:hint="default"/>
      </w:rPr>
    </w:lvl>
    <w:lvl w:ilvl="1">
      <w:start w:val="1"/>
      <w:numFmt w:val="decimal"/>
      <w:lvlText w:val="%1.%2"/>
      <w:lvlJc w:val="left"/>
      <w:pPr>
        <w:ind w:left="1770" w:hanging="360"/>
      </w:pPr>
      <w:rPr>
        <w:rFonts w:hint="default"/>
      </w:rPr>
    </w:lvl>
    <w:lvl w:ilvl="2">
      <w:start w:val="1"/>
      <w:numFmt w:val="decimal"/>
      <w:lvlText w:val="%1.%2.%3"/>
      <w:lvlJc w:val="left"/>
      <w:pPr>
        <w:ind w:left="3540" w:hanging="720"/>
      </w:pPr>
      <w:rPr>
        <w:rFonts w:hint="default"/>
      </w:rPr>
    </w:lvl>
    <w:lvl w:ilvl="3">
      <w:start w:val="1"/>
      <w:numFmt w:val="decimal"/>
      <w:lvlText w:val="%1.%2.%3.%4"/>
      <w:lvlJc w:val="left"/>
      <w:pPr>
        <w:ind w:left="4950" w:hanging="720"/>
      </w:pPr>
      <w:rPr>
        <w:rFonts w:hint="default"/>
      </w:rPr>
    </w:lvl>
    <w:lvl w:ilvl="4">
      <w:start w:val="1"/>
      <w:numFmt w:val="decimal"/>
      <w:lvlText w:val="%1.%2.%3.%4.%5"/>
      <w:lvlJc w:val="left"/>
      <w:pPr>
        <w:ind w:left="6720" w:hanging="1080"/>
      </w:pPr>
      <w:rPr>
        <w:rFonts w:hint="default"/>
      </w:rPr>
    </w:lvl>
    <w:lvl w:ilvl="5">
      <w:start w:val="1"/>
      <w:numFmt w:val="decimal"/>
      <w:lvlText w:val="%1.%2.%3.%4.%5.%6"/>
      <w:lvlJc w:val="left"/>
      <w:pPr>
        <w:ind w:left="8130" w:hanging="1080"/>
      </w:pPr>
      <w:rPr>
        <w:rFonts w:hint="default"/>
      </w:rPr>
    </w:lvl>
    <w:lvl w:ilvl="6">
      <w:start w:val="1"/>
      <w:numFmt w:val="decimal"/>
      <w:lvlText w:val="%1.%2.%3.%4.%5.%6.%7"/>
      <w:lvlJc w:val="left"/>
      <w:pPr>
        <w:ind w:left="9900" w:hanging="1440"/>
      </w:pPr>
      <w:rPr>
        <w:rFonts w:hint="default"/>
      </w:rPr>
    </w:lvl>
    <w:lvl w:ilvl="7">
      <w:start w:val="1"/>
      <w:numFmt w:val="decimal"/>
      <w:lvlText w:val="%1.%2.%3.%4.%5.%6.%7.%8"/>
      <w:lvlJc w:val="left"/>
      <w:pPr>
        <w:ind w:left="11310" w:hanging="1440"/>
      </w:pPr>
      <w:rPr>
        <w:rFonts w:hint="default"/>
      </w:rPr>
    </w:lvl>
    <w:lvl w:ilvl="8">
      <w:start w:val="1"/>
      <w:numFmt w:val="decimal"/>
      <w:lvlText w:val="%1.%2.%3.%4.%5.%6.%7.%8.%9"/>
      <w:lvlJc w:val="left"/>
      <w:pPr>
        <w:ind w:left="12720" w:hanging="1440"/>
      </w:pPr>
      <w:rPr>
        <w:rFonts w:hint="default"/>
      </w:rPr>
    </w:lvl>
  </w:abstractNum>
  <w:abstractNum w:abstractNumId="12">
    <w:nsid w:val="4C5C24A0"/>
    <w:multiLevelType w:val="hybridMultilevel"/>
    <w:tmpl w:val="98EE881A"/>
    <w:lvl w:ilvl="0" w:tplc="04130013">
      <w:start w:val="1"/>
      <w:numFmt w:val="upperRoman"/>
      <w:lvlText w:val="%1."/>
      <w:lvlJc w:val="right"/>
      <w:pPr>
        <w:ind w:left="1410" w:hanging="705"/>
      </w:pPr>
      <w:rPr>
        <w:rFonts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13">
    <w:nsid w:val="4C5F1930"/>
    <w:multiLevelType w:val="multilevel"/>
    <w:tmpl w:val="1F183F8E"/>
    <w:lvl w:ilvl="0">
      <w:start w:val="1"/>
      <w:numFmt w:val="upperRoman"/>
      <w:lvlText w:val="%1."/>
      <w:lvlJc w:val="right"/>
      <w:pPr>
        <w:ind w:left="720" w:hanging="360"/>
      </w:pPr>
    </w:lvl>
    <w:lvl w:ilvl="1">
      <w:start w:val="1"/>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14">
    <w:nsid w:val="50FC17AA"/>
    <w:multiLevelType w:val="hybridMultilevel"/>
    <w:tmpl w:val="2F4E328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61943444"/>
    <w:multiLevelType w:val="hybridMultilevel"/>
    <w:tmpl w:val="A1A831CA"/>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644029A0"/>
    <w:multiLevelType w:val="hybridMultilevel"/>
    <w:tmpl w:val="1E6C97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723F3098"/>
    <w:multiLevelType w:val="hybridMultilevel"/>
    <w:tmpl w:val="CC4C1950"/>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776D5D12"/>
    <w:multiLevelType w:val="hybridMultilevel"/>
    <w:tmpl w:val="A1C0AE66"/>
    <w:lvl w:ilvl="0" w:tplc="04130013">
      <w:start w:val="1"/>
      <w:numFmt w:val="upperRoman"/>
      <w:lvlText w:val="%1."/>
      <w:lvlJc w:val="righ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78883E9E"/>
    <w:multiLevelType w:val="hybridMultilevel"/>
    <w:tmpl w:val="C2B06416"/>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79852658"/>
    <w:multiLevelType w:val="multilevel"/>
    <w:tmpl w:val="822C6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9CA7A74"/>
    <w:multiLevelType w:val="multilevel"/>
    <w:tmpl w:val="03D8CDEC"/>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7"/>
  </w:num>
  <w:num w:numId="4">
    <w:abstractNumId w:val="0"/>
  </w:num>
  <w:num w:numId="5">
    <w:abstractNumId w:val="13"/>
  </w:num>
  <w:num w:numId="6">
    <w:abstractNumId w:val="19"/>
  </w:num>
  <w:num w:numId="7">
    <w:abstractNumId w:val="20"/>
  </w:num>
  <w:num w:numId="8">
    <w:abstractNumId w:val="21"/>
  </w:num>
  <w:num w:numId="9">
    <w:abstractNumId w:val="14"/>
  </w:num>
  <w:num w:numId="10">
    <w:abstractNumId w:val="15"/>
  </w:num>
  <w:num w:numId="11">
    <w:abstractNumId w:val="9"/>
  </w:num>
  <w:num w:numId="12">
    <w:abstractNumId w:val="17"/>
  </w:num>
  <w:num w:numId="13">
    <w:abstractNumId w:val="5"/>
  </w:num>
  <w:num w:numId="14">
    <w:abstractNumId w:val="10"/>
  </w:num>
  <w:num w:numId="15">
    <w:abstractNumId w:val="16"/>
  </w:num>
  <w:num w:numId="16">
    <w:abstractNumId w:val="6"/>
  </w:num>
  <w:num w:numId="17">
    <w:abstractNumId w:val="12"/>
  </w:num>
  <w:num w:numId="18">
    <w:abstractNumId w:val="8"/>
  </w:num>
  <w:num w:numId="19">
    <w:abstractNumId w:val="18"/>
  </w:num>
  <w:num w:numId="20">
    <w:abstractNumId w:val="1"/>
  </w:num>
  <w:num w:numId="21">
    <w:abstractNumId w:val="11"/>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drawingGridHorizontalSpacing w:val="110"/>
  <w:displayHorizontalDrawingGridEvery w:val="2"/>
  <w:characterSpacingControl w:val="doNotCompress"/>
  <w:hdrShapeDefaults>
    <o:shapedefaults v:ext="edit" spidmax="74764"/>
    <o:shapelayout v:ext="edit">
      <o:idmap v:ext="edit" data="73"/>
    </o:shapelayout>
  </w:hdrShapeDefaults>
  <w:footnotePr>
    <w:footnote w:id="-1"/>
    <w:footnote w:id="0"/>
  </w:footnotePr>
  <w:endnotePr>
    <w:endnote w:id="-1"/>
    <w:endnote w:id="0"/>
  </w:endnotePr>
  <w:compat/>
  <w:rsids>
    <w:rsidRoot w:val="00786212"/>
    <w:rsid w:val="0000395A"/>
    <w:rsid w:val="000042CB"/>
    <w:rsid w:val="00010DF9"/>
    <w:rsid w:val="00014C15"/>
    <w:rsid w:val="00022DFF"/>
    <w:rsid w:val="00030556"/>
    <w:rsid w:val="000333D4"/>
    <w:rsid w:val="0003501F"/>
    <w:rsid w:val="00040BDB"/>
    <w:rsid w:val="0004153A"/>
    <w:rsid w:val="00050AA5"/>
    <w:rsid w:val="000566D4"/>
    <w:rsid w:val="00063D39"/>
    <w:rsid w:val="00067D34"/>
    <w:rsid w:val="00074171"/>
    <w:rsid w:val="000848AA"/>
    <w:rsid w:val="00095427"/>
    <w:rsid w:val="000A03F5"/>
    <w:rsid w:val="000A35A3"/>
    <w:rsid w:val="000B1E62"/>
    <w:rsid w:val="000B733B"/>
    <w:rsid w:val="000C2445"/>
    <w:rsid w:val="000C5854"/>
    <w:rsid w:val="000C7DB8"/>
    <w:rsid w:val="000E3D5E"/>
    <w:rsid w:val="000E5F32"/>
    <w:rsid w:val="000F27BA"/>
    <w:rsid w:val="000F2AED"/>
    <w:rsid w:val="000F6E40"/>
    <w:rsid w:val="00105371"/>
    <w:rsid w:val="001065A8"/>
    <w:rsid w:val="00111CCB"/>
    <w:rsid w:val="0011479F"/>
    <w:rsid w:val="00130EFE"/>
    <w:rsid w:val="00136D1C"/>
    <w:rsid w:val="00140F80"/>
    <w:rsid w:val="00146CDE"/>
    <w:rsid w:val="00146EB9"/>
    <w:rsid w:val="0015031E"/>
    <w:rsid w:val="00150429"/>
    <w:rsid w:val="00160FDE"/>
    <w:rsid w:val="001618B8"/>
    <w:rsid w:val="001664A0"/>
    <w:rsid w:val="00174A06"/>
    <w:rsid w:val="00181881"/>
    <w:rsid w:val="00181937"/>
    <w:rsid w:val="00182D9A"/>
    <w:rsid w:val="001924D9"/>
    <w:rsid w:val="001933F6"/>
    <w:rsid w:val="00196F12"/>
    <w:rsid w:val="001A2526"/>
    <w:rsid w:val="001A6050"/>
    <w:rsid w:val="001A703D"/>
    <w:rsid w:val="001A753B"/>
    <w:rsid w:val="001A75AF"/>
    <w:rsid w:val="001B34D9"/>
    <w:rsid w:val="001B4E47"/>
    <w:rsid w:val="001B5273"/>
    <w:rsid w:val="001B7243"/>
    <w:rsid w:val="001C6765"/>
    <w:rsid w:val="001C7E69"/>
    <w:rsid w:val="001D3E3B"/>
    <w:rsid w:val="001E100D"/>
    <w:rsid w:val="001E1EEF"/>
    <w:rsid w:val="001F0840"/>
    <w:rsid w:val="001F164E"/>
    <w:rsid w:val="00200032"/>
    <w:rsid w:val="00203C01"/>
    <w:rsid w:val="0021030B"/>
    <w:rsid w:val="002131EB"/>
    <w:rsid w:val="0021348E"/>
    <w:rsid w:val="00216636"/>
    <w:rsid w:val="0022345B"/>
    <w:rsid w:val="002277CC"/>
    <w:rsid w:val="00227C02"/>
    <w:rsid w:val="00230B34"/>
    <w:rsid w:val="00231982"/>
    <w:rsid w:val="002528A6"/>
    <w:rsid w:val="00255C3A"/>
    <w:rsid w:val="00255E25"/>
    <w:rsid w:val="00256FF3"/>
    <w:rsid w:val="00257B01"/>
    <w:rsid w:val="0028230D"/>
    <w:rsid w:val="002936D0"/>
    <w:rsid w:val="002977C9"/>
    <w:rsid w:val="002A3884"/>
    <w:rsid w:val="002A5E20"/>
    <w:rsid w:val="002A6E79"/>
    <w:rsid w:val="002B425C"/>
    <w:rsid w:val="002C0547"/>
    <w:rsid w:val="002C6473"/>
    <w:rsid w:val="002D3A72"/>
    <w:rsid w:val="002E69D4"/>
    <w:rsid w:val="00303125"/>
    <w:rsid w:val="00305CE5"/>
    <w:rsid w:val="0031195D"/>
    <w:rsid w:val="00316794"/>
    <w:rsid w:val="0032253C"/>
    <w:rsid w:val="00327FAD"/>
    <w:rsid w:val="003301F7"/>
    <w:rsid w:val="003313C1"/>
    <w:rsid w:val="003400E9"/>
    <w:rsid w:val="00345C7A"/>
    <w:rsid w:val="00347974"/>
    <w:rsid w:val="00352904"/>
    <w:rsid w:val="0035762A"/>
    <w:rsid w:val="00361D7A"/>
    <w:rsid w:val="00362BD9"/>
    <w:rsid w:val="003634D5"/>
    <w:rsid w:val="00363AE0"/>
    <w:rsid w:val="003922E1"/>
    <w:rsid w:val="003A0C1E"/>
    <w:rsid w:val="003A6801"/>
    <w:rsid w:val="003B61D3"/>
    <w:rsid w:val="003C076A"/>
    <w:rsid w:val="003C1B9E"/>
    <w:rsid w:val="003C33F9"/>
    <w:rsid w:val="003C61F6"/>
    <w:rsid w:val="003D3D22"/>
    <w:rsid w:val="003D569F"/>
    <w:rsid w:val="003E44C7"/>
    <w:rsid w:val="003E62D7"/>
    <w:rsid w:val="003F3821"/>
    <w:rsid w:val="00412170"/>
    <w:rsid w:val="00423306"/>
    <w:rsid w:val="00434AD0"/>
    <w:rsid w:val="0044169E"/>
    <w:rsid w:val="004476D8"/>
    <w:rsid w:val="004602DA"/>
    <w:rsid w:val="00463BF3"/>
    <w:rsid w:val="0046501E"/>
    <w:rsid w:val="00466D0D"/>
    <w:rsid w:val="00483C23"/>
    <w:rsid w:val="00484A1D"/>
    <w:rsid w:val="00484A90"/>
    <w:rsid w:val="00491788"/>
    <w:rsid w:val="004977D7"/>
    <w:rsid w:val="004A691B"/>
    <w:rsid w:val="004B0658"/>
    <w:rsid w:val="004B7D7F"/>
    <w:rsid w:val="004C18A8"/>
    <w:rsid w:val="004C40DA"/>
    <w:rsid w:val="004D0F22"/>
    <w:rsid w:val="004D2CFC"/>
    <w:rsid w:val="004D7E24"/>
    <w:rsid w:val="004E26F8"/>
    <w:rsid w:val="004F1449"/>
    <w:rsid w:val="004F22B8"/>
    <w:rsid w:val="0050415C"/>
    <w:rsid w:val="00507B78"/>
    <w:rsid w:val="00512817"/>
    <w:rsid w:val="005136EA"/>
    <w:rsid w:val="00514BD9"/>
    <w:rsid w:val="0052234F"/>
    <w:rsid w:val="0052516D"/>
    <w:rsid w:val="005348B0"/>
    <w:rsid w:val="0054128F"/>
    <w:rsid w:val="005556F3"/>
    <w:rsid w:val="00567F64"/>
    <w:rsid w:val="00583D65"/>
    <w:rsid w:val="00584EFA"/>
    <w:rsid w:val="005A062F"/>
    <w:rsid w:val="005A1653"/>
    <w:rsid w:val="005B38E5"/>
    <w:rsid w:val="005C48A9"/>
    <w:rsid w:val="005C48BE"/>
    <w:rsid w:val="005C617B"/>
    <w:rsid w:val="005C68BF"/>
    <w:rsid w:val="005D7183"/>
    <w:rsid w:val="005E404A"/>
    <w:rsid w:val="005E4E4B"/>
    <w:rsid w:val="005F5525"/>
    <w:rsid w:val="005F6599"/>
    <w:rsid w:val="005F790F"/>
    <w:rsid w:val="00602306"/>
    <w:rsid w:val="00602B9B"/>
    <w:rsid w:val="00603B44"/>
    <w:rsid w:val="006055A1"/>
    <w:rsid w:val="00606909"/>
    <w:rsid w:val="0061110E"/>
    <w:rsid w:val="0061721E"/>
    <w:rsid w:val="00622281"/>
    <w:rsid w:val="00636D91"/>
    <w:rsid w:val="0064056D"/>
    <w:rsid w:val="0064742B"/>
    <w:rsid w:val="006531D5"/>
    <w:rsid w:val="00661143"/>
    <w:rsid w:val="00661D5B"/>
    <w:rsid w:val="006773C3"/>
    <w:rsid w:val="00687955"/>
    <w:rsid w:val="00690895"/>
    <w:rsid w:val="0069430A"/>
    <w:rsid w:val="00694DF4"/>
    <w:rsid w:val="006A3B14"/>
    <w:rsid w:val="006A5461"/>
    <w:rsid w:val="006C4020"/>
    <w:rsid w:val="006C50AE"/>
    <w:rsid w:val="006C7D44"/>
    <w:rsid w:val="006D4898"/>
    <w:rsid w:val="006E037F"/>
    <w:rsid w:val="006F264C"/>
    <w:rsid w:val="006F2D73"/>
    <w:rsid w:val="00707993"/>
    <w:rsid w:val="00710FF1"/>
    <w:rsid w:val="00712A20"/>
    <w:rsid w:val="00720AF4"/>
    <w:rsid w:val="00723E71"/>
    <w:rsid w:val="007268CB"/>
    <w:rsid w:val="00735504"/>
    <w:rsid w:val="00746173"/>
    <w:rsid w:val="007622D0"/>
    <w:rsid w:val="007739FD"/>
    <w:rsid w:val="00780006"/>
    <w:rsid w:val="00786212"/>
    <w:rsid w:val="0079257D"/>
    <w:rsid w:val="00792C6F"/>
    <w:rsid w:val="007A03EA"/>
    <w:rsid w:val="007A334D"/>
    <w:rsid w:val="007A5234"/>
    <w:rsid w:val="007B36BC"/>
    <w:rsid w:val="007C1ADE"/>
    <w:rsid w:val="007D6F9D"/>
    <w:rsid w:val="007D788E"/>
    <w:rsid w:val="00807B81"/>
    <w:rsid w:val="00810692"/>
    <w:rsid w:val="00812669"/>
    <w:rsid w:val="00812721"/>
    <w:rsid w:val="008246A2"/>
    <w:rsid w:val="00825E38"/>
    <w:rsid w:val="008432EF"/>
    <w:rsid w:val="00851B57"/>
    <w:rsid w:val="00856F76"/>
    <w:rsid w:val="008771EC"/>
    <w:rsid w:val="00877571"/>
    <w:rsid w:val="00880FD1"/>
    <w:rsid w:val="00887DEB"/>
    <w:rsid w:val="00896A5D"/>
    <w:rsid w:val="008A0923"/>
    <w:rsid w:val="008B7652"/>
    <w:rsid w:val="008C446E"/>
    <w:rsid w:val="008C7180"/>
    <w:rsid w:val="008D2072"/>
    <w:rsid w:val="008D3359"/>
    <w:rsid w:val="008D5492"/>
    <w:rsid w:val="008F0E13"/>
    <w:rsid w:val="00903808"/>
    <w:rsid w:val="00907B7D"/>
    <w:rsid w:val="00912151"/>
    <w:rsid w:val="009156C2"/>
    <w:rsid w:val="00920448"/>
    <w:rsid w:val="009211BF"/>
    <w:rsid w:val="009313E4"/>
    <w:rsid w:val="00933D59"/>
    <w:rsid w:val="00936907"/>
    <w:rsid w:val="00936F49"/>
    <w:rsid w:val="00937DCF"/>
    <w:rsid w:val="009456F2"/>
    <w:rsid w:val="00952DD5"/>
    <w:rsid w:val="009A3E7D"/>
    <w:rsid w:val="009B3573"/>
    <w:rsid w:val="009B6EA4"/>
    <w:rsid w:val="009C3EFA"/>
    <w:rsid w:val="009D3C87"/>
    <w:rsid w:val="009D3E13"/>
    <w:rsid w:val="009E0F1E"/>
    <w:rsid w:val="009E11B0"/>
    <w:rsid w:val="009E3C54"/>
    <w:rsid w:val="009F0A2D"/>
    <w:rsid w:val="009F1DB9"/>
    <w:rsid w:val="009F7595"/>
    <w:rsid w:val="00A0519A"/>
    <w:rsid w:val="00A05717"/>
    <w:rsid w:val="00A14D8C"/>
    <w:rsid w:val="00A16050"/>
    <w:rsid w:val="00A20FDF"/>
    <w:rsid w:val="00A21559"/>
    <w:rsid w:val="00A3038E"/>
    <w:rsid w:val="00A31B31"/>
    <w:rsid w:val="00A3480B"/>
    <w:rsid w:val="00A3693F"/>
    <w:rsid w:val="00A372EF"/>
    <w:rsid w:val="00A453B3"/>
    <w:rsid w:val="00A53F84"/>
    <w:rsid w:val="00A637C2"/>
    <w:rsid w:val="00A67D15"/>
    <w:rsid w:val="00A717B1"/>
    <w:rsid w:val="00A72422"/>
    <w:rsid w:val="00A724C1"/>
    <w:rsid w:val="00A75701"/>
    <w:rsid w:val="00A919DB"/>
    <w:rsid w:val="00A92350"/>
    <w:rsid w:val="00AA6C0F"/>
    <w:rsid w:val="00AC5B79"/>
    <w:rsid w:val="00AD553A"/>
    <w:rsid w:val="00AF3A04"/>
    <w:rsid w:val="00AF5831"/>
    <w:rsid w:val="00B12E67"/>
    <w:rsid w:val="00B23AEE"/>
    <w:rsid w:val="00B44289"/>
    <w:rsid w:val="00B44FD6"/>
    <w:rsid w:val="00B65AEE"/>
    <w:rsid w:val="00B714E2"/>
    <w:rsid w:val="00B735CC"/>
    <w:rsid w:val="00B82FCA"/>
    <w:rsid w:val="00BA119C"/>
    <w:rsid w:val="00BA1ED6"/>
    <w:rsid w:val="00BA229B"/>
    <w:rsid w:val="00BB06A4"/>
    <w:rsid w:val="00BB5C95"/>
    <w:rsid w:val="00BC2A8A"/>
    <w:rsid w:val="00BC43C1"/>
    <w:rsid w:val="00BD4F4F"/>
    <w:rsid w:val="00BD5330"/>
    <w:rsid w:val="00BE3808"/>
    <w:rsid w:val="00BE7E15"/>
    <w:rsid w:val="00BF3E6D"/>
    <w:rsid w:val="00C039F3"/>
    <w:rsid w:val="00C063F4"/>
    <w:rsid w:val="00C1787D"/>
    <w:rsid w:val="00C27A4D"/>
    <w:rsid w:val="00C3621D"/>
    <w:rsid w:val="00C40569"/>
    <w:rsid w:val="00C42823"/>
    <w:rsid w:val="00C434FA"/>
    <w:rsid w:val="00C45DA4"/>
    <w:rsid w:val="00C50CFC"/>
    <w:rsid w:val="00C53F9F"/>
    <w:rsid w:val="00C66115"/>
    <w:rsid w:val="00C70540"/>
    <w:rsid w:val="00C71E86"/>
    <w:rsid w:val="00C74598"/>
    <w:rsid w:val="00C767CD"/>
    <w:rsid w:val="00C76EE8"/>
    <w:rsid w:val="00C90D3D"/>
    <w:rsid w:val="00CA156C"/>
    <w:rsid w:val="00CA47A6"/>
    <w:rsid w:val="00CB271E"/>
    <w:rsid w:val="00CB6984"/>
    <w:rsid w:val="00CD4185"/>
    <w:rsid w:val="00D218F4"/>
    <w:rsid w:val="00D30095"/>
    <w:rsid w:val="00D30829"/>
    <w:rsid w:val="00D3397C"/>
    <w:rsid w:val="00D3415B"/>
    <w:rsid w:val="00D54C69"/>
    <w:rsid w:val="00D704CD"/>
    <w:rsid w:val="00D70AAC"/>
    <w:rsid w:val="00D84499"/>
    <w:rsid w:val="00D853B9"/>
    <w:rsid w:val="00D867DA"/>
    <w:rsid w:val="00D91FB8"/>
    <w:rsid w:val="00DA56AB"/>
    <w:rsid w:val="00DB451E"/>
    <w:rsid w:val="00DB535B"/>
    <w:rsid w:val="00DB68E3"/>
    <w:rsid w:val="00DB73E7"/>
    <w:rsid w:val="00DD1A8F"/>
    <w:rsid w:val="00DD2731"/>
    <w:rsid w:val="00DE1D11"/>
    <w:rsid w:val="00E0167F"/>
    <w:rsid w:val="00E037F7"/>
    <w:rsid w:val="00E25DA6"/>
    <w:rsid w:val="00E2761A"/>
    <w:rsid w:val="00E33E30"/>
    <w:rsid w:val="00E53949"/>
    <w:rsid w:val="00E57F58"/>
    <w:rsid w:val="00E6265F"/>
    <w:rsid w:val="00E8189C"/>
    <w:rsid w:val="00E875AC"/>
    <w:rsid w:val="00E948E6"/>
    <w:rsid w:val="00EB3C65"/>
    <w:rsid w:val="00EB5745"/>
    <w:rsid w:val="00EC4C2C"/>
    <w:rsid w:val="00EC532A"/>
    <w:rsid w:val="00EE347C"/>
    <w:rsid w:val="00EE40A8"/>
    <w:rsid w:val="00EE7811"/>
    <w:rsid w:val="00EF5E57"/>
    <w:rsid w:val="00F01836"/>
    <w:rsid w:val="00F03E61"/>
    <w:rsid w:val="00F044E3"/>
    <w:rsid w:val="00F0526C"/>
    <w:rsid w:val="00F07A96"/>
    <w:rsid w:val="00F1612B"/>
    <w:rsid w:val="00F2048E"/>
    <w:rsid w:val="00F34E44"/>
    <w:rsid w:val="00F42310"/>
    <w:rsid w:val="00F57356"/>
    <w:rsid w:val="00F60905"/>
    <w:rsid w:val="00F64159"/>
    <w:rsid w:val="00F734ED"/>
    <w:rsid w:val="00F779DE"/>
    <w:rsid w:val="00F8149B"/>
    <w:rsid w:val="00F81611"/>
    <w:rsid w:val="00F82BEE"/>
    <w:rsid w:val="00F82E8E"/>
    <w:rsid w:val="00F83BC2"/>
    <w:rsid w:val="00F85011"/>
    <w:rsid w:val="00F94970"/>
    <w:rsid w:val="00F96105"/>
    <w:rsid w:val="00FA306E"/>
    <w:rsid w:val="00FB577C"/>
    <w:rsid w:val="00FC66C1"/>
    <w:rsid w:val="00FC6BD2"/>
    <w:rsid w:val="00FD792E"/>
    <w:rsid w:val="00FE26F5"/>
    <w:rsid w:val="00FE623D"/>
    <w:rsid w:val="00FF7C6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7476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75AC"/>
  </w:style>
  <w:style w:type="paragraph" w:styleId="Heading1">
    <w:name w:val="heading 1"/>
    <w:basedOn w:val="Normal"/>
    <w:next w:val="Normal"/>
    <w:link w:val="Heading1Char"/>
    <w:uiPriority w:val="9"/>
    <w:qFormat/>
    <w:rsid w:val="001E1EEF"/>
    <w:pPr>
      <w:keepNext/>
      <w:numPr>
        <w:numId w:val="11"/>
      </w:numPr>
      <w:spacing w:before="240" w:after="60" w:line="240" w:lineRule="auto"/>
      <w:outlineLvl w:val="0"/>
    </w:pPr>
    <w:rPr>
      <w:rFonts w:ascii="Arial" w:eastAsia="Times New Roman" w:hAnsi="Arial" w:cs="Arial"/>
      <w:b/>
      <w:bCs/>
      <w:kern w:val="32"/>
      <w:sz w:val="28"/>
      <w:szCs w:val="32"/>
      <w:lang w:val="en-GB"/>
    </w:rPr>
  </w:style>
  <w:style w:type="paragraph" w:styleId="Heading2">
    <w:name w:val="heading 2"/>
    <w:basedOn w:val="Normal"/>
    <w:next w:val="Normal"/>
    <w:link w:val="Heading2Char"/>
    <w:qFormat/>
    <w:rsid w:val="001E1EEF"/>
    <w:pPr>
      <w:keepNext/>
      <w:numPr>
        <w:ilvl w:val="1"/>
        <w:numId w:val="11"/>
      </w:numPr>
      <w:spacing w:before="240" w:after="60" w:line="240" w:lineRule="auto"/>
      <w:outlineLvl w:val="1"/>
    </w:pPr>
    <w:rPr>
      <w:rFonts w:ascii="Arial" w:eastAsia="Times New Roman" w:hAnsi="Arial" w:cs="Arial"/>
      <w:b/>
      <w:bCs/>
      <w:i/>
      <w:iCs/>
      <w:szCs w:val="28"/>
      <w:lang w:val="en-GB"/>
    </w:rPr>
  </w:style>
  <w:style w:type="paragraph" w:styleId="Heading3">
    <w:name w:val="heading 3"/>
    <w:basedOn w:val="Normal"/>
    <w:next w:val="Normal"/>
    <w:link w:val="Heading3Char"/>
    <w:qFormat/>
    <w:rsid w:val="001E1EEF"/>
    <w:pPr>
      <w:keepNext/>
      <w:numPr>
        <w:ilvl w:val="2"/>
        <w:numId w:val="11"/>
      </w:numPr>
      <w:spacing w:before="240" w:after="60" w:line="240" w:lineRule="auto"/>
      <w:outlineLvl w:val="2"/>
    </w:pPr>
    <w:rPr>
      <w:rFonts w:ascii="Arial" w:eastAsia="Times New Roman" w:hAnsi="Arial" w:cs="Arial"/>
      <w:b/>
      <w:bCs/>
      <w:sz w:val="26"/>
      <w:szCs w:val="26"/>
      <w:lang w:val="en-GB"/>
    </w:rPr>
  </w:style>
  <w:style w:type="paragraph" w:styleId="Heading4">
    <w:name w:val="heading 4"/>
    <w:basedOn w:val="Normal"/>
    <w:next w:val="Normal"/>
    <w:link w:val="Heading4Char"/>
    <w:qFormat/>
    <w:rsid w:val="001E1EEF"/>
    <w:pPr>
      <w:keepNext/>
      <w:numPr>
        <w:ilvl w:val="3"/>
        <w:numId w:val="11"/>
      </w:numPr>
      <w:spacing w:before="240" w:after="60" w:line="240" w:lineRule="auto"/>
      <w:outlineLvl w:val="3"/>
    </w:pPr>
    <w:rPr>
      <w:rFonts w:ascii="Times New Roman" w:eastAsia="Times New Roman" w:hAnsi="Times New Roman" w:cs="Times New Roman"/>
      <w:b/>
      <w:bCs/>
      <w:sz w:val="28"/>
      <w:szCs w:val="28"/>
      <w:lang w:val="en-GB"/>
    </w:rPr>
  </w:style>
  <w:style w:type="paragraph" w:styleId="Heading5">
    <w:name w:val="heading 5"/>
    <w:basedOn w:val="Normal"/>
    <w:next w:val="Normal"/>
    <w:link w:val="Heading5Char"/>
    <w:qFormat/>
    <w:rsid w:val="001E1EEF"/>
    <w:pPr>
      <w:numPr>
        <w:ilvl w:val="4"/>
        <w:numId w:val="11"/>
      </w:numPr>
      <w:spacing w:before="240" w:after="60" w:line="240" w:lineRule="auto"/>
      <w:outlineLvl w:val="4"/>
    </w:pPr>
    <w:rPr>
      <w:rFonts w:ascii="Times New Roman" w:eastAsia="Times New Roman" w:hAnsi="Times New Roman" w:cs="Times New Roman"/>
      <w:b/>
      <w:bCs/>
      <w:i/>
      <w:iCs/>
      <w:sz w:val="26"/>
      <w:szCs w:val="26"/>
      <w:lang w:val="en-GB"/>
    </w:rPr>
  </w:style>
  <w:style w:type="paragraph" w:styleId="Heading6">
    <w:name w:val="heading 6"/>
    <w:basedOn w:val="Normal"/>
    <w:next w:val="Normal"/>
    <w:link w:val="Heading6Char"/>
    <w:qFormat/>
    <w:rsid w:val="001E1EEF"/>
    <w:pPr>
      <w:numPr>
        <w:ilvl w:val="5"/>
        <w:numId w:val="11"/>
      </w:numPr>
      <w:spacing w:before="240" w:after="60" w:line="240" w:lineRule="auto"/>
      <w:outlineLvl w:val="5"/>
    </w:pPr>
    <w:rPr>
      <w:rFonts w:ascii="Times New Roman" w:eastAsia="Times New Roman" w:hAnsi="Times New Roman" w:cs="Times New Roman"/>
      <w:b/>
      <w:bCs/>
      <w:lang w:val="en-GB"/>
    </w:rPr>
  </w:style>
  <w:style w:type="paragraph" w:styleId="Heading7">
    <w:name w:val="heading 7"/>
    <w:basedOn w:val="Normal"/>
    <w:next w:val="Normal"/>
    <w:link w:val="Heading7Char"/>
    <w:qFormat/>
    <w:rsid w:val="001E1EEF"/>
    <w:pPr>
      <w:numPr>
        <w:ilvl w:val="6"/>
        <w:numId w:val="11"/>
      </w:numPr>
      <w:spacing w:before="240" w:after="60" w:line="240" w:lineRule="auto"/>
      <w:outlineLvl w:val="6"/>
    </w:pPr>
    <w:rPr>
      <w:rFonts w:ascii="Times New Roman" w:eastAsia="Times New Roman" w:hAnsi="Times New Roman" w:cs="Times New Roman"/>
      <w:szCs w:val="24"/>
      <w:lang w:val="en-GB"/>
    </w:rPr>
  </w:style>
  <w:style w:type="paragraph" w:styleId="Heading8">
    <w:name w:val="heading 8"/>
    <w:basedOn w:val="Normal"/>
    <w:next w:val="Normal"/>
    <w:link w:val="Heading8Char"/>
    <w:qFormat/>
    <w:rsid w:val="001E1EEF"/>
    <w:pPr>
      <w:numPr>
        <w:ilvl w:val="7"/>
        <w:numId w:val="11"/>
      </w:numPr>
      <w:spacing w:before="240" w:after="60" w:line="240" w:lineRule="auto"/>
      <w:outlineLvl w:val="7"/>
    </w:pPr>
    <w:rPr>
      <w:rFonts w:ascii="Times New Roman" w:eastAsia="Times New Roman" w:hAnsi="Times New Roman" w:cs="Times New Roman"/>
      <w:i/>
      <w:iCs/>
      <w:szCs w:val="24"/>
      <w:lang w:val="en-GB"/>
    </w:rPr>
  </w:style>
  <w:style w:type="paragraph" w:styleId="Heading9">
    <w:name w:val="heading 9"/>
    <w:basedOn w:val="Normal"/>
    <w:next w:val="Normal"/>
    <w:link w:val="Heading9Char"/>
    <w:qFormat/>
    <w:rsid w:val="001E1EEF"/>
    <w:pPr>
      <w:numPr>
        <w:ilvl w:val="8"/>
        <w:numId w:val="11"/>
      </w:numPr>
      <w:spacing w:before="240" w:after="60" w:line="240" w:lineRule="auto"/>
      <w:outlineLvl w:val="8"/>
    </w:pPr>
    <w:rPr>
      <w:rFonts w:ascii="Arial" w:eastAsia="Times New Roman" w:hAnsi="Arial"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6212"/>
    <w:pPr>
      <w:spacing w:after="0" w:line="240" w:lineRule="auto"/>
    </w:pPr>
  </w:style>
  <w:style w:type="paragraph" w:styleId="ListParagraph">
    <w:name w:val="List Paragraph"/>
    <w:basedOn w:val="Normal"/>
    <w:uiPriority w:val="34"/>
    <w:qFormat/>
    <w:rsid w:val="005C68BF"/>
    <w:pPr>
      <w:ind w:left="720"/>
      <w:contextualSpacing/>
    </w:pPr>
  </w:style>
  <w:style w:type="paragraph" w:styleId="BalloonText">
    <w:name w:val="Balloon Text"/>
    <w:basedOn w:val="Normal"/>
    <w:link w:val="BalloonTextChar"/>
    <w:uiPriority w:val="99"/>
    <w:semiHidden/>
    <w:unhideWhenUsed/>
    <w:rsid w:val="00463B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BF3"/>
    <w:rPr>
      <w:rFonts w:ascii="Tahoma" w:hAnsi="Tahoma" w:cs="Tahoma"/>
      <w:sz w:val="16"/>
      <w:szCs w:val="16"/>
    </w:rPr>
  </w:style>
  <w:style w:type="paragraph" w:styleId="Caption">
    <w:name w:val="caption"/>
    <w:basedOn w:val="Normal"/>
    <w:next w:val="Normal"/>
    <w:uiPriority w:val="35"/>
    <w:unhideWhenUsed/>
    <w:qFormat/>
    <w:rsid w:val="003C33F9"/>
    <w:pPr>
      <w:spacing w:line="240" w:lineRule="auto"/>
    </w:pPr>
    <w:rPr>
      <w:b/>
      <w:bCs/>
      <w:color w:val="4F81BD" w:themeColor="accent1"/>
      <w:sz w:val="18"/>
      <w:szCs w:val="18"/>
    </w:rPr>
  </w:style>
  <w:style w:type="paragraph" w:styleId="Header">
    <w:name w:val="header"/>
    <w:basedOn w:val="Normal"/>
    <w:link w:val="HeaderChar"/>
    <w:uiPriority w:val="99"/>
    <w:unhideWhenUsed/>
    <w:rsid w:val="00A05717"/>
    <w:pPr>
      <w:tabs>
        <w:tab w:val="center" w:pos="4536"/>
        <w:tab w:val="right" w:pos="9072"/>
      </w:tabs>
      <w:spacing w:after="0" w:line="240" w:lineRule="auto"/>
    </w:pPr>
  </w:style>
  <w:style w:type="character" w:customStyle="1" w:styleId="HeaderChar">
    <w:name w:val="Header Char"/>
    <w:basedOn w:val="DefaultParagraphFont"/>
    <w:link w:val="Header"/>
    <w:uiPriority w:val="99"/>
    <w:rsid w:val="00A05717"/>
  </w:style>
  <w:style w:type="paragraph" w:styleId="Footer">
    <w:name w:val="footer"/>
    <w:basedOn w:val="Normal"/>
    <w:link w:val="FooterChar"/>
    <w:unhideWhenUsed/>
    <w:rsid w:val="00A05717"/>
    <w:pPr>
      <w:tabs>
        <w:tab w:val="center" w:pos="4536"/>
        <w:tab w:val="right" w:pos="9072"/>
      </w:tabs>
      <w:spacing w:after="0" w:line="240" w:lineRule="auto"/>
    </w:pPr>
  </w:style>
  <w:style w:type="character" w:customStyle="1" w:styleId="FooterChar">
    <w:name w:val="Footer Char"/>
    <w:basedOn w:val="DefaultParagraphFont"/>
    <w:link w:val="Footer"/>
    <w:uiPriority w:val="99"/>
    <w:rsid w:val="00A05717"/>
  </w:style>
  <w:style w:type="character" w:styleId="Hyperlink">
    <w:name w:val="Hyperlink"/>
    <w:basedOn w:val="DefaultParagraphFont"/>
    <w:uiPriority w:val="99"/>
    <w:unhideWhenUsed/>
    <w:rsid w:val="005A1653"/>
    <w:rPr>
      <w:color w:val="0000FF" w:themeColor="hyperlink"/>
      <w:u w:val="single"/>
    </w:rPr>
  </w:style>
  <w:style w:type="paragraph" w:styleId="NormalWeb">
    <w:name w:val="Normal (Web)"/>
    <w:basedOn w:val="Normal"/>
    <w:uiPriority w:val="99"/>
    <w:semiHidden/>
    <w:unhideWhenUsed/>
    <w:rsid w:val="005A165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DefaultParagraphFont"/>
    <w:rsid w:val="005A1653"/>
  </w:style>
  <w:style w:type="character" w:customStyle="1" w:styleId="Heading1Char">
    <w:name w:val="Heading 1 Char"/>
    <w:basedOn w:val="DefaultParagraphFont"/>
    <w:link w:val="Heading1"/>
    <w:uiPriority w:val="9"/>
    <w:rsid w:val="001E1EEF"/>
    <w:rPr>
      <w:rFonts w:ascii="Arial" w:eastAsia="Times New Roman" w:hAnsi="Arial" w:cs="Arial"/>
      <w:b/>
      <w:bCs/>
      <w:kern w:val="32"/>
      <w:sz w:val="28"/>
      <w:szCs w:val="32"/>
      <w:lang w:val="en-GB"/>
    </w:rPr>
  </w:style>
  <w:style w:type="character" w:customStyle="1" w:styleId="Heading2Char">
    <w:name w:val="Heading 2 Char"/>
    <w:basedOn w:val="DefaultParagraphFont"/>
    <w:link w:val="Heading2"/>
    <w:rsid w:val="001E1EEF"/>
    <w:rPr>
      <w:rFonts w:ascii="Arial" w:eastAsia="Times New Roman" w:hAnsi="Arial" w:cs="Arial"/>
      <w:b/>
      <w:bCs/>
      <w:i/>
      <w:iCs/>
      <w:szCs w:val="28"/>
      <w:lang w:val="en-GB"/>
    </w:rPr>
  </w:style>
  <w:style w:type="character" w:customStyle="1" w:styleId="Heading3Char">
    <w:name w:val="Heading 3 Char"/>
    <w:basedOn w:val="DefaultParagraphFont"/>
    <w:link w:val="Heading3"/>
    <w:rsid w:val="001E1EEF"/>
    <w:rPr>
      <w:rFonts w:ascii="Arial" w:eastAsia="Times New Roman" w:hAnsi="Arial" w:cs="Arial"/>
      <w:b/>
      <w:bCs/>
      <w:sz w:val="26"/>
      <w:szCs w:val="26"/>
      <w:lang w:val="en-GB"/>
    </w:rPr>
  </w:style>
  <w:style w:type="character" w:customStyle="1" w:styleId="Heading4Char">
    <w:name w:val="Heading 4 Char"/>
    <w:basedOn w:val="DefaultParagraphFont"/>
    <w:link w:val="Heading4"/>
    <w:rsid w:val="001E1EEF"/>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rsid w:val="001E1EEF"/>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rsid w:val="001E1EEF"/>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1E1EEF"/>
    <w:rPr>
      <w:rFonts w:ascii="Times New Roman" w:eastAsia="Times New Roman" w:hAnsi="Times New Roman" w:cs="Times New Roman"/>
      <w:szCs w:val="24"/>
      <w:lang w:val="en-GB"/>
    </w:rPr>
  </w:style>
  <w:style w:type="character" w:customStyle="1" w:styleId="Heading8Char">
    <w:name w:val="Heading 8 Char"/>
    <w:basedOn w:val="DefaultParagraphFont"/>
    <w:link w:val="Heading8"/>
    <w:rsid w:val="001E1EEF"/>
    <w:rPr>
      <w:rFonts w:ascii="Times New Roman" w:eastAsia="Times New Roman" w:hAnsi="Times New Roman" w:cs="Times New Roman"/>
      <w:i/>
      <w:iCs/>
      <w:szCs w:val="24"/>
      <w:lang w:val="en-GB"/>
    </w:rPr>
  </w:style>
  <w:style w:type="character" w:customStyle="1" w:styleId="Heading9Char">
    <w:name w:val="Heading 9 Char"/>
    <w:basedOn w:val="DefaultParagraphFont"/>
    <w:link w:val="Heading9"/>
    <w:rsid w:val="001E1EEF"/>
    <w:rPr>
      <w:rFonts w:ascii="Arial" w:eastAsia="Times New Roman" w:hAnsi="Arial" w:cs="Arial"/>
      <w:lang w:val="en-GB"/>
    </w:rPr>
  </w:style>
  <w:style w:type="paragraph" w:styleId="TOC1">
    <w:name w:val="toc 1"/>
    <w:basedOn w:val="Normal"/>
    <w:next w:val="Normal"/>
    <w:autoRedefine/>
    <w:uiPriority w:val="39"/>
    <w:rsid w:val="001E1EEF"/>
    <w:pPr>
      <w:tabs>
        <w:tab w:val="right" w:leader="dot" w:pos="9000"/>
      </w:tabs>
      <w:spacing w:after="0" w:line="360" w:lineRule="auto"/>
    </w:pPr>
    <w:rPr>
      <w:rFonts w:ascii="Times New Roman" w:eastAsia="Times New Roman" w:hAnsi="Times New Roman" w:cs="Times New Roman"/>
      <w:szCs w:val="24"/>
      <w:lang w:val="en-GB"/>
    </w:rPr>
  </w:style>
  <w:style w:type="paragraph" w:styleId="TOC2">
    <w:name w:val="toc 2"/>
    <w:basedOn w:val="Normal"/>
    <w:next w:val="Normal"/>
    <w:autoRedefine/>
    <w:semiHidden/>
    <w:rsid w:val="001E1EEF"/>
    <w:pPr>
      <w:tabs>
        <w:tab w:val="left" w:pos="960"/>
        <w:tab w:val="right" w:leader="dot" w:pos="9000"/>
      </w:tabs>
      <w:spacing w:after="0" w:line="360" w:lineRule="auto"/>
      <w:ind w:left="238"/>
    </w:pPr>
    <w:rPr>
      <w:rFonts w:ascii="Times New Roman" w:eastAsia="Times New Roman" w:hAnsi="Times New Roman" w:cs="Times New Roman"/>
      <w:szCs w:val="24"/>
      <w:lang w:val="en-GB"/>
    </w:rPr>
  </w:style>
  <w:style w:type="paragraph" w:styleId="TOC3">
    <w:name w:val="toc 3"/>
    <w:basedOn w:val="Normal"/>
    <w:next w:val="Normal"/>
    <w:autoRedefine/>
    <w:semiHidden/>
    <w:rsid w:val="001E1EEF"/>
    <w:pPr>
      <w:widowControl w:val="0"/>
      <w:tabs>
        <w:tab w:val="right" w:leader="dot" w:pos="9000"/>
      </w:tabs>
      <w:spacing w:after="0" w:line="360" w:lineRule="auto"/>
      <w:ind w:left="425"/>
    </w:pPr>
    <w:rPr>
      <w:rFonts w:ascii="Times New Roman" w:eastAsia="Times New Roman" w:hAnsi="Times New Roman" w:cs="Times New Roman"/>
      <w:szCs w:val="24"/>
      <w:lang w:val="en-GB"/>
    </w:rPr>
  </w:style>
  <w:style w:type="character" w:styleId="PageNumber">
    <w:name w:val="page number"/>
    <w:basedOn w:val="DefaultParagraphFont"/>
    <w:rsid w:val="001E1EEF"/>
  </w:style>
  <w:style w:type="paragraph" w:customStyle="1" w:styleId="StyleHeading3ItalicLeft0cmFirstline0cm">
    <w:name w:val="Style Heading 3 + Italic Left:  0 cm First line:  0 cm"/>
    <w:basedOn w:val="Heading3"/>
    <w:rsid w:val="001E1EEF"/>
    <w:pPr>
      <w:ind w:left="0" w:firstLine="0"/>
    </w:pPr>
    <w:rPr>
      <w:rFonts w:cs="Times New Roman"/>
      <w:i/>
      <w:iCs/>
      <w:sz w:val="24"/>
      <w:szCs w:val="20"/>
    </w:rPr>
  </w:style>
  <w:style w:type="table" w:styleId="TableGrid">
    <w:name w:val="Table Grid"/>
    <w:basedOn w:val="TableNormal"/>
    <w:uiPriority w:val="59"/>
    <w:rsid w:val="002000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chtearcering1">
    <w:name w:val="Lichte arcering1"/>
    <w:basedOn w:val="TableNormal"/>
    <w:uiPriority w:val="60"/>
    <w:rsid w:val="0020003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Gemiddeldearcering11">
    <w:name w:val="Gemiddelde arcering 11"/>
    <w:basedOn w:val="TableNormal"/>
    <w:uiPriority w:val="63"/>
    <w:rsid w:val="00825E38"/>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FollowedHyperlink">
    <w:name w:val="FollowedHyperlink"/>
    <w:basedOn w:val="DefaultParagraphFont"/>
    <w:uiPriority w:val="99"/>
    <w:semiHidden/>
    <w:unhideWhenUsed/>
    <w:rsid w:val="001664A0"/>
    <w:rPr>
      <w:color w:val="800080" w:themeColor="followedHyperlink"/>
      <w:u w:val="single"/>
    </w:rPr>
  </w:style>
  <w:style w:type="character" w:styleId="PlaceholderText">
    <w:name w:val="Placeholder Text"/>
    <w:basedOn w:val="DefaultParagraphFont"/>
    <w:uiPriority w:val="99"/>
    <w:semiHidden/>
    <w:rsid w:val="00160FDE"/>
    <w:rPr>
      <w:color w:val="808080"/>
    </w:rPr>
  </w:style>
  <w:style w:type="paragraph" w:styleId="TOCHeading">
    <w:name w:val="TOC Heading"/>
    <w:basedOn w:val="Heading1"/>
    <w:next w:val="Normal"/>
    <w:uiPriority w:val="39"/>
    <w:semiHidden/>
    <w:unhideWhenUsed/>
    <w:qFormat/>
    <w:rsid w:val="00C40569"/>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Cs w:val="28"/>
      <w:lang w:val="nl-NL"/>
    </w:rPr>
  </w:style>
  <w:style w:type="paragraph" w:styleId="Bibliography">
    <w:name w:val="Bibliography"/>
    <w:basedOn w:val="Normal"/>
    <w:next w:val="Normal"/>
    <w:uiPriority w:val="37"/>
    <w:unhideWhenUsed/>
    <w:rsid w:val="009A3E7D"/>
  </w:style>
</w:styles>
</file>

<file path=word/webSettings.xml><?xml version="1.0" encoding="utf-8"?>
<w:webSettings xmlns:r="http://schemas.openxmlformats.org/officeDocument/2006/relationships" xmlns:w="http://schemas.openxmlformats.org/wordprocessingml/2006/main">
  <w:divs>
    <w:div w:id="171795829">
      <w:bodyDiv w:val="1"/>
      <w:marLeft w:val="0"/>
      <w:marRight w:val="0"/>
      <w:marTop w:val="0"/>
      <w:marBottom w:val="0"/>
      <w:divBdr>
        <w:top w:val="none" w:sz="0" w:space="0" w:color="auto"/>
        <w:left w:val="none" w:sz="0" w:space="0" w:color="auto"/>
        <w:bottom w:val="none" w:sz="0" w:space="0" w:color="auto"/>
        <w:right w:val="none" w:sz="0" w:space="0" w:color="auto"/>
      </w:divBdr>
    </w:div>
    <w:div w:id="173806682">
      <w:bodyDiv w:val="1"/>
      <w:marLeft w:val="0"/>
      <w:marRight w:val="0"/>
      <w:marTop w:val="0"/>
      <w:marBottom w:val="0"/>
      <w:divBdr>
        <w:top w:val="none" w:sz="0" w:space="0" w:color="auto"/>
        <w:left w:val="none" w:sz="0" w:space="0" w:color="auto"/>
        <w:bottom w:val="none" w:sz="0" w:space="0" w:color="auto"/>
        <w:right w:val="none" w:sz="0" w:space="0" w:color="auto"/>
      </w:divBdr>
    </w:div>
    <w:div w:id="225072261">
      <w:bodyDiv w:val="1"/>
      <w:marLeft w:val="0"/>
      <w:marRight w:val="0"/>
      <w:marTop w:val="0"/>
      <w:marBottom w:val="0"/>
      <w:divBdr>
        <w:top w:val="none" w:sz="0" w:space="0" w:color="auto"/>
        <w:left w:val="none" w:sz="0" w:space="0" w:color="auto"/>
        <w:bottom w:val="none" w:sz="0" w:space="0" w:color="auto"/>
        <w:right w:val="none" w:sz="0" w:space="0" w:color="auto"/>
      </w:divBdr>
    </w:div>
    <w:div w:id="368722868">
      <w:bodyDiv w:val="1"/>
      <w:marLeft w:val="0"/>
      <w:marRight w:val="0"/>
      <w:marTop w:val="0"/>
      <w:marBottom w:val="0"/>
      <w:divBdr>
        <w:top w:val="none" w:sz="0" w:space="0" w:color="auto"/>
        <w:left w:val="none" w:sz="0" w:space="0" w:color="auto"/>
        <w:bottom w:val="none" w:sz="0" w:space="0" w:color="auto"/>
        <w:right w:val="none" w:sz="0" w:space="0" w:color="auto"/>
      </w:divBdr>
    </w:div>
    <w:div w:id="401027684">
      <w:bodyDiv w:val="1"/>
      <w:marLeft w:val="0"/>
      <w:marRight w:val="0"/>
      <w:marTop w:val="0"/>
      <w:marBottom w:val="0"/>
      <w:divBdr>
        <w:top w:val="none" w:sz="0" w:space="0" w:color="auto"/>
        <w:left w:val="none" w:sz="0" w:space="0" w:color="auto"/>
        <w:bottom w:val="none" w:sz="0" w:space="0" w:color="auto"/>
        <w:right w:val="none" w:sz="0" w:space="0" w:color="auto"/>
      </w:divBdr>
    </w:div>
    <w:div w:id="471867826">
      <w:bodyDiv w:val="1"/>
      <w:marLeft w:val="0"/>
      <w:marRight w:val="0"/>
      <w:marTop w:val="0"/>
      <w:marBottom w:val="0"/>
      <w:divBdr>
        <w:top w:val="none" w:sz="0" w:space="0" w:color="auto"/>
        <w:left w:val="none" w:sz="0" w:space="0" w:color="auto"/>
        <w:bottom w:val="none" w:sz="0" w:space="0" w:color="auto"/>
        <w:right w:val="none" w:sz="0" w:space="0" w:color="auto"/>
      </w:divBdr>
    </w:div>
    <w:div w:id="482355798">
      <w:bodyDiv w:val="1"/>
      <w:marLeft w:val="0"/>
      <w:marRight w:val="0"/>
      <w:marTop w:val="0"/>
      <w:marBottom w:val="0"/>
      <w:divBdr>
        <w:top w:val="none" w:sz="0" w:space="0" w:color="auto"/>
        <w:left w:val="none" w:sz="0" w:space="0" w:color="auto"/>
        <w:bottom w:val="none" w:sz="0" w:space="0" w:color="auto"/>
        <w:right w:val="none" w:sz="0" w:space="0" w:color="auto"/>
      </w:divBdr>
    </w:div>
    <w:div w:id="703873460">
      <w:bodyDiv w:val="1"/>
      <w:marLeft w:val="0"/>
      <w:marRight w:val="0"/>
      <w:marTop w:val="0"/>
      <w:marBottom w:val="0"/>
      <w:divBdr>
        <w:top w:val="none" w:sz="0" w:space="0" w:color="auto"/>
        <w:left w:val="none" w:sz="0" w:space="0" w:color="auto"/>
        <w:bottom w:val="none" w:sz="0" w:space="0" w:color="auto"/>
        <w:right w:val="none" w:sz="0" w:space="0" w:color="auto"/>
      </w:divBdr>
    </w:div>
    <w:div w:id="746920688">
      <w:bodyDiv w:val="1"/>
      <w:marLeft w:val="0"/>
      <w:marRight w:val="0"/>
      <w:marTop w:val="0"/>
      <w:marBottom w:val="0"/>
      <w:divBdr>
        <w:top w:val="none" w:sz="0" w:space="0" w:color="auto"/>
        <w:left w:val="none" w:sz="0" w:space="0" w:color="auto"/>
        <w:bottom w:val="none" w:sz="0" w:space="0" w:color="auto"/>
        <w:right w:val="none" w:sz="0" w:space="0" w:color="auto"/>
      </w:divBdr>
    </w:div>
    <w:div w:id="1088622269">
      <w:bodyDiv w:val="1"/>
      <w:marLeft w:val="0"/>
      <w:marRight w:val="0"/>
      <w:marTop w:val="0"/>
      <w:marBottom w:val="0"/>
      <w:divBdr>
        <w:top w:val="none" w:sz="0" w:space="0" w:color="auto"/>
        <w:left w:val="none" w:sz="0" w:space="0" w:color="auto"/>
        <w:bottom w:val="none" w:sz="0" w:space="0" w:color="auto"/>
        <w:right w:val="none" w:sz="0" w:space="0" w:color="auto"/>
      </w:divBdr>
    </w:div>
    <w:div w:id="183252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soc.napier.ac.uk/~cs181/Modules/CM/Statistics/Statistics%205.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hyperlink" Target="http://www.themanagementor.com/enlightenmentorareas/finance/cfa/SecurityMarketLine.htm" TargetMode="External"/><Relationship Id="rId10" Type="http://schemas.openxmlformats.org/officeDocument/2006/relationships/image" Target="media/image3.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europatientrights.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Ins13</b:Tag>
    <b:SourceType>DocumentFromInternetSite</b:SourceType>
    <b:Guid>{2E93AB87-D47E-4D2A-8784-517DEE72918F}</b:Guid>
    <b:LCID>0</b:LCID>
    <b:Author>
      <b:Author>
        <b:NameList>
          <b:Person>
            <b:Last>Institute of Mergers</b:Last>
            <b:First>Acquisitions</b:First>
            <b:Middle>and Alliances</b:Middle>
          </b:Person>
        </b:NameList>
      </b:Author>
    </b:Author>
    <b:Title>Institute of Mergers, Acquisitions and Alliances</b:Title>
    <b:Year>2013</b:Year>
    <b:InternetSiteTitle>imaa-institute</b:InternetSiteTitle>
    <b:YearAccessed>2014</b:YearAccessed>
    <b:MonthAccessed>May</b:MonthAccessed>
    <b:DayAccessed>1</b:DayAccessed>
    <b:URL>http://www.imaa-institute.org/statistics-mergers-acquisitions.html#MergersAcquisitions_Worldwide</b:URL>
    <b:RefOrder>1</b:RefOrder>
  </b:Source>
  <b:Source>
    <b:Tag>Nad12</b:Tag>
    <b:SourceType>Report</b:SourceType>
    <b:Guid>{7A41E2B2-C2A0-46B0-A9F5-0799391B80F8}</b:Guid>
    <b:LCID>0</b:LCID>
    <b:Author>
      <b:Author>
        <b:NameList>
          <b:Person>
            <b:Last>Stechyshyna</b:Last>
            <b:First>Nadiia</b:First>
          </b:Person>
        </b:NameList>
      </b:Author>
    </b:Author>
    <b:Title>Manager's overconfidence and risk taking attitutes and the cross industry acquisitions</b:Title>
    <b:Year>2012</b:Year>
    <b:RefOrder>2</b:RefOrder>
  </b:Source>
  <b:Source>
    <b:Tag>Sch14</b:Tag>
    <b:SourceType>Report</b:SourceType>
    <b:Guid>{938FD66F-060D-40E6-9158-E0F5BD960784}</b:Guid>
    <b:LCID>0</b:LCID>
    <b:Author>
      <b:Author>
        <b:NameList>
          <b:Person>
            <b:Last>Schwab</b:Last>
            <b:First>Klaus</b:First>
          </b:Person>
        </b:NameList>
      </b:Author>
    </b:Author>
    <b:Title>The Global Competitiveness Report</b:Title>
    <b:Year>2013-2014</b:Year>
    <b:Publisher>World Economic Forum</b:Publisher>
    <b:RefOrder>3</b:RefOrder>
  </b:Source>
  <b:Source>
    <b:Tag>Joh11</b:Tag>
    <b:SourceType>DocumentFromInternetSite</b:SourceType>
    <b:Guid>{B2FC56C1-7FD8-4519-9B8A-E67E01D755BD}</b:Guid>
    <b:LCID>0</b:LCID>
    <b:Author>
      <b:Author>
        <b:NameList>
          <b:Person>
            <b:Last>Johnson</b:Last>
          </b:Person>
          <b:Person>
            <b:Last>Whittington</b:Last>
          </b:Person>
          <b:Person>
            <b:Last>Scholes</b:Last>
          </b:Person>
        </b:NameList>
      </b:Author>
    </b:Author>
    <b:Title>Exploring Strategy</b:Title>
    <b:Year>2011</b:Year>
    <b:InternetSiteTitle>Slideshare</b:InternetSiteTitle>
    <b:YearAccessed>2014</b:YearAccessed>
    <b:MonthAccessed>Mei</b:MonthAccessed>
    <b:DayAccessed>19</b:DayAccessed>
    <b:URL>http://www.slideshare.net/tutor2u/buss4-2012-research-bullet-1</b:URL>
    <b:RefOrder>18</b:RefOrder>
  </b:Source>
  <b:Source>
    <b:Tag>Unk08</b:Tag>
    <b:SourceType>Report</b:SourceType>
    <b:Guid>{DB13E106-8EE0-4296-B7E1-8F3AAB143D8B}</b:Guid>
    <b:LCID>0</b:LCID>
    <b:Author>
      <b:Author>
        <b:NameList>
          <b:Person>
            <b:Last>Unknown</b:Last>
          </b:Person>
        </b:NameList>
      </b:Author>
    </b:Author>
    <b:Title>CEO Overconfidence in M&amp;A Decision</b:Title>
    <b:Year>2008</b:Year>
    <b:Publisher>University of Edinburgh</b:Publisher>
    <b:City>Edinburgh</b:City>
    <b:RefOrder>23</b:RefOrder>
  </b:Source>
  <b:Source>
    <b:Tag>ELA09</b:Tag>
    <b:SourceType>Report</b:SourceType>
    <b:Guid>{9DCDEF2A-92FF-4A63-90DE-20D2CC4F1C36}</b:Guid>
    <b:LCID>0</b:LCID>
    <b:Author>
      <b:Author>
        <b:NameList>
          <b:Person>
            <b:Last>EL Allali</b:Last>
            <b:First>Tarik</b:First>
          </b:Person>
        </b:NameList>
      </b:Author>
    </b:Author>
    <b:Title>CEO Overconfidence in het M&amp;A besluitvormingsproces</b:Title>
    <b:Year>2009</b:Year>
    <b:Publisher>Erasmus Universiteit Rotterdam</b:Publisher>
    <b:City>Rotterdam</b:City>
    <b:RefOrder>24</b:RefOrder>
  </b:Source>
  <b:Source>
    <b:Tag>YuC13</b:Tag>
    <b:SourceType>Report</b:SourceType>
    <b:Guid>{45D09428-8657-49F4-94E7-B048E322D394}</b:Guid>
    <b:LCID>0</b:LCID>
    <b:Author>
      <b:Author>
        <b:NameList>
          <b:Person>
            <b:Last>Yu</b:Last>
            <b:First>Chia-Feng</b:First>
          </b:Person>
        </b:NameList>
      </b:Author>
    </b:Author>
    <b:Title>CEO Overconfidence, CEO Compensation and Earnings Manipulation</b:Title>
    <b:Year>2013</b:Year>
    <b:Publisher>University of Adelaide</b:Publisher>
    <b:City>Adelaide</b:City>
    <b:RefOrder>19</b:RefOrder>
  </b:Source>
  <b:Source>
    <b:Tag>Geu06</b:Tag>
    <b:SourceType>Report</b:SourceType>
    <b:Guid>{52C8771D-A64B-4005-A698-96264DFE1DC3}</b:Guid>
    <b:LCID>0</b:LCID>
    <b:Author>
      <b:Author>
        <b:NameList>
          <b:Person>
            <b:Last>Geurts</b:Last>
          </b:Person>
          <b:Person>
            <b:Last>Pavlov</b:Last>
          </b:Person>
        </b:NameList>
      </b:Author>
    </b:Author>
    <b:Title>Calculating the Cost of Capital for REITs</b:Title>
    <b:Year>2006</b:Year>
    <b:RefOrder>35</b:RefOrder>
  </b:Source>
  <b:Source>
    <b:Tag>EDS10</b:Tag>
    <b:SourceType>DocumentFromInternetSite</b:SourceType>
    <b:Guid>{16C6B17A-9C8E-4248-A105-2CD0E83A5F35}</b:Guid>
    <b:LCID>0</b:LCID>
    <b:Author>
      <b:Author>
        <b:NameList>
          <b:Person>
            <b:Last>EDSC</b:Last>
          </b:Person>
        </b:NameList>
      </b:Author>
    </b:Author>
    <b:Title>EDSC Tools</b:Title>
    <b:Year>2010</b:Year>
    <b:YearAccessed>2014</b:YearAccessed>
    <b:MonthAccessed>Mei</b:MonthAccessed>
    <b:DayAccessed>29</b:DayAccessed>
    <b:URL>http://www.eur.nl/fileadmin/ASSETS/edsc/Handleidingen/Datastream/Datastream_Event_Study_Tool.pdf</b:URL>
    <b:RefOrder>38</b:RefOrder>
  </b:Source>
  <b:Source>
    <b:Tag>Sha14</b:Tag>
    <b:SourceType>Interview</b:SourceType>
    <b:Guid>{FAA296D3-E837-415A-B795-8F6CFA57720F}</b:Guid>
    <b:LCID>0</b:LCID>
    <b:Author>
      <b:Interviewee>
        <b:NameList>
          <b:Person>
            <b:Last>Klaasen</b:Last>
            <b:First>Sharon</b:First>
          </b:Person>
        </b:NameList>
      </b:Interviewee>
      <b:Interviewer>
        <b:NameList>
          <b:Person>
            <b:Last>Hart</b:Last>
            <b:First>Sven</b:First>
            <b:Middle>van der</b:Middle>
          </b:Person>
        </b:NameList>
      </b:Interviewer>
    </b:Author>
    <b:Year>2014</b:Year>
    <b:Month>June</b:Month>
    <b:Day>5</b:Day>
    <b:RefOrder>40</b:RefOrder>
  </b:Source>
  <b:Source>
    <b:Tag>Cam11</b:Tag>
    <b:SourceType>DocumentFromInternetSite</b:SourceType>
    <b:Guid>{6BDC141A-C91D-4453-B2A8-249439B184B1}</b:Guid>
    <b:LCID>0</b:LCID>
    <b:Author>
      <b:Author>
        <b:NameList>
          <b:Person>
            <b:Last>Campbell</b:Last>
            <b:First>Harvy</b:First>
          </b:Person>
        </b:NameList>
      </b:Author>
    </b:Author>
    <b:Title>NASDAQ</b:Title>
    <b:Year>2011</b:Year>
    <b:InternetSiteTitle>NASDAQ.com</b:InternetSiteTitle>
    <b:YearAccessed>2014</b:YearAccessed>
    <b:MonthAccessed>Mei</b:MonthAccessed>
    <b:DayAccessed>18</b:DayAccessed>
    <b:URL>http://www.nasdaq.com/investing/glossary/r/risk-premium</b:URL>
    <b:RefOrder>37</b:RefOrder>
  </b:Source>
  <b:Source>
    <b:Tag>Jam131</b:Tag>
    <b:SourceType>Report</b:SourceType>
    <b:Guid>{EAC9F034-802D-4D9F-A532-C9D5875FADCF}</b:Guid>
    <b:LCID>0</b:LCID>
    <b:Author>
      <b:Author>
        <b:NameList>
          <b:Person>
            <b:Last>Chong</b:Last>
            <b:First>James</b:First>
          </b:Person>
          <b:Person>
            <b:Last>Jin</b:Last>
            <b:First>Yanbo</b:First>
          </b:Person>
          <b:Person>
            <b:Last>Phillips</b:Last>
            <b:First>Michael</b:First>
          </b:Person>
        </b:NameList>
      </b:Author>
    </b:Author>
    <b:Title>The Entrepreneur's Cost of Capital: Incorporating Downside Risk in the Buildup Method</b:Title>
    <b:Year>2013</b:Year>
    <b:Publisher>MacroRisk Analytics</b:Publisher>
    <b:RefOrder>32</b:RefOrder>
  </b:Source>
  <b:Source>
    <b:Tag>And01</b:Tag>
    <b:SourceType>JournalArticle</b:SourceType>
    <b:Guid>{AD323844-B013-41FA-868C-FDC3F193F59D}</b:Guid>
    <b:LCID>0</b:LCID>
    <b:Author>
      <b:Author>
        <b:NameList>
          <b:Person>
            <b:Last>Andrade</b:Last>
            <b:First>Gregor</b:First>
          </b:Person>
          <b:Person>
            <b:Last>Mitchell</b:Last>
            <b:First>Mark</b:First>
          </b:Person>
          <b:Person>
            <b:Last>Stafford</b:Last>
            <b:First>Erik</b:First>
          </b:Person>
        </b:NameList>
      </b:Author>
    </b:Author>
    <b:Title>New Evidence and Perspective on Mergers</b:Title>
    <b:Year>2001</b:Year>
    <b:JournalName>Journal of Economic Perspectives, 15</b:JournalName>
    <b:Pages>103-120</b:Pages>
    <b:RefOrder>15</b:RefOrder>
  </b:Source>
  <b:Source>
    <b:Tag>Hea90</b:Tag>
    <b:SourceType>JournalArticle</b:SourceType>
    <b:Guid>{066116FD-C3DC-4F0F-8283-8D2DD42ADA44}</b:Guid>
    <b:LCID>0</b:LCID>
    <b:Author>
      <b:Author>
        <b:NameList>
          <b:Person>
            <b:Last>Healy</b:Last>
            <b:First>Paul</b:First>
          </b:Person>
          <b:Person>
            <b:Last>Palepu</b:Last>
            <b:First>Krishna</b:First>
          </b:Person>
          <b:Person>
            <b:Last>Rubak</b:Last>
            <b:First>Richard</b:First>
          </b:Person>
        </b:NameList>
      </b:Author>
    </b:Author>
    <b:Title>Does corporate performance improve after mergers?</b:Title>
    <b:Year>1990</b:Year>
    <b:JournalName>JFEC, 31</b:JournalName>
    <b:Pages>135-176</b:Pages>
    <b:RefOrder>16</b:RefOrder>
  </b:Source>
  <b:Source>
    <b:Tag>For05</b:Tag>
    <b:SourceType>JournalArticle</b:SourceType>
    <b:Guid>{BE1F0E3E-BC51-4C25-BD03-731279C17BC6}</b:Guid>
    <b:LCID>0</b:LCID>
    <b:Author>
      <b:Author>
        <b:NameList>
          <b:Person>
            <b:Last>Forbes</b:Last>
            <b:First>D</b:First>
          </b:Person>
        </b:NameList>
      </b:Author>
    </b:Author>
    <b:Title>Are some entrepeneurs more overconfident than others?</b:Title>
    <b:Year>2005</b:Year>
    <b:JournalName>Journal of Business Venturing, 20</b:JournalName>
    <b:Pages>623-640</b:Pages>
    <b:RefOrder>20</b:RefOrder>
  </b:Source>
  <b:Source>
    <b:Tag>Mal05</b:Tag>
    <b:SourceType>JournalArticle</b:SourceType>
    <b:Guid>{91FDCC8C-1C1D-4FDF-8071-03434F7F36D4}</b:Guid>
    <b:LCID>0</b:LCID>
    <b:Author>
      <b:Author>
        <b:NameList>
          <b:Person>
            <b:Last>Malemendier</b:Last>
            <b:First>Ulrike</b:First>
          </b:Person>
          <b:Person>
            <b:Last>Tate</b:Last>
            <b:First>Geoffrey</b:First>
          </b:Person>
        </b:NameList>
      </b:Author>
    </b:Author>
    <b:Title>CEO Overconfidence and Corporate Investment</b:Title>
    <b:Year>2005</b:Year>
    <b:JournalName>European Financial Management, 11</b:JournalName>
    <b:Pages>649-659</b:Pages>
    <b:RefOrder>22</b:RefOrder>
  </b:Source>
  <b:Source>
    <b:Tag>Mar13</b:Tag>
    <b:SourceType>Report</b:SourceType>
    <b:Guid>{5BC4C4CF-8FF5-40BF-AB5F-D96785A22293}</b:Guid>
    <b:LCID>0</b:LCID>
    <b:Author>
      <b:Author>
        <b:NameList>
          <b:Person>
            <b:Last>Marchan</b:Last>
            <b:First>Dmitry</b:First>
          </b:Person>
        </b:NameList>
      </b:Author>
    </b:Author>
    <b:Title>Analyzing How Financial Crisis Has Changed M&amp;A Deals</b:Title>
    <b:InternetSiteTitle>Baker &amp; McKenzie</b:InternetSiteTitle>
    <b:Year>2013</b:Year>
    <b:PeriodicalTitle>The Moscow Times</b:PeriodicalTitle>
    <b:City>Moscow</b:City>
    <b:Publisher>The Moscow Times</b:Publisher>
    <b:RefOrder>5</b:RefOrder>
  </b:Source>
  <b:Source>
    <b:Tag>Mid12</b:Tag>
    <b:SourceType>DocumentFromInternetSite</b:SourceType>
    <b:Guid>{B92E9150-0D70-40B4-89D3-940B66C81330}</b:Guid>
    <b:LCID>0</b:LCID>
    <b:Author>
      <b:Author>
        <b:NameList>
          <b:Person>
            <b:Last>Mider</b:Last>
            <b:First>Zachary</b:First>
          </b:Person>
          <b:Person>
            <b:Last>Campbell</b:Last>
            <b:First>Matthwe</b:First>
          </b:Person>
          <b:Person>
            <b:Last>Chan</b:Last>
            <b:First>Cathy</b:First>
          </b:Person>
        </b:NameList>
      </b:Author>
    </b:Author>
    <b:Title>M&amp;A Slumps to Lowest Level Since Financial Crisis’s Nadir</b:Title>
    <b:PeriodicalTitle>Bloomberg</b:PeriodicalTitle>
    <b:Year>2012</b:Year>
    <b:Month>September</b:Month>
    <b:Day>27</b:Day>
    <b:InternetSiteTitle>BloomBerg</b:InternetSiteTitle>
    <b:YearAccessed>2014</b:YearAccessed>
    <b:MonthAccessed>June</b:MonthAccessed>
    <b:DayAccessed>12</b:DayAccessed>
    <b:URL>http://www.bloomberg.com/news/2012-09-27/m-a-slumps-to-lowest-level-since-financial-crisis-s-nadir.html</b:URL>
    <b:RefOrder>6</b:RefOrder>
  </b:Source>
  <b:Source>
    <b:Tag>Rol86</b:Tag>
    <b:SourceType>JournalArticle</b:SourceType>
    <b:Guid>{3E8AC8C4-BFFB-46C9-A2A5-0BAE1734AEC2}</b:Guid>
    <b:LCID>0</b:LCID>
    <b:Author>
      <b:Author>
        <b:NameList>
          <b:Person>
            <b:Last>Roll</b:Last>
            <b:First>Richard</b:First>
          </b:Person>
        </b:NameList>
      </b:Author>
    </b:Author>
    <b:Title>The Hubris Hypothesis of Corporate Takeovers</b:Title>
    <b:Year>1986</b:Year>
    <b:JournalName>Journal of Business, 59</b:JournalName>
    <b:Pages>197-216</b:Pages>
    <b:RefOrder>25</b:RefOrder>
  </b:Source>
  <b:Source>
    <b:Tag>Dou07</b:Tag>
    <b:SourceType>JournalArticle</b:SourceType>
    <b:Guid>{2FB77354-0682-4499-A62D-F82F41A803CF}</b:Guid>
    <b:LCID>0</b:LCID>
    <b:Author>
      <b:Author>
        <b:NameList>
          <b:Person>
            <b:Last>Doukas</b:Last>
          </b:Person>
          <b:Person>
            <b:Last>Petmezas</b:Last>
          </b:Person>
        </b:NameList>
      </b:Author>
    </b:Author>
    <b:Title>Acquisitions, overconfident managers and self attribution bias</b:Title>
    <b:Year>2007</b:Year>
    <b:JournalName>European Financial Management, 13</b:JournalName>
    <b:Pages>531-577</b:Pages>
    <b:RefOrder>26</b:RefOrder>
  </b:Source>
  <b:Source>
    <b:Tag>Dou</b:Tag>
    <b:SourceType>Report</b:SourceType>
    <b:Guid>{03AA0A56-ED38-45CA-9EC4-8202C5053033}</b:Guid>
    <b:LCID>0</b:LCID>
    <b:Author>
      <b:Author>
        <b:NameList>
          <b:Person>
            <b:Last>Doukas</b:Last>
            <b:First>John</b:First>
          </b:Person>
          <b:Person>
            <b:Last>Petmezas</b:Last>
            <b:First>Dimitris</b:First>
          </b:Person>
        </b:NameList>
      </b:Author>
    </b:Author>
    <b:Title>Acquisitions, Overconfident Managers and Self-Attribution Bias</b:Title>
    <b:City>Durham</b:City>
    <b:Year>2006</b:Year>
    <b:RefOrder>8</b:RefOrder>
  </b:Source>
  <b:Source>
    <b:Tag>Inv</b:Tag>
    <b:SourceType>DocumentFromInternetSite</b:SourceType>
    <b:Guid>{074B2E58-A3B3-4602-9AFA-A2F92456F0CB}</b:Guid>
    <b:LCID>0</b:LCID>
    <b:Author>
      <b:Author>
        <b:NameList>
          <b:Person>
            <b:Last>McClure</b:Last>
            <b:First>Ben</b:First>
          </b:Person>
        </b:NameList>
      </b:Author>
    </b:Author>
    <b:Title>Mergers and Acquisitions</b:Title>
    <b:Year>2009</b:Year>
    <b:Month>February</b:Month>
    <b:Day>25</b:Day>
    <b:InternetSiteTitle>Investopedia</b:InternetSiteTitle>
    <b:YearAccessed>2014</b:YearAccessed>
    <b:MonthAccessed>June</b:MonthAccessed>
    <b:DayAccessed>16</b:DayAccessed>
    <b:URL>http://www.investopedia.com/university/mergers/</b:URL>
    <b:RefOrder>14</b:RefOrder>
  </b:Source>
  <b:Source>
    <b:Tag>Jam13</b:Tag>
    <b:SourceType>DocumentFromInternetSite</b:SourceType>
    <b:Guid>{C6574A27-4897-4C82-9171-BECB9891A78D}</b:Guid>
    <b:LCID>0</b:LCID>
    <b:Author>
      <b:Author>
        <b:NameList>
          <b:Person>
            <b:Last>Kilduff</b:Last>
            <b:First>Jamie</b:First>
          </b:Person>
        </b:NameList>
      </b:Author>
    </b:Author>
    <b:Title>UK companies dominate European M&amp;A in 2013</b:Title>
    <b:Year>2013</b:Year>
    <b:PeriodicalTitle>Towers Watson</b:PeriodicalTitle>
    <b:Month>December</b:Month>
    <b:Day>12</b:Day>
    <b:YearAccessed>2014</b:YearAccessed>
    <b:MonthAccessed>May</b:MonthAccessed>
    <b:DayAccessed>22</b:DayAccessed>
    <b:URL>http://www.towerswatson.com/en-GB/Press/2013/12/UK-companies-dominate-European-M-and-A-in-2013</b:URL>
    <b:RefOrder>4</b:RefOrder>
  </b:Source>
  <b:Source>
    <b:Tag>Mal06</b:Tag>
    <b:SourceType>JournalArticle</b:SourceType>
    <b:Guid>{BC4680F9-5D91-4FCA-93CF-7047E486374D}</b:Guid>
    <b:LCID>0</b:LCID>
    <b:Author>
      <b:Author>
        <b:NameList>
          <b:Person>
            <b:Last>Malmendier</b:Last>
            <b:First>Ulrike</b:First>
          </b:Person>
          <b:Person>
            <b:Last>Tate</b:Last>
            <b:First>Geoffrey</b:First>
          </b:Person>
        </b:NameList>
      </b:Author>
    </b:Author>
    <b:Title>Who makes acquisitions? CEO overconfidence and the market's reaction</b:Title>
    <b:Year>2008</b:Year>
    <b:Month>May</b:Month>
    <b:Day>22</b:Day>
    <b:StateProvince>May</b:StateProvince>
    <b:CountryRegion>1</b:CountryRegion>
    <b:Publisher>University of California</b:Publisher>
    <b:JournalName>Journal of Financial Economics, 89</b:JournalName>
    <b:Pages>20-43</b:Pages>
    <b:RefOrder>7</b:RefOrder>
  </b:Source>
  <b:Source>
    <b:Tag>Hir12</b:Tag>
    <b:SourceType>JournalArticle</b:SourceType>
    <b:Guid>{9D93B9EA-5681-40C2-B7D0-F53437A88417}</b:Guid>
    <b:LCID>0</b:LCID>
    <b:Author>
      <b:Author>
        <b:NameList>
          <b:Person>
            <b:Last>Hirschleiver</b:Last>
          </b:Person>
          <b:Person>
            <b:Last>Low</b:Last>
          </b:Person>
          <b:Person>
            <b:Last>Teoh</b:Last>
          </b:Person>
        </b:NameList>
      </b:Author>
    </b:Author>
    <b:Title>Are confident CEOs better innovators?</b:Title>
    <b:JournalName>Journal of Finance, 67</b:JournalName>
    <b:Year>2012</b:Year>
    <b:Pages>1457-1498</b:Pages>
    <b:RefOrder>9</b:RefOrder>
  </b:Source>
  <b:Source>
    <b:Tag>Rou12</b:Tag>
    <b:SourceType>Report</b:SourceType>
    <b:Guid>{82A89F74-A254-4881-A638-D13E4CDAB53E}</b:Guid>
    <b:LCID>0</b:LCID>
    <b:Author>
      <b:Author>
        <b:NameList>
          <b:Person>
            <b:Last>Roussanov</b:Last>
            <b:First>N</b:First>
          </b:Person>
          <b:Person>
            <b:Last>Savor</b:Last>
            <b:First>P</b:First>
          </b:Person>
        </b:NameList>
      </b:Author>
    </b:Author>
    <b:Title>Status, Marriage and Managers' Attitudes to Risk</b:Title>
    <b:Year>2012</b:Year>
    <b:Publisher>Unpublished Working Paper</b:Publisher>
    <b:RefOrder>10</b:RefOrder>
  </b:Source>
  <b:Source>
    <b:Tag>Arn05</b:Tag>
    <b:SourceType>Book</b:SourceType>
    <b:Guid>{A5F48042-5A9C-4D69-8C6F-9C5C63B2C5F0}</b:Guid>
    <b:LCID>0</b:LCID>
    <b:Author>
      <b:Author>
        <b:NameList>
          <b:Person>
            <b:Last>Arnold</b:Last>
            <b:First>Glen</b:First>
          </b:Person>
        </b:NameList>
      </b:Author>
    </b:Author>
    <b:Title>Corporate Financial Management</b:Title>
    <b:Year>2005</b:Year>
    <b:Publisher>Financial Times</b:Publisher>
    <b:City>Harlow, England</b:City>
    <b:RefOrder>33</b:RefOrder>
  </b:Source>
  <b:Source>
    <b:Tag>Bes10</b:Tag>
    <b:SourceType>Book</b:SourceType>
    <b:Guid>{CA052291-D444-467D-9399-304C0D628BC4}</b:Guid>
    <b:LCID>0</b:LCID>
    <b:Author>
      <b:Author>
        <b:NameList>
          <b:Person>
            <b:Last>Besanko</b:Last>
            <b:First>David</b:First>
          </b:Person>
          <b:Person>
            <b:Last>Dranove</b:Last>
            <b:First>Davivd</b:First>
          </b:Person>
          <b:Person>
            <b:Last>Shanley</b:Last>
            <b:First>Mark</b:First>
          </b:Person>
          <b:Person>
            <b:Last>Schaefer</b:Last>
            <b:First>Scott</b:First>
          </b:Person>
        </b:NameList>
      </b:Author>
    </b:Author>
    <b:Title>Economies of Strategy, fifth edition</b:Title>
    <b:Year>2010</b:Year>
    <b:Publisher>Wiley and Sons</b:Publisher>
    <b:City>River Street, Hoboken, New-Jersey</b:City>
    <b:RefOrder>17</b:RefOrder>
  </b:Source>
  <b:Source>
    <b:Tag>DeM11</b:Tag>
    <b:SourceType>Book</b:SourceType>
    <b:Guid>{7BAF1491-9528-4A24-8F40-C1CE28E0BAF6}</b:Guid>
    <b:LCID>0</b:LCID>
    <b:Author>
      <b:Author>
        <b:NameList>
          <b:Person>
            <b:Last>DeMarzo</b:Last>
            <b:First>Peter</b:First>
          </b:Person>
          <b:Person>
            <b:Last>Berk</b:Last>
            <b:First>Jonathan</b:First>
          </b:Person>
        </b:NameList>
      </b:Author>
    </b:Author>
    <b:Title>Corporate Finance, second edition</b:Title>
    <b:Year>2011</b:Year>
    <b:City>Stanford</b:City>
    <b:Publisher>Pearson</b:Publisher>
    <b:RefOrder>13</b:RefOrder>
  </b:Source>
  <b:Source>
    <b:Tag>Moo11</b:Tag>
    <b:SourceType>Book</b:SourceType>
    <b:Guid>{36DDD666-BBE7-4166-8700-052C3A74C771}</b:Guid>
    <b:LCID>0</b:LCID>
    <b:Author>
      <b:Author>
        <b:NameList>
          <b:Person>
            <b:Last>Moore</b:Last>
          </b:Person>
          <b:Person>
            <b:Last>McCabe</b:Last>
          </b:Person>
          <b:Person>
            <b:Last>Alwan</b:Last>
          </b:Person>
          <b:Person>
            <b:Last>Craig</b:Last>
          </b:Person>
          <b:Person>
            <b:Last>Duckworth</b:Last>
          </b:Person>
        </b:NameList>
      </b:Author>
    </b:Author>
    <b:Title>The practice of statistics for business and economics, third edition</b:Title>
    <b:Year>2011</b:Year>
    <b:Publisher>W.H. Freeman and Company</b:Publisher>
    <b:City>USA</b:City>
    <b:RefOrder>39</b:RefOrder>
  </b:Source>
  <b:Source>
    <b:Tag>Bre10</b:Tag>
    <b:SourceType>Report</b:SourceType>
    <b:Guid>{5BF514F3-1388-4C7F-B012-FD071BCE1C0E}</b:Guid>
    <b:LCID>0</b:LCID>
    <b:Author>
      <b:Author>
        <b:NameList>
          <b:Person>
            <b:Last>Bressane</b:Last>
            <b:First>Bernardo</b:First>
            <b:Middle>P</b:Middle>
          </b:Person>
          <b:Person>
            <b:Last>Maia</b:Last>
            <b:First>Marcelo</b:First>
            <b:Middle>Verdini</b:Middle>
          </b:Person>
        </b:NameList>
      </b:Author>
    </b:Author>
    <b:Title>CEO Overconfidence and the Impact on M&amp;A Activity</b:Title>
    <b:Year>2010</b:Year>
    <b:Publisher>SSRN: http://papers.ssrn.com/sol3/papers.cfm?abstract_id=1674467</b:Publisher>
    <b:RefOrder>21</b:RefOrder>
  </b:Source>
  <b:Source>
    <b:Tag>Car12</b:Tag>
    <b:SourceType>Book</b:SourceType>
    <b:Guid>{0C971888-FBCC-4961-80FF-A6CF0C5A4E30}</b:Guid>
    <b:LCID>0</b:LCID>
    <b:Author>
      <b:Author>
        <b:NameList>
          <b:Person>
            <b:Last>Carter-Hill</b:Last>
          </b:Person>
          <b:Person>
            <b:Last>Griffiths</b:Last>
          </b:Person>
          <b:Person>
            <b:Last>Lim</b:Last>
          </b:Person>
        </b:NameList>
      </b:Author>
    </b:Author>
    <b:Title>Principles of Econometrics, fourth edition</b:Title>
    <b:Year>2012</b:Year>
    <b:City>River Street, Hoboken, New-Jersey</b:City>
    <b:Publisher>Wiley Inc.</b:Publisher>
    <b:RefOrder>41</b:RefOrder>
  </b:Source>
  <b:Source>
    <b:Tag>Fer</b:Tag>
    <b:SourceType>Report</b:SourceType>
    <b:Guid>{D980911B-AECA-4CB7-B971-629BE36A540B}</b:Guid>
    <b:LCID>0</b:LCID>
    <b:Author>
      <b:Author>
        <b:NameList>
          <b:Person>
            <b:Last>Ferris</b:Last>
            <b:First>Stephan</b:First>
          </b:Person>
          <b:Person>
            <b:Last>Jayaraman</b:Last>
            <b:First>Narayanan</b:First>
          </b:Person>
          <b:Person>
            <b:Last>Sabherwal</b:Last>
            <b:First>Sanjiv</b:First>
          </b:Person>
        </b:NameList>
      </b:Author>
    </b:Author>
    <b:Year>2012</b:Year>
    <b:Title>CEO Overconfidence and International Merger and Acquisition Activity</b:Title>
    <b:Publisher>SSRN: http://papers.ssrn.com/sol3/papers.cfm?abstract_id=1982286</b:Publisher>
    <b:RefOrder>11</b:RefOrder>
  </b:Source>
  <b:Source>
    <b:Tag>Tre62</b:Tag>
    <b:SourceType>Report</b:SourceType>
    <b:Guid>{D1E10496-713C-4B50-9BE8-DCAA6C16BD53}</b:Guid>
    <b:LCID>0</b:LCID>
    <b:Author>
      <b:Author>
        <b:NameList>
          <b:Person>
            <b:Last>Treynor</b:Last>
            <b:First>Jack</b:First>
          </b:Person>
        </b:NameList>
      </b:Author>
    </b:Author>
    <b:Title>Toward a Theory of Market Value of Risky Assets</b:Title>
    <b:Year>1962</b:Year>
    <b:Publisher>SSRN: http://papers.ssrn.com/sol3/papers.cfm?abstract_id=628187</b:Publisher>
    <b:RefOrder>27</b:RefOrder>
  </b:Source>
  <b:Source>
    <b:Tag>Fam04</b:Tag>
    <b:SourceType>JournalArticle</b:SourceType>
    <b:Guid>{E0D64F95-C6D8-438F-852F-1FBF476B9E22}</b:Guid>
    <b:LCID>0</b:LCID>
    <b:Author>
      <b:Author>
        <b:NameList>
          <b:Person>
            <b:Last>Fama</b:Last>
            <b:First>Eugene</b:First>
            <b:Middle>F</b:Middle>
          </b:Person>
          <b:Person>
            <b:Last>French</b:Last>
            <b:First>Kenneth</b:First>
            <b:Middle>R</b:Middle>
          </b:Person>
        </b:NameList>
      </b:Author>
    </b:Author>
    <b:Title>The Capital Asset Pricing Model: Theory and Evidence</b:Title>
    <b:Year>2004</b:Year>
    <b:Publisher>Journal of Economic Perspectives</b:Publisher>
    <b:JournalName>Journal of Economic Perspectives, 18 (3)</b:JournalName>
    <b:Pages>25-46</b:Pages>
    <b:RefOrder>34</b:RefOrder>
  </b:Source>
  <b:Source>
    <b:Tag>Wil97</b:Tag>
    <b:SourceType>JournalArticle</b:SourceType>
    <b:Guid>{27A9EC53-CA0B-47DF-BB3A-DA2E3F0582DF}</b:Guid>
    <b:LCID>0</b:LCID>
    <b:Author>
      <b:Author>
        <b:NameList>
          <b:Person>
            <b:Last>MacKinley</b:Last>
            <b:First>William</b:First>
          </b:Person>
        </b:NameList>
      </b:Author>
    </b:Author>
    <b:Title>Event Studies in Economics and Finance</b:Title>
    <b:Year>1997</b:Year>
    <b:Publisher>Journal of Economic Literature, Vol. XXXV</b:Publisher>
    <b:City>Pennsylvania</b:City>
    <b:JournalName>Journal of Economic Literature, 35</b:JournalName>
    <b:Pages>13-39</b:Pages>
    <b:RefOrder>36</b:RefOrder>
  </b:Source>
  <b:Source>
    <b:Tag>Lin65</b:Tag>
    <b:SourceType>JournalArticle</b:SourceType>
    <b:Guid>{DFD2B122-917B-4FE3-AC2A-181A71D0F35F}</b:Guid>
    <b:LCID>0</b:LCID>
    <b:Author>
      <b:Author>
        <b:NameList>
          <b:Person>
            <b:Last>Lintner</b:Last>
            <b:First>John</b:First>
          </b:Person>
        </b:NameList>
      </b:Author>
    </b:Author>
    <b:Title>The Capital Asset Pricing Model: Theory and Evidence</b:Title>
    <b:Year>1965</b:Year>
    <b:Publisher>Journal of Economic Perspectives</b:Publisher>
    <b:JournalName>Journal of Economic Perspectives, 18 (3)</b:JournalName>
    <b:Pages>25-46</b:Pages>
    <b:RefOrder>29</b:RefOrder>
  </b:Source>
  <b:Source>
    <b:Tag>Mor90</b:Tag>
    <b:SourceType>JournalArticle</b:SourceType>
    <b:Guid>{D18F128F-718A-4885-9429-C87FA5DC1B84}</b:Guid>
    <b:LCID>0</b:LCID>
    <b:Author>
      <b:Author>
        <b:NameList>
          <b:Person>
            <b:Last>Morck</b:Last>
            <b:First>Randell</b:First>
          </b:Person>
          <b:Person>
            <b:Last>Shleifer</b:Last>
            <b:First>Andrei</b:First>
          </b:Person>
          <b:Person>
            <b:Last>Vishny</b:Last>
            <b:First>Robert</b:First>
          </b:Person>
        </b:NameList>
      </b:Author>
    </b:Author>
    <b:Title>Do managerial objectives drive bad acquisitions</b:Title>
    <b:Year>1990</b:Year>
    <b:JournalName>The Journal of Finance, 45 (1)</b:JournalName>
    <b:Pages>31-48</b:Pages>
    <b:RefOrder>12</b:RefOrder>
  </b:Source>
  <b:Source>
    <b:Tag>Mos66</b:Tag>
    <b:SourceType>JournalArticle</b:SourceType>
    <b:Guid>{2A15428E-338E-4479-9778-6A421018F059}</b:Guid>
    <b:LCID>0</b:LCID>
    <b:Author>
      <b:Author>
        <b:NameList>
          <b:Person>
            <b:Last>Mossin</b:Last>
            <b:First>Jan</b:First>
          </b:Person>
        </b:NameList>
      </b:Author>
    </b:Author>
    <b:Title>The Capital Asset Pricing Model: Theory and Evidence</b:Title>
    <b:Year>1966</b:Year>
    <b:Publisher>Journal of Economic Perspectives</b:Publisher>
    <b:JournalName>Journal of Economic Perspectives, 18 (3)</b:JournalName>
    <b:Pages>25-46</b:Pages>
    <b:RefOrder>30</b:RefOrder>
  </b:Source>
  <b:Source>
    <b:Tag>Per04</b:Tag>
    <b:SourceType>JournalArticle</b:SourceType>
    <b:Guid>{55A7BBD3-1228-415A-8E08-EDC1F4FFBC9C}</b:Guid>
    <b:LCID>0</b:LCID>
    <b:Author>
      <b:Author>
        <b:NameList>
          <b:Person>
            <b:Last>Perold</b:Last>
            <b:First>Andre</b:First>
          </b:Person>
        </b:NameList>
      </b:Author>
    </b:Author>
    <b:Title>The Capital Asset Pricing Model</b:Title>
    <b:Year>2004</b:Year>
    <b:Publisher>Journal of Economic Perspectives</b:Publisher>
    <b:City>Boston, Massachusetts</b:City>
    <b:JournalName>Journal of Economic Perspectives, 18 (3)</b:JournalName>
    <b:Pages>25-46</b:Pages>
    <b:RefOrder>31</b:RefOrder>
  </b:Source>
  <b:Source>
    <b:Tag>Sha64</b:Tag>
    <b:SourceType>JournalArticle</b:SourceType>
    <b:Guid>{5914D3BE-A970-46CF-80B6-50DCFCB765A0}</b:Guid>
    <b:LCID>0</b:LCID>
    <b:Author>
      <b:Author>
        <b:NameList>
          <b:Person>
            <b:Last>Sharpe</b:Last>
            <b:First>William</b:First>
          </b:Person>
        </b:NameList>
      </b:Author>
    </b:Author>
    <b:Title>Capital Asset Prices – A Theory of Market Equilibrium Under Conditions of Risk</b:Title>
    <b:Year>1964</b:Year>
    <b:Publisher>Journal of Finance XIX</b:Publisher>
    <b:JournalName>The Journal of Finance, 19 (3)</b:JournalName>
    <b:Pages>425-443</b:Pages>
    <b:RefOrder>28</b:RefOrder>
  </b:Source>
</b:Sources>
</file>

<file path=customXml/itemProps1.xml><?xml version="1.0" encoding="utf-8"?>
<ds:datastoreItem xmlns:ds="http://schemas.openxmlformats.org/officeDocument/2006/customXml" ds:itemID="{2D5406C3-D053-4FA4-8E5D-BCBD25D71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13035</Words>
  <Characters>74301</Characters>
  <Application>Microsoft Office Word</Application>
  <DocSecurity>4</DocSecurity>
  <Lines>619</Lines>
  <Paragraphs>174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Universiteit Rotterdam</Company>
  <LinksUpToDate>false</LinksUpToDate>
  <CharactersWithSpaces>87162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Helene L. Molenaar</cp:lastModifiedBy>
  <cp:revision>2</cp:revision>
  <dcterms:created xsi:type="dcterms:W3CDTF">2014-06-30T07:18:00Z</dcterms:created>
  <dcterms:modified xsi:type="dcterms:W3CDTF">2014-06-30T07:18:00Z</dcterms:modified>
</cp:coreProperties>
</file>