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word/charts/chart19.xml" ContentType="application/vnd.openxmlformats-officedocument.drawingml.chart+xml"/>
  <Override PartName="/word/charts/chart28.xml" ContentType="application/vnd.openxmlformats-officedocument.drawingml.chart+xml"/>
  <Override PartName="/word/charts/chart2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charts/chart18.xml" ContentType="application/vnd.openxmlformats-officedocument.drawingml.chart+xml"/>
  <Override PartName="/word/charts/chart26.xml" ContentType="application/vnd.openxmlformats-officedocument.drawingml.chart+xml"/>
  <Override PartName="/word/charts/chart2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charts/chart24.xml" ContentType="application/vnd.openxmlformats-officedocument.drawingml.chart+xml"/>
  <Override PartName="/word/charts/chart2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22.xml" ContentType="application/vnd.openxmlformats-officedocument.drawingml.chart+xml"/>
  <Override PartName="/word/charts/chart2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20.xml" ContentType="application/vnd.openxmlformats-officedocument.drawingml.chart+xml"/>
  <Override PartName="/word/charts/chart2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EEE" w:rsidRDefault="00737EEE" w:rsidP="00737EEE">
      <w:pPr>
        <w:jc w:val="center"/>
        <w:rPr>
          <w:rFonts w:ascii="Times New Roman" w:hAnsi="Times New Roman" w:cs="Times New Roman"/>
          <w:sz w:val="52"/>
          <w:szCs w:val="52"/>
        </w:rPr>
      </w:pPr>
    </w:p>
    <w:p w:rsidR="00737EEE" w:rsidRDefault="00737EEE" w:rsidP="00737EEE">
      <w:pPr>
        <w:jc w:val="center"/>
        <w:rPr>
          <w:rFonts w:ascii="Times New Roman" w:hAnsi="Times New Roman" w:cs="Times New Roman"/>
          <w:sz w:val="52"/>
          <w:szCs w:val="52"/>
        </w:rPr>
      </w:pPr>
    </w:p>
    <w:p w:rsidR="00737EEE" w:rsidRDefault="00737EEE" w:rsidP="00737EEE">
      <w:pPr>
        <w:jc w:val="center"/>
        <w:rPr>
          <w:rFonts w:ascii="Times New Roman" w:hAnsi="Times New Roman" w:cs="Times New Roman"/>
          <w:sz w:val="52"/>
          <w:szCs w:val="52"/>
        </w:rPr>
      </w:pPr>
    </w:p>
    <w:p w:rsidR="00737EEE" w:rsidRDefault="00737EEE" w:rsidP="006C6090">
      <w:pPr>
        <w:rPr>
          <w:rFonts w:ascii="Times New Roman" w:hAnsi="Times New Roman" w:cs="Times New Roman"/>
          <w:sz w:val="52"/>
          <w:szCs w:val="52"/>
        </w:rPr>
      </w:pPr>
    </w:p>
    <w:p w:rsidR="00EE1A2A" w:rsidRPr="00737EEE" w:rsidRDefault="00EE1A2A" w:rsidP="00737EEE">
      <w:pPr>
        <w:jc w:val="center"/>
        <w:rPr>
          <w:rFonts w:ascii="Times New Roman" w:hAnsi="Times New Roman" w:cs="Times New Roman"/>
          <w:sz w:val="52"/>
          <w:szCs w:val="52"/>
        </w:rPr>
      </w:pPr>
      <w:r w:rsidRPr="00737EEE">
        <w:rPr>
          <w:rFonts w:ascii="Times New Roman" w:hAnsi="Times New Roman" w:cs="Times New Roman"/>
          <w:sz w:val="52"/>
          <w:szCs w:val="52"/>
        </w:rPr>
        <w:t>Seasonality in global government bond returns</w:t>
      </w:r>
    </w:p>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737EEE">
      <w:pPr>
        <w:spacing w:after="0" w:line="360" w:lineRule="auto"/>
        <w:rPr>
          <w:rFonts w:ascii="Times New Roman" w:hAnsi="Times New Roman" w:cs="Times New Roman"/>
          <w:sz w:val="24"/>
          <w:szCs w:val="24"/>
        </w:rPr>
      </w:pPr>
      <w:r w:rsidRPr="00737EEE">
        <w:rPr>
          <w:rFonts w:ascii="Times New Roman" w:hAnsi="Times New Roman" w:cs="Times New Roman"/>
          <w:sz w:val="24"/>
          <w:szCs w:val="24"/>
        </w:rPr>
        <w:t>Author</w:t>
      </w:r>
      <w:r w:rsidR="00737EEE">
        <w:rPr>
          <w:rFonts w:ascii="Times New Roman" w:hAnsi="Times New Roman" w:cs="Times New Roman"/>
          <w:sz w:val="24"/>
          <w:szCs w:val="24"/>
        </w:rPr>
        <w:tab/>
      </w:r>
      <w:r w:rsidR="00737EEE">
        <w:rPr>
          <w:rFonts w:ascii="Times New Roman" w:hAnsi="Times New Roman" w:cs="Times New Roman"/>
          <w:sz w:val="24"/>
          <w:szCs w:val="24"/>
        </w:rPr>
        <w:tab/>
      </w:r>
      <w:r w:rsidR="00737EEE">
        <w:rPr>
          <w:rFonts w:ascii="Times New Roman" w:hAnsi="Times New Roman" w:cs="Times New Roman"/>
          <w:sz w:val="24"/>
          <w:szCs w:val="24"/>
        </w:rPr>
        <w:tab/>
      </w:r>
      <w:r w:rsidR="00737EEE">
        <w:rPr>
          <w:rFonts w:ascii="Times New Roman" w:hAnsi="Times New Roman" w:cs="Times New Roman"/>
          <w:sz w:val="24"/>
          <w:szCs w:val="24"/>
        </w:rPr>
        <w:tab/>
      </w:r>
      <w:r w:rsidRPr="00737EEE">
        <w:rPr>
          <w:rFonts w:ascii="Times New Roman" w:hAnsi="Times New Roman" w:cs="Times New Roman"/>
          <w:sz w:val="24"/>
          <w:szCs w:val="24"/>
        </w:rPr>
        <w:t xml:space="preserve">Ana-Maria </w:t>
      </w:r>
      <w:r w:rsidRPr="00737EEE">
        <w:rPr>
          <w:rFonts w:ascii="Times New Roman" w:hAnsi="Times New Roman" w:cs="Times New Roman"/>
          <w:sz w:val="24"/>
          <w:szCs w:val="24"/>
          <w:lang w:val="en-GB"/>
        </w:rPr>
        <w:t>Morarescu</w:t>
      </w:r>
    </w:p>
    <w:p w:rsidR="00EE1A2A" w:rsidRPr="00737EEE" w:rsidRDefault="00737EEE" w:rsidP="00737EEE">
      <w:pPr>
        <w:spacing w:after="0" w:line="360" w:lineRule="auto"/>
        <w:rPr>
          <w:rFonts w:ascii="Times New Roman" w:hAnsi="Times New Roman" w:cs="Times New Roman"/>
          <w:sz w:val="24"/>
          <w:szCs w:val="24"/>
        </w:rPr>
      </w:pPr>
      <w:r>
        <w:rPr>
          <w:rFonts w:ascii="Times New Roman" w:hAnsi="Times New Roman" w:cs="Times New Roman"/>
          <w:sz w:val="24"/>
          <w:szCs w:val="24"/>
        </w:rPr>
        <w:t>Student Number</w:t>
      </w:r>
      <w:r>
        <w:rPr>
          <w:rFonts w:ascii="Times New Roman" w:hAnsi="Times New Roman" w:cs="Times New Roman"/>
          <w:sz w:val="24"/>
          <w:szCs w:val="24"/>
        </w:rPr>
        <w:tab/>
      </w:r>
      <w:r>
        <w:rPr>
          <w:rFonts w:ascii="Times New Roman" w:hAnsi="Times New Roman" w:cs="Times New Roman"/>
          <w:sz w:val="24"/>
          <w:szCs w:val="24"/>
        </w:rPr>
        <w:tab/>
      </w:r>
      <w:r w:rsidR="00EE1A2A" w:rsidRPr="00737EEE">
        <w:rPr>
          <w:rFonts w:ascii="Times New Roman" w:hAnsi="Times New Roman" w:cs="Times New Roman"/>
          <w:sz w:val="24"/>
          <w:szCs w:val="24"/>
        </w:rPr>
        <w:t>385368</w:t>
      </w:r>
    </w:p>
    <w:p w:rsidR="00EE1A2A" w:rsidRPr="00737EEE" w:rsidRDefault="00EE1A2A" w:rsidP="00737EEE">
      <w:pPr>
        <w:spacing w:after="0" w:line="360" w:lineRule="auto"/>
        <w:ind w:left="2880" w:hanging="2880"/>
        <w:rPr>
          <w:rFonts w:ascii="Times New Roman" w:hAnsi="Times New Roman" w:cs="Times New Roman"/>
          <w:sz w:val="24"/>
          <w:szCs w:val="24"/>
        </w:rPr>
      </w:pPr>
      <w:r w:rsidRPr="00737EEE">
        <w:rPr>
          <w:rFonts w:ascii="Times New Roman" w:hAnsi="Times New Roman" w:cs="Times New Roman"/>
          <w:sz w:val="24"/>
          <w:szCs w:val="24"/>
        </w:rPr>
        <w:t>Master Program</w:t>
      </w:r>
      <w:r w:rsidRPr="00737EEE">
        <w:rPr>
          <w:rFonts w:ascii="Times New Roman" w:hAnsi="Times New Roman" w:cs="Times New Roman"/>
          <w:sz w:val="24"/>
          <w:szCs w:val="24"/>
        </w:rPr>
        <w:tab/>
        <w:t>Financial Economics, Economics and Business MSc, Erasmus School of Economics</w:t>
      </w:r>
    </w:p>
    <w:p w:rsidR="00EE1A2A" w:rsidRPr="00737EEE" w:rsidRDefault="00EE1A2A" w:rsidP="00737EEE">
      <w:pPr>
        <w:spacing w:after="0" w:line="360" w:lineRule="auto"/>
        <w:rPr>
          <w:rFonts w:ascii="Times New Roman" w:hAnsi="Times New Roman" w:cs="Times New Roman"/>
          <w:sz w:val="24"/>
          <w:szCs w:val="24"/>
        </w:rPr>
      </w:pPr>
      <w:r w:rsidRPr="00737EEE">
        <w:rPr>
          <w:rFonts w:ascii="Times New Roman" w:hAnsi="Times New Roman" w:cs="Times New Roman"/>
          <w:sz w:val="24"/>
          <w:szCs w:val="24"/>
        </w:rPr>
        <w:t>Supervisor</w:t>
      </w:r>
      <w:r w:rsidRPr="00737EEE">
        <w:rPr>
          <w:rFonts w:ascii="Times New Roman" w:hAnsi="Times New Roman" w:cs="Times New Roman"/>
          <w:sz w:val="24"/>
          <w:szCs w:val="24"/>
        </w:rPr>
        <w:tab/>
      </w:r>
      <w:r w:rsidR="00737EEE">
        <w:rPr>
          <w:rFonts w:ascii="Times New Roman" w:hAnsi="Times New Roman" w:cs="Times New Roman"/>
          <w:sz w:val="24"/>
          <w:szCs w:val="24"/>
        </w:rPr>
        <w:tab/>
      </w:r>
      <w:r w:rsidR="00737EEE">
        <w:rPr>
          <w:rFonts w:ascii="Times New Roman" w:hAnsi="Times New Roman" w:cs="Times New Roman"/>
          <w:sz w:val="24"/>
          <w:szCs w:val="24"/>
        </w:rPr>
        <w:tab/>
      </w:r>
      <w:r w:rsidRPr="00737EEE">
        <w:rPr>
          <w:rFonts w:ascii="Times New Roman" w:hAnsi="Times New Roman" w:cs="Times New Roman"/>
          <w:sz w:val="24"/>
          <w:szCs w:val="24"/>
        </w:rPr>
        <w:t>Martin Martens</w:t>
      </w:r>
      <w:r w:rsidR="00E33AD1">
        <w:rPr>
          <w:rFonts w:ascii="Times New Roman" w:hAnsi="Times New Roman" w:cs="Times New Roman"/>
          <w:sz w:val="24"/>
          <w:szCs w:val="24"/>
        </w:rPr>
        <w:t>, PhD</w:t>
      </w:r>
    </w:p>
    <w:p w:rsidR="00EE1A2A" w:rsidRPr="00737EEE" w:rsidRDefault="00EE1A2A" w:rsidP="00737EEE">
      <w:pPr>
        <w:spacing w:after="0" w:line="360" w:lineRule="auto"/>
        <w:rPr>
          <w:rFonts w:ascii="Times New Roman" w:hAnsi="Times New Roman" w:cs="Times New Roman"/>
          <w:sz w:val="24"/>
          <w:szCs w:val="24"/>
        </w:rPr>
      </w:pPr>
      <w:r w:rsidRPr="00737EEE">
        <w:rPr>
          <w:rFonts w:ascii="Times New Roman" w:hAnsi="Times New Roman" w:cs="Times New Roman"/>
          <w:sz w:val="24"/>
          <w:szCs w:val="24"/>
        </w:rPr>
        <w:t>Internship Supervisors</w:t>
      </w:r>
      <w:r w:rsidR="00FB67CD">
        <w:rPr>
          <w:rStyle w:val="FootnoteReference"/>
          <w:rFonts w:ascii="Times New Roman" w:hAnsi="Times New Roman" w:cs="Times New Roman"/>
          <w:sz w:val="24"/>
          <w:szCs w:val="24"/>
        </w:rPr>
        <w:footnoteReference w:id="1"/>
      </w:r>
      <w:r w:rsidR="00E33AD1">
        <w:rPr>
          <w:rFonts w:ascii="Times New Roman" w:hAnsi="Times New Roman" w:cs="Times New Roman"/>
          <w:sz w:val="24"/>
          <w:szCs w:val="24"/>
        </w:rPr>
        <w:t xml:space="preserve"> </w:t>
      </w:r>
      <w:r w:rsidR="006C6090">
        <w:rPr>
          <w:rFonts w:ascii="Times New Roman" w:hAnsi="Times New Roman" w:cs="Times New Roman"/>
          <w:sz w:val="24"/>
          <w:szCs w:val="24"/>
        </w:rPr>
        <w:t xml:space="preserve">          </w:t>
      </w:r>
      <w:r w:rsidRPr="00737EEE">
        <w:rPr>
          <w:rFonts w:ascii="Times New Roman" w:hAnsi="Times New Roman" w:cs="Times New Roman"/>
          <w:sz w:val="24"/>
          <w:szCs w:val="24"/>
        </w:rPr>
        <w:t>Martin Martens</w:t>
      </w:r>
      <w:r w:rsidR="00E33AD1">
        <w:rPr>
          <w:rFonts w:ascii="Times New Roman" w:hAnsi="Times New Roman" w:cs="Times New Roman"/>
          <w:sz w:val="24"/>
          <w:szCs w:val="24"/>
        </w:rPr>
        <w:t>, PhD</w:t>
      </w:r>
      <w:r w:rsidRPr="00737EEE">
        <w:rPr>
          <w:rFonts w:ascii="Times New Roman" w:hAnsi="Times New Roman" w:cs="Times New Roman"/>
          <w:sz w:val="24"/>
          <w:szCs w:val="24"/>
        </w:rPr>
        <w:t xml:space="preserve"> and Johan Duyvesteyn, CFA</w:t>
      </w:r>
    </w:p>
    <w:p w:rsidR="00EE1A2A" w:rsidRPr="006C6090" w:rsidRDefault="006C6090" w:rsidP="006C6090">
      <w:pPr>
        <w:spacing w:after="0" w:line="360" w:lineRule="auto"/>
        <w:rPr>
          <w:rFonts w:ascii="Times New Roman" w:hAnsi="Times New Roman" w:cs="Times New Roman"/>
          <w:sz w:val="24"/>
          <w:szCs w:val="24"/>
        </w:rPr>
      </w:pPr>
      <w:r w:rsidRPr="006C6090">
        <w:rPr>
          <w:rFonts w:ascii="Times New Roman" w:hAnsi="Times New Roman" w:cs="Times New Roman"/>
          <w:sz w:val="24"/>
          <w:szCs w:val="24"/>
        </w:rPr>
        <w:t>Date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August 2014</w:t>
      </w:r>
    </w:p>
    <w:p w:rsidR="00EE1A2A" w:rsidRPr="00737EEE" w:rsidRDefault="00EE1A2A" w:rsidP="00EE1A2A"/>
    <w:p w:rsidR="00EE1A2A" w:rsidRDefault="006C6090" w:rsidP="00EE1A2A">
      <w:r>
        <w:rPr>
          <w:noProof/>
        </w:rPr>
        <w:drawing>
          <wp:anchor distT="0" distB="0" distL="114300" distR="114300" simplePos="0" relativeHeight="251659264" behindDoc="0" locked="0" layoutInCell="1" allowOverlap="1">
            <wp:simplePos x="0" y="0"/>
            <wp:positionH relativeFrom="column">
              <wp:posOffset>3055620</wp:posOffset>
            </wp:positionH>
            <wp:positionV relativeFrom="paragraph">
              <wp:posOffset>197485</wp:posOffset>
            </wp:positionV>
            <wp:extent cx="3037840" cy="1009650"/>
            <wp:effectExtent l="1905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37840" cy="1009650"/>
                    </a:xfrm>
                    <a:prstGeom prst="rect">
                      <a:avLst/>
                    </a:prstGeom>
                    <a:noFill/>
                    <a:ln>
                      <a:noFill/>
                    </a:ln>
                  </pic:spPr>
                </pic:pic>
              </a:graphicData>
            </a:graphic>
          </wp:anchor>
        </w:drawing>
      </w:r>
    </w:p>
    <w:p w:rsidR="00737EEE" w:rsidRDefault="00737EEE" w:rsidP="00EE1A2A"/>
    <w:p w:rsidR="006C6090" w:rsidRDefault="006C6090" w:rsidP="00EE1A2A"/>
    <w:p w:rsidR="006C6090" w:rsidRPr="00737EEE" w:rsidRDefault="006C6090" w:rsidP="00737EEE">
      <w:pPr>
        <w:jc w:val="center"/>
        <w:rPr>
          <w:rFonts w:ascii="Times New Roman" w:hAnsi="Times New Roman" w:cs="Times New Roman"/>
          <w:sz w:val="24"/>
          <w:szCs w:val="24"/>
        </w:rPr>
      </w:pPr>
    </w:p>
    <w:p w:rsidR="006924A9" w:rsidRDefault="006924A9" w:rsidP="00D61EE0">
      <w:pPr>
        <w:jc w:val="center"/>
        <w:rPr>
          <w:rFonts w:ascii="Times New Roman" w:hAnsi="Times New Roman" w:cs="Times New Roman"/>
          <w:b/>
          <w:sz w:val="24"/>
          <w:szCs w:val="24"/>
        </w:rPr>
      </w:pPr>
    </w:p>
    <w:p w:rsidR="006924A9" w:rsidRDefault="006924A9" w:rsidP="00D61EE0">
      <w:pPr>
        <w:jc w:val="center"/>
        <w:rPr>
          <w:rFonts w:ascii="Times New Roman" w:hAnsi="Times New Roman" w:cs="Times New Roman"/>
          <w:b/>
          <w:sz w:val="24"/>
          <w:szCs w:val="24"/>
        </w:rPr>
      </w:pPr>
    </w:p>
    <w:p w:rsidR="006924A9" w:rsidRDefault="006924A9" w:rsidP="00D61EE0">
      <w:pPr>
        <w:jc w:val="center"/>
        <w:rPr>
          <w:rFonts w:ascii="Times New Roman" w:hAnsi="Times New Roman" w:cs="Times New Roman"/>
          <w:b/>
          <w:sz w:val="24"/>
          <w:szCs w:val="24"/>
        </w:rPr>
      </w:pPr>
    </w:p>
    <w:p w:rsidR="006924A9" w:rsidRDefault="006924A9" w:rsidP="00D61EE0">
      <w:pPr>
        <w:jc w:val="center"/>
        <w:rPr>
          <w:rFonts w:ascii="Times New Roman" w:hAnsi="Times New Roman" w:cs="Times New Roman"/>
          <w:b/>
          <w:sz w:val="24"/>
          <w:szCs w:val="24"/>
        </w:rPr>
      </w:pPr>
    </w:p>
    <w:p w:rsidR="006924A9" w:rsidRDefault="006924A9" w:rsidP="00D61EE0">
      <w:pPr>
        <w:jc w:val="center"/>
        <w:rPr>
          <w:rFonts w:ascii="Times New Roman" w:hAnsi="Times New Roman" w:cs="Times New Roman"/>
          <w:b/>
          <w:sz w:val="24"/>
          <w:szCs w:val="24"/>
        </w:rPr>
      </w:pPr>
    </w:p>
    <w:p w:rsidR="006924A9" w:rsidRDefault="006924A9" w:rsidP="00D61EE0">
      <w:pPr>
        <w:jc w:val="center"/>
        <w:rPr>
          <w:rFonts w:ascii="Times New Roman" w:hAnsi="Times New Roman" w:cs="Times New Roman"/>
          <w:b/>
          <w:sz w:val="24"/>
          <w:szCs w:val="24"/>
        </w:rPr>
      </w:pPr>
    </w:p>
    <w:p w:rsidR="00EE1A2A" w:rsidRPr="00D61EE0" w:rsidRDefault="00737EEE" w:rsidP="00D61EE0">
      <w:pPr>
        <w:jc w:val="center"/>
        <w:rPr>
          <w:rFonts w:ascii="Times New Roman" w:hAnsi="Times New Roman" w:cs="Times New Roman"/>
          <w:b/>
          <w:sz w:val="24"/>
          <w:szCs w:val="24"/>
        </w:rPr>
      </w:pPr>
      <w:r w:rsidRPr="00D61EE0">
        <w:rPr>
          <w:rFonts w:ascii="Times New Roman" w:hAnsi="Times New Roman" w:cs="Times New Roman"/>
          <w:b/>
          <w:sz w:val="24"/>
          <w:szCs w:val="24"/>
        </w:rPr>
        <w:t>A</w:t>
      </w:r>
      <w:r w:rsidR="00EE1A2A" w:rsidRPr="00D61EE0">
        <w:rPr>
          <w:rFonts w:ascii="Times New Roman" w:hAnsi="Times New Roman" w:cs="Times New Roman"/>
          <w:b/>
          <w:sz w:val="24"/>
          <w:szCs w:val="24"/>
        </w:rPr>
        <w:t>bstract</w:t>
      </w:r>
    </w:p>
    <w:p w:rsidR="00D61EE0" w:rsidRDefault="00D61EE0" w:rsidP="00EE1A2A">
      <w:pPr>
        <w:rPr>
          <w:rFonts w:ascii="Times New Roman" w:hAnsi="Times New Roman" w:cs="Times New Roman"/>
        </w:rPr>
      </w:pPr>
    </w:p>
    <w:p w:rsidR="00D61EE0" w:rsidRDefault="00D61EE0" w:rsidP="00D61EE0">
      <w:pPr>
        <w:spacing w:after="0" w:line="360" w:lineRule="auto"/>
        <w:ind w:firstLine="720"/>
        <w:jc w:val="both"/>
        <w:rPr>
          <w:rFonts w:ascii="Times New Roman" w:hAnsi="Times New Roman" w:cs="Times New Roman"/>
        </w:rPr>
      </w:pPr>
      <w:r>
        <w:rPr>
          <w:rFonts w:ascii="Times New Roman" w:hAnsi="Times New Roman" w:cs="Times New Roman"/>
        </w:rPr>
        <w:t>This paper</w:t>
      </w:r>
      <w:r w:rsidRPr="00D61EE0">
        <w:rPr>
          <w:rFonts w:ascii="Times New Roman" w:hAnsi="Times New Roman" w:cs="Times New Roman"/>
        </w:rPr>
        <w:t xml:space="preserve"> document</w:t>
      </w:r>
      <w:r>
        <w:rPr>
          <w:rFonts w:ascii="Times New Roman" w:hAnsi="Times New Roman" w:cs="Times New Roman"/>
        </w:rPr>
        <w:t>s</w:t>
      </w:r>
      <w:r w:rsidRPr="00D61EE0">
        <w:rPr>
          <w:rFonts w:ascii="Times New Roman" w:hAnsi="Times New Roman" w:cs="Times New Roman"/>
        </w:rPr>
        <w:t xml:space="preserve"> a new seasonal pattern in </w:t>
      </w:r>
      <w:r w:rsidR="00C24ED1">
        <w:rPr>
          <w:rFonts w:ascii="Times New Roman" w:hAnsi="Times New Roman" w:cs="Times New Roman"/>
        </w:rPr>
        <w:t xml:space="preserve">six </w:t>
      </w:r>
      <w:r w:rsidRPr="00D61EE0">
        <w:rPr>
          <w:rFonts w:ascii="Times New Roman" w:hAnsi="Times New Roman" w:cs="Times New Roman"/>
        </w:rPr>
        <w:t xml:space="preserve">developed government bond </w:t>
      </w:r>
      <w:r w:rsidR="00C24ED1">
        <w:rPr>
          <w:rFonts w:ascii="Times New Roman" w:hAnsi="Times New Roman" w:cs="Times New Roman"/>
        </w:rPr>
        <w:t>markets</w:t>
      </w:r>
      <w:r w:rsidRPr="00D61EE0">
        <w:rPr>
          <w:rFonts w:ascii="Times New Roman" w:hAnsi="Times New Roman" w:cs="Times New Roman"/>
        </w:rPr>
        <w:t>. Returns are significantly higher in the second half of the year</w:t>
      </w:r>
      <w:r w:rsidR="00735178">
        <w:rPr>
          <w:rFonts w:ascii="Times New Roman" w:hAnsi="Times New Roman" w:cs="Times New Roman"/>
        </w:rPr>
        <w:t xml:space="preserve"> (July-December)</w:t>
      </w:r>
      <w:r w:rsidRPr="00D61EE0">
        <w:rPr>
          <w:rFonts w:ascii="Times New Roman" w:hAnsi="Times New Roman" w:cs="Times New Roman"/>
        </w:rPr>
        <w:t>.</w:t>
      </w:r>
      <w:r w:rsidR="00C24ED1">
        <w:rPr>
          <w:rFonts w:ascii="Times New Roman" w:hAnsi="Times New Roman" w:cs="Times New Roman"/>
        </w:rPr>
        <w:t xml:space="preserve"> </w:t>
      </w:r>
      <w:r w:rsidR="00C24ED1" w:rsidRPr="00C24ED1">
        <w:rPr>
          <w:rFonts w:ascii="Times New Roman" w:hAnsi="Times New Roman" w:cs="Times New Roman"/>
        </w:rPr>
        <w:t xml:space="preserve">The </w:t>
      </w:r>
      <w:r w:rsidR="006924A9">
        <w:rPr>
          <w:rFonts w:ascii="Times New Roman" w:hAnsi="Times New Roman" w:cs="Times New Roman"/>
        </w:rPr>
        <w:t xml:space="preserve">effect </w:t>
      </w:r>
      <w:r w:rsidR="00C24ED1">
        <w:rPr>
          <w:rFonts w:ascii="Times New Roman" w:hAnsi="Times New Roman" w:cs="Times New Roman"/>
        </w:rPr>
        <w:t>is</w:t>
      </w:r>
      <w:r w:rsidR="00C24ED1" w:rsidRPr="00C24ED1">
        <w:rPr>
          <w:rFonts w:ascii="Times New Roman" w:hAnsi="Times New Roman" w:cs="Times New Roman"/>
        </w:rPr>
        <w:t xml:space="preserve"> robust to outliers</w:t>
      </w:r>
      <w:r w:rsidR="00C24ED1">
        <w:rPr>
          <w:rFonts w:ascii="Times New Roman" w:hAnsi="Times New Roman" w:cs="Times New Roman"/>
        </w:rPr>
        <w:t xml:space="preserve"> and</w:t>
      </w:r>
      <w:r w:rsidR="00C24ED1" w:rsidRPr="00C24ED1">
        <w:rPr>
          <w:rFonts w:ascii="Times New Roman" w:hAnsi="Times New Roman" w:cs="Times New Roman"/>
        </w:rPr>
        <w:t xml:space="preserve"> persistent over time</w:t>
      </w:r>
      <w:r w:rsidR="00C24ED1">
        <w:rPr>
          <w:rFonts w:ascii="Times New Roman" w:hAnsi="Times New Roman" w:cs="Times New Roman"/>
        </w:rPr>
        <w:t xml:space="preserve"> and across countries</w:t>
      </w:r>
      <w:r w:rsidR="00C24ED1" w:rsidRPr="00C24ED1">
        <w:rPr>
          <w:rFonts w:ascii="Times New Roman" w:hAnsi="Times New Roman" w:cs="Times New Roman"/>
        </w:rPr>
        <w:t xml:space="preserve">. </w:t>
      </w:r>
      <w:r w:rsidRPr="00D61EE0">
        <w:rPr>
          <w:rFonts w:ascii="Times New Roman" w:hAnsi="Times New Roman" w:cs="Times New Roman"/>
        </w:rPr>
        <w:t xml:space="preserve"> Inflation is significantly higher in the first half of the year</w:t>
      </w:r>
      <w:r w:rsidR="00735178">
        <w:rPr>
          <w:rFonts w:ascii="Times New Roman" w:hAnsi="Times New Roman" w:cs="Times New Roman"/>
        </w:rPr>
        <w:t xml:space="preserve"> (January-June)</w:t>
      </w:r>
      <w:r w:rsidRPr="00D61EE0">
        <w:rPr>
          <w:rFonts w:ascii="Times New Roman" w:hAnsi="Times New Roman" w:cs="Times New Roman"/>
        </w:rPr>
        <w:t xml:space="preserve">. Residual bond returns from the time-series regression of bond returns on inflation </w:t>
      </w:r>
      <w:r w:rsidR="00C24ED1">
        <w:rPr>
          <w:rFonts w:ascii="Times New Roman" w:hAnsi="Times New Roman" w:cs="Times New Roman"/>
        </w:rPr>
        <w:t xml:space="preserve">rate </w:t>
      </w:r>
      <w:r w:rsidRPr="00D61EE0">
        <w:rPr>
          <w:rFonts w:ascii="Times New Roman" w:hAnsi="Times New Roman" w:cs="Times New Roman"/>
        </w:rPr>
        <w:t>no longer exhibit the seasonal pattern. Hence</w:t>
      </w:r>
      <w:r>
        <w:rPr>
          <w:rFonts w:ascii="Times New Roman" w:hAnsi="Times New Roman" w:cs="Times New Roman"/>
        </w:rPr>
        <w:t>,</w:t>
      </w:r>
      <w:r w:rsidRPr="00D61EE0">
        <w:rPr>
          <w:rFonts w:ascii="Times New Roman" w:hAnsi="Times New Roman" w:cs="Times New Roman"/>
        </w:rPr>
        <w:t xml:space="preserve"> the seas</w:t>
      </w:r>
      <w:r w:rsidR="009E1006">
        <w:rPr>
          <w:rFonts w:ascii="Times New Roman" w:hAnsi="Times New Roman" w:cs="Times New Roman"/>
        </w:rPr>
        <w:t>onal pattern in bond returns</w:t>
      </w:r>
      <w:r w:rsidR="00D71FA1">
        <w:rPr>
          <w:rFonts w:ascii="Times New Roman" w:hAnsi="Times New Roman" w:cs="Times New Roman"/>
        </w:rPr>
        <w:t xml:space="preserve"> is largely explained</w:t>
      </w:r>
      <w:r w:rsidR="009E1006">
        <w:rPr>
          <w:rFonts w:ascii="Times New Roman" w:hAnsi="Times New Roman" w:cs="Times New Roman"/>
        </w:rPr>
        <w:t xml:space="preserve"> </w:t>
      </w:r>
      <w:r w:rsidRPr="00D61EE0">
        <w:rPr>
          <w:rFonts w:ascii="Times New Roman" w:hAnsi="Times New Roman" w:cs="Times New Roman"/>
        </w:rPr>
        <w:t>by the seasonal pattern in inflation. This suggests nominal bond prices do not properly anticipate inflation. In contrast</w:t>
      </w:r>
      <w:r w:rsidR="006924A9">
        <w:rPr>
          <w:rFonts w:ascii="Times New Roman" w:hAnsi="Times New Roman" w:cs="Times New Roman"/>
        </w:rPr>
        <w:t>,</w:t>
      </w:r>
      <w:r w:rsidRPr="00D61EE0">
        <w:rPr>
          <w:rFonts w:ascii="Times New Roman" w:hAnsi="Times New Roman" w:cs="Times New Roman"/>
        </w:rPr>
        <w:t xml:space="preserve"> inflation-linked bonds whose coupons and face value depend on inflation do not exhibit a seasonal pattern.</w:t>
      </w:r>
      <w:r w:rsidR="00C24ED1">
        <w:rPr>
          <w:rFonts w:ascii="Times New Roman" w:hAnsi="Times New Roman" w:cs="Times New Roman"/>
        </w:rPr>
        <w:t xml:space="preserve"> </w:t>
      </w: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p w:rsidR="006924A9" w:rsidRDefault="006924A9" w:rsidP="00D61EE0">
      <w:pPr>
        <w:spacing w:after="0" w:line="360" w:lineRule="auto"/>
        <w:ind w:firstLine="720"/>
        <w:jc w:val="both"/>
        <w:rPr>
          <w:rFonts w:ascii="Times New Roman" w:hAnsi="Times New Roman" w:cs="Times New Roman"/>
        </w:rPr>
      </w:pPr>
    </w:p>
    <w:sdt>
      <w:sdtPr>
        <w:rPr>
          <w:rFonts w:asciiTheme="minorHAnsi" w:eastAsiaTheme="minorEastAsia" w:hAnsiTheme="minorHAnsi" w:cstheme="minorBidi"/>
          <w:b w:val="0"/>
          <w:bCs w:val="0"/>
          <w:sz w:val="22"/>
          <w:szCs w:val="22"/>
          <w:lang w:bidi="ar-SA"/>
        </w:rPr>
        <w:id w:val="199156914"/>
        <w:docPartObj>
          <w:docPartGallery w:val="Table of Contents"/>
          <w:docPartUnique/>
        </w:docPartObj>
      </w:sdtPr>
      <w:sdtContent>
        <w:p w:rsidR="006924A9" w:rsidRDefault="006924A9">
          <w:pPr>
            <w:pStyle w:val="TOCHeading"/>
          </w:pPr>
          <w:r>
            <w:t>Contents</w:t>
          </w:r>
        </w:p>
        <w:p w:rsidR="00DB4C0D" w:rsidRPr="00DB4C0D" w:rsidRDefault="00DB4C0D" w:rsidP="00DB4C0D">
          <w:pPr>
            <w:rPr>
              <w:lang w:bidi="en-US"/>
            </w:rPr>
          </w:pPr>
        </w:p>
        <w:p w:rsidR="00FB50F7" w:rsidRDefault="004C40A2">
          <w:pPr>
            <w:pStyle w:val="TOC1"/>
            <w:tabs>
              <w:tab w:val="left" w:pos="440"/>
              <w:tab w:val="right" w:leader="dot" w:pos="9350"/>
            </w:tabs>
            <w:rPr>
              <w:noProof/>
            </w:rPr>
          </w:pPr>
          <w:r>
            <w:fldChar w:fldCharType="begin"/>
          </w:r>
          <w:r w:rsidR="006924A9">
            <w:instrText xml:space="preserve"> TOC \o "1-3" \h \z \u </w:instrText>
          </w:r>
          <w:r>
            <w:fldChar w:fldCharType="separate"/>
          </w:r>
          <w:hyperlink w:anchor="_Toc396762685" w:history="1">
            <w:r w:rsidR="00FB50F7" w:rsidRPr="00CA78C4">
              <w:rPr>
                <w:rStyle w:val="Hyperlink"/>
                <w:noProof/>
              </w:rPr>
              <w:t>1.</w:t>
            </w:r>
            <w:r w:rsidR="00FB50F7">
              <w:rPr>
                <w:noProof/>
              </w:rPr>
              <w:tab/>
            </w:r>
            <w:r w:rsidR="00FB50F7" w:rsidRPr="00CA78C4">
              <w:rPr>
                <w:rStyle w:val="Hyperlink"/>
                <w:noProof/>
              </w:rPr>
              <w:t>Introduction</w:t>
            </w:r>
            <w:r w:rsidR="00FB50F7">
              <w:rPr>
                <w:noProof/>
                <w:webHidden/>
              </w:rPr>
              <w:tab/>
            </w:r>
            <w:r>
              <w:rPr>
                <w:noProof/>
                <w:webHidden/>
              </w:rPr>
              <w:fldChar w:fldCharType="begin"/>
            </w:r>
            <w:r w:rsidR="00FB50F7">
              <w:rPr>
                <w:noProof/>
                <w:webHidden/>
              </w:rPr>
              <w:instrText xml:space="preserve"> PAGEREF _Toc396762685 \h </w:instrText>
            </w:r>
            <w:r>
              <w:rPr>
                <w:noProof/>
                <w:webHidden/>
              </w:rPr>
            </w:r>
            <w:r>
              <w:rPr>
                <w:noProof/>
                <w:webHidden/>
              </w:rPr>
              <w:fldChar w:fldCharType="separate"/>
            </w:r>
            <w:r w:rsidR="00FB50F7">
              <w:rPr>
                <w:noProof/>
                <w:webHidden/>
              </w:rPr>
              <w:t>4</w:t>
            </w:r>
            <w:r>
              <w:rPr>
                <w:noProof/>
                <w:webHidden/>
              </w:rPr>
              <w:fldChar w:fldCharType="end"/>
            </w:r>
          </w:hyperlink>
        </w:p>
        <w:p w:rsidR="00FB50F7" w:rsidRDefault="004C40A2">
          <w:pPr>
            <w:pStyle w:val="TOC1"/>
            <w:tabs>
              <w:tab w:val="left" w:pos="440"/>
              <w:tab w:val="right" w:leader="dot" w:pos="9350"/>
            </w:tabs>
            <w:rPr>
              <w:noProof/>
            </w:rPr>
          </w:pPr>
          <w:hyperlink w:anchor="_Toc396762686" w:history="1">
            <w:r w:rsidR="00FB50F7" w:rsidRPr="00CA78C4">
              <w:rPr>
                <w:rStyle w:val="Hyperlink"/>
                <w:noProof/>
              </w:rPr>
              <w:t>2.</w:t>
            </w:r>
            <w:r w:rsidR="00FB50F7">
              <w:rPr>
                <w:noProof/>
              </w:rPr>
              <w:tab/>
            </w:r>
            <w:r w:rsidR="00FB50F7" w:rsidRPr="00CA78C4">
              <w:rPr>
                <w:rStyle w:val="Hyperlink"/>
                <w:noProof/>
              </w:rPr>
              <w:t>Literature Review</w:t>
            </w:r>
            <w:r w:rsidR="00FB50F7">
              <w:rPr>
                <w:noProof/>
                <w:webHidden/>
              </w:rPr>
              <w:tab/>
            </w:r>
            <w:r>
              <w:rPr>
                <w:noProof/>
                <w:webHidden/>
              </w:rPr>
              <w:fldChar w:fldCharType="begin"/>
            </w:r>
            <w:r w:rsidR="00FB50F7">
              <w:rPr>
                <w:noProof/>
                <w:webHidden/>
              </w:rPr>
              <w:instrText xml:space="preserve"> PAGEREF _Toc396762686 \h </w:instrText>
            </w:r>
            <w:r>
              <w:rPr>
                <w:noProof/>
                <w:webHidden/>
              </w:rPr>
            </w:r>
            <w:r>
              <w:rPr>
                <w:noProof/>
                <w:webHidden/>
              </w:rPr>
              <w:fldChar w:fldCharType="separate"/>
            </w:r>
            <w:r w:rsidR="00FB50F7">
              <w:rPr>
                <w:noProof/>
                <w:webHidden/>
              </w:rPr>
              <w:t>6</w:t>
            </w:r>
            <w:r>
              <w:rPr>
                <w:noProof/>
                <w:webHidden/>
              </w:rPr>
              <w:fldChar w:fldCharType="end"/>
            </w:r>
          </w:hyperlink>
        </w:p>
        <w:p w:rsidR="00FB50F7" w:rsidRDefault="004C40A2">
          <w:pPr>
            <w:pStyle w:val="TOC2"/>
            <w:tabs>
              <w:tab w:val="left" w:pos="880"/>
              <w:tab w:val="right" w:leader="dot" w:pos="9350"/>
            </w:tabs>
            <w:rPr>
              <w:noProof/>
            </w:rPr>
          </w:pPr>
          <w:hyperlink w:anchor="_Toc396762687" w:history="1">
            <w:r w:rsidR="00FB50F7" w:rsidRPr="00CA78C4">
              <w:rPr>
                <w:rStyle w:val="Hyperlink"/>
                <w:noProof/>
              </w:rPr>
              <w:t>2.1</w:t>
            </w:r>
            <w:r w:rsidR="00FB50F7">
              <w:rPr>
                <w:noProof/>
              </w:rPr>
              <w:tab/>
            </w:r>
            <w:r w:rsidR="00FB50F7" w:rsidRPr="00CA78C4">
              <w:rPr>
                <w:rStyle w:val="Hyperlink"/>
                <w:noProof/>
              </w:rPr>
              <w:t>Seasonality in government bond returns</w:t>
            </w:r>
            <w:r w:rsidR="00FB50F7">
              <w:rPr>
                <w:noProof/>
                <w:webHidden/>
              </w:rPr>
              <w:tab/>
            </w:r>
            <w:r>
              <w:rPr>
                <w:noProof/>
                <w:webHidden/>
              </w:rPr>
              <w:fldChar w:fldCharType="begin"/>
            </w:r>
            <w:r w:rsidR="00FB50F7">
              <w:rPr>
                <w:noProof/>
                <w:webHidden/>
              </w:rPr>
              <w:instrText xml:space="preserve"> PAGEREF _Toc396762687 \h </w:instrText>
            </w:r>
            <w:r>
              <w:rPr>
                <w:noProof/>
                <w:webHidden/>
              </w:rPr>
            </w:r>
            <w:r>
              <w:rPr>
                <w:noProof/>
                <w:webHidden/>
              </w:rPr>
              <w:fldChar w:fldCharType="separate"/>
            </w:r>
            <w:r w:rsidR="00FB50F7">
              <w:rPr>
                <w:noProof/>
                <w:webHidden/>
              </w:rPr>
              <w:t>6</w:t>
            </w:r>
            <w:r>
              <w:rPr>
                <w:noProof/>
                <w:webHidden/>
              </w:rPr>
              <w:fldChar w:fldCharType="end"/>
            </w:r>
          </w:hyperlink>
        </w:p>
        <w:p w:rsidR="00FB50F7" w:rsidRDefault="004C40A2">
          <w:pPr>
            <w:pStyle w:val="TOC3"/>
            <w:tabs>
              <w:tab w:val="right" w:leader="dot" w:pos="9350"/>
            </w:tabs>
            <w:rPr>
              <w:noProof/>
            </w:rPr>
          </w:pPr>
          <w:hyperlink w:anchor="_Toc396762688" w:history="1">
            <w:r w:rsidR="00FB50F7" w:rsidRPr="00CA78C4">
              <w:rPr>
                <w:rStyle w:val="Hyperlink"/>
                <w:noProof/>
                <w:lang w:val="en-GB"/>
              </w:rPr>
              <w:t>2.1</w:t>
            </w:r>
            <w:r w:rsidR="00FB50F7" w:rsidRPr="00CA78C4">
              <w:rPr>
                <w:rStyle w:val="Hyperlink"/>
                <w:noProof/>
              </w:rPr>
              <w:t>.1 January effect</w:t>
            </w:r>
            <w:r w:rsidR="00FB50F7">
              <w:rPr>
                <w:noProof/>
                <w:webHidden/>
              </w:rPr>
              <w:tab/>
            </w:r>
            <w:r>
              <w:rPr>
                <w:noProof/>
                <w:webHidden/>
              </w:rPr>
              <w:fldChar w:fldCharType="begin"/>
            </w:r>
            <w:r w:rsidR="00FB50F7">
              <w:rPr>
                <w:noProof/>
                <w:webHidden/>
              </w:rPr>
              <w:instrText xml:space="preserve"> PAGEREF _Toc396762688 \h </w:instrText>
            </w:r>
            <w:r>
              <w:rPr>
                <w:noProof/>
                <w:webHidden/>
              </w:rPr>
            </w:r>
            <w:r>
              <w:rPr>
                <w:noProof/>
                <w:webHidden/>
              </w:rPr>
              <w:fldChar w:fldCharType="separate"/>
            </w:r>
            <w:r w:rsidR="00FB50F7">
              <w:rPr>
                <w:noProof/>
                <w:webHidden/>
              </w:rPr>
              <w:t>7</w:t>
            </w:r>
            <w:r>
              <w:rPr>
                <w:noProof/>
                <w:webHidden/>
              </w:rPr>
              <w:fldChar w:fldCharType="end"/>
            </w:r>
          </w:hyperlink>
        </w:p>
        <w:p w:rsidR="00FB50F7" w:rsidRDefault="004C40A2">
          <w:pPr>
            <w:pStyle w:val="TOC3"/>
            <w:tabs>
              <w:tab w:val="right" w:leader="dot" w:pos="9350"/>
            </w:tabs>
            <w:rPr>
              <w:noProof/>
            </w:rPr>
          </w:pPr>
          <w:hyperlink w:anchor="_Toc396762689" w:history="1">
            <w:r w:rsidR="00FB50F7" w:rsidRPr="00CA78C4">
              <w:rPr>
                <w:rStyle w:val="Hyperlink"/>
                <w:noProof/>
              </w:rPr>
              <w:t>2.1.2 Halloween effect</w:t>
            </w:r>
            <w:r w:rsidR="00FB50F7">
              <w:rPr>
                <w:noProof/>
                <w:webHidden/>
              </w:rPr>
              <w:tab/>
            </w:r>
            <w:r>
              <w:rPr>
                <w:noProof/>
                <w:webHidden/>
              </w:rPr>
              <w:fldChar w:fldCharType="begin"/>
            </w:r>
            <w:r w:rsidR="00FB50F7">
              <w:rPr>
                <w:noProof/>
                <w:webHidden/>
              </w:rPr>
              <w:instrText xml:space="preserve"> PAGEREF _Toc396762689 \h </w:instrText>
            </w:r>
            <w:r>
              <w:rPr>
                <w:noProof/>
                <w:webHidden/>
              </w:rPr>
            </w:r>
            <w:r>
              <w:rPr>
                <w:noProof/>
                <w:webHidden/>
              </w:rPr>
              <w:fldChar w:fldCharType="separate"/>
            </w:r>
            <w:r w:rsidR="00FB50F7">
              <w:rPr>
                <w:noProof/>
                <w:webHidden/>
              </w:rPr>
              <w:t>7</w:t>
            </w:r>
            <w:r>
              <w:rPr>
                <w:noProof/>
                <w:webHidden/>
              </w:rPr>
              <w:fldChar w:fldCharType="end"/>
            </w:r>
          </w:hyperlink>
        </w:p>
        <w:p w:rsidR="00FB50F7" w:rsidRDefault="004C40A2">
          <w:pPr>
            <w:pStyle w:val="TOC3"/>
            <w:tabs>
              <w:tab w:val="right" w:leader="dot" w:pos="9350"/>
            </w:tabs>
            <w:rPr>
              <w:noProof/>
            </w:rPr>
          </w:pPr>
          <w:hyperlink w:anchor="_Toc396762690" w:history="1">
            <w:r w:rsidR="00FB50F7" w:rsidRPr="00CA78C4">
              <w:rPr>
                <w:rStyle w:val="Hyperlink"/>
                <w:noProof/>
              </w:rPr>
              <w:t>2.1.3 SAD factor</w:t>
            </w:r>
            <w:r w:rsidR="00FB50F7">
              <w:rPr>
                <w:noProof/>
                <w:webHidden/>
              </w:rPr>
              <w:tab/>
            </w:r>
            <w:r>
              <w:rPr>
                <w:noProof/>
                <w:webHidden/>
              </w:rPr>
              <w:fldChar w:fldCharType="begin"/>
            </w:r>
            <w:r w:rsidR="00FB50F7">
              <w:rPr>
                <w:noProof/>
                <w:webHidden/>
              </w:rPr>
              <w:instrText xml:space="preserve"> PAGEREF _Toc396762690 \h </w:instrText>
            </w:r>
            <w:r>
              <w:rPr>
                <w:noProof/>
                <w:webHidden/>
              </w:rPr>
            </w:r>
            <w:r>
              <w:rPr>
                <w:noProof/>
                <w:webHidden/>
              </w:rPr>
              <w:fldChar w:fldCharType="separate"/>
            </w:r>
            <w:r w:rsidR="00FB50F7">
              <w:rPr>
                <w:noProof/>
                <w:webHidden/>
              </w:rPr>
              <w:t>8</w:t>
            </w:r>
            <w:r>
              <w:rPr>
                <w:noProof/>
                <w:webHidden/>
              </w:rPr>
              <w:fldChar w:fldCharType="end"/>
            </w:r>
          </w:hyperlink>
        </w:p>
        <w:p w:rsidR="00FB50F7" w:rsidRDefault="004C40A2">
          <w:pPr>
            <w:pStyle w:val="TOC3"/>
            <w:tabs>
              <w:tab w:val="right" w:leader="dot" w:pos="9350"/>
            </w:tabs>
            <w:rPr>
              <w:noProof/>
            </w:rPr>
          </w:pPr>
          <w:hyperlink w:anchor="_Toc396762691" w:history="1">
            <w:r w:rsidR="00FB50F7" w:rsidRPr="00CA78C4">
              <w:rPr>
                <w:rStyle w:val="Hyperlink"/>
                <w:noProof/>
              </w:rPr>
              <w:t>2.1.4 Other effects</w:t>
            </w:r>
            <w:r w:rsidR="00FB50F7">
              <w:rPr>
                <w:noProof/>
                <w:webHidden/>
              </w:rPr>
              <w:tab/>
            </w:r>
            <w:r>
              <w:rPr>
                <w:noProof/>
                <w:webHidden/>
              </w:rPr>
              <w:fldChar w:fldCharType="begin"/>
            </w:r>
            <w:r w:rsidR="00FB50F7">
              <w:rPr>
                <w:noProof/>
                <w:webHidden/>
              </w:rPr>
              <w:instrText xml:space="preserve"> PAGEREF _Toc396762691 \h </w:instrText>
            </w:r>
            <w:r>
              <w:rPr>
                <w:noProof/>
                <w:webHidden/>
              </w:rPr>
            </w:r>
            <w:r>
              <w:rPr>
                <w:noProof/>
                <w:webHidden/>
              </w:rPr>
              <w:fldChar w:fldCharType="separate"/>
            </w:r>
            <w:r w:rsidR="00FB50F7">
              <w:rPr>
                <w:noProof/>
                <w:webHidden/>
              </w:rPr>
              <w:t>9</w:t>
            </w:r>
            <w:r>
              <w:rPr>
                <w:noProof/>
                <w:webHidden/>
              </w:rPr>
              <w:fldChar w:fldCharType="end"/>
            </w:r>
          </w:hyperlink>
        </w:p>
        <w:p w:rsidR="00FB50F7" w:rsidRDefault="004C40A2">
          <w:pPr>
            <w:pStyle w:val="TOC2"/>
            <w:tabs>
              <w:tab w:val="left" w:pos="880"/>
              <w:tab w:val="right" w:leader="dot" w:pos="9350"/>
            </w:tabs>
            <w:rPr>
              <w:noProof/>
            </w:rPr>
          </w:pPr>
          <w:hyperlink w:anchor="_Toc396762692" w:history="1">
            <w:r w:rsidR="00FB50F7" w:rsidRPr="00CA78C4">
              <w:rPr>
                <w:rStyle w:val="Hyperlink"/>
                <w:noProof/>
              </w:rPr>
              <w:t>2.2</w:t>
            </w:r>
            <w:r w:rsidR="00FB50F7">
              <w:rPr>
                <w:noProof/>
              </w:rPr>
              <w:tab/>
            </w:r>
            <w:r w:rsidR="00FB50F7" w:rsidRPr="00CA78C4">
              <w:rPr>
                <w:rStyle w:val="Hyperlink"/>
                <w:noProof/>
              </w:rPr>
              <w:t>Explanations for government bond patterns</w:t>
            </w:r>
            <w:r w:rsidR="00FB50F7">
              <w:rPr>
                <w:noProof/>
                <w:webHidden/>
              </w:rPr>
              <w:tab/>
            </w:r>
            <w:r>
              <w:rPr>
                <w:noProof/>
                <w:webHidden/>
              </w:rPr>
              <w:fldChar w:fldCharType="begin"/>
            </w:r>
            <w:r w:rsidR="00FB50F7">
              <w:rPr>
                <w:noProof/>
                <w:webHidden/>
              </w:rPr>
              <w:instrText xml:space="preserve"> PAGEREF _Toc396762692 \h </w:instrText>
            </w:r>
            <w:r>
              <w:rPr>
                <w:noProof/>
                <w:webHidden/>
              </w:rPr>
            </w:r>
            <w:r>
              <w:rPr>
                <w:noProof/>
                <w:webHidden/>
              </w:rPr>
              <w:fldChar w:fldCharType="separate"/>
            </w:r>
            <w:r w:rsidR="00FB50F7">
              <w:rPr>
                <w:noProof/>
                <w:webHidden/>
              </w:rPr>
              <w:t>9</w:t>
            </w:r>
            <w:r>
              <w:rPr>
                <w:noProof/>
                <w:webHidden/>
              </w:rPr>
              <w:fldChar w:fldCharType="end"/>
            </w:r>
          </w:hyperlink>
        </w:p>
        <w:p w:rsidR="00FB50F7" w:rsidRDefault="004C40A2">
          <w:pPr>
            <w:pStyle w:val="TOC3"/>
            <w:tabs>
              <w:tab w:val="right" w:leader="dot" w:pos="9350"/>
            </w:tabs>
            <w:rPr>
              <w:noProof/>
            </w:rPr>
          </w:pPr>
          <w:hyperlink w:anchor="_Toc396762693" w:history="1">
            <w:r w:rsidR="00FB50F7" w:rsidRPr="00CA78C4">
              <w:rPr>
                <w:rStyle w:val="Hyperlink"/>
                <w:noProof/>
              </w:rPr>
              <w:t>2.2.1 The January effect</w:t>
            </w:r>
            <w:r w:rsidR="00FB50F7">
              <w:rPr>
                <w:noProof/>
                <w:webHidden/>
              </w:rPr>
              <w:tab/>
            </w:r>
            <w:r>
              <w:rPr>
                <w:noProof/>
                <w:webHidden/>
              </w:rPr>
              <w:fldChar w:fldCharType="begin"/>
            </w:r>
            <w:r w:rsidR="00FB50F7">
              <w:rPr>
                <w:noProof/>
                <w:webHidden/>
              </w:rPr>
              <w:instrText xml:space="preserve"> PAGEREF _Toc396762693 \h </w:instrText>
            </w:r>
            <w:r>
              <w:rPr>
                <w:noProof/>
                <w:webHidden/>
              </w:rPr>
            </w:r>
            <w:r>
              <w:rPr>
                <w:noProof/>
                <w:webHidden/>
              </w:rPr>
              <w:fldChar w:fldCharType="separate"/>
            </w:r>
            <w:r w:rsidR="00FB50F7">
              <w:rPr>
                <w:noProof/>
                <w:webHidden/>
              </w:rPr>
              <w:t>10</w:t>
            </w:r>
            <w:r>
              <w:rPr>
                <w:noProof/>
                <w:webHidden/>
              </w:rPr>
              <w:fldChar w:fldCharType="end"/>
            </w:r>
          </w:hyperlink>
        </w:p>
        <w:p w:rsidR="00FB50F7" w:rsidRDefault="004C40A2">
          <w:pPr>
            <w:pStyle w:val="TOC3"/>
            <w:tabs>
              <w:tab w:val="right" w:leader="dot" w:pos="9350"/>
            </w:tabs>
            <w:rPr>
              <w:noProof/>
            </w:rPr>
          </w:pPr>
          <w:hyperlink w:anchor="_Toc396762694" w:history="1">
            <w:r w:rsidR="00FB50F7" w:rsidRPr="00CA78C4">
              <w:rPr>
                <w:rStyle w:val="Hyperlink"/>
                <w:noProof/>
              </w:rPr>
              <w:t>2.2.2 The Halloween Effect</w:t>
            </w:r>
            <w:r w:rsidR="00FB50F7">
              <w:rPr>
                <w:noProof/>
                <w:webHidden/>
              </w:rPr>
              <w:tab/>
            </w:r>
            <w:r>
              <w:rPr>
                <w:noProof/>
                <w:webHidden/>
              </w:rPr>
              <w:fldChar w:fldCharType="begin"/>
            </w:r>
            <w:r w:rsidR="00FB50F7">
              <w:rPr>
                <w:noProof/>
                <w:webHidden/>
              </w:rPr>
              <w:instrText xml:space="preserve"> PAGEREF _Toc396762694 \h </w:instrText>
            </w:r>
            <w:r>
              <w:rPr>
                <w:noProof/>
                <w:webHidden/>
              </w:rPr>
            </w:r>
            <w:r>
              <w:rPr>
                <w:noProof/>
                <w:webHidden/>
              </w:rPr>
              <w:fldChar w:fldCharType="separate"/>
            </w:r>
            <w:r w:rsidR="00FB50F7">
              <w:rPr>
                <w:noProof/>
                <w:webHidden/>
              </w:rPr>
              <w:t>10</w:t>
            </w:r>
            <w:r>
              <w:rPr>
                <w:noProof/>
                <w:webHidden/>
              </w:rPr>
              <w:fldChar w:fldCharType="end"/>
            </w:r>
          </w:hyperlink>
        </w:p>
        <w:p w:rsidR="00FB50F7" w:rsidRDefault="004C40A2">
          <w:pPr>
            <w:pStyle w:val="TOC3"/>
            <w:tabs>
              <w:tab w:val="right" w:leader="dot" w:pos="9350"/>
            </w:tabs>
            <w:rPr>
              <w:noProof/>
            </w:rPr>
          </w:pPr>
          <w:hyperlink w:anchor="_Toc396762695" w:history="1">
            <w:r w:rsidR="00FB50F7" w:rsidRPr="00CA78C4">
              <w:rPr>
                <w:rStyle w:val="Hyperlink"/>
                <w:noProof/>
              </w:rPr>
              <w:t>2.2.3 SAD effect</w:t>
            </w:r>
            <w:r w:rsidR="00FB50F7">
              <w:rPr>
                <w:noProof/>
                <w:webHidden/>
              </w:rPr>
              <w:tab/>
            </w:r>
            <w:r>
              <w:rPr>
                <w:noProof/>
                <w:webHidden/>
              </w:rPr>
              <w:fldChar w:fldCharType="begin"/>
            </w:r>
            <w:r w:rsidR="00FB50F7">
              <w:rPr>
                <w:noProof/>
                <w:webHidden/>
              </w:rPr>
              <w:instrText xml:space="preserve"> PAGEREF _Toc396762695 \h </w:instrText>
            </w:r>
            <w:r>
              <w:rPr>
                <w:noProof/>
                <w:webHidden/>
              </w:rPr>
            </w:r>
            <w:r>
              <w:rPr>
                <w:noProof/>
                <w:webHidden/>
              </w:rPr>
              <w:fldChar w:fldCharType="separate"/>
            </w:r>
            <w:r w:rsidR="00FB50F7">
              <w:rPr>
                <w:noProof/>
                <w:webHidden/>
              </w:rPr>
              <w:t>10</w:t>
            </w:r>
            <w:r>
              <w:rPr>
                <w:noProof/>
                <w:webHidden/>
              </w:rPr>
              <w:fldChar w:fldCharType="end"/>
            </w:r>
          </w:hyperlink>
        </w:p>
        <w:p w:rsidR="00FB50F7" w:rsidRDefault="004C40A2">
          <w:pPr>
            <w:pStyle w:val="TOC3"/>
            <w:tabs>
              <w:tab w:val="right" w:leader="dot" w:pos="9350"/>
            </w:tabs>
            <w:rPr>
              <w:noProof/>
            </w:rPr>
          </w:pPr>
          <w:hyperlink w:anchor="_Toc396762696" w:history="1">
            <w:r w:rsidR="00FB50F7" w:rsidRPr="00CA78C4">
              <w:rPr>
                <w:rStyle w:val="Hyperlink"/>
                <w:noProof/>
              </w:rPr>
              <w:t>2.2.4 Explanations from equities</w:t>
            </w:r>
            <w:r w:rsidR="00FB50F7">
              <w:rPr>
                <w:noProof/>
                <w:webHidden/>
              </w:rPr>
              <w:tab/>
            </w:r>
            <w:r>
              <w:rPr>
                <w:noProof/>
                <w:webHidden/>
              </w:rPr>
              <w:fldChar w:fldCharType="begin"/>
            </w:r>
            <w:r w:rsidR="00FB50F7">
              <w:rPr>
                <w:noProof/>
                <w:webHidden/>
              </w:rPr>
              <w:instrText xml:space="preserve"> PAGEREF _Toc396762696 \h </w:instrText>
            </w:r>
            <w:r>
              <w:rPr>
                <w:noProof/>
                <w:webHidden/>
              </w:rPr>
            </w:r>
            <w:r>
              <w:rPr>
                <w:noProof/>
                <w:webHidden/>
              </w:rPr>
              <w:fldChar w:fldCharType="separate"/>
            </w:r>
            <w:r w:rsidR="00FB50F7">
              <w:rPr>
                <w:noProof/>
                <w:webHidden/>
              </w:rPr>
              <w:t>10</w:t>
            </w:r>
            <w:r>
              <w:rPr>
                <w:noProof/>
                <w:webHidden/>
              </w:rPr>
              <w:fldChar w:fldCharType="end"/>
            </w:r>
          </w:hyperlink>
        </w:p>
        <w:p w:rsidR="00FB50F7" w:rsidRDefault="004C40A2">
          <w:pPr>
            <w:pStyle w:val="TOC2"/>
            <w:tabs>
              <w:tab w:val="left" w:pos="880"/>
              <w:tab w:val="right" w:leader="dot" w:pos="9350"/>
            </w:tabs>
            <w:rPr>
              <w:noProof/>
            </w:rPr>
          </w:pPr>
          <w:hyperlink w:anchor="_Toc396762697" w:history="1">
            <w:r w:rsidR="00FB50F7" w:rsidRPr="00CA78C4">
              <w:rPr>
                <w:rStyle w:val="Hyperlink"/>
                <w:noProof/>
              </w:rPr>
              <w:t>2.3</w:t>
            </w:r>
            <w:r w:rsidR="00FB50F7">
              <w:rPr>
                <w:noProof/>
              </w:rPr>
              <w:tab/>
            </w:r>
            <w:r w:rsidR="00FB50F7" w:rsidRPr="00CA78C4">
              <w:rPr>
                <w:rStyle w:val="Hyperlink"/>
                <w:noProof/>
              </w:rPr>
              <w:t>Seasonality in inflation rate</w:t>
            </w:r>
            <w:r w:rsidR="00FB50F7">
              <w:rPr>
                <w:noProof/>
                <w:webHidden/>
              </w:rPr>
              <w:tab/>
            </w:r>
            <w:r>
              <w:rPr>
                <w:noProof/>
                <w:webHidden/>
              </w:rPr>
              <w:fldChar w:fldCharType="begin"/>
            </w:r>
            <w:r w:rsidR="00FB50F7">
              <w:rPr>
                <w:noProof/>
                <w:webHidden/>
              </w:rPr>
              <w:instrText xml:space="preserve"> PAGEREF _Toc396762697 \h </w:instrText>
            </w:r>
            <w:r>
              <w:rPr>
                <w:noProof/>
                <w:webHidden/>
              </w:rPr>
            </w:r>
            <w:r>
              <w:rPr>
                <w:noProof/>
                <w:webHidden/>
              </w:rPr>
              <w:fldChar w:fldCharType="separate"/>
            </w:r>
            <w:r w:rsidR="00FB50F7">
              <w:rPr>
                <w:noProof/>
                <w:webHidden/>
              </w:rPr>
              <w:t>12</w:t>
            </w:r>
            <w:r>
              <w:rPr>
                <w:noProof/>
                <w:webHidden/>
              </w:rPr>
              <w:fldChar w:fldCharType="end"/>
            </w:r>
          </w:hyperlink>
        </w:p>
        <w:p w:rsidR="00FB50F7" w:rsidRDefault="004C40A2">
          <w:pPr>
            <w:pStyle w:val="TOC1"/>
            <w:tabs>
              <w:tab w:val="left" w:pos="440"/>
              <w:tab w:val="right" w:leader="dot" w:pos="9350"/>
            </w:tabs>
            <w:rPr>
              <w:noProof/>
            </w:rPr>
          </w:pPr>
          <w:hyperlink w:anchor="_Toc396762698" w:history="1">
            <w:r w:rsidR="00FB50F7" w:rsidRPr="00CA78C4">
              <w:rPr>
                <w:rStyle w:val="Hyperlink"/>
                <w:noProof/>
              </w:rPr>
              <w:t>3.</w:t>
            </w:r>
            <w:r w:rsidR="00FB50F7">
              <w:rPr>
                <w:noProof/>
              </w:rPr>
              <w:tab/>
            </w:r>
            <w:r w:rsidR="00FB50F7" w:rsidRPr="00CA78C4">
              <w:rPr>
                <w:rStyle w:val="Hyperlink"/>
                <w:noProof/>
              </w:rPr>
              <w:t>Data and methodology</w:t>
            </w:r>
            <w:r w:rsidR="00FB50F7">
              <w:rPr>
                <w:noProof/>
                <w:webHidden/>
              </w:rPr>
              <w:tab/>
            </w:r>
            <w:r>
              <w:rPr>
                <w:noProof/>
                <w:webHidden/>
              </w:rPr>
              <w:fldChar w:fldCharType="begin"/>
            </w:r>
            <w:r w:rsidR="00FB50F7">
              <w:rPr>
                <w:noProof/>
                <w:webHidden/>
              </w:rPr>
              <w:instrText xml:space="preserve"> PAGEREF _Toc396762698 \h </w:instrText>
            </w:r>
            <w:r>
              <w:rPr>
                <w:noProof/>
                <w:webHidden/>
              </w:rPr>
            </w:r>
            <w:r>
              <w:rPr>
                <w:noProof/>
                <w:webHidden/>
              </w:rPr>
              <w:fldChar w:fldCharType="separate"/>
            </w:r>
            <w:r w:rsidR="00FB50F7">
              <w:rPr>
                <w:noProof/>
                <w:webHidden/>
              </w:rPr>
              <w:t>14</w:t>
            </w:r>
            <w:r>
              <w:rPr>
                <w:noProof/>
                <w:webHidden/>
              </w:rPr>
              <w:fldChar w:fldCharType="end"/>
            </w:r>
          </w:hyperlink>
        </w:p>
        <w:p w:rsidR="00FB50F7" w:rsidRDefault="004C40A2">
          <w:pPr>
            <w:pStyle w:val="TOC2"/>
            <w:tabs>
              <w:tab w:val="right" w:leader="dot" w:pos="9350"/>
            </w:tabs>
            <w:rPr>
              <w:noProof/>
            </w:rPr>
          </w:pPr>
          <w:hyperlink w:anchor="_Toc396762699" w:history="1">
            <w:r w:rsidR="00FB50F7" w:rsidRPr="00CA78C4">
              <w:rPr>
                <w:rStyle w:val="Hyperlink"/>
                <w:noProof/>
                <w:lang w:val="nl-NL"/>
              </w:rPr>
              <w:t>3.1 Data</w:t>
            </w:r>
            <w:r w:rsidR="00FB50F7">
              <w:rPr>
                <w:noProof/>
                <w:webHidden/>
              </w:rPr>
              <w:tab/>
            </w:r>
            <w:r>
              <w:rPr>
                <w:noProof/>
                <w:webHidden/>
              </w:rPr>
              <w:fldChar w:fldCharType="begin"/>
            </w:r>
            <w:r w:rsidR="00FB50F7">
              <w:rPr>
                <w:noProof/>
                <w:webHidden/>
              </w:rPr>
              <w:instrText xml:space="preserve"> PAGEREF _Toc396762699 \h </w:instrText>
            </w:r>
            <w:r>
              <w:rPr>
                <w:noProof/>
                <w:webHidden/>
              </w:rPr>
            </w:r>
            <w:r>
              <w:rPr>
                <w:noProof/>
                <w:webHidden/>
              </w:rPr>
              <w:fldChar w:fldCharType="separate"/>
            </w:r>
            <w:r w:rsidR="00FB50F7">
              <w:rPr>
                <w:noProof/>
                <w:webHidden/>
              </w:rPr>
              <w:t>14</w:t>
            </w:r>
            <w:r>
              <w:rPr>
                <w:noProof/>
                <w:webHidden/>
              </w:rPr>
              <w:fldChar w:fldCharType="end"/>
            </w:r>
          </w:hyperlink>
        </w:p>
        <w:p w:rsidR="00FB50F7" w:rsidRDefault="004C40A2">
          <w:pPr>
            <w:pStyle w:val="TOC2"/>
            <w:tabs>
              <w:tab w:val="right" w:leader="dot" w:pos="9350"/>
            </w:tabs>
            <w:rPr>
              <w:noProof/>
            </w:rPr>
          </w:pPr>
          <w:hyperlink w:anchor="_Toc396762700" w:history="1">
            <w:r w:rsidR="00FB50F7" w:rsidRPr="00CA78C4">
              <w:rPr>
                <w:rStyle w:val="Hyperlink"/>
                <w:noProof/>
                <w:lang w:val="nl-NL"/>
              </w:rPr>
              <w:t>3.2 Methodology</w:t>
            </w:r>
            <w:r w:rsidR="00FB50F7">
              <w:rPr>
                <w:noProof/>
                <w:webHidden/>
              </w:rPr>
              <w:tab/>
            </w:r>
            <w:r>
              <w:rPr>
                <w:noProof/>
                <w:webHidden/>
              </w:rPr>
              <w:fldChar w:fldCharType="begin"/>
            </w:r>
            <w:r w:rsidR="00FB50F7">
              <w:rPr>
                <w:noProof/>
                <w:webHidden/>
              </w:rPr>
              <w:instrText xml:space="preserve"> PAGEREF _Toc396762700 \h </w:instrText>
            </w:r>
            <w:r>
              <w:rPr>
                <w:noProof/>
                <w:webHidden/>
              </w:rPr>
            </w:r>
            <w:r>
              <w:rPr>
                <w:noProof/>
                <w:webHidden/>
              </w:rPr>
              <w:fldChar w:fldCharType="separate"/>
            </w:r>
            <w:r w:rsidR="00FB50F7">
              <w:rPr>
                <w:noProof/>
                <w:webHidden/>
              </w:rPr>
              <w:t>19</w:t>
            </w:r>
            <w:r>
              <w:rPr>
                <w:noProof/>
                <w:webHidden/>
              </w:rPr>
              <w:fldChar w:fldCharType="end"/>
            </w:r>
          </w:hyperlink>
        </w:p>
        <w:p w:rsidR="00FB50F7" w:rsidRDefault="004C40A2">
          <w:pPr>
            <w:pStyle w:val="TOC3"/>
            <w:tabs>
              <w:tab w:val="right" w:leader="dot" w:pos="9350"/>
            </w:tabs>
            <w:rPr>
              <w:noProof/>
            </w:rPr>
          </w:pPr>
          <w:hyperlink w:anchor="_Toc396762701" w:history="1">
            <w:r w:rsidR="00FB50F7" w:rsidRPr="00CA78C4">
              <w:rPr>
                <w:rStyle w:val="Hyperlink"/>
                <w:noProof/>
                <w:lang w:val="nl-NL"/>
              </w:rPr>
              <w:t>3.2.1 A short review on methodologies employed in the literature</w:t>
            </w:r>
            <w:r w:rsidR="00FB50F7">
              <w:rPr>
                <w:noProof/>
                <w:webHidden/>
              </w:rPr>
              <w:tab/>
            </w:r>
            <w:r>
              <w:rPr>
                <w:noProof/>
                <w:webHidden/>
              </w:rPr>
              <w:fldChar w:fldCharType="begin"/>
            </w:r>
            <w:r w:rsidR="00FB50F7">
              <w:rPr>
                <w:noProof/>
                <w:webHidden/>
              </w:rPr>
              <w:instrText xml:space="preserve"> PAGEREF _Toc396762701 \h </w:instrText>
            </w:r>
            <w:r>
              <w:rPr>
                <w:noProof/>
                <w:webHidden/>
              </w:rPr>
            </w:r>
            <w:r>
              <w:rPr>
                <w:noProof/>
                <w:webHidden/>
              </w:rPr>
              <w:fldChar w:fldCharType="separate"/>
            </w:r>
            <w:r w:rsidR="00FB50F7">
              <w:rPr>
                <w:noProof/>
                <w:webHidden/>
              </w:rPr>
              <w:t>19</w:t>
            </w:r>
            <w:r>
              <w:rPr>
                <w:noProof/>
                <w:webHidden/>
              </w:rPr>
              <w:fldChar w:fldCharType="end"/>
            </w:r>
          </w:hyperlink>
        </w:p>
        <w:p w:rsidR="00FB50F7" w:rsidRDefault="004C40A2">
          <w:pPr>
            <w:pStyle w:val="TOC3"/>
            <w:tabs>
              <w:tab w:val="right" w:leader="dot" w:pos="9350"/>
            </w:tabs>
            <w:rPr>
              <w:noProof/>
            </w:rPr>
          </w:pPr>
          <w:hyperlink w:anchor="_Toc396762702" w:history="1">
            <w:r w:rsidR="00FB50F7" w:rsidRPr="00CA78C4">
              <w:rPr>
                <w:rStyle w:val="Hyperlink"/>
                <w:noProof/>
                <w:lang w:val="nl-NL"/>
              </w:rPr>
              <w:t>3.2.2 Seasonal Pattern Discovery</w:t>
            </w:r>
            <w:r w:rsidR="00FB50F7">
              <w:rPr>
                <w:noProof/>
                <w:webHidden/>
              </w:rPr>
              <w:tab/>
            </w:r>
            <w:r>
              <w:rPr>
                <w:noProof/>
                <w:webHidden/>
              </w:rPr>
              <w:fldChar w:fldCharType="begin"/>
            </w:r>
            <w:r w:rsidR="00FB50F7">
              <w:rPr>
                <w:noProof/>
                <w:webHidden/>
              </w:rPr>
              <w:instrText xml:space="preserve"> PAGEREF _Toc396762702 \h </w:instrText>
            </w:r>
            <w:r>
              <w:rPr>
                <w:noProof/>
                <w:webHidden/>
              </w:rPr>
            </w:r>
            <w:r>
              <w:rPr>
                <w:noProof/>
                <w:webHidden/>
              </w:rPr>
              <w:fldChar w:fldCharType="separate"/>
            </w:r>
            <w:r w:rsidR="00FB50F7">
              <w:rPr>
                <w:noProof/>
                <w:webHidden/>
              </w:rPr>
              <w:t>21</w:t>
            </w:r>
            <w:r>
              <w:rPr>
                <w:noProof/>
                <w:webHidden/>
              </w:rPr>
              <w:fldChar w:fldCharType="end"/>
            </w:r>
          </w:hyperlink>
        </w:p>
        <w:p w:rsidR="00FB50F7" w:rsidRDefault="004C40A2">
          <w:pPr>
            <w:pStyle w:val="TOC3"/>
            <w:tabs>
              <w:tab w:val="right" w:leader="dot" w:pos="9350"/>
            </w:tabs>
            <w:rPr>
              <w:noProof/>
            </w:rPr>
          </w:pPr>
          <w:hyperlink w:anchor="_Toc396762703" w:history="1">
            <w:r w:rsidR="00FB50F7" w:rsidRPr="00CA78C4">
              <w:rPr>
                <w:rStyle w:val="Hyperlink"/>
                <w:noProof/>
                <w:lang w:val="nl-NL"/>
              </w:rPr>
              <w:t>3.2.3 M-estimation – robust to outliers</w:t>
            </w:r>
            <w:r w:rsidR="00FB50F7">
              <w:rPr>
                <w:noProof/>
                <w:webHidden/>
              </w:rPr>
              <w:tab/>
            </w:r>
            <w:r>
              <w:rPr>
                <w:noProof/>
                <w:webHidden/>
              </w:rPr>
              <w:fldChar w:fldCharType="begin"/>
            </w:r>
            <w:r w:rsidR="00FB50F7">
              <w:rPr>
                <w:noProof/>
                <w:webHidden/>
              </w:rPr>
              <w:instrText xml:space="preserve"> PAGEREF _Toc396762703 \h </w:instrText>
            </w:r>
            <w:r>
              <w:rPr>
                <w:noProof/>
                <w:webHidden/>
              </w:rPr>
            </w:r>
            <w:r>
              <w:rPr>
                <w:noProof/>
                <w:webHidden/>
              </w:rPr>
              <w:fldChar w:fldCharType="separate"/>
            </w:r>
            <w:r w:rsidR="00FB50F7">
              <w:rPr>
                <w:noProof/>
                <w:webHidden/>
              </w:rPr>
              <w:t>22</w:t>
            </w:r>
            <w:r>
              <w:rPr>
                <w:noProof/>
                <w:webHidden/>
              </w:rPr>
              <w:fldChar w:fldCharType="end"/>
            </w:r>
          </w:hyperlink>
        </w:p>
        <w:p w:rsidR="00FB50F7" w:rsidRDefault="004C40A2">
          <w:pPr>
            <w:pStyle w:val="TOC3"/>
            <w:tabs>
              <w:tab w:val="right" w:leader="dot" w:pos="9350"/>
            </w:tabs>
            <w:rPr>
              <w:noProof/>
            </w:rPr>
          </w:pPr>
          <w:hyperlink w:anchor="_Toc396762704" w:history="1">
            <w:r w:rsidR="00FB50F7" w:rsidRPr="00CA78C4">
              <w:rPr>
                <w:rStyle w:val="Hyperlink"/>
                <w:noProof/>
                <w:lang w:val="nl-NL"/>
              </w:rPr>
              <w:t>3.2.4 Relationship between bond returns and explanatory factors</w:t>
            </w:r>
            <w:r w:rsidR="00FB50F7">
              <w:rPr>
                <w:noProof/>
                <w:webHidden/>
              </w:rPr>
              <w:tab/>
            </w:r>
            <w:r>
              <w:rPr>
                <w:noProof/>
                <w:webHidden/>
              </w:rPr>
              <w:fldChar w:fldCharType="begin"/>
            </w:r>
            <w:r w:rsidR="00FB50F7">
              <w:rPr>
                <w:noProof/>
                <w:webHidden/>
              </w:rPr>
              <w:instrText xml:space="preserve"> PAGEREF _Toc396762704 \h </w:instrText>
            </w:r>
            <w:r>
              <w:rPr>
                <w:noProof/>
                <w:webHidden/>
              </w:rPr>
            </w:r>
            <w:r>
              <w:rPr>
                <w:noProof/>
                <w:webHidden/>
              </w:rPr>
              <w:fldChar w:fldCharType="separate"/>
            </w:r>
            <w:r w:rsidR="00FB50F7">
              <w:rPr>
                <w:noProof/>
                <w:webHidden/>
              </w:rPr>
              <w:t>24</w:t>
            </w:r>
            <w:r>
              <w:rPr>
                <w:noProof/>
                <w:webHidden/>
              </w:rPr>
              <w:fldChar w:fldCharType="end"/>
            </w:r>
          </w:hyperlink>
        </w:p>
        <w:p w:rsidR="00FB50F7" w:rsidRDefault="004C40A2">
          <w:pPr>
            <w:pStyle w:val="TOC3"/>
            <w:tabs>
              <w:tab w:val="right" w:leader="dot" w:pos="9350"/>
            </w:tabs>
            <w:rPr>
              <w:noProof/>
            </w:rPr>
          </w:pPr>
          <w:hyperlink w:anchor="_Toc396762705" w:history="1">
            <w:r w:rsidR="00FB50F7" w:rsidRPr="00CA78C4">
              <w:rPr>
                <w:rStyle w:val="Hyperlink"/>
                <w:noProof/>
                <w:lang w:val="nl-NL"/>
              </w:rPr>
              <w:t>3.2.5 Testing the economic significance</w:t>
            </w:r>
            <w:r w:rsidR="00FB50F7">
              <w:rPr>
                <w:noProof/>
                <w:webHidden/>
              </w:rPr>
              <w:tab/>
            </w:r>
            <w:r>
              <w:rPr>
                <w:noProof/>
                <w:webHidden/>
              </w:rPr>
              <w:fldChar w:fldCharType="begin"/>
            </w:r>
            <w:r w:rsidR="00FB50F7">
              <w:rPr>
                <w:noProof/>
                <w:webHidden/>
              </w:rPr>
              <w:instrText xml:space="preserve"> PAGEREF _Toc396762705 \h </w:instrText>
            </w:r>
            <w:r>
              <w:rPr>
                <w:noProof/>
                <w:webHidden/>
              </w:rPr>
            </w:r>
            <w:r>
              <w:rPr>
                <w:noProof/>
                <w:webHidden/>
              </w:rPr>
              <w:fldChar w:fldCharType="separate"/>
            </w:r>
            <w:r w:rsidR="00FB50F7">
              <w:rPr>
                <w:noProof/>
                <w:webHidden/>
              </w:rPr>
              <w:t>24</w:t>
            </w:r>
            <w:r>
              <w:rPr>
                <w:noProof/>
                <w:webHidden/>
              </w:rPr>
              <w:fldChar w:fldCharType="end"/>
            </w:r>
          </w:hyperlink>
        </w:p>
        <w:p w:rsidR="00FB50F7" w:rsidRDefault="004C40A2">
          <w:pPr>
            <w:pStyle w:val="TOC1"/>
            <w:tabs>
              <w:tab w:val="left" w:pos="440"/>
              <w:tab w:val="right" w:leader="dot" w:pos="9350"/>
            </w:tabs>
            <w:rPr>
              <w:noProof/>
            </w:rPr>
          </w:pPr>
          <w:hyperlink w:anchor="_Toc396762706" w:history="1">
            <w:r w:rsidR="00FB50F7" w:rsidRPr="00CA78C4">
              <w:rPr>
                <w:rStyle w:val="Hyperlink"/>
                <w:noProof/>
              </w:rPr>
              <w:t>4.</w:t>
            </w:r>
            <w:r w:rsidR="00FB50F7">
              <w:rPr>
                <w:noProof/>
              </w:rPr>
              <w:tab/>
            </w:r>
            <w:r w:rsidR="00FB50F7" w:rsidRPr="00CA78C4">
              <w:rPr>
                <w:rStyle w:val="Hyperlink"/>
                <w:noProof/>
              </w:rPr>
              <w:t>Results</w:t>
            </w:r>
            <w:r w:rsidR="00FB50F7">
              <w:rPr>
                <w:noProof/>
                <w:webHidden/>
              </w:rPr>
              <w:tab/>
            </w:r>
            <w:r>
              <w:rPr>
                <w:noProof/>
                <w:webHidden/>
              </w:rPr>
              <w:fldChar w:fldCharType="begin"/>
            </w:r>
            <w:r w:rsidR="00FB50F7">
              <w:rPr>
                <w:noProof/>
                <w:webHidden/>
              </w:rPr>
              <w:instrText xml:space="preserve"> PAGEREF _Toc396762706 \h </w:instrText>
            </w:r>
            <w:r>
              <w:rPr>
                <w:noProof/>
                <w:webHidden/>
              </w:rPr>
            </w:r>
            <w:r>
              <w:rPr>
                <w:noProof/>
                <w:webHidden/>
              </w:rPr>
              <w:fldChar w:fldCharType="separate"/>
            </w:r>
            <w:r w:rsidR="00FB50F7">
              <w:rPr>
                <w:noProof/>
                <w:webHidden/>
              </w:rPr>
              <w:t>26</w:t>
            </w:r>
            <w:r>
              <w:rPr>
                <w:noProof/>
                <w:webHidden/>
              </w:rPr>
              <w:fldChar w:fldCharType="end"/>
            </w:r>
          </w:hyperlink>
        </w:p>
        <w:p w:rsidR="00FB50F7" w:rsidRDefault="004C40A2">
          <w:pPr>
            <w:pStyle w:val="TOC2"/>
            <w:tabs>
              <w:tab w:val="right" w:leader="dot" w:pos="9350"/>
            </w:tabs>
            <w:rPr>
              <w:noProof/>
            </w:rPr>
          </w:pPr>
          <w:hyperlink w:anchor="_Toc396762707" w:history="1">
            <w:r w:rsidR="00FB50F7" w:rsidRPr="00CA78C4">
              <w:rPr>
                <w:rStyle w:val="Hyperlink"/>
                <w:noProof/>
                <w:lang w:val="nl-NL"/>
              </w:rPr>
              <w:t>4.1</w:t>
            </w:r>
            <w:r w:rsidR="00FB50F7" w:rsidRPr="00CA78C4">
              <w:rPr>
                <w:rStyle w:val="Hyperlink"/>
                <w:noProof/>
              </w:rPr>
              <w:t xml:space="preserve"> Seasonal patterns</w:t>
            </w:r>
            <w:r w:rsidR="00FB50F7" w:rsidRPr="00CA78C4">
              <w:rPr>
                <w:rStyle w:val="Hyperlink"/>
                <w:noProof/>
                <w:lang w:val="nl-NL"/>
              </w:rPr>
              <w:t xml:space="preserve"> in bond returns</w:t>
            </w:r>
            <w:r w:rsidR="00FB50F7">
              <w:rPr>
                <w:noProof/>
                <w:webHidden/>
              </w:rPr>
              <w:tab/>
            </w:r>
            <w:r>
              <w:rPr>
                <w:noProof/>
                <w:webHidden/>
              </w:rPr>
              <w:fldChar w:fldCharType="begin"/>
            </w:r>
            <w:r w:rsidR="00FB50F7">
              <w:rPr>
                <w:noProof/>
                <w:webHidden/>
              </w:rPr>
              <w:instrText xml:space="preserve"> PAGEREF _Toc396762707 \h </w:instrText>
            </w:r>
            <w:r>
              <w:rPr>
                <w:noProof/>
                <w:webHidden/>
              </w:rPr>
            </w:r>
            <w:r>
              <w:rPr>
                <w:noProof/>
                <w:webHidden/>
              </w:rPr>
              <w:fldChar w:fldCharType="separate"/>
            </w:r>
            <w:r w:rsidR="00FB50F7">
              <w:rPr>
                <w:noProof/>
                <w:webHidden/>
              </w:rPr>
              <w:t>27</w:t>
            </w:r>
            <w:r>
              <w:rPr>
                <w:noProof/>
                <w:webHidden/>
              </w:rPr>
              <w:fldChar w:fldCharType="end"/>
            </w:r>
          </w:hyperlink>
        </w:p>
        <w:p w:rsidR="00FB50F7" w:rsidRDefault="004C40A2">
          <w:pPr>
            <w:pStyle w:val="TOC3"/>
            <w:tabs>
              <w:tab w:val="right" w:leader="dot" w:pos="9350"/>
            </w:tabs>
            <w:rPr>
              <w:noProof/>
            </w:rPr>
          </w:pPr>
          <w:hyperlink w:anchor="_Toc396762708" w:history="1">
            <w:r w:rsidR="00FB50F7" w:rsidRPr="00CA78C4">
              <w:rPr>
                <w:rStyle w:val="Hyperlink"/>
                <w:noProof/>
                <w:lang w:val="nl-NL"/>
              </w:rPr>
              <w:t>4.1.1 Bond pattern dicovery</w:t>
            </w:r>
            <w:r w:rsidR="00FB50F7">
              <w:rPr>
                <w:noProof/>
                <w:webHidden/>
              </w:rPr>
              <w:tab/>
            </w:r>
            <w:r>
              <w:rPr>
                <w:noProof/>
                <w:webHidden/>
              </w:rPr>
              <w:fldChar w:fldCharType="begin"/>
            </w:r>
            <w:r w:rsidR="00FB50F7">
              <w:rPr>
                <w:noProof/>
                <w:webHidden/>
              </w:rPr>
              <w:instrText xml:space="preserve"> PAGEREF _Toc396762708 \h </w:instrText>
            </w:r>
            <w:r>
              <w:rPr>
                <w:noProof/>
                <w:webHidden/>
              </w:rPr>
            </w:r>
            <w:r>
              <w:rPr>
                <w:noProof/>
                <w:webHidden/>
              </w:rPr>
              <w:fldChar w:fldCharType="separate"/>
            </w:r>
            <w:r w:rsidR="00FB50F7">
              <w:rPr>
                <w:noProof/>
                <w:webHidden/>
              </w:rPr>
              <w:t>27</w:t>
            </w:r>
            <w:r>
              <w:rPr>
                <w:noProof/>
                <w:webHidden/>
              </w:rPr>
              <w:fldChar w:fldCharType="end"/>
            </w:r>
          </w:hyperlink>
        </w:p>
        <w:p w:rsidR="00FB50F7" w:rsidRDefault="004C40A2">
          <w:pPr>
            <w:pStyle w:val="TOC3"/>
            <w:tabs>
              <w:tab w:val="right" w:leader="dot" w:pos="9350"/>
            </w:tabs>
            <w:rPr>
              <w:noProof/>
            </w:rPr>
          </w:pPr>
          <w:hyperlink w:anchor="_Toc396762709" w:history="1">
            <w:r w:rsidR="00FB50F7" w:rsidRPr="00CA78C4">
              <w:rPr>
                <w:rStyle w:val="Hyperlink"/>
                <w:noProof/>
                <w:lang w:val="nl-NL"/>
              </w:rPr>
              <w:t>4.1.2 Robustness to outliers</w:t>
            </w:r>
            <w:r w:rsidR="00FB50F7">
              <w:rPr>
                <w:noProof/>
                <w:webHidden/>
              </w:rPr>
              <w:tab/>
            </w:r>
            <w:r>
              <w:rPr>
                <w:noProof/>
                <w:webHidden/>
              </w:rPr>
              <w:fldChar w:fldCharType="begin"/>
            </w:r>
            <w:r w:rsidR="00FB50F7">
              <w:rPr>
                <w:noProof/>
                <w:webHidden/>
              </w:rPr>
              <w:instrText xml:space="preserve"> PAGEREF _Toc396762709 \h </w:instrText>
            </w:r>
            <w:r>
              <w:rPr>
                <w:noProof/>
                <w:webHidden/>
              </w:rPr>
            </w:r>
            <w:r>
              <w:rPr>
                <w:noProof/>
                <w:webHidden/>
              </w:rPr>
              <w:fldChar w:fldCharType="separate"/>
            </w:r>
            <w:r w:rsidR="00FB50F7">
              <w:rPr>
                <w:noProof/>
                <w:webHidden/>
              </w:rPr>
              <w:t>30</w:t>
            </w:r>
            <w:r>
              <w:rPr>
                <w:noProof/>
                <w:webHidden/>
              </w:rPr>
              <w:fldChar w:fldCharType="end"/>
            </w:r>
          </w:hyperlink>
        </w:p>
        <w:p w:rsidR="00FB50F7" w:rsidRDefault="004C40A2">
          <w:pPr>
            <w:pStyle w:val="TOC2"/>
            <w:tabs>
              <w:tab w:val="right" w:leader="dot" w:pos="9350"/>
            </w:tabs>
            <w:rPr>
              <w:noProof/>
            </w:rPr>
          </w:pPr>
          <w:hyperlink w:anchor="_Toc396762710" w:history="1">
            <w:r w:rsidR="00FB50F7" w:rsidRPr="00CA78C4">
              <w:rPr>
                <w:rStyle w:val="Hyperlink"/>
                <w:noProof/>
                <w:lang w:val="nl-NL"/>
              </w:rPr>
              <w:t>4.2 Inflation explanation</w:t>
            </w:r>
            <w:r w:rsidR="00FB50F7">
              <w:rPr>
                <w:noProof/>
                <w:webHidden/>
              </w:rPr>
              <w:tab/>
            </w:r>
            <w:r>
              <w:rPr>
                <w:noProof/>
                <w:webHidden/>
              </w:rPr>
              <w:fldChar w:fldCharType="begin"/>
            </w:r>
            <w:r w:rsidR="00FB50F7">
              <w:rPr>
                <w:noProof/>
                <w:webHidden/>
              </w:rPr>
              <w:instrText xml:space="preserve"> PAGEREF _Toc396762710 \h </w:instrText>
            </w:r>
            <w:r>
              <w:rPr>
                <w:noProof/>
                <w:webHidden/>
              </w:rPr>
            </w:r>
            <w:r>
              <w:rPr>
                <w:noProof/>
                <w:webHidden/>
              </w:rPr>
              <w:fldChar w:fldCharType="separate"/>
            </w:r>
            <w:r w:rsidR="00FB50F7">
              <w:rPr>
                <w:noProof/>
                <w:webHidden/>
              </w:rPr>
              <w:t>32</w:t>
            </w:r>
            <w:r>
              <w:rPr>
                <w:noProof/>
                <w:webHidden/>
              </w:rPr>
              <w:fldChar w:fldCharType="end"/>
            </w:r>
          </w:hyperlink>
        </w:p>
        <w:p w:rsidR="00FB50F7" w:rsidRDefault="004C40A2">
          <w:pPr>
            <w:pStyle w:val="TOC2"/>
            <w:tabs>
              <w:tab w:val="right" w:leader="dot" w:pos="9350"/>
            </w:tabs>
            <w:rPr>
              <w:noProof/>
            </w:rPr>
          </w:pPr>
          <w:hyperlink w:anchor="_Toc396762711" w:history="1">
            <w:r w:rsidR="00FB50F7" w:rsidRPr="00CA78C4">
              <w:rPr>
                <w:rStyle w:val="Hyperlink"/>
                <w:noProof/>
                <w:lang w:val="nl-NL"/>
              </w:rPr>
              <w:t>4.2.1 Seasonality of inflation rate</w:t>
            </w:r>
            <w:r w:rsidR="00FB50F7">
              <w:rPr>
                <w:noProof/>
                <w:webHidden/>
              </w:rPr>
              <w:tab/>
            </w:r>
            <w:r>
              <w:rPr>
                <w:noProof/>
                <w:webHidden/>
              </w:rPr>
              <w:fldChar w:fldCharType="begin"/>
            </w:r>
            <w:r w:rsidR="00FB50F7">
              <w:rPr>
                <w:noProof/>
                <w:webHidden/>
              </w:rPr>
              <w:instrText xml:space="preserve"> PAGEREF _Toc396762711 \h </w:instrText>
            </w:r>
            <w:r>
              <w:rPr>
                <w:noProof/>
                <w:webHidden/>
              </w:rPr>
            </w:r>
            <w:r>
              <w:rPr>
                <w:noProof/>
                <w:webHidden/>
              </w:rPr>
              <w:fldChar w:fldCharType="separate"/>
            </w:r>
            <w:r w:rsidR="00FB50F7">
              <w:rPr>
                <w:noProof/>
                <w:webHidden/>
              </w:rPr>
              <w:t>32</w:t>
            </w:r>
            <w:r>
              <w:rPr>
                <w:noProof/>
                <w:webHidden/>
              </w:rPr>
              <w:fldChar w:fldCharType="end"/>
            </w:r>
          </w:hyperlink>
        </w:p>
        <w:p w:rsidR="00FB50F7" w:rsidRDefault="004C40A2">
          <w:pPr>
            <w:pStyle w:val="TOC2"/>
            <w:tabs>
              <w:tab w:val="right" w:leader="dot" w:pos="9350"/>
            </w:tabs>
            <w:rPr>
              <w:noProof/>
            </w:rPr>
          </w:pPr>
          <w:hyperlink w:anchor="_Toc396762712" w:history="1">
            <w:r w:rsidR="00FB50F7" w:rsidRPr="00CA78C4">
              <w:rPr>
                <w:rStyle w:val="Hyperlink"/>
                <w:noProof/>
                <w:lang w:val="nl-NL"/>
              </w:rPr>
              <w:t>4.2.2 The link between bond returns and inflation rate</w:t>
            </w:r>
            <w:r w:rsidR="00FB50F7">
              <w:rPr>
                <w:noProof/>
                <w:webHidden/>
              </w:rPr>
              <w:tab/>
            </w:r>
            <w:r>
              <w:rPr>
                <w:noProof/>
                <w:webHidden/>
              </w:rPr>
              <w:fldChar w:fldCharType="begin"/>
            </w:r>
            <w:r w:rsidR="00FB50F7">
              <w:rPr>
                <w:noProof/>
                <w:webHidden/>
              </w:rPr>
              <w:instrText xml:space="preserve"> PAGEREF _Toc396762712 \h </w:instrText>
            </w:r>
            <w:r>
              <w:rPr>
                <w:noProof/>
                <w:webHidden/>
              </w:rPr>
            </w:r>
            <w:r>
              <w:rPr>
                <w:noProof/>
                <w:webHidden/>
              </w:rPr>
              <w:fldChar w:fldCharType="separate"/>
            </w:r>
            <w:r w:rsidR="00FB50F7">
              <w:rPr>
                <w:noProof/>
                <w:webHidden/>
              </w:rPr>
              <w:t>34</w:t>
            </w:r>
            <w:r>
              <w:rPr>
                <w:noProof/>
                <w:webHidden/>
              </w:rPr>
              <w:fldChar w:fldCharType="end"/>
            </w:r>
          </w:hyperlink>
        </w:p>
        <w:p w:rsidR="00FB50F7" w:rsidRDefault="004C40A2">
          <w:pPr>
            <w:pStyle w:val="TOC3"/>
            <w:tabs>
              <w:tab w:val="right" w:leader="dot" w:pos="9350"/>
            </w:tabs>
            <w:rPr>
              <w:noProof/>
            </w:rPr>
          </w:pPr>
          <w:hyperlink w:anchor="_Toc396762713" w:history="1">
            <w:r w:rsidR="00FB50F7" w:rsidRPr="00CA78C4">
              <w:rPr>
                <w:rStyle w:val="Hyperlink"/>
                <w:noProof/>
              </w:rPr>
              <w:t>4.2.2.1 Monthly analysis</w:t>
            </w:r>
            <w:r w:rsidR="00FB50F7">
              <w:rPr>
                <w:noProof/>
                <w:webHidden/>
              </w:rPr>
              <w:tab/>
            </w:r>
            <w:r>
              <w:rPr>
                <w:noProof/>
                <w:webHidden/>
              </w:rPr>
              <w:fldChar w:fldCharType="begin"/>
            </w:r>
            <w:r w:rsidR="00FB50F7">
              <w:rPr>
                <w:noProof/>
                <w:webHidden/>
              </w:rPr>
              <w:instrText xml:space="preserve"> PAGEREF _Toc396762713 \h </w:instrText>
            </w:r>
            <w:r>
              <w:rPr>
                <w:noProof/>
                <w:webHidden/>
              </w:rPr>
            </w:r>
            <w:r>
              <w:rPr>
                <w:noProof/>
                <w:webHidden/>
              </w:rPr>
              <w:fldChar w:fldCharType="separate"/>
            </w:r>
            <w:r w:rsidR="00FB50F7">
              <w:rPr>
                <w:noProof/>
                <w:webHidden/>
              </w:rPr>
              <w:t>35</w:t>
            </w:r>
            <w:r>
              <w:rPr>
                <w:noProof/>
                <w:webHidden/>
              </w:rPr>
              <w:fldChar w:fldCharType="end"/>
            </w:r>
          </w:hyperlink>
        </w:p>
        <w:p w:rsidR="00FB50F7" w:rsidRDefault="004C40A2">
          <w:pPr>
            <w:pStyle w:val="TOC3"/>
            <w:tabs>
              <w:tab w:val="right" w:leader="dot" w:pos="9350"/>
            </w:tabs>
            <w:rPr>
              <w:noProof/>
            </w:rPr>
          </w:pPr>
          <w:hyperlink w:anchor="_Toc396762714" w:history="1">
            <w:r w:rsidR="00FB50F7" w:rsidRPr="00CA78C4">
              <w:rPr>
                <w:rStyle w:val="Hyperlink"/>
                <w:noProof/>
              </w:rPr>
              <w:t>4.2.2.2 Quarterly analysis</w:t>
            </w:r>
            <w:r w:rsidR="00FB50F7">
              <w:rPr>
                <w:noProof/>
                <w:webHidden/>
              </w:rPr>
              <w:tab/>
            </w:r>
            <w:r>
              <w:rPr>
                <w:noProof/>
                <w:webHidden/>
              </w:rPr>
              <w:fldChar w:fldCharType="begin"/>
            </w:r>
            <w:r w:rsidR="00FB50F7">
              <w:rPr>
                <w:noProof/>
                <w:webHidden/>
              </w:rPr>
              <w:instrText xml:space="preserve"> PAGEREF _Toc396762714 \h </w:instrText>
            </w:r>
            <w:r>
              <w:rPr>
                <w:noProof/>
                <w:webHidden/>
              </w:rPr>
            </w:r>
            <w:r>
              <w:rPr>
                <w:noProof/>
                <w:webHidden/>
              </w:rPr>
              <w:fldChar w:fldCharType="separate"/>
            </w:r>
            <w:r w:rsidR="00FB50F7">
              <w:rPr>
                <w:noProof/>
                <w:webHidden/>
              </w:rPr>
              <w:t>40</w:t>
            </w:r>
            <w:r>
              <w:rPr>
                <w:noProof/>
                <w:webHidden/>
              </w:rPr>
              <w:fldChar w:fldCharType="end"/>
            </w:r>
          </w:hyperlink>
        </w:p>
        <w:p w:rsidR="00FB50F7" w:rsidRDefault="004C40A2">
          <w:pPr>
            <w:pStyle w:val="TOC2"/>
            <w:tabs>
              <w:tab w:val="right" w:leader="dot" w:pos="9350"/>
            </w:tabs>
            <w:rPr>
              <w:noProof/>
            </w:rPr>
          </w:pPr>
          <w:hyperlink w:anchor="_Toc396762715" w:history="1">
            <w:r w:rsidR="00FB50F7" w:rsidRPr="00CA78C4">
              <w:rPr>
                <w:rStyle w:val="Hyperlink"/>
                <w:noProof/>
              </w:rPr>
              <w:t>4.3 ILB – Comparator analysis</w:t>
            </w:r>
            <w:r w:rsidR="00FB50F7">
              <w:rPr>
                <w:noProof/>
                <w:webHidden/>
              </w:rPr>
              <w:tab/>
            </w:r>
            <w:r>
              <w:rPr>
                <w:noProof/>
                <w:webHidden/>
              </w:rPr>
              <w:fldChar w:fldCharType="begin"/>
            </w:r>
            <w:r w:rsidR="00FB50F7">
              <w:rPr>
                <w:noProof/>
                <w:webHidden/>
              </w:rPr>
              <w:instrText xml:space="preserve"> PAGEREF _Toc396762715 \h </w:instrText>
            </w:r>
            <w:r>
              <w:rPr>
                <w:noProof/>
                <w:webHidden/>
              </w:rPr>
            </w:r>
            <w:r>
              <w:rPr>
                <w:noProof/>
                <w:webHidden/>
              </w:rPr>
              <w:fldChar w:fldCharType="separate"/>
            </w:r>
            <w:r w:rsidR="00FB50F7">
              <w:rPr>
                <w:noProof/>
                <w:webHidden/>
              </w:rPr>
              <w:t>44</w:t>
            </w:r>
            <w:r>
              <w:rPr>
                <w:noProof/>
                <w:webHidden/>
              </w:rPr>
              <w:fldChar w:fldCharType="end"/>
            </w:r>
          </w:hyperlink>
        </w:p>
        <w:p w:rsidR="00FB50F7" w:rsidRDefault="004C40A2">
          <w:pPr>
            <w:pStyle w:val="TOC2"/>
            <w:tabs>
              <w:tab w:val="right" w:leader="dot" w:pos="9350"/>
            </w:tabs>
            <w:rPr>
              <w:noProof/>
            </w:rPr>
          </w:pPr>
          <w:hyperlink w:anchor="_Toc396762716" w:history="1">
            <w:r w:rsidR="00FB50F7" w:rsidRPr="00CA78C4">
              <w:rPr>
                <w:rStyle w:val="Hyperlink"/>
                <w:noProof/>
              </w:rPr>
              <w:t>4.4 Interaction with SAD</w:t>
            </w:r>
            <w:r w:rsidR="00FB50F7">
              <w:rPr>
                <w:noProof/>
                <w:webHidden/>
              </w:rPr>
              <w:tab/>
            </w:r>
            <w:r>
              <w:rPr>
                <w:noProof/>
                <w:webHidden/>
              </w:rPr>
              <w:fldChar w:fldCharType="begin"/>
            </w:r>
            <w:r w:rsidR="00FB50F7">
              <w:rPr>
                <w:noProof/>
                <w:webHidden/>
              </w:rPr>
              <w:instrText xml:space="preserve"> PAGEREF _Toc396762716 \h </w:instrText>
            </w:r>
            <w:r>
              <w:rPr>
                <w:noProof/>
                <w:webHidden/>
              </w:rPr>
            </w:r>
            <w:r>
              <w:rPr>
                <w:noProof/>
                <w:webHidden/>
              </w:rPr>
              <w:fldChar w:fldCharType="separate"/>
            </w:r>
            <w:r w:rsidR="00FB50F7">
              <w:rPr>
                <w:noProof/>
                <w:webHidden/>
              </w:rPr>
              <w:t>46</w:t>
            </w:r>
            <w:r>
              <w:rPr>
                <w:noProof/>
                <w:webHidden/>
              </w:rPr>
              <w:fldChar w:fldCharType="end"/>
            </w:r>
          </w:hyperlink>
        </w:p>
        <w:p w:rsidR="00FB50F7" w:rsidRDefault="004C40A2">
          <w:pPr>
            <w:pStyle w:val="TOC2"/>
            <w:tabs>
              <w:tab w:val="right" w:leader="dot" w:pos="9350"/>
            </w:tabs>
            <w:rPr>
              <w:noProof/>
            </w:rPr>
          </w:pPr>
          <w:hyperlink w:anchor="_Toc396762717" w:history="1">
            <w:r w:rsidR="00FB50F7" w:rsidRPr="00CA78C4">
              <w:rPr>
                <w:rStyle w:val="Hyperlink"/>
                <w:noProof/>
              </w:rPr>
              <w:t>4.5 Other considered explanations</w:t>
            </w:r>
            <w:r w:rsidR="00FB50F7">
              <w:rPr>
                <w:noProof/>
                <w:webHidden/>
              </w:rPr>
              <w:tab/>
            </w:r>
            <w:r>
              <w:rPr>
                <w:noProof/>
                <w:webHidden/>
              </w:rPr>
              <w:fldChar w:fldCharType="begin"/>
            </w:r>
            <w:r w:rsidR="00FB50F7">
              <w:rPr>
                <w:noProof/>
                <w:webHidden/>
              </w:rPr>
              <w:instrText xml:space="preserve"> PAGEREF _Toc396762717 \h </w:instrText>
            </w:r>
            <w:r>
              <w:rPr>
                <w:noProof/>
                <w:webHidden/>
              </w:rPr>
            </w:r>
            <w:r>
              <w:rPr>
                <w:noProof/>
                <w:webHidden/>
              </w:rPr>
              <w:fldChar w:fldCharType="separate"/>
            </w:r>
            <w:r w:rsidR="00FB50F7">
              <w:rPr>
                <w:noProof/>
                <w:webHidden/>
              </w:rPr>
              <w:t>52</w:t>
            </w:r>
            <w:r>
              <w:rPr>
                <w:noProof/>
                <w:webHidden/>
              </w:rPr>
              <w:fldChar w:fldCharType="end"/>
            </w:r>
          </w:hyperlink>
        </w:p>
        <w:p w:rsidR="00FB50F7" w:rsidRDefault="004C40A2">
          <w:pPr>
            <w:pStyle w:val="TOC3"/>
            <w:tabs>
              <w:tab w:val="right" w:leader="dot" w:pos="9350"/>
            </w:tabs>
            <w:rPr>
              <w:noProof/>
            </w:rPr>
          </w:pPr>
          <w:hyperlink w:anchor="_Toc396762718" w:history="1">
            <w:r w:rsidR="00FB50F7" w:rsidRPr="00CA78C4">
              <w:rPr>
                <w:rStyle w:val="Hyperlink"/>
                <w:noProof/>
              </w:rPr>
              <w:t>4.5.1 Annual cycle of economic activity</w:t>
            </w:r>
            <w:r w:rsidR="00FB50F7">
              <w:rPr>
                <w:noProof/>
                <w:webHidden/>
              </w:rPr>
              <w:tab/>
            </w:r>
            <w:r>
              <w:rPr>
                <w:noProof/>
                <w:webHidden/>
              </w:rPr>
              <w:fldChar w:fldCharType="begin"/>
            </w:r>
            <w:r w:rsidR="00FB50F7">
              <w:rPr>
                <w:noProof/>
                <w:webHidden/>
              </w:rPr>
              <w:instrText xml:space="preserve"> PAGEREF _Toc396762718 \h </w:instrText>
            </w:r>
            <w:r>
              <w:rPr>
                <w:noProof/>
                <w:webHidden/>
              </w:rPr>
            </w:r>
            <w:r>
              <w:rPr>
                <w:noProof/>
                <w:webHidden/>
              </w:rPr>
              <w:fldChar w:fldCharType="separate"/>
            </w:r>
            <w:r w:rsidR="00FB50F7">
              <w:rPr>
                <w:noProof/>
                <w:webHidden/>
              </w:rPr>
              <w:t>53</w:t>
            </w:r>
            <w:r>
              <w:rPr>
                <w:noProof/>
                <w:webHidden/>
              </w:rPr>
              <w:fldChar w:fldCharType="end"/>
            </w:r>
          </w:hyperlink>
        </w:p>
        <w:p w:rsidR="00FB50F7" w:rsidRDefault="004C40A2">
          <w:pPr>
            <w:pStyle w:val="TOC3"/>
            <w:tabs>
              <w:tab w:val="right" w:leader="dot" w:pos="9350"/>
            </w:tabs>
            <w:rPr>
              <w:noProof/>
            </w:rPr>
          </w:pPr>
          <w:hyperlink w:anchor="_Toc396762719" w:history="1">
            <w:r w:rsidR="00FB50F7" w:rsidRPr="00CA78C4">
              <w:rPr>
                <w:rStyle w:val="Hyperlink"/>
                <w:noProof/>
              </w:rPr>
              <w:t>4.5.2 The Optimism cycle</w:t>
            </w:r>
            <w:r w:rsidR="00FB50F7">
              <w:rPr>
                <w:noProof/>
                <w:webHidden/>
              </w:rPr>
              <w:tab/>
            </w:r>
            <w:r>
              <w:rPr>
                <w:noProof/>
                <w:webHidden/>
              </w:rPr>
              <w:fldChar w:fldCharType="begin"/>
            </w:r>
            <w:r w:rsidR="00FB50F7">
              <w:rPr>
                <w:noProof/>
                <w:webHidden/>
              </w:rPr>
              <w:instrText xml:space="preserve"> PAGEREF _Toc396762719 \h </w:instrText>
            </w:r>
            <w:r>
              <w:rPr>
                <w:noProof/>
                <w:webHidden/>
              </w:rPr>
            </w:r>
            <w:r>
              <w:rPr>
                <w:noProof/>
                <w:webHidden/>
              </w:rPr>
              <w:fldChar w:fldCharType="separate"/>
            </w:r>
            <w:r w:rsidR="00FB50F7">
              <w:rPr>
                <w:noProof/>
                <w:webHidden/>
              </w:rPr>
              <w:t>56</w:t>
            </w:r>
            <w:r>
              <w:rPr>
                <w:noProof/>
                <w:webHidden/>
              </w:rPr>
              <w:fldChar w:fldCharType="end"/>
            </w:r>
          </w:hyperlink>
        </w:p>
        <w:p w:rsidR="00FB50F7" w:rsidRDefault="004C40A2">
          <w:pPr>
            <w:pStyle w:val="TOC3"/>
            <w:tabs>
              <w:tab w:val="right" w:leader="dot" w:pos="9350"/>
            </w:tabs>
            <w:rPr>
              <w:noProof/>
            </w:rPr>
          </w:pPr>
          <w:hyperlink w:anchor="_Toc396762720" w:history="1">
            <w:r w:rsidR="00FB50F7" w:rsidRPr="00CA78C4">
              <w:rPr>
                <w:rStyle w:val="Hyperlink"/>
                <w:noProof/>
              </w:rPr>
              <w:t>4.5.3 Macroeconomic data surprises</w:t>
            </w:r>
            <w:r w:rsidR="00FB50F7">
              <w:rPr>
                <w:noProof/>
                <w:webHidden/>
              </w:rPr>
              <w:tab/>
            </w:r>
            <w:r>
              <w:rPr>
                <w:noProof/>
                <w:webHidden/>
              </w:rPr>
              <w:fldChar w:fldCharType="begin"/>
            </w:r>
            <w:r w:rsidR="00FB50F7">
              <w:rPr>
                <w:noProof/>
                <w:webHidden/>
              </w:rPr>
              <w:instrText xml:space="preserve"> PAGEREF _Toc396762720 \h </w:instrText>
            </w:r>
            <w:r>
              <w:rPr>
                <w:noProof/>
                <w:webHidden/>
              </w:rPr>
            </w:r>
            <w:r>
              <w:rPr>
                <w:noProof/>
                <w:webHidden/>
              </w:rPr>
              <w:fldChar w:fldCharType="separate"/>
            </w:r>
            <w:r w:rsidR="00FB50F7">
              <w:rPr>
                <w:noProof/>
                <w:webHidden/>
              </w:rPr>
              <w:t>59</w:t>
            </w:r>
            <w:r>
              <w:rPr>
                <w:noProof/>
                <w:webHidden/>
              </w:rPr>
              <w:fldChar w:fldCharType="end"/>
            </w:r>
          </w:hyperlink>
        </w:p>
        <w:p w:rsidR="00FB50F7" w:rsidRDefault="004C40A2">
          <w:pPr>
            <w:pStyle w:val="TOC1"/>
            <w:tabs>
              <w:tab w:val="left" w:pos="440"/>
              <w:tab w:val="right" w:leader="dot" w:pos="9350"/>
            </w:tabs>
            <w:rPr>
              <w:noProof/>
            </w:rPr>
          </w:pPr>
          <w:hyperlink w:anchor="_Toc396762721" w:history="1">
            <w:r w:rsidR="00FB50F7" w:rsidRPr="00CA78C4">
              <w:rPr>
                <w:rStyle w:val="Hyperlink"/>
                <w:noProof/>
              </w:rPr>
              <w:t>5.</w:t>
            </w:r>
            <w:r w:rsidR="00FB50F7">
              <w:rPr>
                <w:noProof/>
              </w:rPr>
              <w:tab/>
            </w:r>
            <w:r w:rsidR="00FB50F7" w:rsidRPr="00CA78C4">
              <w:rPr>
                <w:rStyle w:val="Hyperlink"/>
                <w:noProof/>
              </w:rPr>
              <w:t>Robustness checks</w:t>
            </w:r>
            <w:r w:rsidR="00FB50F7">
              <w:rPr>
                <w:noProof/>
                <w:webHidden/>
              </w:rPr>
              <w:tab/>
            </w:r>
            <w:r>
              <w:rPr>
                <w:noProof/>
                <w:webHidden/>
              </w:rPr>
              <w:fldChar w:fldCharType="begin"/>
            </w:r>
            <w:r w:rsidR="00FB50F7">
              <w:rPr>
                <w:noProof/>
                <w:webHidden/>
              </w:rPr>
              <w:instrText xml:space="preserve"> PAGEREF _Toc396762721 \h </w:instrText>
            </w:r>
            <w:r>
              <w:rPr>
                <w:noProof/>
                <w:webHidden/>
              </w:rPr>
            </w:r>
            <w:r>
              <w:rPr>
                <w:noProof/>
                <w:webHidden/>
              </w:rPr>
              <w:fldChar w:fldCharType="separate"/>
            </w:r>
            <w:r w:rsidR="00FB50F7">
              <w:rPr>
                <w:noProof/>
                <w:webHidden/>
              </w:rPr>
              <w:t>61</w:t>
            </w:r>
            <w:r>
              <w:rPr>
                <w:noProof/>
                <w:webHidden/>
              </w:rPr>
              <w:fldChar w:fldCharType="end"/>
            </w:r>
          </w:hyperlink>
        </w:p>
        <w:p w:rsidR="00FB50F7" w:rsidRDefault="004C40A2">
          <w:pPr>
            <w:pStyle w:val="TOC2"/>
            <w:tabs>
              <w:tab w:val="right" w:leader="dot" w:pos="9350"/>
            </w:tabs>
            <w:rPr>
              <w:noProof/>
            </w:rPr>
          </w:pPr>
          <w:hyperlink w:anchor="_Toc396762722" w:history="1">
            <w:r w:rsidR="00FB50F7" w:rsidRPr="00CA78C4">
              <w:rPr>
                <w:rStyle w:val="Hyperlink"/>
                <w:noProof/>
              </w:rPr>
              <w:t>5.1 Persistence over time</w:t>
            </w:r>
            <w:r w:rsidR="00FB50F7">
              <w:rPr>
                <w:noProof/>
                <w:webHidden/>
              </w:rPr>
              <w:tab/>
            </w:r>
            <w:r>
              <w:rPr>
                <w:noProof/>
                <w:webHidden/>
              </w:rPr>
              <w:fldChar w:fldCharType="begin"/>
            </w:r>
            <w:r w:rsidR="00FB50F7">
              <w:rPr>
                <w:noProof/>
                <w:webHidden/>
              </w:rPr>
              <w:instrText xml:space="preserve"> PAGEREF _Toc396762722 \h </w:instrText>
            </w:r>
            <w:r>
              <w:rPr>
                <w:noProof/>
                <w:webHidden/>
              </w:rPr>
            </w:r>
            <w:r>
              <w:rPr>
                <w:noProof/>
                <w:webHidden/>
              </w:rPr>
              <w:fldChar w:fldCharType="separate"/>
            </w:r>
            <w:r w:rsidR="00FB50F7">
              <w:rPr>
                <w:noProof/>
                <w:webHidden/>
              </w:rPr>
              <w:t>61</w:t>
            </w:r>
            <w:r>
              <w:rPr>
                <w:noProof/>
                <w:webHidden/>
              </w:rPr>
              <w:fldChar w:fldCharType="end"/>
            </w:r>
          </w:hyperlink>
        </w:p>
        <w:p w:rsidR="00FB50F7" w:rsidRDefault="004C40A2">
          <w:pPr>
            <w:pStyle w:val="TOC2"/>
            <w:tabs>
              <w:tab w:val="right" w:leader="dot" w:pos="9350"/>
            </w:tabs>
            <w:rPr>
              <w:noProof/>
            </w:rPr>
          </w:pPr>
          <w:hyperlink w:anchor="_Toc396762723" w:history="1">
            <w:r w:rsidR="00FB50F7" w:rsidRPr="00CA78C4">
              <w:rPr>
                <w:rStyle w:val="Hyperlink"/>
                <w:noProof/>
              </w:rPr>
              <w:t>5.2 Stock returns patterns</w:t>
            </w:r>
            <w:r w:rsidR="00FB50F7">
              <w:rPr>
                <w:noProof/>
                <w:webHidden/>
              </w:rPr>
              <w:tab/>
            </w:r>
            <w:r>
              <w:rPr>
                <w:noProof/>
                <w:webHidden/>
              </w:rPr>
              <w:fldChar w:fldCharType="begin"/>
            </w:r>
            <w:r w:rsidR="00FB50F7">
              <w:rPr>
                <w:noProof/>
                <w:webHidden/>
              </w:rPr>
              <w:instrText xml:space="preserve"> PAGEREF _Toc396762723 \h </w:instrText>
            </w:r>
            <w:r>
              <w:rPr>
                <w:noProof/>
                <w:webHidden/>
              </w:rPr>
            </w:r>
            <w:r>
              <w:rPr>
                <w:noProof/>
                <w:webHidden/>
              </w:rPr>
              <w:fldChar w:fldCharType="separate"/>
            </w:r>
            <w:r w:rsidR="00FB50F7">
              <w:rPr>
                <w:noProof/>
                <w:webHidden/>
              </w:rPr>
              <w:t>63</w:t>
            </w:r>
            <w:r>
              <w:rPr>
                <w:noProof/>
                <w:webHidden/>
              </w:rPr>
              <w:fldChar w:fldCharType="end"/>
            </w:r>
          </w:hyperlink>
        </w:p>
        <w:p w:rsidR="00FB50F7" w:rsidRDefault="004C40A2">
          <w:pPr>
            <w:pStyle w:val="TOC3"/>
            <w:tabs>
              <w:tab w:val="right" w:leader="dot" w:pos="9350"/>
            </w:tabs>
            <w:rPr>
              <w:noProof/>
            </w:rPr>
          </w:pPr>
          <w:hyperlink w:anchor="_Toc396762724" w:history="1">
            <w:r w:rsidR="00FB50F7" w:rsidRPr="00CA78C4">
              <w:rPr>
                <w:rStyle w:val="Hyperlink"/>
                <w:noProof/>
              </w:rPr>
              <w:t>5.2.1 Seasonal patterns of stock excess returns</w:t>
            </w:r>
            <w:r w:rsidR="00FB50F7">
              <w:rPr>
                <w:noProof/>
                <w:webHidden/>
              </w:rPr>
              <w:tab/>
            </w:r>
            <w:r>
              <w:rPr>
                <w:noProof/>
                <w:webHidden/>
              </w:rPr>
              <w:fldChar w:fldCharType="begin"/>
            </w:r>
            <w:r w:rsidR="00FB50F7">
              <w:rPr>
                <w:noProof/>
                <w:webHidden/>
              </w:rPr>
              <w:instrText xml:space="preserve"> PAGEREF _Toc396762724 \h </w:instrText>
            </w:r>
            <w:r>
              <w:rPr>
                <w:noProof/>
                <w:webHidden/>
              </w:rPr>
            </w:r>
            <w:r>
              <w:rPr>
                <w:noProof/>
                <w:webHidden/>
              </w:rPr>
              <w:fldChar w:fldCharType="separate"/>
            </w:r>
            <w:r w:rsidR="00FB50F7">
              <w:rPr>
                <w:noProof/>
                <w:webHidden/>
              </w:rPr>
              <w:t>63</w:t>
            </w:r>
            <w:r>
              <w:rPr>
                <w:noProof/>
                <w:webHidden/>
              </w:rPr>
              <w:fldChar w:fldCharType="end"/>
            </w:r>
          </w:hyperlink>
        </w:p>
        <w:p w:rsidR="00FB50F7" w:rsidRDefault="004C40A2">
          <w:pPr>
            <w:pStyle w:val="TOC3"/>
            <w:tabs>
              <w:tab w:val="right" w:leader="dot" w:pos="9350"/>
            </w:tabs>
            <w:rPr>
              <w:noProof/>
            </w:rPr>
          </w:pPr>
          <w:hyperlink w:anchor="_Toc396762725" w:history="1">
            <w:r w:rsidR="00FB50F7" w:rsidRPr="00CA78C4">
              <w:rPr>
                <w:rStyle w:val="Hyperlink"/>
                <w:noProof/>
              </w:rPr>
              <w:t>5.2.2 The relationship between stock returns and inflation</w:t>
            </w:r>
            <w:r w:rsidR="00FB50F7">
              <w:rPr>
                <w:noProof/>
                <w:webHidden/>
              </w:rPr>
              <w:tab/>
            </w:r>
            <w:r>
              <w:rPr>
                <w:noProof/>
                <w:webHidden/>
              </w:rPr>
              <w:fldChar w:fldCharType="begin"/>
            </w:r>
            <w:r w:rsidR="00FB50F7">
              <w:rPr>
                <w:noProof/>
                <w:webHidden/>
              </w:rPr>
              <w:instrText xml:space="preserve"> PAGEREF _Toc396762725 \h </w:instrText>
            </w:r>
            <w:r>
              <w:rPr>
                <w:noProof/>
                <w:webHidden/>
              </w:rPr>
            </w:r>
            <w:r>
              <w:rPr>
                <w:noProof/>
                <w:webHidden/>
              </w:rPr>
              <w:fldChar w:fldCharType="separate"/>
            </w:r>
            <w:r w:rsidR="00FB50F7">
              <w:rPr>
                <w:noProof/>
                <w:webHidden/>
              </w:rPr>
              <w:t>64</w:t>
            </w:r>
            <w:r>
              <w:rPr>
                <w:noProof/>
                <w:webHidden/>
              </w:rPr>
              <w:fldChar w:fldCharType="end"/>
            </w:r>
          </w:hyperlink>
        </w:p>
        <w:p w:rsidR="00FB50F7" w:rsidRDefault="004C40A2">
          <w:pPr>
            <w:pStyle w:val="TOC2"/>
            <w:tabs>
              <w:tab w:val="right" w:leader="dot" w:pos="9350"/>
            </w:tabs>
            <w:rPr>
              <w:noProof/>
            </w:rPr>
          </w:pPr>
          <w:hyperlink w:anchor="_Toc396762726" w:history="1">
            <w:r w:rsidR="00FB50F7" w:rsidRPr="00CA78C4">
              <w:rPr>
                <w:rStyle w:val="Hyperlink"/>
                <w:noProof/>
              </w:rPr>
              <w:t>5.3 Economic Significance</w:t>
            </w:r>
            <w:r w:rsidR="00FB50F7">
              <w:rPr>
                <w:noProof/>
                <w:webHidden/>
              </w:rPr>
              <w:tab/>
            </w:r>
            <w:r>
              <w:rPr>
                <w:noProof/>
                <w:webHidden/>
              </w:rPr>
              <w:fldChar w:fldCharType="begin"/>
            </w:r>
            <w:r w:rsidR="00FB50F7">
              <w:rPr>
                <w:noProof/>
                <w:webHidden/>
              </w:rPr>
              <w:instrText xml:space="preserve"> PAGEREF _Toc396762726 \h </w:instrText>
            </w:r>
            <w:r>
              <w:rPr>
                <w:noProof/>
                <w:webHidden/>
              </w:rPr>
            </w:r>
            <w:r>
              <w:rPr>
                <w:noProof/>
                <w:webHidden/>
              </w:rPr>
              <w:fldChar w:fldCharType="separate"/>
            </w:r>
            <w:r w:rsidR="00FB50F7">
              <w:rPr>
                <w:noProof/>
                <w:webHidden/>
              </w:rPr>
              <w:t>65</w:t>
            </w:r>
            <w:r>
              <w:rPr>
                <w:noProof/>
                <w:webHidden/>
              </w:rPr>
              <w:fldChar w:fldCharType="end"/>
            </w:r>
          </w:hyperlink>
        </w:p>
        <w:p w:rsidR="00FB50F7" w:rsidRDefault="004C40A2">
          <w:pPr>
            <w:pStyle w:val="TOC3"/>
            <w:tabs>
              <w:tab w:val="right" w:leader="dot" w:pos="9350"/>
            </w:tabs>
            <w:rPr>
              <w:noProof/>
            </w:rPr>
          </w:pPr>
          <w:hyperlink w:anchor="_Toc396762727" w:history="1">
            <w:r w:rsidR="00FB50F7" w:rsidRPr="00CA78C4">
              <w:rPr>
                <w:rStyle w:val="Hyperlink"/>
                <w:noProof/>
              </w:rPr>
              <w:t>5.3.1 Trading Strategies</w:t>
            </w:r>
            <w:r w:rsidR="00FB50F7">
              <w:rPr>
                <w:noProof/>
                <w:webHidden/>
              </w:rPr>
              <w:tab/>
            </w:r>
            <w:r>
              <w:rPr>
                <w:noProof/>
                <w:webHidden/>
              </w:rPr>
              <w:fldChar w:fldCharType="begin"/>
            </w:r>
            <w:r w:rsidR="00FB50F7">
              <w:rPr>
                <w:noProof/>
                <w:webHidden/>
              </w:rPr>
              <w:instrText xml:space="preserve"> PAGEREF _Toc396762727 \h </w:instrText>
            </w:r>
            <w:r>
              <w:rPr>
                <w:noProof/>
                <w:webHidden/>
              </w:rPr>
            </w:r>
            <w:r>
              <w:rPr>
                <w:noProof/>
                <w:webHidden/>
              </w:rPr>
              <w:fldChar w:fldCharType="separate"/>
            </w:r>
            <w:r w:rsidR="00FB50F7">
              <w:rPr>
                <w:noProof/>
                <w:webHidden/>
              </w:rPr>
              <w:t>66</w:t>
            </w:r>
            <w:r>
              <w:rPr>
                <w:noProof/>
                <w:webHidden/>
              </w:rPr>
              <w:fldChar w:fldCharType="end"/>
            </w:r>
          </w:hyperlink>
        </w:p>
        <w:p w:rsidR="00FB50F7" w:rsidRDefault="004C40A2">
          <w:pPr>
            <w:pStyle w:val="TOC3"/>
            <w:tabs>
              <w:tab w:val="right" w:leader="dot" w:pos="9350"/>
            </w:tabs>
            <w:rPr>
              <w:noProof/>
            </w:rPr>
          </w:pPr>
          <w:hyperlink w:anchor="_Toc396762728" w:history="1">
            <w:r w:rsidR="00FB50F7" w:rsidRPr="00CA78C4">
              <w:rPr>
                <w:rStyle w:val="Hyperlink"/>
                <w:noProof/>
              </w:rPr>
              <w:t>5.3.2 Statistical Significance</w:t>
            </w:r>
            <w:r w:rsidR="00FB50F7">
              <w:rPr>
                <w:noProof/>
                <w:webHidden/>
              </w:rPr>
              <w:tab/>
            </w:r>
            <w:r>
              <w:rPr>
                <w:noProof/>
                <w:webHidden/>
              </w:rPr>
              <w:fldChar w:fldCharType="begin"/>
            </w:r>
            <w:r w:rsidR="00FB50F7">
              <w:rPr>
                <w:noProof/>
                <w:webHidden/>
              </w:rPr>
              <w:instrText xml:space="preserve"> PAGEREF _Toc396762728 \h </w:instrText>
            </w:r>
            <w:r>
              <w:rPr>
                <w:noProof/>
                <w:webHidden/>
              </w:rPr>
            </w:r>
            <w:r>
              <w:rPr>
                <w:noProof/>
                <w:webHidden/>
              </w:rPr>
              <w:fldChar w:fldCharType="separate"/>
            </w:r>
            <w:r w:rsidR="00FB50F7">
              <w:rPr>
                <w:noProof/>
                <w:webHidden/>
              </w:rPr>
              <w:t>67</w:t>
            </w:r>
            <w:r>
              <w:rPr>
                <w:noProof/>
                <w:webHidden/>
              </w:rPr>
              <w:fldChar w:fldCharType="end"/>
            </w:r>
          </w:hyperlink>
        </w:p>
        <w:p w:rsidR="00FB50F7" w:rsidRDefault="004C40A2">
          <w:pPr>
            <w:pStyle w:val="TOC1"/>
            <w:tabs>
              <w:tab w:val="left" w:pos="440"/>
              <w:tab w:val="right" w:leader="dot" w:pos="9350"/>
            </w:tabs>
            <w:rPr>
              <w:noProof/>
            </w:rPr>
          </w:pPr>
          <w:hyperlink w:anchor="_Toc396762729" w:history="1">
            <w:r w:rsidR="00FB50F7" w:rsidRPr="00CA78C4">
              <w:rPr>
                <w:rStyle w:val="Hyperlink"/>
                <w:noProof/>
              </w:rPr>
              <w:t>6.</w:t>
            </w:r>
            <w:r w:rsidR="00FB50F7">
              <w:rPr>
                <w:noProof/>
              </w:rPr>
              <w:tab/>
            </w:r>
            <w:r w:rsidR="00FB50F7" w:rsidRPr="00CA78C4">
              <w:rPr>
                <w:rStyle w:val="Hyperlink"/>
                <w:noProof/>
              </w:rPr>
              <w:t>Conclusion</w:t>
            </w:r>
            <w:r w:rsidR="00FB50F7">
              <w:rPr>
                <w:noProof/>
                <w:webHidden/>
              </w:rPr>
              <w:tab/>
            </w:r>
            <w:r>
              <w:rPr>
                <w:noProof/>
                <w:webHidden/>
              </w:rPr>
              <w:fldChar w:fldCharType="begin"/>
            </w:r>
            <w:r w:rsidR="00FB50F7">
              <w:rPr>
                <w:noProof/>
                <w:webHidden/>
              </w:rPr>
              <w:instrText xml:space="preserve"> PAGEREF _Toc396762729 \h </w:instrText>
            </w:r>
            <w:r>
              <w:rPr>
                <w:noProof/>
                <w:webHidden/>
              </w:rPr>
            </w:r>
            <w:r>
              <w:rPr>
                <w:noProof/>
                <w:webHidden/>
              </w:rPr>
              <w:fldChar w:fldCharType="separate"/>
            </w:r>
            <w:r w:rsidR="00FB50F7">
              <w:rPr>
                <w:noProof/>
                <w:webHidden/>
              </w:rPr>
              <w:t>68</w:t>
            </w:r>
            <w:r>
              <w:rPr>
                <w:noProof/>
                <w:webHidden/>
              </w:rPr>
              <w:fldChar w:fldCharType="end"/>
            </w:r>
          </w:hyperlink>
        </w:p>
        <w:p w:rsidR="00FB50F7" w:rsidRDefault="004C40A2">
          <w:pPr>
            <w:pStyle w:val="TOC1"/>
            <w:tabs>
              <w:tab w:val="right" w:leader="dot" w:pos="9350"/>
            </w:tabs>
            <w:rPr>
              <w:noProof/>
            </w:rPr>
          </w:pPr>
          <w:hyperlink w:anchor="_Toc396762730" w:history="1">
            <w:r w:rsidR="00FB50F7" w:rsidRPr="00CA78C4">
              <w:rPr>
                <w:rStyle w:val="Hyperlink"/>
                <w:noProof/>
              </w:rPr>
              <w:t>References</w:t>
            </w:r>
            <w:r w:rsidR="00FB50F7">
              <w:rPr>
                <w:noProof/>
                <w:webHidden/>
              </w:rPr>
              <w:tab/>
            </w:r>
            <w:r>
              <w:rPr>
                <w:noProof/>
                <w:webHidden/>
              </w:rPr>
              <w:fldChar w:fldCharType="begin"/>
            </w:r>
            <w:r w:rsidR="00FB50F7">
              <w:rPr>
                <w:noProof/>
                <w:webHidden/>
              </w:rPr>
              <w:instrText xml:space="preserve"> PAGEREF _Toc396762730 \h </w:instrText>
            </w:r>
            <w:r>
              <w:rPr>
                <w:noProof/>
                <w:webHidden/>
              </w:rPr>
            </w:r>
            <w:r>
              <w:rPr>
                <w:noProof/>
                <w:webHidden/>
              </w:rPr>
              <w:fldChar w:fldCharType="separate"/>
            </w:r>
            <w:r w:rsidR="00FB50F7">
              <w:rPr>
                <w:noProof/>
                <w:webHidden/>
              </w:rPr>
              <w:t>70</w:t>
            </w:r>
            <w:r>
              <w:rPr>
                <w:noProof/>
                <w:webHidden/>
              </w:rPr>
              <w:fldChar w:fldCharType="end"/>
            </w:r>
          </w:hyperlink>
        </w:p>
        <w:p w:rsidR="00FB50F7" w:rsidRDefault="004C40A2">
          <w:pPr>
            <w:pStyle w:val="TOC1"/>
            <w:tabs>
              <w:tab w:val="right" w:leader="dot" w:pos="9350"/>
            </w:tabs>
            <w:rPr>
              <w:noProof/>
            </w:rPr>
          </w:pPr>
          <w:hyperlink w:anchor="_Toc396762731" w:history="1">
            <w:r w:rsidR="00FB50F7" w:rsidRPr="00CA78C4">
              <w:rPr>
                <w:rStyle w:val="Hyperlink"/>
                <w:noProof/>
              </w:rPr>
              <w:t>Appendix A</w:t>
            </w:r>
            <w:r w:rsidR="00FB50F7">
              <w:rPr>
                <w:noProof/>
                <w:webHidden/>
              </w:rPr>
              <w:tab/>
            </w:r>
            <w:r>
              <w:rPr>
                <w:noProof/>
                <w:webHidden/>
              </w:rPr>
              <w:fldChar w:fldCharType="begin"/>
            </w:r>
            <w:r w:rsidR="00FB50F7">
              <w:rPr>
                <w:noProof/>
                <w:webHidden/>
              </w:rPr>
              <w:instrText xml:space="preserve"> PAGEREF _Toc396762731 \h </w:instrText>
            </w:r>
            <w:r>
              <w:rPr>
                <w:noProof/>
                <w:webHidden/>
              </w:rPr>
            </w:r>
            <w:r>
              <w:rPr>
                <w:noProof/>
                <w:webHidden/>
              </w:rPr>
              <w:fldChar w:fldCharType="separate"/>
            </w:r>
            <w:r w:rsidR="00FB50F7">
              <w:rPr>
                <w:noProof/>
                <w:webHidden/>
              </w:rPr>
              <w:t>76</w:t>
            </w:r>
            <w:r>
              <w:rPr>
                <w:noProof/>
                <w:webHidden/>
              </w:rPr>
              <w:fldChar w:fldCharType="end"/>
            </w:r>
          </w:hyperlink>
        </w:p>
        <w:p w:rsidR="00FB50F7" w:rsidRDefault="004C40A2">
          <w:pPr>
            <w:pStyle w:val="TOC1"/>
            <w:tabs>
              <w:tab w:val="right" w:leader="dot" w:pos="9350"/>
            </w:tabs>
            <w:rPr>
              <w:noProof/>
            </w:rPr>
          </w:pPr>
          <w:hyperlink w:anchor="_Toc396762732" w:history="1">
            <w:r w:rsidR="00FB50F7" w:rsidRPr="00CA78C4">
              <w:rPr>
                <w:rStyle w:val="Hyperlink"/>
                <w:noProof/>
              </w:rPr>
              <w:t>Appendix B</w:t>
            </w:r>
            <w:r w:rsidR="00FB50F7">
              <w:rPr>
                <w:noProof/>
                <w:webHidden/>
              </w:rPr>
              <w:tab/>
            </w:r>
            <w:r>
              <w:rPr>
                <w:noProof/>
                <w:webHidden/>
              </w:rPr>
              <w:fldChar w:fldCharType="begin"/>
            </w:r>
            <w:r w:rsidR="00FB50F7">
              <w:rPr>
                <w:noProof/>
                <w:webHidden/>
              </w:rPr>
              <w:instrText xml:space="preserve"> PAGEREF _Toc396762732 \h </w:instrText>
            </w:r>
            <w:r>
              <w:rPr>
                <w:noProof/>
                <w:webHidden/>
              </w:rPr>
            </w:r>
            <w:r>
              <w:rPr>
                <w:noProof/>
                <w:webHidden/>
              </w:rPr>
              <w:fldChar w:fldCharType="separate"/>
            </w:r>
            <w:r w:rsidR="00FB50F7">
              <w:rPr>
                <w:noProof/>
                <w:webHidden/>
              </w:rPr>
              <w:t>85</w:t>
            </w:r>
            <w:r>
              <w:rPr>
                <w:noProof/>
                <w:webHidden/>
              </w:rPr>
              <w:fldChar w:fldCharType="end"/>
            </w:r>
          </w:hyperlink>
        </w:p>
        <w:p w:rsidR="00EE1A2A" w:rsidRPr="00737EEE" w:rsidRDefault="004C40A2" w:rsidP="006924A9">
          <w:r>
            <w:fldChar w:fldCharType="end"/>
          </w:r>
        </w:p>
      </w:sdtContent>
    </w:sdt>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EE1A2A"/>
    <w:p w:rsidR="00EE1A2A" w:rsidRPr="00737EEE" w:rsidRDefault="00EE1A2A" w:rsidP="00EE1A2A"/>
    <w:p w:rsidR="00EE1A2A" w:rsidRDefault="00EE1A2A" w:rsidP="00EE1A2A"/>
    <w:p w:rsidR="0033113C" w:rsidRPr="00737EEE" w:rsidRDefault="0033113C" w:rsidP="00EE1A2A"/>
    <w:p w:rsidR="00EE1A2A" w:rsidRPr="00737EEE" w:rsidRDefault="00EE1A2A" w:rsidP="00737EEE">
      <w:pPr>
        <w:pStyle w:val="Heading1"/>
      </w:pPr>
      <w:bookmarkStart w:id="0" w:name="_Toc396762685"/>
      <w:r w:rsidRPr="00737EEE">
        <w:t>1.</w:t>
      </w:r>
      <w:r w:rsidRPr="00737EEE">
        <w:tab/>
        <w:t>Introduction</w:t>
      </w:r>
      <w:bookmarkEnd w:id="0"/>
    </w:p>
    <w:p w:rsidR="00EE1A2A" w:rsidRPr="00737EEE" w:rsidRDefault="00EE1A2A" w:rsidP="00737EEE">
      <w:pPr>
        <w:spacing w:after="0" w:line="360" w:lineRule="auto"/>
        <w:jc w:val="both"/>
        <w:rPr>
          <w:rFonts w:ascii="Times New Roman" w:hAnsi="Times New Roman" w:cs="Times New Roman"/>
        </w:rPr>
      </w:pPr>
    </w:p>
    <w:p w:rsidR="00EE1A2A" w:rsidRDefault="00EE1A2A" w:rsidP="00737EEE">
      <w:pPr>
        <w:spacing w:after="0" w:line="360" w:lineRule="auto"/>
        <w:ind w:firstLine="720"/>
        <w:jc w:val="both"/>
        <w:rPr>
          <w:rFonts w:ascii="Times New Roman" w:hAnsi="Times New Roman" w:cs="Times New Roman"/>
        </w:rPr>
      </w:pPr>
      <w:r w:rsidRPr="00737EEE">
        <w:rPr>
          <w:rFonts w:ascii="Times New Roman" w:hAnsi="Times New Roman" w:cs="Times New Roman"/>
        </w:rPr>
        <w:t xml:space="preserve">The seasonality in asset returns represents the habit of returns to repeat similar dynamics within the considered horizon (calendar year, month, week </w:t>
      </w:r>
      <w:r w:rsidRPr="00737EEE">
        <w:rPr>
          <w:rFonts w:ascii="Times New Roman" w:hAnsi="Times New Roman" w:cs="Times New Roman"/>
          <w:lang w:val="en-GB"/>
        </w:rPr>
        <w:t>etc</w:t>
      </w:r>
      <w:r w:rsidRPr="00737EEE">
        <w:rPr>
          <w:rFonts w:ascii="Times New Roman" w:hAnsi="Times New Roman" w:cs="Times New Roman"/>
        </w:rPr>
        <w:t xml:space="preserve">). Wachtel’s study from 1942 was among the pioneer studies on seasonality patterns exhibited by asset returns. Since then, research studies have been </w:t>
      </w:r>
      <w:r w:rsidR="008421A5">
        <w:rPr>
          <w:rFonts w:ascii="Times New Roman" w:hAnsi="Times New Roman" w:cs="Times New Roman"/>
        </w:rPr>
        <w:t xml:space="preserve">mostly </w:t>
      </w:r>
      <w:r w:rsidRPr="00737EEE">
        <w:rPr>
          <w:rFonts w:ascii="Times New Roman" w:hAnsi="Times New Roman" w:cs="Times New Roman"/>
        </w:rPr>
        <w:t xml:space="preserve">confined to stock markets, while bond market seasonality and its determinants received scant attention. Also the existing studies which cover the bond market focus on the discovered patterns in stock markets: </w:t>
      </w:r>
      <w:r w:rsidR="00FB67CD">
        <w:rPr>
          <w:rFonts w:ascii="Times New Roman" w:hAnsi="Times New Roman" w:cs="Times New Roman"/>
        </w:rPr>
        <w:t>“The January effect</w:t>
      </w:r>
      <w:r w:rsidR="00FB67CD">
        <w:rPr>
          <w:rStyle w:val="FootnoteReference"/>
          <w:rFonts w:ascii="Times New Roman" w:hAnsi="Times New Roman" w:cs="Times New Roman"/>
        </w:rPr>
        <w:footnoteReference w:id="2"/>
      </w:r>
      <w:r w:rsidRPr="00737EEE">
        <w:rPr>
          <w:rFonts w:ascii="Times New Roman" w:hAnsi="Times New Roman" w:cs="Times New Roman"/>
        </w:rPr>
        <w:t>” of Wachtel (1942), “The Halloween indicator</w:t>
      </w:r>
      <w:r w:rsidR="00FB67CD">
        <w:rPr>
          <w:rStyle w:val="FootnoteReference"/>
          <w:rFonts w:ascii="Times New Roman" w:hAnsi="Times New Roman" w:cs="Times New Roman"/>
        </w:rPr>
        <w:footnoteReference w:id="3"/>
      </w:r>
      <w:r w:rsidRPr="00737EEE">
        <w:rPr>
          <w:rFonts w:ascii="Times New Roman" w:hAnsi="Times New Roman" w:cs="Times New Roman"/>
        </w:rPr>
        <w:t xml:space="preserve"> ” discovered by Bouman and Jacobsen (2002) and </w:t>
      </w:r>
      <w:r w:rsidR="008421A5">
        <w:rPr>
          <w:rFonts w:ascii="Times New Roman" w:hAnsi="Times New Roman" w:cs="Times New Roman"/>
        </w:rPr>
        <w:t xml:space="preserve">the </w:t>
      </w:r>
      <w:r w:rsidRPr="00737EEE">
        <w:rPr>
          <w:rFonts w:ascii="Times New Roman" w:hAnsi="Times New Roman" w:cs="Times New Roman"/>
        </w:rPr>
        <w:t>“Seasonal Affective Disorder (SAD)</w:t>
      </w:r>
      <w:r w:rsidR="00FB67CD">
        <w:rPr>
          <w:rStyle w:val="FootnoteReference"/>
          <w:rFonts w:ascii="Times New Roman" w:hAnsi="Times New Roman" w:cs="Times New Roman"/>
        </w:rPr>
        <w:footnoteReference w:id="4"/>
      </w:r>
      <w:r w:rsidRPr="00737EEE">
        <w:rPr>
          <w:rFonts w:ascii="Times New Roman" w:hAnsi="Times New Roman" w:cs="Times New Roman"/>
        </w:rPr>
        <w:t xml:space="preserve">  factor” of Kamstra, Kramer and Levi (KKL) (2003). Clayton, Delozier and Ehrhardt (1989) document that long-term U.S. treasuries have lower returns in January than in the rest of the year.  Fridson (2000) finds that 10-year U.S. treasury returns have higher returns from June to November and Athanassakos (2008) finds that Canadian bonds have a higher performance from May to October. Kamstra, Kramer and Levi (2014) document a seasonal pattern in U.S. treasury returns that coincides with the number of reported cases of Seasonal Affective Disorder (SAD). SAD is related to the annual cycle o</w:t>
      </w:r>
      <w:r w:rsidR="00CC7131">
        <w:rPr>
          <w:rFonts w:ascii="Times New Roman" w:hAnsi="Times New Roman" w:cs="Times New Roman"/>
        </w:rPr>
        <w:t>f decreasing and increasing day</w:t>
      </w:r>
      <w:r w:rsidRPr="00737EEE">
        <w:rPr>
          <w:rFonts w:ascii="Times New Roman" w:hAnsi="Times New Roman" w:cs="Times New Roman"/>
        </w:rPr>
        <w:t>light on the Northern Hemisphere. Kamstra, Kramer and Levi (2014) argue that the resulting increased risk aversion during the fall leads to higher bond returns and once the daylight increases the returns of bonds are likely to be below average.</w:t>
      </w:r>
    </w:p>
    <w:p w:rsidR="008A2CD6" w:rsidRDefault="00482160" w:rsidP="00737EEE">
      <w:pPr>
        <w:spacing w:after="0" w:line="360" w:lineRule="auto"/>
        <w:ind w:firstLine="720"/>
        <w:jc w:val="both"/>
        <w:rPr>
          <w:rFonts w:ascii="Times New Roman" w:hAnsi="Times New Roman" w:cs="Times New Roman"/>
        </w:rPr>
      </w:pPr>
      <w:r>
        <w:rPr>
          <w:rFonts w:ascii="Times New Roman" w:hAnsi="Times New Roman" w:cs="Times New Roman"/>
        </w:rPr>
        <w:t>Thus, there is no consensus in the literature on an overall pattern in government bond markets and the investigated patterns are equity driven. Accordingly, the effects are adapted from the stock market.</w:t>
      </w:r>
    </w:p>
    <w:p w:rsidR="00EE1A2A" w:rsidRPr="00737EEE" w:rsidRDefault="00EE1A2A" w:rsidP="00737EEE">
      <w:pPr>
        <w:spacing w:after="0" w:line="360" w:lineRule="auto"/>
        <w:ind w:firstLine="720"/>
        <w:jc w:val="both"/>
        <w:rPr>
          <w:rFonts w:ascii="Times New Roman" w:hAnsi="Times New Roman" w:cs="Times New Roman"/>
        </w:rPr>
      </w:pPr>
      <w:r w:rsidRPr="00737EEE">
        <w:rPr>
          <w:rFonts w:ascii="Times New Roman" w:hAnsi="Times New Roman" w:cs="Times New Roman"/>
        </w:rPr>
        <w:t xml:space="preserve">Studying the bond price behavior is important for several reasons: the </w:t>
      </w:r>
      <w:r w:rsidR="00404196">
        <w:rPr>
          <w:rFonts w:ascii="Times New Roman" w:hAnsi="Times New Roman" w:cs="Times New Roman"/>
        </w:rPr>
        <w:t>fixed-income</w:t>
      </w:r>
      <w:r w:rsidRPr="00737EEE">
        <w:rPr>
          <w:rFonts w:ascii="Times New Roman" w:hAnsi="Times New Roman" w:cs="Times New Roman"/>
        </w:rPr>
        <w:t xml:space="preserve"> markets have </w:t>
      </w:r>
      <w:r w:rsidR="008A2CD6">
        <w:rPr>
          <w:rFonts w:ascii="Times New Roman" w:hAnsi="Times New Roman" w:cs="Times New Roman"/>
        </w:rPr>
        <w:t>grown</w:t>
      </w:r>
      <w:r w:rsidRPr="00737EEE">
        <w:rPr>
          <w:rFonts w:ascii="Times New Roman" w:hAnsi="Times New Roman" w:cs="Times New Roman"/>
        </w:rPr>
        <w:t xml:space="preserve"> significantly over the past decade</w:t>
      </w:r>
      <w:r w:rsidR="008A2CD6">
        <w:rPr>
          <w:rFonts w:ascii="Times New Roman" w:hAnsi="Times New Roman" w:cs="Times New Roman"/>
        </w:rPr>
        <w:t xml:space="preserve"> (</w:t>
      </w:r>
      <w:r w:rsidR="00404196">
        <w:rPr>
          <w:rFonts w:ascii="Times New Roman" w:hAnsi="Times New Roman" w:cs="Times New Roman"/>
        </w:rPr>
        <w:t>the outstanding of fixe</w:t>
      </w:r>
      <w:r w:rsidR="00A17405">
        <w:rPr>
          <w:rFonts w:ascii="Times New Roman" w:hAnsi="Times New Roman" w:cs="Times New Roman"/>
        </w:rPr>
        <w:t>d-income instruments has increased</w:t>
      </w:r>
      <w:r w:rsidR="00404196">
        <w:rPr>
          <w:rFonts w:ascii="Times New Roman" w:hAnsi="Times New Roman" w:cs="Times New Roman"/>
        </w:rPr>
        <w:t xml:space="preserve"> from $72 trillion in 2000 to $172 trillion</w:t>
      </w:r>
      <w:r w:rsidR="00404196">
        <w:rPr>
          <w:rStyle w:val="FootnoteReference"/>
          <w:rFonts w:ascii="Times New Roman" w:hAnsi="Times New Roman" w:cs="Times New Roman"/>
        </w:rPr>
        <w:footnoteReference w:id="5"/>
      </w:r>
      <w:r w:rsidR="00A17405">
        <w:rPr>
          <w:rFonts w:ascii="Times New Roman" w:hAnsi="Times New Roman" w:cs="Times New Roman"/>
        </w:rPr>
        <w:t xml:space="preserve"> in 2012</w:t>
      </w:r>
      <w:r w:rsidR="008A2CD6">
        <w:rPr>
          <w:rFonts w:ascii="Times New Roman" w:hAnsi="Times New Roman" w:cs="Times New Roman"/>
        </w:rPr>
        <w:t>)</w:t>
      </w:r>
      <w:r w:rsidRPr="00737EEE">
        <w:rPr>
          <w:rFonts w:ascii="Times New Roman" w:hAnsi="Times New Roman" w:cs="Times New Roman"/>
        </w:rPr>
        <w:t xml:space="preserve"> and the seasonality of fixed income instruments might be driven by other factors that those driving stock returns. In practice, the seasonal pattern of bond/stock returns plays a key role in portfolio management. A portfolio manager might achieve a better return by conducting transactions at the right time in order to exploit observed fluctuations of returns. However, it is important to note that an increase in the number of market players who are aware of the seasonality could dampen the seasonal effects and the effectiveness of exploiting them. As </w:t>
      </w:r>
      <w:r w:rsidR="00205C54" w:rsidRPr="00205C54">
        <w:rPr>
          <w:rFonts w:ascii="Times New Roman" w:hAnsi="Times New Roman" w:cs="Times New Roman"/>
        </w:rPr>
        <w:t>Darrat, Li, Liu</w:t>
      </w:r>
      <w:r w:rsidR="00205C54">
        <w:rPr>
          <w:rFonts w:ascii="Times New Roman" w:hAnsi="Times New Roman" w:cs="Times New Roman"/>
        </w:rPr>
        <w:t xml:space="preserve"> and</w:t>
      </w:r>
      <w:r w:rsidR="00205C54" w:rsidRPr="00205C54">
        <w:rPr>
          <w:rFonts w:ascii="Times New Roman" w:hAnsi="Times New Roman" w:cs="Times New Roman"/>
        </w:rPr>
        <w:t xml:space="preserve"> Su</w:t>
      </w:r>
      <w:r w:rsidR="00205C54">
        <w:rPr>
          <w:rFonts w:ascii="Times New Roman" w:hAnsi="Times New Roman" w:cs="Times New Roman"/>
        </w:rPr>
        <w:t xml:space="preserve"> </w:t>
      </w:r>
      <w:r w:rsidR="00205C54" w:rsidRPr="00205C54">
        <w:rPr>
          <w:rFonts w:ascii="Times New Roman" w:hAnsi="Times New Roman" w:cs="Times New Roman"/>
        </w:rPr>
        <w:lastRenderedPageBreak/>
        <w:t>(2011)</w:t>
      </w:r>
      <w:r w:rsidRPr="00737EEE">
        <w:rPr>
          <w:rFonts w:ascii="Times New Roman" w:hAnsi="Times New Roman" w:cs="Times New Roman"/>
        </w:rPr>
        <w:t xml:space="preserve"> point out, understanding seasonality can also be beneficial from the perspective of companies/government in need of capital, as they can select the right timing to issue new debt issues.   </w:t>
      </w:r>
    </w:p>
    <w:p w:rsidR="00EE1A2A" w:rsidRDefault="00EE1A2A" w:rsidP="00737EEE">
      <w:pPr>
        <w:spacing w:after="0" w:line="360" w:lineRule="auto"/>
        <w:ind w:firstLine="720"/>
        <w:jc w:val="both"/>
        <w:rPr>
          <w:rFonts w:ascii="Times New Roman" w:hAnsi="Times New Roman" w:cs="Times New Roman"/>
        </w:rPr>
      </w:pPr>
      <w:r w:rsidRPr="00737EEE">
        <w:rPr>
          <w:rFonts w:ascii="Times New Roman" w:hAnsi="Times New Roman" w:cs="Times New Roman"/>
        </w:rPr>
        <w:t>The aim of this research is to fulfill the gap observed in the literature on the seasonality in fixed income instruments</w:t>
      </w:r>
      <w:r w:rsidR="00482160">
        <w:rPr>
          <w:rFonts w:ascii="Times New Roman" w:hAnsi="Times New Roman" w:cs="Times New Roman"/>
        </w:rPr>
        <w:t>. As shown at the beginning of the introduction, the evidence on the existence of an overriding pattern in bond markets is mixed in the literature.</w:t>
      </w:r>
      <w:r w:rsidRPr="00737EEE">
        <w:rPr>
          <w:rFonts w:ascii="Times New Roman" w:hAnsi="Times New Roman" w:cs="Times New Roman"/>
        </w:rPr>
        <w:t xml:space="preserve"> </w:t>
      </w:r>
      <w:r w:rsidR="00482160">
        <w:rPr>
          <w:rFonts w:ascii="Times New Roman" w:hAnsi="Times New Roman" w:cs="Times New Roman"/>
        </w:rPr>
        <w:t xml:space="preserve">Moreover, most of the papers prove the existence of a pattern without formally testing for an </w:t>
      </w:r>
      <w:r w:rsidR="00D71FA1">
        <w:rPr>
          <w:rFonts w:ascii="Times New Roman" w:hAnsi="Times New Roman" w:cs="Times New Roman"/>
        </w:rPr>
        <w:t>explanation</w:t>
      </w:r>
      <w:r w:rsidR="00482160">
        <w:rPr>
          <w:rFonts w:ascii="Times New Roman" w:hAnsi="Times New Roman" w:cs="Times New Roman"/>
        </w:rPr>
        <w:t xml:space="preserve">. Therefore, the </w:t>
      </w:r>
      <w:r w:rsidR="001327E3">
        <w:rPr>
          <w:rFonts w:ascii="Times New Roman" w:hAnsi="Times New Roman" w:cs="Times New Roman"/>
        </w:rPr>
        <w:t xml:space="preserve">second goal of this study </w:t>
      </w:r>
      <w:r w:rsidR="001327E3" w:rsidRPr="00737EEE">
        <w:rPr>
          <w:rFonts w:ascii="Times New Roman" w:hAnsi="Times New Roman" w:cs="Times New Roman"/>
        </w:rPr>
        <w:t>is</w:t>
      </w:r>
      <w:r w:rsidR="001327E3">
        <w:rPr>
          <w:rFonts w:ascii="Times New Roman" w:hAnsi="Times New Roman" w:cs="Times New Roman"/>
        </w:rPr>
        <w:t xml:space="preserve"> to </w:t>
      </w:r>
      <w:r w:rsidRPr="00737EEE">
        <w:rPr>
          <w:rFonts w:ascii="Times New Roman" w:hAnsi="Times New Roman" w:cs="Times New Roman"/>
        </w:rPr>
        <w:t xml:space="preserve">explain the causes of bond returns seasonality.  </w:t>
      </w:r>
      <w:r w:rsidR="00482160">
        <w:rPr>
          <w:rFonts w:ascii="Times New Roman" w:hAnsi="Times New Roman" w:cs="Times New Roman"/>
        </w:rPr>
        <w:t>T</w:t>
      </w:r>
      <w:r w:rsidRPr="00737EEE">
        <w:rPr>
          <w:rFonts w:ascii="Times New Roman" w:hAnsi="Times New Roman" w:cs="Times New Roman"/>
        </w:rPr>
        <w:t>he analysis focuses on answering the following research questions:</w:t>
      </w:r>
    </w:p>
    <w:p w:rsidR="00482160" w:rsidRPr="00737EEE" w:rsidRDefault="00482160" w:rsidP="00737EEE">
      <w:pPr>
        <w:spacing w:after="0" w:line="360" w:lineRule="auto"/>
        <w:ind w:firstLine="720"/>
        <w:jc w:val="both"/>
        <w:rPr>
          <w:rFonts w:ascii="Times New Roman" w:hAnsi="Times New Roman" w:cs="Times New Roman"/>
        </w:rPr>
      </w:pPr>
    </w:p>
    <w:p w:rsidR="00EE1A2A" w:rsidRPr="00737EEE" w:rsidRDefault="00EE1A2A" w:rsidP="00737EEE">
      <w:pPr>
        <w:spacing w:after="0" w:line="360" w:lineRule="auto"/>
        <w:ind w:firstLine="720"/>
        <w:jc w:val="both"/>
        <w:rPr>
          <w:rFonts w:ascii="Times New Roman" w:hAnsi="Times New Roman" w:cs="Times New Roman"/>
        </w:rPr>
      </w:pPr>
      <w:r w:rsidRPr="00737EEE">
        <w:rPr>
          <w:rFonts w:ascii="Times New Roman" w:hAnsi="Times New Roman" w:cs="Times New Roman"/>
        </w:rPr>
        <w:t xml:space="preserve">Q1: </w:t>
      </w:r>
      <w:r w:rsidR="00482160">
        <w:rPr>
          <w:rFonts w:ascii="Times New Roman" w:hAnsi="Times New Roman" w:cs="Times New Roman"/>
        </w:rPr>
        <w:t>What is the seasonal pattern which caracterises the bond market</w:t>
      </w:r>
      <w:r w:rsidR="00FB67CD">
        <w:rPr>
          <w:rStyle w:val="FootnoteReference"/>
          <w:rFonts w:ascii="Times New Roman" w:hAnsi="Times New Roman" w:cs="Times New Roman"/>
        </w:rPr>
        <w:footnoteReference w:id="6"/>
      </w:r>
      <w:r w:rsidRPr="00737EEE">
        <w:rPr>
          <w:rFonts w:ascii="Times New Roman" w:hAnsi="Times New Roman" w:cs="Times New Roman"/>
        </w:rPr>
        <w:t xml:space="preserve"> </w:t>
      </w:r>
      <w:r w:rsidR="001327E3">
        <w:rPr>
          <w:rFonts w:ascii="Times New Roman" w:hAnsi="Times New Roman" w:cs="Times New Roman"/>
        </w:rPr>
        <w:t>?</w:t>
      </w:r>
    </w:p>
    <w:p w:rsidR="00EE1A2A" w:rsidRDefault="00EE1A2A" w:rsidP="00737EEE">
      <w:pPr>
        <w:spacing w:after="0" w:line="360" w:lineRule="auto"/>
        <w:ind w:firstLine="720"/>
        <w:jc w:val="both"/>
        <w:rPr>
          <w:rFonts w:ascii="Times New Roman" w:hAnsi="Times New Roman" w:cs="Times New Roman"/>
        </w:rPr>
      </w:pPr>
      <w:r w:rsidRPr="00737EEE">
        <w:rPr>
          <w:rFonts w:ascii="Times New Roman" w:hAnsi="Times New Roman" w:cs="Times New Roman"/>
        </w:rPr>
        <w:t xml:space="preserve">Q2: </w:t>
      </w:r>
      <w:r w:rsidR="00482160">
        <w:rPr>
          <w:rFonts w:ascii="Times New Roman" w:hAnsi="Times New Roman" w:cs="Times New Roman"/>
        </w:rPr>
        <w:t>What is the most logical explanation for the seasonality in bond returns?</w:t>
      </w:r>
    </w:p>
    <w:p w:rsidR="00482160" w:rsidRPr="00737EEE" w:rsidRDefault="00482160" w:rsidP="00737EEE">
      <w:pPr>
        <w:spacing w:after="0" w:line="360" w:lineRule="auto"/>
        <w:ind w:firstLine="720"/>
        <w:jc w:val="both"/>
        <w:rPr>
          <w:rFonts w:ascii="Times New Roman" w:hAnsi="Times New Roman" w:cs="Times New Roman"/>
        </w:rPr>
      </w:pPr>
    </w:p>
    <w:p w:rsidR="001327E3" w:rsidRDefault="00EE1A2A" w:rsidP="00737EEE">
      <w:pPr>
        <w:spacing w:after="0" w:line="360" w:lineRule="auto"/>
        <w:jc w:val="both"/>
        <w:rPr>
          <w:rFonts w:ascii="Times New Roman" w:hAnsi="Times New Roman" w:cs="Times New Roman"/>
        </w:rPr>
      </w:pPr>
      <w:r w:rsidRPr="00737EEE">
        <w:rPr>
          <w:rFonts w:ascii="Times New Roman" w:hAnsi="Times New Roman" w:cs="Times New Roman"/>
        </w:rPr>
        <w:tab/>
        <w:t xml:space="preserve">This empirical research yields the following interesting results. </w:t>
      </w:r>
      <w:r w:rsidR="00AC12CE">
        <w:rPr>
          <w:rFonts w:ascii="Times New Roman" w:hAnsi="Times New Roman" w:cs="Times New Roman"/>
        </w:rPr>
        <w:t xml:space="preserve">In line with the conclusions of  </w:t>
      </w:r>
      <w:r w:rsidR="00D14941">
        <w:rPr>
          <w:rFonts w:ascii="Times New Roman" w:hAnsi="Times New Roman" w:cs="Times New Roman"/>
        </w:rPr>
        <w:t>Schneeweis and Woolridge (1979)</w:t>
      </w:r>
      <w:r w:rsidR="00AC12CE" w:rsidRPr="006B2A5E">
        <w:rPr>
          <w:rFonts w:ascii="Times New Roman" w:hAnsi="Times New Roman" w:cs="Times New Roman"/>
        </w:rPr>
        <w:t>, Smirlock (</w:t>
      </w:r>
      <w:r w:rsidR="00AC12CE">
        <w:rPr>
          <w:rFonts w:ascii="Times New Roman" w:hAnsi="Times New Roman" w:cs="Times New Roman"/>
        </w:rPr>
        <w:t>1985), Chang and Pinegar (1986) and</w:t>
      </w:r>
      <w:r w:rsidR="00AC12CE" w:rsidRPr="006B2A5E">
        <w:rPr>
          <w:rFonts w:ascii="Times New Roman" w:hAnsi="Times New Roman" w:cs="Times New Roman"/>
        </w:rPr>
        <w:t xml:space="preserve"> Chan and Wu (1993)</w:t>
      </w:r>
      <w:r w:rsidR="00AC12CE">
        <w:rPr>
          <w:rFonts w:ascii="Times New Roman" w:hAnsi="Times New Roman" w:cs="Times New Roman"/>
        </w:rPr>
        <w:t>, the current research does not find a January effect. An Inverted Halloween effect which is the opposite pattern found by Bouman and Jacobsen (2002) on stock markets, is weak and inconsistent across countries.</w:t>
      </w:r>
      <w:r w:rsidR="00F2127A">
        <w:rPr>
          <w:rFonts w:ascii="Times New Roman" w:hAnsi="Times New Roman" w:cs="Times New Roman"/>
        </w:rPr>
        <w:t xml:space="preserve"> </w:t>
      </w:r>
      <w:r w:rsidR="00AC12CE">
        <w:rPr>
          <w:rFonts w:ascii="Times New Roman" w:hAnsi="Times New Roman" w:cs="Times New Roman"/>
        </w:rPr>
        <w:t xml:space="preserve">The research discovers a new pattern for government bonds – H1 H2 effect </w:t>
      </w:r>
      <w:r w:rsidR="00AC12CE" w:rsidRPr="00737EEE">
        <w:rPr>
          <w:rFonts w:ascii="Times New Roman" w:hAnsi="Times New Roman" w:cs="Times New Roman"/>
        </w:rPr>
        <w:t xml:space="preserve">which implies a better performance of bonds during July-December compared to the one recorded in the first half of the year. </w:t>
      </w:r>
    </w:p>
    <w:p w:rsidR="00AC12CE" w:rsidRDefault="00AC12CE" w:rsidP="001327E3">
      <w:pPr>
        <w:spacing w:after="0" w:line="360" w:lineRule="auto"/>
        <w:ind w:firstLine="720"/>
        <w:jc w:val="both"/>
        <w:rPr>
          <w:rFonts w:ascii="Times New Roman" w:hAnsi="Times New Roman" w:cs="Times New Roman"/>
        </w:rPr>
      </w:pPr>
      <w:r>
        <w:rPr>
          <w:rFonts w:ascii="Times New Roman" w:hAnsi="Times New Roman" w:cs="Times New Roman"/>
        </w:rPr>
        <w:t xml:space="preserve">The study also </w:t>
      </w:r>
      <w:r w:rsidR="00EE1A2A" w:rsidRPr="00737EEE">
        <w:rPr>
          <w:rFonts w:ascii="Times New Roman" w:hAnsi="Times New Roman" w:cs="Times New Roman"/>
        </w:rPr>
        <w:t>points out that the seasonality in the inflation rate drives the discovered variation in bond returns across the year. The explanatory power of inflation for bond seasonality is supported by the following</w:t>
      </w:r>
      <w:r>
        <w:rPr>
          <w:rFonts w:ascii="Times New Roman" w:hAnsi="Times New Roman" w:cs="Times New Roman"/>
        </w:rPr>
        <w:t>:</w:t>
      </w:r>
    </w:p>
    <w:p w:rsidR="00AC12CE" w:rsidRPr="00920046" w:rsidRDefault="00EE1A2A" w:rsidP="00920046">
      <w:pPr>
        <w:pStyle w:val="ListParagraph"/>
        <w:numPr>
          <w:ilvl w:val="0"/>
          <w:numId w:val="17"/>
        </w:numPr>
        <w:spacing w:after="0" w:line="360" w:lineRule="auto"/>
        <w:jc w:val="both"/>
        <w:rPr>
          <w:rFonts w:ascii="Times New Roman" w:hAnsi="Times New Roman" w:cs="Times New Roman"/>
        </w:rPr>
      </w:pPr>
      <w:r w:rsidRPr="00920046">
        <w:rPr>
          <w:rFonts w:ascii="Times New Roman" w:hAnsi="Times New Roman" w:cs="Times New Roman"/>
        </w:rPr>
        <w:t>the inflation rate exhibits an opposite pattern with higher values during January-June</w:t>
      </w:r>
    </w:p>
    <w:p w:rsidR="00AC12CE" w:rsidRPr="00920046" w:rsidRDefault="00AC12CE" w:rsidP="00920046">
      <w:pPr>
        <w:pStyle w:val="ListParagraph"/>
        <w:numPr>
          <w:ilvl w:val="0"/>
          <w:numId w:val="17"/>
        </w:numPr>
        <w:spacing w:after="0" w:line="360" w:lineRule="auto"/>
        <w:jc w:val="both"/>
        <w:rPr>
          <w:rFonts w:ascii="Times New Roman" w:hAnsi="Times New Roman" w:cs="Times New Roman"/>
        </w:rPr>
      </w:pPr>
      <w:r w:rsidRPr="00920046">
        <w:rPr>
          <w:rFonts w:ascii="Times New Roman" w:hAnsi="Times New Roman" w:cs="Times New Roman"/>
        </w:rPr>
        <w:t xml:space="preserve">there is </w:t>
      </w:r>
      <w:r w:rsidR="00EE1A2A" w:rsidRPr="00920046">
        <w:rPr>
          <w:rFonts w:ascii="Times New Roman" w:hAnsi="Times New Roman" w:cs="Times New Roman"/>
        </w:rPr>
        <w:t>evidence of a significant time-series link between bond returns and inflation</w:t>
      </w:r>
    </w:p>
    <w:p w:rsidR="00AC12CE" w:rsidRDefault="00AC12CE" w:rsidP="00920046">
      <w:pPr>
        <w:pStyle w:val="ListParagraph"/>
        <w:numPr>
          <w:ilvl w:val="0"/>
          <w:numId w:val="16"/>
        </w:numPr>
        <w:spacing w:after="0" w:line="360" w:lineRule="auto"/>
        <w:jc w:val="both"/>
        <w:rPr>
          <w:rFonts w:ascii="Times New Roman" w:hAnsi="Times New Roman" w:cs="Times New Roman"/>
        </w:rPr>
      </w:pPr>
      <w:r>
        <w:rPr>
          <w:rFonts w:ascii="Times New Roman" w:hAnsi="Times New Roman" w:cs="Times New Roman"/>
        </w:rPr>
        <w:t>t</w:t>
      </w:r>
      <w:r w:rsidRPr="00AC12CE">
        <w:rPr>
          <w:rFonts w:ascii="Times New Roman" w:hAnsi="Times New Roman" w:cs="Times New Roman"/>
        </w:rPr>
        <w:t xml:space="preserve">here is </w:t>
      </w:r>
      <w:r w:rsidR="00EE1A2A" w:rsidRPr="00920046">
        <w:rPr>
          <w:rFonts w:ascii="Times New Roman" w:hAnsi="Times New Roman" w:cs="Times New Roman"/>
        </w:rPr>
        <w:t>no seasonality left after taking into account inflati</w:t>
      </w:r>
      <w:r w:rsidR="00022FB0" w:rsidRPr="00920046">
        <w:rPr>
          <w:rFonts w:ascii="Times New Roman" w:hAnsi="Times New Roman" w:cs="Times New Roman"/>
        </w:rPr>
        <w:t>on dynamics</w:t>
      </w:r>
    </w:p>
    <w:p w:rsidR="00AC12CE" w:rsidRDefault="00022FB0" w:rsidP="00920046">
      <w:pPr>
        <w:pStyle w:val="ListParagraph"/>
        <w:numPr>
          <w:ilvl w:val="0"/>
          <w:numId w:val="16"/>
        </w:numPr>
        <w:spacing w:after="0" w:line="360" w:lineRule="auto"/>
        <w:jc w:val="both"/>
        <w:rPr>
          <w:rFonts w:ascii="Times New Roman" w:hAnsi="Times New Roman" w:cs="Times New Roman"/>
        </w:rPr>
      </w:pPr>
      <w:r w:rsidRPr="00920046">
        <w:rPr>
          <w:rFonts w:ascii="Times New Roman" w:hAnsi="Times New Roman" w:cs="Times New Roman"/>
        </w:rPr>
        <w:t>the returns of inflation-linked b</w:t>
      </w:r>
      <w:r w:rsidR="00EE1A2A" w:rsidRPr="00920046">
        <w:rPr>
          <w:rFonts w:ascii="Times New Roman" w:hAnsi="Times New Roman" w:cs="Times New Roman"/>
        </w:rPr>
        <w:t xml:space="preserve">onds (ILBs) do not display a seasonal pattern as inflation rate is incorporated in their price. </w:t>
      </w:r>
    </w:p>
    <w:p w:rsidR="00EE1A2A" w:rsidRDefault="00EE1A2A" w:rsidP="00920046">
      <w:pPr>
        <w:spacing w:after="0" w:line="360" w:lineRule="auto"/>
        <w:ind w:firstLine="720"/>
        <w:jc w:val="both"/>
        <w:rPr>
          <w:rFonts w:ascii="Times New Roman" w:hAnsi="Times New Roman" w:cs="Times New Roman"/>
        </w:rPr>
      </w:pPr>
      <w:r w:rsidRPr="00920046">
        <w:rPr>
          <w:rFonts w:ascii="Times New Roman" w:hAnsi="Times New Roman" w:cs="Times New Roman"/>
        </w:rPr>
        <w:t xml:space="preserve">The </w:t>
      </w:r>
      <w:r w:rsidR="00AC12CE">
        <w:rPr>
          <w:rFonts w:ascii="Times New Roman" w:hAnsi="Times New Roman" w:cs="Times New Roman"/>
        </w:rPr>
        <w:t xml:space="preserve">possible </w:t>
      </w:r>
      <w:r w:rsidR="00920046">
        <w:rPr>
          <w:rFonts w:ascii="Times New Roman" w:hAnsi="Times New Roman" w:cs="Times New Roman"/>
        </w:rPr>
        <w:t>explanation of</w:t>
      </w:r>
      <w:r w:rsidRPr="00920046">
        <w:rPr>
          <w:rFonts w:ascii="Times New Roman" w:hAnsi="Times New Roman" w:cs="Times New Roman"/>
        </w:rPr>
        <w:t xml:space="preserve"> the inflation </w:t>
      </w:r>
      <w:r w:rsidR="00AC12CE">
        <w:rPr>
          <w:rFonts w:ascii="Times New Roman" w:hAnsi="Times New Roman" w:cs="Times New Roman"/>
        </w:rPr>
        <w:t xml:space="preserve">hypothesis </w:t>
      </w:r>
      <w:r w:rsidRPr="00920046">
        <w:rPr>
          <w:rFonts w:ascii="Times New Roman" w:hAnsi="Times New Roman" w:cs="Times New Roman"/>
        </w:rPr>
        <w:t>is that investors do not pay attention to the seasonal pattern in inflation as they focus on underlying inflationary trends which are reflected by seasonally-adjusted numbers.</w:t>
      </w:r>
    </w:p>
    <w:p w:rsidR="00F2127A" w:rsidRPr="00920046" w:rsidRDefault="00F2127A" w:rsidP="00920046">
      <w:pPr>
        <w:spacing w:after="0" w:line="360" w:lineRule="auto"/>
        <w:ind w:firstLine="720"/>
        <w:jc w:val="both"/>
        <w:rPr>
          <w:rFonts w:ascii="Times New Roman" w:hAnsi="Times New Roman" w:cs="Times New Roman"/>
        </w:rPr>
      </w:pPr>
      <w:r>
        <w:rPr>
          <w:rFonts w:ascii="Times New Roman" w:hAnsi="Times New Roman" w:cs="Times New Roman"/>
        </w:rPr>
        <w:t xml:space="preserve">In what concerns the SAD factor introduced by KKL(2003), the analysis shows that SAD is specific to the markets from where the data was gathered (North America). Accordingly, </w:t>
      </w:r>
      <w:r w:rsidR="009007C4">
        <w:rPr>
          <w:rFonts w:ascii="Times New Roman" w:hAnsi="Times New Roman" w:cs="Times New Roman"/>
        </w:rPr>
        <w:t xml:space="preserve">the </w:t>
      </w:r>
      <w:r>
        <w:rPr>
          <w:rFonts w:ascii="Times New Roman" w:hAnsi="Times New Roman" w:cs="Times New Roman"/>
        </w:rPr>
        <w:t xml:space="preserve">SAD </w:t>
      </w:r>
      <w:r>
        <w:rPr>
          <w:rFonts w:ascii="Times New Roman" w:hAnsi="Times New Roman" w:cs="Times New Roman"/>
        </w:rPr>
        <w:lastRenderedPageBreak/>
        <w:t>variable ha</w:t>
      </w:r>
      <w:r w:rsidR="009007C4">
        <w:rPr>
          <w:rFonts w:ascii="Times New Roman" w:hAnsi="Times New Roman" w:cs="Times New Roman"/>
        </w:rPr>
        <w:t>s explanatory power f</w:t>
      </w:r>
      <w:r w:rsidR="007F6765">
        <w:rPr>
          <w:rFonts w:ascii="Times New Roman" w:hAnsi="Times New Roman" w:cs="Times New Roman"/>
        </w:rPr>
        <w:t>or bond</w:t>
      </w:r>
      <w:r>
        <w:rPr>
          <w:rFonts w:ascii="Times New Roman" w:hAnsi="Times New Roman" w:cs="Times New Roman"/>
        </w:rPr>
        <w:t xml:space="preserve"> seasonality at</w:t>
      </w:r>
      <w:r w:rsidR="009007C4">
        <w:rPr>
          <w:rFonts w:ascii="Times New Roman" w:hAnsi="Times New Roman" w:cs="Times New Roman"/>
        </w:rPr>
        <w:t xml:space="preserve"> a</w:t>
      </w:r>
      <w:r>
        <w:rPr>
          <w:rFonts w:ascii="Times New Roman" w:hAnsi="Times New Roman" w:cs="Times New Roman"/>
        </w:rPr>
        <w:t xml:space="preserve"> monthly frequency in the United States and Canada, while at </w:t>
      </w:r>
      <w:r w:rsidR="009007C4">
        <w:rPr>
          <w:rFonts w:ascii="Times New Roman" w:hAnsi="Times New Roman" w:cs="Times New Roman"/>
        </w:rPr>
        <w:t xml:space="preserve">a </w:t>
      </w:r>
      <w:r w:rsidR="001327E3">
        <w:rPr>
          <w:rFonts w:ascii="Times New Roman" w:hAnsi="Times New Roman" w:cs="Times New Roman"/>
        </w:rPr>
        <w:t xml:space="preserve">quarterly frequency this factor </w:t>
      </w:r>
      <w:r>
        <w:rPr>
          <w:rFonts w:ascii="Times New Roman" w:hAnsi="Times New Roman" w:cs="Times New Roman"/>
        </w:rPr>
        <w:t>is subsumed by the inflation rate.</w:t>
      </w:r>
    </w:p>
    <w:p w:rsidR="00EE1A2A" w:rsidRPr="00737EEE" w:rsidRDefault="00EE1A2A" w:rsidP="00737EEE">
      <w:pPr>
        <w:spacing w:after="0" w:line="360" w:lineRule="auto"/>
        <w:jc w:val="both"/>
        <w:rPr>
          <w:rFonts w:ascii="Times New Roman" w:hAnsi="Times New Roman" w:cs="Times New Roman"/>
        </w:rPr>
      </w:pPr>
      <w:r w:rsidRPr="00737EEE">
        <w:rPr>
          <w:rFonts w:ascii="Times New Roman" w:hAnsi="Times New Roman" w:cs="Times New Roman"/>
        </w:rPr>
        <w:tab/>
        <w:t>This research adds to the literature in the following ways. It documents a new semi-annual seasonal pattern on bond market. Shigeki, Takashi, Katsuhiko (2011) found evidence of the opposite effect on the Japanese stock market (“Dekansho-bushi”). While most of the papers focus on United States (U</w:t>
      </w:r>
      <w:r w:rsidR="00022FB0">
        <w:rPr>
          <w:rFonts w:ascii="Times New Roman" w:hAnsi="Times New Roman" w:cs="Times New Roman"/>
        </w:rPr>
        <w:t>.</w:t>
      </w:r>
      <w:r w:rsidRPr="00737EEE">
        <w:rPr>
          <w:rFonts w:ascii="Times New Roman" w:hAnsi="Times New Roman" w:cs="Times New Roman"/>
        </w:rPr>
        <w:t>S</w:t>
      </w:r>
      <w:r w:rsidR="00022FB0">
        <w:rPr>
          <w:rFonts w:ascii="Times New Roman" w:hAnsi="Times New Roman" w:cs="Times New Roman"/>
        </w:rPr>
        <w:t>.</w:t>
      </w:r>
      <w:r w:rsidRPr="00737EEE">
        <w:rPr>
          <w:rFonts w:ascii="Times New Roman" w:hAnsi="Times New Roman" w:cs="Times New Roman"/>
        </w:rPr>
        <w:t xml:space="preserve">) and Canada, this study conducts a broader analysis into six liquid government bond markets: Australia, Canada, Germany, Japan, </w:t>
      </w:r>
      <w:r w:rsidR="00CC7131">
        <w:rPr>
          <w:rFonts w:ascii="Times New Roman" w:hAnsi="Times New Roman" w:cs="Times New Roman"/>
        </w:rPr>
        <w:t xml:space="preserve">the </w:t>
      </w:r>
      <w:r w:rsidRPr="00737EEE">
        <w:rPr>
          <w:rFonts w:ascii="Times New Roman" w:hAnsi="Times New Roman" w:cs="Times New Roman"/>
        </w:rPr>
        <w:t>United Kingdom (U</w:t>
      </w:r>
      <w:r w:rsidR="00022FB0">
        <w:rPr>
          <w:rFonts w:ascii="Times New Roman" w:hAnsi="Times New Roman" w:cs="Times New Roman"/>
        </w:rPr>
        <w:t>.</w:t>
      </w:r>
      <w:r w:rsidRPr="00737EEE">
        <w:rPr>
          <w:rFonts w:ascii="Times New Roman" w:hAnsi="Times New Roman" w:cs="Times New Roman"/>
        </w:rPr>
        <w:t>K</w:t>
      </w:r>
      <w:r w:rsidR="00022FB0">
        <w:rPr>
          <w:rFonts w:ascii="Times New Roman" w:hAnsi="Times New Roman" w:cs="Times New Roman"/>
        </w:rPr>
        <w:t>.</w:t>
      </w:r>
      <w:r w:rsidRPr="00737EEE">
        <w:rPr>
          <w:rFonts w:ascii="Times New Roman" w:hAnsi="Times New Roman" w:cs="Times New Roman"/>
        </w:rPr>
        <w:t xml:space="preserve">) and </w:t>
      </w:r>
      <w:r w:rsidR="00CC7131">
        <w:rPr>
          <w:rFonts w:ascii="Times New Roman" w:hAnsi="Times New Roman" w:cs="Times New Roman"/>
        </w:rPr>
        <w:t>U</w:t>
      </w:r>
      <w:r w:rsidR="00022FB0">
        <w:rPr>
          <w:rFonts w:ascii="Times New Roman" w:hAnsi="Times New Roman" w:cs="Times New Roman"/>
        </w:rPr>
        <w:t>.</w:t>
      </w:r>
      <w:r w:rsidRPr="00737EEE">
        <w:rPr>
          <w:rFonts w:ascii="Times New Roman" w:hAnsi="Times New Roman" w:cs="Times New Roman"/>
        </w:rPr>
        <w:t>S. It provides a formal testing for the considered hypotheses considering several proxies which have not been used in this context</w:t>
      </w:r>
      <w:r w:rsidR="00FB67CD">
        <w:rPr>
          <w:rStyle w:val="FootnoteReference"/>
          <w:rFonts w:ascii="Times New Roman" w:hAnsi="Times New Roman" w:cs="Times New Roman"/>
        </w:rPr>
        <w:footnoteReference w:id="7"/>
      </w:r>
      <w:r w:rsidRPr="00737EEE">
        <w:rPr>
          <w:rFonts w:ascii="Times New Roman" w:hAnsi="Times New Roman" w:cs="Times New Roman"/>
        </w:rPr>
        <w:t xml:space="preserve">. Many studies on seasonality have put forward an explanation without bringing empirical evidence for it. This study investigates the seasonality of ILBs which, to my knowledge, has not been investigated until now. Finally, it brings evidence that the seasonality in inflation rate explains better than SAD the seasonal variation in bond returns. </w:t>
      </w:r>
    </w:p>
    <w:p w:rsidR="00EE1A2A" w:rsidRPr="00737EEE" w:rsidRDefault="00EE1A2A" w:rsidP="00737EEE">
      <w:pPr>
        <w:spacing w:after="0" w:line="360" w:lineRule="auto"/>
        <w:jc w:val="both"/>
        <w:rPr>
          <w:rFonts w:ascii="Times New Roman" w:hAnsi="Times New Roman" w:cs="Times New Roman"/>
        </w:rPr>
      </w:pPr>
      <w:r w:rsidRPr="00737EEE">
        <w:rPr>
          <w:rFonts w:ascii="Times New Roman" w:hAnsi="Times New Roman" w:cs="Times New Roman"/>
        </w:rPr>
        <w:tab/>
        <w:t xml:space="preserve">The remainder of the paper is </w:t>
      </w:r>
      <w:r w:rsidRPr="00737EEE">
        <w:rPr>
          <w:rFonts w:ascii="Times New Roman" w:hAnsi="Times New Roman" w:cs="Times New Roman"/>
          <w:lang w:val="en-GB"/>
        </w:rPr>
        <w:t>organised</w:t>
      </w:r>
      <w:r w:rsidRPr="00737EEE">
        <w:rPr>
          <w:rFonts w:ascii="Times New Roman" w:hAnsi="Times New Roman" w:cs="Times New Roman"/>
        </w:rPr>
        <w:t xml:space="preserve"> as follows. Section 2 reviews the literature on calendar anomalies from stock and bond markets and the related explanations. Section 3 presents the data and gives an overview of the methodologies used in the literature and describes the econometric methodology employed. Section 4 is dedicated to the presentation and discussion of the results, while Section 5 considers several robustness </w:t>
      </w:r>
      <w:r w:rsidR="00920046" w:rsidRPr="00737EEE">
        <w:rPr>
          <w:rFonts w:ascii="Times New Roman" w:hAnsi="Times New Roman" w:cs="Times New Roman"/>
        </w:rPr>
        <w:t xml:space="preserve">checks. </w:t>
      </w:r>
      <w:r w:rsidRPr="00737EEE">
        <w:rPr>
          <w:rFonts w:ascii="Times New Roman" w:hAnsi="Times New Roman" w:cs="Times New Roman"/>
        </w:rPr>
        <w:t>This empirical study is concluded with a summary, the limitations of the research and further research directions to be considered.</w:t>
      </w:r>
    </w:p>
    <w:p w:rsidR="00EE1A2A" w:rsidRDefault="00EE1A2A" w:rsidP="00737EEE">
      <w:pPr>
        <w:jc w:val="both"/>
        <w:rPr>
          <w:rFonts w:ascii="Times New Roman" w:hAnsi="Times New Roman" w:cs="Times New Roman"/>
        </w:rPr>
      </w:pPr>
    </w:p>
    <w:p w:rsidR="00EE1A2A" w:rsidRDefault="00EE1A2A" w:rsidP="00737EEE">
      <w:pPr>
        <w:pStyle w:val="Heading1"/>
      </w:pPr>
      <w:bookmarkStart w:id="1" w:name="_Toc396762686"/>
      <w:r w:rsidRPr="00737EEE">
        <w:t>2.</w:t>
      </w:r>
      <w:r w:rsidRPr="00737EEE">
        <w:tab/>
        <w:t>Literature Review</w:t>
      </w:r>
      <w:bookmarkEnd w:id="1"/>
    </w:p>
    <w:p w:rsidR="006924A9" w:rsidRDefault="006924A9" w:rsidP="006924A9"/>
    <w:p w:rsidR="006924A9" w:rsidRPr="006924A9" w:rsidRDefault="006924A9" w:rsidP="000343C0">
      <w:pPr>
        <w:spacing w:after="0" w:line="360" w:lineRule="auto"/>
        <w:jc w:val="both"/>
        <w:rPr>
          <w:rFonts w:ascii="Times New Roman" w:hAnsi="Times New Roman" w:cs="Times New Roman"/>
        </w:rPr>
      </w:pPr>
      <w:r>
        <w:tab/>
      </w:r>
      <w:r w:rsidR="00920046">
        <w:rPr>
          <w:rFonts w:ascii="Times New Roman" w:hAnsi="Times New Roman" w:cs="Times New Roman"/>
        </w:rPr>
        <w:t>Chapter 2</w:t>
      </w:r>
      <w:r>
        <w:rPr>
          <w:rFonts w:ascii="Times New Roman" w:hAnsi="Times New Roman" w:cs="Times New Roman"/>
        </w:rPr>
        <w:t xml:space="preserve"> reports the main findings on the seasonal patterns discovered on stock and bond markets (</w:t>
      </w:r>
      <w:r w:rsidR="00FC5A0E">
        <w:rPr>
          <w:rFonts w:ascii="Times New Roman" w:hAnsi="Times New Roman" w:cs="Times New Roman"/>
        </w:rPr>
        <w:t>Section 2.1</w:t>
      </w:r>
      <w:r>
        <w:rPr>
          <w:rFonts w:ascii="Times New Roman" w:hAnsi="Times New Roman" w:cs="Times New Roman"/>
        </w:rPr>
        <w:t xml:space="preserve">), the explanations behind these </w:t>
      </w:r>
      <w:r w:rsidR="00FC5A0E">
        <w:rPr>
          <w:rFonts w:ascii="Times New Roman" w:hAnsi="Times New Roman" w:cs="Times New Roman"/>
        </w:rPr>
        <w:t xml:space="preserve">(Section 2.2) </w:t>
      </w:r>
      <w:r>
        <w:rPr>
          <w:rFonts w:ascii="Times New Roman" w:hAnsi="Times New Roman" w:cs="Times New Roman"/>
        </w:rPr>
        <w:t>and the drivers of inflation seasonality</w:t>
      </w:r>
      <w:r w:rsidR="00FC5A0E">
        <w:rPr>
          <w:rFonts w:ascii="Times New Roman" w:hAnsi="Times New Roman" w:cs="Times New Roman"/>
        </w:rPr>
        <w:t xml:space="preserve"> (Section 2.3)</w:t>
      </w:r>
      <w:r>
        <w:rPr>
          <w:rFonts w:ascii="Times New Roman" w:hAnsi="Times New Roman" w:cs="Times New Roman"/>
        </w:rPr>
        <w:t>.</w:t>
      </w:r>
      <w:r w:rsidR="000343C0">
        <w:rPr>
          <w:rFonts w:ascii="Times New Roman" w:hAnsi="Times New Roman" w:cs="Times New Roman"/>
        </w:rPr>
        <w:t xml:space="preserve"> </w:t>
      </w:r>
    </w:p>
    <w:p w:rsidR="00EE1A2A" w:rsidRDefault="00EE1A2A" w:rsidP="00737EEE">
      <w:pPr>
        <w:jc w:val="both"/>
        <w:rPr>
          <w:rFonts w:ascii="Times New Roman" w:hAnsi="Times New Roman" w:cs="Times New Roman"/>
        </w:rPr>
      </w:pPr>
    </w:p>
    <w:p w:rsidR="0035065F" w:rsidRDefault="0035065F" w:rsidP="0035065F">
      <w:pPr>
        <w:pStyle w:val="Heading2"/>
        <w:numPr>
          <w:ilvl w:val="0"/>
          <w:numId w:val="7"/>
        </w:numPr>
      </w:pPr>
      <w:bookmarkStart w:id="2" w:name="_Toc394500039"/>
      <w:bookmarkStart w:id="3" w:name="_Toc396762687"/>
      <w:r w:rsidRPr="0035065F">
        <w:t>Seasonality in government bond returns</w:t>
      </w:r>
      <w:bookmarkEnd w:id="2"/>
      <w:bookmarkEnd w:id="3"/>
    </w:p>
    <w:p w:rsidR="002D4910" w:rsidRPr="002D4910" w:rsidRDefault="002D4910" w:rsidP="002D4910"/>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While the seasonality in equities has received extensive coverage in empirical papers, the research on the patterns of fixed income instruments is sparse. Most of the fixed income studies focus on corporate bonds, while government bonds have received even less attention in the literature. </w:t>
      </w:r>
      <w:r w:rsidR="00022FB0" w:rsidRPr="00125CE4">
        <w:rPr>
          <w:rFonts w:ascii="Times New Roman" w:hAnsi="Times New Roman"/>
          <w:lang w:val="en-GB"/>
        </w:rPr>
        <w:t>Moreover</w:t>
      </w:r>
      <w:r w:rsidRPr="00125CE4">
        <w:rPr>
          <w:rFonts w:ascii="Times New Roman" w:hAnsi="Times New Roman"/>
          <w:lang w:val="en-GB"/>
        </w:rPr>
        <w:t xml:space="preserve">, </w:t>
      </w:r>
      <w:r w:rsidRPr="00125CE4">
        <w:rPr>
          <w:rFonts w:ascii="Times New Roman" w:hAnsi="Times New Roman"/>
          <w:lang w:val="en-GB"/>
        </w:rPr>
        <w:lastRenderedPageBreak/>
        <w:t>the number of analysed countries is limited in case of fixed income instruments (mainly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only Smith (2002) considers six developed countries: United States, Japan, Germany, France, United Kingdom and Canada), while evidence of stock seasonality is global.  I will report the seasonal patterns discovered in governmen</w:t>
      </w:r>
      <w:r>
        <w:rPr>
          <w:rFonts w:ascii="Times New Roman" w:hAnsi="Times New Roman"/>
          <w:lang w:val="en-GB"/>
        </w:rPr>
        <w:t>t</w:t>
      </w:r>
      <w:r w:rsidRPr="00125CE4">
        <w:rPr>
          <w:rFonts w:ascii="Times New Roman" w:hAnsi="Times New Roman"/>
          <w:lang w:val="en-GB"/>
        </w:rPr>
        <w:t xml:space="preserve"> bonds. Most of the studies test the existence of already discovered patterns from the stock market on fixed income markets. Therefore, I will start with the evidence of the patterns for the stock market and then report the findings for the bond market.</w:t>
      </w:r>
    </w:p>
    <w:p w:rsidR="0035065F" w:rsidRPr="00125CE4" w:rsidRDefault="0035065F" w:rsidP="0035065F">
      <w:pPr>
        <w:rPr>
          <w:rFonts w:ascii="Times New Roman" w:hAnsi="Times New Roman"/>
          <w:lang w:val="en-GB"/>
        </w:rPr>
      </w:pPr>
    </w:p>
    <w:p w:rsidR="0035065F" w:rsidRPr="00125CE4" w:rsidRDefault="0035065F" w:rsidP="0035065F">
      <w:pPr>
        <w:pStyle w:val="Heading3"/>
        <w:rPr>
          <w:rFonts w:eastAsiaTheme="minorEastAsia"/>
          <w:lang w:val="en-GB"/>
        </w:rPr>
      </w:pPr>
      <w:bookmarkStart w:id="4" w:name="_Toc394500040"/>
      <w:bookmarkStart w:id="5" w:name="_Toc396762688"/>
      <w:r>
        <w:rPr>
          <w:rFonts w:eastAsiaTheme="minorEastAsia"/>
          <w:lang w:val="en-GB"/>
        </w:rPr>
        <w:t>2.1</w:t>
      </w:r>
      <w:r w:rsidRPr="0033113C">
        <w:t>.1 January effect</w:t>
      </w:r>
      <w:bookmarkEnd w:id="4"/>
      <w:bookmarkEnd w:id="5"/>
    </w:p>
    <w:p w:rsidR="0035065F" w:rsidRPr="00125CE4" w:rsidRDefault="0035065F" w:rsidP="0035065F">
      <w:pPr>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The January effect implies relatively higher </w:t>
      </w:r>
      <w:r w:rsidR="00022FB0">
        <w:rPr>
          <w:rFonts w:ascii="Times New Roman" w:hAnsi="Times New Roman"/>
          <w:lang w:val="en-GB"/>
        </w:rPr>
        <w:t xml:space="preserve">stock </w:t>
      </w:r>
      <w:r w:rsidRPr="00125CE4">
        <w:rPr>
          <w:rFonts w:ascii="Times New Roman" w:hAnsi="Times New Roman"/>
          <w:lang w:val="en-GB"/>
        </w:rPr>
        <w:t>returns in the first month of the year compared to the average. The effect was first reported on the stock market by Wachtel (1942). This is one of the most researched seasonal pattern</w:t>
      </w:r>
      <w:r w:rsidR="00022FB0">
        <w:rPr>
          <w:rFonts w:ascii="Times New Roman" w:hAnsi="Times New Roman"/>
          <w:lang w:val="en-GB"/>
        </w:rPr>
        <w:t>s</w:t>
      </w:r>
      <w:r w:rsidRPr="00125CE4">
        <w:rPr>
          <w:rFonts w:ascii="Times New Roman" w:hAnsi="Times New Roman"/>
          <w:lang w:val="en-GB"/>
        </w:rPr>
        <w:t xml:space="preserve"> in the literature and the evidence is mixed. The Janua</w:t>
      </w:r>
      <w:r w:rsidR="00022FB0">
        <w:rPr>
          <w:rFonts w:ascii="Times New Roman" w:hAnsi="Times New Roman"/>
          <w:lang w:val="en-GB"/>
        </w:rPr>
        <w:t xml:space="preserve">ry effect was confirmed for </w:t>
      </w:r>
      <w:r w:rsidRPr="00125CE4">
        <w:rPr>
          <w:rFonts w:ascii="Times New Roman" w:hAnsi="Times New Roman"/>
          <w:lang w:val="en-GB"/>
        </w:rPr>
        <w:t>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by Rozeff and Kinney (1976), by Gultekin and Gultekin (1983), by Keim (1983) and Reinganum (1983), for the Canadian stock market by Berges, McConnell and Schlarbaum (1984), for The Netherlands from 1966 to 1982 by Van den Bergh and Wessels (1985), for some emerging markets (Hong Kong, Malaysia and Singapore) by Aggarwal and Rivoli (1989)</w:t>
      </w:r>
      <w:r w:rsidR="00FC5A0E">
        <w:rPr>
          <w:rFonts w:ascii="Times New Roman" w:hAnsi="Times New Roman"/>
          <w:lang w:val="en-GB"/>
        </w:rPr>
        <w:t xml:space="preserve"> and</w:t>
      </w:r>
      <w:r w:rsidRPr="00125CE4">
        <w:rPr>
          <w:rFonts w:ascii="Times New Roman" w:hAnsi="Times New Roman"/>
          <w:lang w:val="en-GB"/>
        </w:rPr>
        <w:t xml:space="preserve"> for the Japaneese market by Kato and Schallheim (1985). More </w:t>
      </w:r>
      <w:r w:rsidR="00FC5A0E">
        <w:rPr>
          <w:rFonts w:ascii="Times New Roman" w:hAnsi="Times New Roman"/>
          <w:lang w:val="en-GB"/>
        </w:rPr>
        <w:t>importantly</w:t>
      </w:r>
      <w:r w:rsidRPr="00125CE4">
        <w:rPr>
          <w:rFonts w:ascii="Times New Roman" w:hAnsi="Times New Roman"/>
          <w:lang w:val="en-GB"/>
        </w:rPr>
        <w:t>, recent studies which consider larger samples of data and a wide number of countries fail to find evidence for this effect in Australian stock market (Worthington (2010)) and on a long sample of 317-year of UK stock returns (Zhang and Jacobsen (2013)).</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The existence of a January effect in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Treasuries is rejected by the studies of Schneeweis and Woolridge (1979), Smirlock (1985), Chang and Pinegar (1986), Chan and Wu (1993). The results of the first three papers are questioned by Clayton, Delozier and Ehrhardt (1989) who find lower government bond returns than average in January. They argue that problems related to the data sets and methodologies used are not favourable for the discovery of a January effect. They conclude that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Treasuries with a maturity longer than four years record a lower level of returns in January compared to the rest of the year. </w:t>
      </w:r>
    </w:p>
    <w:p w:rsidR="0035065F"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Smith (2002) extends the research of January effect at six developed countries: Canada, France, Germany, Japan, the United Kingdom and the United States for both local currency and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dollar denominated debt instruments. He combines regressions with nonparametric tests to detect the January and the effect survives only in case of the local currency government bonds of France. </w:t>
      </w:r>
    </w:p>
    <w:p w:rsidR="00FC5A0E" w:rsidRPr="00125CE4" w:rsidRDefault="00FC5A0E" w:rsidP="0035065F">
      <w:pPr>
        <w:spacing w:after="0" w:line="360" w:lineRule="auto"/>
        <w:ind w:firstLine="720"/>
        <w:jc w:val="both"/>
        <w:rPr>
          <w:rFonts w:ascii="Times New Roman" w:hAnsi="Times New Roman"/>
          <w:lang w:val="en-GB"/>
        </w:rPr>
      </w:pPr>
      <w:r>
        <w:rPr>
          <w:rFonts w:ascii="Times New Roman" w:hAnsi="Times New Roman"/>
          <w:lang w:val="en-GB"/>
        </w:rPr>
        <w:t xml:space="preserve">The recent </w:t>
      </w:r>
      <w:r w:rsidR="001327E3">
        <w:rPr>
          <w:rFonts w:ascii="Times New Roman" w:hAnsi="Times New Roman"/>
          <w:lang w:val="en-GB"/>
        </w:rPr>
        <w:t>studies suggest that the</w:t>
      </w:r>
      <w:r>
        <w:rPr>
          <w:rFonts w:ascii="Times New Roman" w:hAnsi="Times New Roman"/>
          <w:lang w:val="en-GB"/>
        </w:rPr>
        <w:t xml:space="preserve"> January effect </w:t>
      </w:r>
      <w:r w:rsidR="001327E3">
        <w:rPr>
          <w:rFonts w:ascii="Times New Roman" w:hAnsi="Times New Roman"/>
          <w:lang w:val="en-GB"/>
        </w:rPr>
        <w:t>is not present on equities and bond markets, but given its popularity I will formally test for its existence.</w:t>
      </w:r>
    </w:p>
    <w:p w:rsidR="0035065F" w:rsidRPr="00125CE4" w:rsidRDefault="0035065F" w:rsidP="0035065F">
      <w:pPr>
        <w:pStyle w:val="ListParagraph"/>
        <w:ind w:left="1080"/>
        <w:rPr>
          <w:rFonts w:ascii="Times New Roman" w:hAnsi="Times New Roman"/>
          <w:lang w:val="en-GB"/>
        </w:rPr>
      </w:pPr>
    </w:p>
    <w:p w:rsidR="0035065F" w:rsidRPr="00125CE4" w:rsidRDefault="0035065F" w:rsidP="0035065F">
      <w:pPr>
        <w:pStyle w:val="Heading3"/>
      </w:pPr>
      <w:bookmarkStart w:id="6" w:name="_Toc394500041"/>
      <w:bookmarkStart w:id="7" w:name="_Toc396762689"/>
      <w:r>
        <w:t xml:space="preserve">2.1.2 </w:t>
      </w:r>
      <w:r w:rsidRPr="00125CE4">
        <w:t>Halloween effect</w:t>
      </w:r>
      <w:bookmarkEnd w:id="6"/>
      <w:bookmarkEnd w:id="7"/>
    </w:p>
    <w:p w:rsidR="0035065F" w:rsidRPr="00125CE4" w:rsidRDefault="0035065F" w:rsidP="0035065F">
      <w:pPr>
        <w:jc w:val="both"/>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lastRenderedPageBreak/>
        <w:t>Bouman and Jacobsen (2002) provide evidence that the popular saying from the financial press “Sell in May and go away” is valid for stock returns from the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and another 19 international markets. This anomaly is known as the “Halloween Effect” as it implies that a good timing to buy stocks is around Halloween as the stock returns between May and October are lower than those recorded during November – April. The analyses of</w:t>
      </w:r>
      <w:r w:rsidR="00837808">
        <w:rPr>
          <w:rFonts w:ascii="Times New Roman" w:hAnsi="Times New Roman"/>
          <w:lang w:val="en-GB"/>
        </w:rPr>
        <w:t xml:space="preserve"> Abu</w:t>
      </w:r>
      <w:r w:rsidRPr="00125CE4">
        <w:rPr>
          <w:rFonts w:ascii="Times New Roman" w:hAnsi="Times New Roman"/>
          <w:lang w:val="en-GB"/>
        </w:rPr>
        <w:t xml:space="preserve"> Zarour (2007), Athanassakos (2008), Swinkels and Van Vliet (2010), Lean (2011), Andrade, Chhaochharia and Fuerst (2012) bring worldwide support for the Halloween effect (U</w:t>
      </w:r>
      <w:r w:rsidR="00022FB0">
        <w:rPr>
          <w:rFonts w:ascii="Times New Roman" w:hAnsi="Times New Roman"/>
          <w:lang w:val="en-GB"/>
        </w:rPr>
        <w:t>.</w:t>
      </w:r>
      <w:r w:rsidRPr="00125CE4">
        <w:rPr>
          <w:rFonts w:ascii="Times New Roman" w:hAnsi="Times New Roman"/>
          <w:lang w:val="en-GB"/>
        </w:rPr>
        <w:t>S</w:t>
      </w:r>
      <w:r w:rsidR="00022FB0">
        <w:rPr>
          <w:rFonts w:ascii="Times New Roman" w:hAnsi="Times New Roman"/>
          <w:lang w:val="en-GB"/>
        </w:rPr>
        <w:t>.</w:t>
      </w:r>
      <w:r w:rsidRPr="00125CE4">
        <w:rPr>
          <w:rFonts w:ascii="Times New Roman" w:hAnsi="Times New Roman"/>
          <w:lang w:val="en-GB"/>
        </w:rPr>
        <w:t xml:space="preserve">, Canada, </w:t>
      </w:r>
      <w:r w:rsidR="00FC5A0E">
        <w:rPr>
          <w:rFonts w:ascii="Times New Roman" w:hAnsi="Times New Roman"/>
          <w:lang w:val="en-GB"/>
        </w:rPr>
        <w:t>Middle-East</w:t>
      </w:r>
      <w:r w:rsidRPr="00125CE4">
        <w:rPr>
          <w:rFonts w:ascii="Times New Roman" w:hAnsi="Times New Roman"/>
          <w:lang w:val="en-GB"/>
        </w:rPr>
        <w:t xml:space="preserve"> and Asian stock markets).</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Fridson (2000) documents a </w:t>
      </w:r>
      <w:r w:rsidR="00022FB0" w:rsidRPr="00125CE4">
        <w:rPr>
          <w:rFonts w:ascii="Times New Roman" w:hAnsi="Times New Roman"/>
          <w:lang w:val="en-GB"/>
        </w:rPr>
        <w:t>semi-annual</w:t>
      </w:r>
      <w:r w:rsidRPr="00125CE4">
        <w:rPr>
          <w:rFonts w:ascii="Times New Roman" w:hAnsi="Times New Roman"/>
          <w:lang w:val="en-GB"/>
        </w:rPr>
        <w:t xml:space="preserve"> seasonality effect of 10-year US Treasuries returns: lower average returns during December-May than June-November. According to the Halloween effect visible on stock returns, the poorer performance of Treasury returns during the period </w:t>
      </w:r>
      <w:r w:rsidR="00022FB0" w:rsidRPr="00125CE4">
        <w:rPr>
          <w:rFonts w:ascii="Times New Roman" w:hAnsi="Times New Roman"/>
          <w:lang w:val="en-GB"/>
        </w:rPr>
        <w:t>from December</w:t>
      </w:r>
      <w:r w:rsidRPr="00125CE4">
        <w:rPr>
          <w:rFonts w:ascii="Times New Roman" w:hAnsi="Times New Roman"/>
          <w:lang w:val="en-GB"/>
        </w:rPr>
        <w:t xml:space="preserve"> to May seems to be associated with higher stock returns. The stud</w:t>
      </w:r>
      <w:r w:rsidR="00837808">
        <w:rPr>
          <w:rFonts w:ascii="Times New Roman" w:hAnsi="Times New Roman"/>
          <w:lang w:val="en-GB"/>
        </w:rPr>
        <w:t>y of Athanassakos (2008</w:t>
      </w:r>
      <w:r w:rsidRPr="00125CE4">
        <w:rPr>
          <w:rFonts w:ascii="Times New Roman" w:hAnsi="Times New Roman"/>
          <w:lang w:val="en-GB"/>
        </w:rPr>
        <w:t>) on Canada reinforces the existence of a complementary pattern (stocks record a better performance during November to April, whereas the May to October period is characterized by higher government bond returns)</w:t>
      </w:r>
      <w:r w:rsidRPr="00022FB0">
        <w:rPr>
          <w:vertAlign w:val="superscript"/>
          <w:lang w:val="en-GB"/>
        </w:rPr>
        <w:footnoteReference w:id="8"/>
      </w:r>
      <w:r w:rsidRPr="00125CE4">
        <w:rPr>
          <w:rFonts w:ascii="Times New Roman" w:hAnsi="Times New Roman"/>
          <w:lang w:val="en-GB"/>
        </w:rPr>
        <w:t>.</w:t>
      </w:r>
    </w:p>
    <w:p w:rsidR="0035065F" w:rsidRDefault="00757B7C" w:rsidP="0035065F">
      <w:pPr>
        <w:spacing w:after="0" w:line="360" w:lineRule="auto"/>
        <w:ind w:firstLine="720"/>
        <w:jc w:val="both"/>
        <w:rPr>
          <w:rFonts w:ascii="Times New Roman" w:hAnsi="Times New Roman"/>
          <w:lang w:val="en-GB"/>
        </w:rPr>
      </w:pPr>
      <w:r>
        <w:rPr>
          <w:rFonts w:ascii="Times New Roman" w:hAnsi="Times New Roman"/>
          <w:lang w:val="en-GB"/>
        </w:rPr>
        <w:t>These empirical analyses indicate that the Halloween effect constitutes a candidate pattern for global bond returns. Therefore, I will investigate its validity on bond markets.</w:t>
      </w:r>
    </w:p>
    <w:p w:rsidR="008A110F" w:rsidRDefault="008A110F" w:rsidP="0035065F">
      <w:pPr>
        <w:spacing w:after="0" w:line="360" w:lineRule="auto"/>
        <w:ind w:firstLine="720"/>
        <w:jc w:val="both"/>
        <w:rPr>
          <w:rFonts w:ascii="Times New Roman" w:hAnsi="Times New Roman"/>
          <w:lang w:val="en-GB"/>
        </w:rPr>
      </w:pPr>
    </w:p>
    <w:p w:rsidR="008A110F" w:rsidRPr="00125CE4" w:rsidRDefault="008A110F" w:rsidP="0035065F">
      <w:pPr>
        <w:spacing w:after="0" w:line="360" w:lineRule="auto"/>
        <w:ind w:firstLine="720"/>
        <w:jc w:val="both"/>
        <w:rPr>
          <w:rFonts w:ascii="Times New Roman" w:hAnsi="Times New Roman"/>
          <w:lang w:val="en-GB"/>
        </w:rPr>
      </w:pPr>
    </w:p>
    <w:p w:rsidR="0035065F" w:rsidRPr="00125CE4" w:rsidRDefault="002D4910" w:rsidP="0035065F">
      <w:pPr>
        <w:pStyle w:val="Heading3"/>
      </w:pPr>
      <w:bookmarkStart w:id="8" w:name="_Toc394500042"/>
      <w:bookmarkStart w:id="9" w:name="_Toc396762690"/>
      <w:r>
        <w:t>2.1.</w:t>
      </w:r>
      <w:r w:rsidR="0035065F">
        <w:t xml:space="preserve">3 </w:t>
      </w:r>
      <w:r w:rsidR="0035065F" w:rsidRPr="00125CE4">
        <w:t xml:space="preserve">SAD </w:t>
      </w:r>
      <w:bookmarkEnd w:id="8"/>
      <w:r w:rsidR="00022FB0">
        <w:t>factor</w:t>
      </w:r>
      <w:bookmarkEnd w:id="9"/>
      <w:r w:rsidR="0035065F" w:rsidRPr="00125CE4">
        <w:t xml:space="preserve"> </w:t>
      </w:r>
    </w:p>
    <w:p w:rsidR="0035065F" w:rsidRPr="00125CE4" w:rsidRDefault="0035065F" w:rsidP="0035065F">
      <w:pPr>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Based on equity indexes from nine countries, Kamstra, Kramer and Levi (2003) support the idea that a seasonal depression (SAD) related to less daylight translates into a higher degree of risk aversion in the fall and thus to below average stock returns. The inverse effect takes place once the day</w:t>
      </w:r>
      <w:r w:rsidR="00757B7C">
        <w:rPr>
          <w:rFonts w:ascii="Times New Roman" w:hAnsi="Times New Roman"/>
          <w:lang w:val="en-GB"/>
        </w:rPr>
        <w:t>light</w:t>
      </w:r>
      <w:r w:rsidRPr="00125CE4">
        <w:rPr>
          <w:rFonts w:ascii="Times New Roman" w:hAnsi="Times New Roman"/>
          <w:lang w:val="en-GB"/>
        </w:rPr>
        <w:t xml:space="preserve"> starts to increase and this translates into relatively higher stock returns in the winter. In a subsequent paper, they also find a more prominent SAD effect for riskier stocks (sorted by beta risk or standard deviation of returns)</w:t>
      </w:r>
      <w:r w:rsidRPr="00E44B12">
        <w:rPr>
          <w:vertAlign w:val="superscript"/>
          <w:lang w:val="en-GB"/>
        </w:rPr>
        <w:footnoteReference w:id="9"/>
      </w:r>
      <w:r w:rsidRPr="00125CE4">
        <w:rPr>
          <w:rFonts w:ascii="Times New Roman" w:hAnsi="Times New Roman"/>
          <w:lang w:val="en-GB"/>
        </w:rPr>
        <w:t xml:space="preserve">. </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lastRenderedPageBreak/>
        <w:t>Kamstra, Kramer and Levi (2003b) also provide evidence of a fall-winter complementary bond-stock returns pattern (bond returns are higher than the average in September-November and lower in February – April, while stock performance is relatively better in the beginning of the year and poorer in the autumn)</w:t>
      </w:r>
      <w:r w:rsidRPr="006924A9">
        <w:rPr>
          <w:vertAlign w:val="superscript"/>
          <w:lang w:val="en-GB"/>
        </w:rPr>
        <w:footnoteReference w:id="10"/>
      </w:r>
      <w:r w:rsidRPr="00125CE4">
        <w:rPr>
          <w:rFonts w:ascii="Times New Roman" w:hAnsi="Times New Roman"/>
          <w:lang w:val="en-GB"/>
        </w:rPr>
        <w:t xml:space="preserve">. Interestingly, flows into equity and bond mutual funds mirror the pattern observed for returns of each asset and thus, when flows are negative for equity funds, they are positive for bond funds with a similar size.  </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KKL define a SAD variable in order to conduct the analysis. The SAD definition developed from “the length of the night in the fall and winter relative to the mean annual length of 12 hours” (2003) to “the change in the proportion of individuals actively experiencing depression symptoms”</w:t>
      </w:r>
      <w:r w:rsidRPr="00920046">
        <w:rPr>
          <w:vertAlign w:val="superscript"/>
          <w:lang w:val="en-GB"/>
        </w:rPr>
        <w:footnoteReference w:id="11"/>
      </w:r>
      <w:r w:rsidRPr="00920046">
        <w:rPr>
          <w:rFonts w:ascii="Times New Roman" w:hAnsi="Times New Roman"/>
          <w:vertAlign w:val="superscript"/>
          <w:lang w:val="en-GB"/>
        </w:rPr>
        <w:t xml:space="preserve"> </w:t>
      </w:r>
      <w:r w:rsidRPr="00125CE4">
        <w:rPr>
          <w:rFonts w:ascii="Times New Roman" w:hAnsi="Times New Roman"/>
          <w:lang w:val="en-GB"/>
        </w:rPr>
        <w:t>(2014). In this paper I use the latter definition - the monthly Onset/Recovery variable (OR) build based on clinical evidence of North Americans suffering from SAD</w:t>
      </w:r>
      <w:r w:rsidRPr="000F7368">
        <w:rPr>
          <w:vertAlign w:val="superscript"/>
          <w:lang w:val="en-GB"/>
        </w:rPr>
        <w:footnoteReference w:id="12"/>
      </w:r>
      <w:r w:rsidRPr="00125CE4">
        <w:rPr>
          <w:rFonts w:ascii="Times New Roman" w:hAnsi="Times New Roman"/>
          <w:lang w:val="en-GB"/>
        </w:rPr>
        <w:t xml:space="preserve"> (timing of the symptom onset and symptom recovery). </w:t>
      </w:r>
      <w:r w:rsidR="00757B7C">
        <w:rPr>
          <w:rFonts w:ascii="Times New Roman" w:hAnsi="Times New Roman"/>
          <w:lang w:val="en-GB"/>
        </w:rPr>
        <w:t xml:space="preserve">The reason for choosing this variable is that it constitutes an improved version </w:t>
      </w:r>
      <w:r w:rsidR="0050703D">
        <w:rPr>
          <w:rFonts w:ascii="Times New Roman" w:hAnsi="Times New Roman"/>
          <w:lang w:val="en-GB"/>
        </w:rPr>
        <w:t xml:space="preserve">which </w:t>
      </w:r>
      <w:r w:rsidR="00757B7C">
        <w:rPr>
          <w:rFonts w:ascii="Times New Roman" w:hAnsi="Times New Roman"/>
          <w:lang w:val="en-GB"/>
        </w:rPr>
        <w:t xml:space="preserve">is directly linked to the clinical evidence of SAD symptoms, while the previous version was indirectly linked to SAD symptoms by the length of the night. </w:t>
      </w:r>
      <w:r w:rsidR="000F7368">
        <w:rPr>
          <w:rFonts w:ascii="Times New Roman" w:hAnsi="Times New Roman"/>
          <w:lang w:val="en-GB"/>
        </w:rPr>
        <w:t xml:space="preserve">The dynamics of the </w:t>
      </w:r>
      <w:r w:rsidR="00757B7C">
        <w:rPr>
          <w:rFonts w:ascii="Times New Roman" w:hAnsi="Times New Roman"/>
          <w:lang w:val="en-GB"/>
        </w:rPr>
        <w:t xml:space="preserve">used SAD </w:t>
      </w:r>
      <w:r w:rsidR="000F7368">
        <w:rPr>
          <w:rFonts w:ascii="Times New Roman" w:hAnsi="Times New Roman"/>
          <w:lang w:val="en-GB"/>
        </w:rPr>
        <w:t>va</w:t>
      </w:r>
      <w:r w:rsidR="000343C0">
        <w:rPr>
          <w:rFonts w:ascii="Times New Roman" w:hAnsi="Times New Roman"/>
          <w:lang w:val="en-GB"/>
        </w:rPr>
        <w:t>riable are displayed in Figure A</w:t>
      </w:r>
      <w:r w:rsidR="000F7368">
        <w:rPr>
          <w:rFonts w:ascii="Times New Roman" w:hAnsi="Times New Roman"/>
          <w:lang w:val="en-GB"/>
        </w:rPr>
        <w:t>.1 in Appendix</w:t>
      </w:r>
      <w:r w:rsidR="000343C0">
        <w:rPr>
          <w:rFonts w:ascii="Times New Roman" w:hAnsi="Times New Roman"/>
          <w:lang w:val="en-GB"/>
        </w:rPr>
        <w:t xml:space="preserve"> A</w:t>
      </w:r>
      <w:r w:rsidR="000F7368">
        <w:rPr>
          <w:rFonts w:ascii="Times New Roman" w:hAnsi="Times New Roman"/>
          <w:lang w:val="en-GB"/>
        </w:rPr>
        <w:t>.</w:t>
      </w:r>
    </w:p>
    <w:p w:rsidR="0035065F" w:rsidRDefault="001E3E3C" w:rsidP="00920046">
      <w:pPr>
        <w:spacing w:after="0" w:line="360" w:lineRule="auto"/>
        <w:jc w:val="both"/>
        <w:rPr>
          <w:rFonts w:ascii="Times New Roman" w:hAnsi="Times New Roman"/>
          <w:lang w:val="en-GB"/>
        </w:rPr>
      </w:pPr>
      <w:r>
        <w:rPr>
          <w:rFonts w:ascii="Times New Roman" w:hAnsi="Times New Roman"/>
          <w:lang w:val="en-GB"/>
        </w:rPr>
        <w:tab/>
        <w:t>Giv</w:t>
      </w:r>
      <w:r w:rsidR="00987BBB">
        <w:rPr>
          <w:rFonts w:ascii="Times New Roman" w:hAnsi="Times New Roman"/>
          <w:lang w:val="en-GB"/>
        </w:rPr>
        <w:t>en evidence of the SAD effect in global</w:t>
      </w:r>
      <w:r>
        <w:rPr>
          <w:rFonts w:ascii="Times New Roman" w:hAnsi="Times New Roman"/>
          <w:lang w:val="en-GB"/>
        </w:rPr>
        <w:t xml:space="preserve"> equit</w:t>
      </w:r>
      <w:r w:rsidR="00987BBB">
        <w:rPr>
          <w:rFonts w:ascii="Times New Roman" w:hAnsi="Times New Roman"/>
          <w:lang w:val="en-GB"/>
        </w:rPr>
        <w:t>ies</w:t>
      </w:r>
      <w:r>
        <w:rPr>
          <w:rFonts w:ascii="Times New Roman" w:hAnsi="Times New Roman"/>
          <w:lang w:val="en-GB"/>
        </w:rPr>
        <w:t xml:space="preserve"> and </w:t>
      </w:r>
      <w:r w:rsidR="00987BBB">
        <w:rPr>
          <w:rFonts w:ascii="Times New Roman" w:hAnsi="Times New Roman"/>
          <w:lang w:val="en-GB"/>
        </w:rPr>
        <w:t xml:space="preserve">the </w:t>
      </w:r>
      <w:r>
        <w:rPr>
          <w:rFonts w:ascii="Times New Roman" w:hAnsi="Times New Roman"/>
          <w:lang w:val="en-GB"/>
        </w:rPr>
        <w:t>U.S. bond market, it is interesting to investigate if the SAD pattern holds for the international bond markets.</w:t>
      </w:r>
    </w:p>
    <w:p w:rsidR="00BC7F37" w:rsidRDefault="00BC7F37" w:rsidP="0035065F">
      <w:pPr>
        <w:rPr>
          <w:rFonts w:ascii="Times New Roman" w:hAnsi="Times New Roman"/>
          <w:lang w:val="en-GB"/>
        </w:rPr>
      </w:pPr>
    </w:p>
    <w:p w:rsidR="0035065F" w:rsidRPr="00125CE4" w:rsidRDefault="0035065F" w:rsidP="0035065F">
      <w:pPr>
        <w:pStyle w:val="Heading3"/>
      </w:pPr>
      <w:bookmarkStart w:id="10" w:name="_Toc396762691"/>
      <w:r>
        <w:t xml:space="preserve">2.1.4 </w:t>
      </w:r>
      <w:r w:rsidRPr="00125CE4">
        <w:t>Other effects</w:t>
      </w:r>
      <w:bookmarkEnd w:id="10"/>
    </w:p>
    <w:p w:rsidR="0035065F" w:rsidRPr="00125CE4" w:rsidRDefault="0035065F" w:rsidP="0035065F">
      <w:pPr>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Another type of semi-annual pattern is documented in the Japanese stock market between 1950 and 2008 by Shigeki, Takashi, Katsuhiko (2011). This effect called “Dekansho-bushi” implies a better performance of returns in the first half of the year compared to the period July-December.</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Hong and Yu (2009) find lower average stock returns during summer (July–September for Northern Hemisphere countries and January–March for Southern Hemisphere countries) for 15 out of the 51 analyzed countries.  </w:t>
      </w:r>
    </w:p>
    <w:p w:rsidR="0035065F" w:rsidRDefault="0035065F" w:rsidP="0035065F">
      <w:pPr>
        <w:ind w:left="720"/>
        <w:rPr>
          <w:rFonts w:ascii="Times New Roman" w:hAnsi="Times New Roman"/>
          <w:lang w:val="en-GB"/>
        </w:rPr>
      </w:pPr>
    </w:p>
    <w:p w:rsidR="002D4910" w:rsidRDefault="002D4910" w:rsidP="002D4910">
      <w:pPr>
        <w:pStyle w:val="Heading2"/>
        <w:numPr>
          <w:ilvl w:val="0"/>
          <w:numId w:val="7"/>
        </w:numPr>
      </w:pPr>
      <w:bookmarkStart w:id="11" w:name="_Toc396762692"/>
      <w:r>
        <w:t>Explanations for government bond patterns</w:t>
      </w:r>
      <w:bookmarkEnd w:id="11"/>
    </w:p>
    <w:p w:rsidR="00A14616" w:rsidRPr="00A14616" w:rsidRDefault="00A14616" w:rsidP="00A14616"/>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lastRenderedPageBreak/>
        <w:t xml:space="preserve">Even though the number of studies on fixed income seasonality is quite small, a consensus on the drivers of the seasonal patterns is not reached. </w:t>
      </w:r>
    </w:p>
    <w:p w:rsidR="0035065F" w:rsidRPr="0035065F" w:rsidRDefault="00BC7F37" w:rsidP="0033113C">
      <w:pPr>
        <w:pStyle w:val="Heading3"/>
      </w:pPr>
      <w:bookmarkStart w:id="12" w:name="_Toc394500047"/>
      <w:bookmarkStart w:id="13" w:name="_Toc396762693"/>
      <w:r>
        <w:t xml:space="preserve">2.2.1 </w:t>
      </w:r>
      <w:r w:rsidR="0035065F" w:rsidRPr="0035065F">
        <w:t>The January effect</w:t>
      </w:r>
      <w:bookmarkEnd w:id="12"/>
      <w:bookmarkEnd w:id="13"/>
    </w:p>
    <w:p w:rsidR="0035065F" w:rsidRPr="00125CE4" w:rsidRDefault="0035065F" w:rsidP="0035065F">
      <w:pPr>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Clayton, Delozier and Ehrhardt (1989) advance the parking-the-proceeds hypothesis of Ritter (1988) for lower returns of long-term government bonds in January as investors park their proceeds from selling their stock holdings in the last month of the year into government debt paper and reinvest their</w:t>
      </w:r>
      <w:r w:rsidR="00E44B12">
        <w:rPr>
          <w:rFonts w:ascii="Times New Roman" w:hAnsi="Times New Roman"/>
          <w:lang w:val="en-GB"/>
        </w:rPr>
        <w:t xml:space="preserve"> money into equities in January. This puts</w:t>
      </w:r>
      <w:r w:rsidRPr="00125CE4">
        <w:rPr>
          <w:rFonts w:ascii="Times New Roman" w:hAnsi="Times New Roman"/>
          <w:lang w:val="en-GB"/>
        </w:rPr>
        <w:t xml:space="preserve"> downward pressure on bond prices in January. </w:t>
      </w:r>
    </w:p>
    <w:p w:rsidR="0035065F" w:rsidRDefault="00BC7F37" w:rsidP="0033113C">
      <w:pPr>
        <w:pStyle w:val="Heading3"/>
      </w:pPr>
      <w:bookmarkStart w:id="14" w:name="_Toc394500048"/>
      <w:bookmarkStart w:id="15" w:name="_Toc396762694"/>
      <w:r>
        <w:t xml:space="preserve">2.2.2 </w:t>
      </w:r>
      <w:r w:rsidR="0035065F" w:rsidRPr="0035065F">
        <w:t>The Halloween Effect</w:t>
      </w:r>
      <w:bookmarkEnd w:id="14"/>
      <w:bookmarkEnd w:id="15"/>
    </w:p>
    <w:p w:rsidR="008842C0" w:rsidRPr="008842C0" w:rsidRDefault="008842C0" w:rsidP="008842C0">
      <w:pPr>
        <w:spacing w:after="0"/>
      </w:pPr>
    </w:p>
    <w:p w:rsidR="0035065F" w:rsidRDefault="0035065F" w:rsidP="008842C0">
      <w:pPr>
        <w:spacing w:after="0" w:line="360" w:lineRule="auto"/>
        <w:ind w:firstLine="720"/>
        <w:jc w:val="both"/>
        <w:rPr>
          <w:rFonts w:ascii="Times New Roman" w:hAnsi="Times New Roman"/>
          <w:lang w:val="en-GB"/>
        </w:rPr>
      </w:pPr>
      <w:r w:rsidRPr="00125CE4">
        <w:rPr>
          <w:rFonts w:ascii="Times New Roman" w:hAnsi="Times New Roman"/>
          <w:lang w:val="en-GB"/>
        </w:rPr>
        <w:t>Athanassakos (200</w:t>
      </w:r>
      <w:r w:rsidR="00837808">
        <w:rPr>
          <w:rFonts w:ascii="Times New Roman" w:hAnsi="Times New Roman"/>
          <w:lang w:val="en-GB"/>
        </w:rPr>
        <w:t>8</w:t>
      </w:r>
      <w:r w:rsidRPr="00125CE4">
        <w:rPr>
          <w:rFonts w:ascii="Times New Roman" w:hAnsi="Times New Roman"/>
          <w:lang w:val="en-GB"/>
        </w:rPr>
        <w:t>) links the seasonality pattern from equity and bond markets with institutional factors (“window-dressing” or portfolio rebalancing in an attempt to influence remuneration).</w:t>
      </w:r>
      <w:bookmarkStart w:id="16" w:name="_Toc394500049"/>
    </w:p>
    <w:p w:rsidR="0035065F" w:rsidRPr="0035065F" w:rsidRDefault="00BC7F37" w:rsidP="0033113C">
      <w:pPr>
        <w:pStyle w:val="Heading3"/>
      </w:pPr>
      <w:bookmarkStart w:id="17" w:name="_Toc396762695"/>
      <w:r>
        <w:t xml:space="preserve">2.2.3 </w:t>
      </w:r>
      <w:r w:rsidR="0035065F" w:rsidRPr="0035065F">
        <w:t>SAD effect</w:t>
      </w:r>
      <w:bookmarkEnd w:id="16"/>
      <w:bookmarkEnd w:id="17"/>
    </w:p>
    <w:p w:rsidR="0035065F" w:rsidRPr="00125CE4" w:rsidRDefault="0035065F" w:rsidP="0035065F">
      <w:pPr>
        <w:spacing w:after="0" w:line="360" w:lineRule="auto"/>
        <w:ind w:firstLine="720"/>
        <w:jc w:val="both"/>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Kamstra, Kramer and </w:t>
      </w:r>
      <w:r w:rsidR="003C3573">
        <w:rPr>
          <w:rFonts w:ascii="Times New Roman" w:hAnsi="Times New Roman"/>
          <w:lang w:val="en-GB"/>
        </w:rPr>
        <w:t>Levi (2003b, 2014) extend</w:t>
      </w:r>
      <w:r w:rsidRPr="00125CE4">
        <w:rPr>
          <w:rFonts w:ascii="Times New Roman" w:hAnsi="Times New Roman"/>
          <w:lang w:val="en-GB"/>
        </w:rPr>
        <w:t xml:space="preserve"> the SAD explanation to government bond returns. Thus, they argue that the increased risk aversion during fall leads to higher bond returns and once the daylight increases, the returns of bonds are likely to be below average. </w:t>
      </w:r>
    </w:p>
    <w:p w:rsidR="0035065F" w:rsidRDefault="0035065F" w:rsidP="0035065F">
      <w:pPr>
        <w:jc w:val="both"/>
        <w:rPr>
          <w:rFonts w:ascii="Times New Roman" w:hAnsi="Times New Roman"/>
          <w:lang w:val="en-GB"/>
        </w:rPr>
      </w:pPr>
    </w:p>
    <w:p w:rsidR="00BC7F37" w:rsidRDefault="00BC7F37" w:rsidP="0035065F">
      <w:pPr>
        <w:jc w:val="both"/>
        <w:rPr>
          <w:rFonts w:ascii="Times New Roman" w:hAnsi="Times New Roman"/>
          <w:lang w:val="en-GB"/>
        </w:rPr>
      </w:pPr>
    </w:p>
    <w:p w:rsidR="0035065F" w:rsidRPr="0035065F" w:rsidRDefault="00BC7F37" w:rsidP="0033113C">
      <w:pPr>
        <w:pStyle w:val="Heading3"/>
      </w:pPr>
      <w:bookmarkStart w:id="18" w:name="_Toc394500050"/>
      <w:bookmarkStart w:id="19" w:name="_Toc396762696"/>
      <w:r>
        <w:t xml:space="preserve">2.2.4 </w:t>
      </w:r>
      <w:r w:rsidR="0035065F" w:rsidRPr="0035065F">
        <w:t>Explanations from equ</w:t>
      </w:r>
      <w:bookmarkEnd w:id="18"/>
      <w:r w:rsidR="0035065F" w:rsidRPr="0035065F">
        <w:t>ities</w:t>
      </w:r>
      <w:bookmarkEnd w:id="19"/>
    </w:p>
    <w:p w:rsidR="0035065F" w:rsidRPr="00125CE4" w:rsidRDefault="0035065F" w:rsidP="0035065F">
      <w:pPr>
        <w:jc w:val="both"/>
        <w:rPr>
          <w:rFonts w:ascii="Times New Roman" w:hAnsi="Times New Roman"/>
          <w:lang w:val="en-GB"/>
        </w:rPr>
      </w:pP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The factors explaining the equity anomalies are related to the influence of institutional investors, to psychologica</w:t>
      </w:r>
      <w:r w:rsidR="006F06A2">
        <w:rPr>
          <w:rFonts w:ascii="Times New Roman" w:hAnsi="Times New Roman"/>
          <w:lang w:val="en-GB"/>
        </w:rPr>
        <w:t>l reasons,</w:t>
      </w:r>
      <w:r w:rsidRPr="00125CE4">
        <w:rPr>
          <w:rFonts w:ascii="Times New Roman" w:hAnsi="Times New Roman"/>
          <w:lang w:val="en-GB"/>
        </w:rPr>
        <w:t xml:space="preserve"> to the macroeconomic activity and incidence of macroeconomic data releases</w:t>
      </w:r>
      <w:r w:rsidR="006F06A2">
        <w:rPr>
          <w:rFonts w:ascii="Times New Roman" w:hAnsi="Times New Roman"/>
          <w:lang w:val="en-GB"/>
        </w:rPr>
        <w:t xml:space="preserve"> or to data-mining problems. I will focus on the last three</w:t>
      </w:r>
      <w:r w:rsidRPr="00125CE4">
        <w:rPr>
          <w:rFonts w:ascii="Times New Roman" w:hAnsi="Times New Roman"/>
          <w:lang w:val="en-GB"/>
        </w:rPr>
        <w:t xml:space="preserve"> categories as they are</w:t>
      </w:r>
      <w:r w:rsidR="00EE28EB">
        <w:rPr>
          <w:rFonts w:ascii="Times New Roman" w:hAnsi="Times New Roman"/>
          <w:lang w:val="en-GB"/>
        </w:rPr>
        <w:t xml:space="preserve"> potentially</w:t>
      </w:r>
      <w:r w:rsidRPr="00125CE4">
        <w:rPr>
          <w:rFonts w:ascii="Times New Roman" w:hAnsi="Times New Roman"/>
          <w:lang w:val="en-GB"/>
        </w:rPr>
        <w:t xml:space="preserve"> </w:t>
      </w:r>
      <w:r w:rsidR="00920046">
        <w:rPr>
          <w:rFonts w:ascii="Times New Roman" w:hAnsi="Times New Roman"/>
          <w:lang w:val="en-GB"/>
        </w:rPr>
        <w:t xml:space="preserve">testable and </w:t>
      </w:r>
      <w:r w:rsidRPr="00125CE4">
        <w:rPr>
          <w:rFonts w:ascii="Times New Roman" w:hAnsi="Times New Roman"/>
          <w:lang w:val="en-GB"/>
        </w:rPr>
        <w:t>applicable for government bonds</w:t>
      </w:r>
      <w:r w:rsidR="00022FB0">
        <w:rPr>
          <w:rStyle w:val="FootnoteReference"/>
          <w:rFonts w:ascii="Times New Roman" w:hAnsi="Times New Roman"/>
          <w:lang w:val="en-GB"/>
        </w:rPr>
        <w:footnoteReference w:id="13"/>
      </w:r>
      <w:r w:rsidRPr="00125CE4">
        <w:rPr>
          <w:rFonts w:ascii="Times New Roman" w:hAnsi="Times New Roman"/>
          <w:lang w:val="en-GB"/>
        </w:rPr>
        <w:t>.</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An extensive part of the empirical studies have tried to link seasonality of stock returns with psychological factors.</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On the one hand, research studies focused on how weather conditions affect the mood of investors which will be afterwards reflected in market dynamics. Therefore, several weather variables caught the attention of the researchers: </w:t>
      </w:r>
      <w:r w:rsidR="00EE28EB">
        <w:rPr>
          <w:rFonts w:ascii="Times New Roman" w:hAnsi="Times New Roman"/>
          <w:lang w:val="en-GB"/>
        </w:rPr>
        <w:t xml:space="preserve">the </w:t>
      </w:r>
      <w:r w:rsidRPr="00125CE4">
        <w:rPr>
          <w:rFonts w:ascii="Times New Roman" w:hAnsi="Times New Roman"/>
          <w:lang w:val="en-GB"/>
        </w:rPr>
        <w:t xml:space="preserve">amount of sunshine – Saunders (1993), Hirshleifer and </w:t>
      </w:r>
      <w:r w:rsidRPr="00125CE4">
        <w:rPr>
          <w:rFonts w:ascii="Times New Roman" w:hAnsi="Times New Roman"/>
          <w:lang w:val="en-GB"/>
        </w:rPr>
        <w:lastRenderedPageBreak/>
        <w:t xml:space="preserve">Shumway (2003), </w:t>
      </w:r>
      <w:r w:rsidR="00EE28EB">
        <w:rPr>
          <w:rFonts w:ascii="Times New Roman" w:hAnsi="Times New Roman"/>
          <w:lang w:val="en-GB"/>
        </w:rPr>
        <w:t xml:space="preserve">the </w:t>
      </w:r>
      <w:r w:rsidRPr="00125CE4">
        <w:rPr>
          <w:rFonts w:ascii="Times New Roman" w:hAnsi="Times New Roman"/>
          <w:lang w:val="en-GB"/>
        </w:rPr>
        <w:t>length of the day</w:t>
      </w:r>
      <w:r w:rsidR="00EE28EB">
        <w:rPr>
          <w:rFonts w:ascii="Times New Roman" w:hAnsi="Times New Roman"/>
          <w:lang w:val="en-GB"/>
        </w:rPr>
        <w:t>light</w:t>
      </w:r>
      <w:r w:rsidRPr="00125CE4">
        <w:rPr>
          <w:rFonts w:ascii="Times New Roman" w:hAnsi="Times New Roman"/>
          <w:lang w:val="en-GB"/>
        </w:rPr>
        <w:t xml:space="preserve"> - Kamstra, Kramer and Levi (2003), </w:t>
      </w:r>
      <w:r w:rsidR="00EE28EB">
        <w:rPr>
          <w:rFonts w:ascii="Times New Roman" w:hAnsi="Times New Roman"/>
          <w:lang w:val="en-GB"/>
        </w:rPr>
        <w:t xml:space="preserve">the </w:t>
      </w:r>
      <w:r w:rsidRPr="00125CE4">
        <w:rPr>
          <w:rFonts w:ascii="Times New Roman" w:hAnsi="Times New Roman"/>
          <w:lang w:val="en-GB"/>
        </w:rPr>
        <w:t>temperature – Cao and Wei (2005)</w:t>
      </w:r>
      <w:r w:rsidR="00EE28EB">
        <w:rPr>
          <w:rFonts w:ascii="Times New Roman" w:hAnsi="Times New Roman"/>
          <w:lang w:val="en-GB"/>
        </w:rPr>
        <w:t xml:space="preserve"> and</w:t>
      </w:r>
      <w:r w:rsidRPr="00125CE4">
        <w:rPr>
          <w:rFonts w:ascii="Times New Roman" w:hAnsi="Times New Roman"/>
          <w:lang w:val="en-GB"/>
        </w:rPr>
        <w:t xml:space="preserve"> lunar phases - Dichev and Janes (2003), </w:t>
      </w:r>
      <w:r w:rsidR="00BE7A7A" w:rsidRPr="00BE7A7A">
        <w:rPr>
          <w:rFonts w:ascii="Times New Roman" w:hAnsi="Times New Roman"/>
          <w:lang w:val="en-GB"/>
        </w:rPr>
        <w:t xml:space="preserve">Yuan, Zheng </w:t>
      </w:r>
      <w:r w:rsidR="00BE7A7A">
        <w:rPr>
          <w:rFonts w:ascii="Times New Roman" w:hAnsi="Times New Roman"/>
          <w:lang w:val="en-GB"/>
        </w:rPr>
        <w:t xml:space="preserve">and </w:t>
      </w:r>
      <w:r w:rsidR="00BE7A7A" w:rsidRPr="00BE7A7A">
        <w:rPr>
          <w:rFonts w:ascii="Times New Roman" w:hAnsi="Times New Roman"/>
          <w:lang w:val="en-GB"/>
        </w:rPr>
        <w:t xml:space="preserve">Zhu </w:t>
      </w:r>
      <w:r w:rsidRPr="00125CE4">
        <w:rPr>
          <w:rFonts w:ascii="Times New Roman" w:hAnsi="Times New Roman"/>
          <w:lang w:val="en-GB"/>
        </w:rPr>
        <w:t xml:space="preserve">(2006). </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On the other hand, empirical analyses have consi</w:t>
      </w:r>
      <w:r w:rsidR="00A96CAA">
        <w:rPr>
          <w:rFonts w:ascii="Times New Roman" w:hAnsi="Times New Roman"/>
          <w:lang w:val="en-GB"/>
        </w:rPr>
        <w:t>dered that a change in investor</w:t>
      </w:r>
      <w:r w:rsidRPr="00125CE4">
        <w:rPr>
          <w:rFonts w:ascii="Times New Roman" w:hAnsi="Times New Roman"/>
          <w:lang w:val="en-GB"/>
        </w:rPr>
        <w:t xml:space="preserve"> optimism across the year is responsible for the discovered seasonal patterns. </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 xml:space="preserve">Ciccone (2011) argues that the January anomaly observed </w:t>
      </w:r>
      <w:r w:rsidR="00EE28EB">
        <w:rPr>
          <w:rFonts w:ascii="Times New Roman" w:hAnsi="Times New Roman"/>
          <w:lang w:val="en-GB"/>
        </w:rPr>
        <w:t>in the</w:t>
      </w:r>
      <w:r w:rsidRPr="00125CE4">
        <w:rPr>
          <w:rFonts w:ascii="Times New Roman" w:hAnsi="Times New Roman"/>
          <w:lang w:val="en-GB"/>
        </w:rPr>
        <w:t xml:space="preserve"> stock market is driven by renewed optimism at the turn-of-the year (optimistic expectations hypothesis). This optimism and the prolongation of the positive feeling around Christmas are related also to the Christmas hypothesis of Wachtel (1942) for which Zhang and Jacobsen (2013) find support in U</w:t>
      </w:r>
      <w:r w:rsidR="00A96CAA">
        <w:rPr>
          <w:rFonts w:ascii="Times New Roman" w:hAnsi="Times New Roman"/>
          <w:lang w:val="en-GB"/>
        </w:rPr>
        <w:t>.</w:t>
      </w:r>
      <w:r w:rsidRPr="00125CE4">
        <w:rPr>
          <w:rFonts w:ascii="Times New Roman" w:hAnsi="Times New Roman"/>
          <w:lang w:val="en-GB"/>
        </w:rPr>
        <w:t>S</w:t>
      </w:r>
      <w:r w:rsidR="00A96CAA">
        <w:rPr>
          <w:rFonts w:ascii="Times New Roman" w:hAnsi="Times New Roman"/>
          <w:lang w:val="en-GB"/>
        </w:rPr>
        <w:t>.</w:t>
      </w:r>
      <w:r w:rsidRPr="00125CE4">
        <w:rPr>
          <w:rFonts w:ascii="Times New Roman" w:hAnsi="Times New Roman"/>
          <w:lang w:val="en-GB"/>
        </w:rPr>
        <w:t xml:space="preserve"> and U</w:t>
      </w:r>
      <w:r w:rsidR="00A96CAA">
        <w:rPr>
          <w:rFonts w:ascii="Times New Roman" w:hAnsi="Times New Roman"/>
          <w:lang w:val="en-GB"/>
        </w:rPr>
        <w:t>.</w:t>
      </w:r>
      <w:r w:rsidRPr="00125CE4">
        <w:rPr>
          <w:rFonts w:ascii="Times New Roman" w:hAnsi="Times New Roman"/>
          <w:lang w:val="en-GB"/>
        </w:rPr>
        <w:t xml:space="preserve">K. These hypotheses imply that optimistic investors are likely to sell government bonds at the beginning of the year which might translate into lower bond returns in January.     </w:t>
      </w:r>
    </w:p>
    <w:p w:rsidR="0035065F" w:rsidRPr="00125CE4" w:rsidRDefault="0035065F" w:rsidP="0035065F">
      <w:pPr>
        <w:spacing w:after="0" w:line="360" w:lineRule="auto"/>
        <w:ind w:firstLine="720"/>
        <w:jc w:val="both"/>
        <w:rPr>
          <w:rFonts w:ascii="Times New Roman" w:hAnsi="Times New Roman"/>
          <w:lang w:val="en-GB"/>
        </w:rPr>
      </w:pPr>
      <w:r w:rsidRPr="00125CE4">
        <w:rPr>
          <w:rFonts w:ascii="Times New Roman" w:hAnsi="Times New Roman"/>
          <w:lang w:val="en-GB"/>
        </w:rPr>
        <w:t>Doeswi</w:t>
      </w:r>
      <w:r w:rsidR="00A96CAA">
        <w:rPr>
          <w:rFonts w:ascii="Times New Roman" w:hAnsi="Times New Roman"/>
          <w:lang w:val="en-GB"/>
        </w:rPr>
        <w:t>jk (2008) puts forward the time-</w:t>
      </w:r>
      <w:r w:rsidRPr="00125CE4">
        <w:rPr>
          <w:rFonts w:ascii="Times New Roman" w:hAnsi="Times New Roman"/>
          <w:lang w:val="en-GB"/>
        </w:rPr>
        <w:t xml:space="preserve">varying optimism explanation for the Halloween effect observed on stock returns. Accordingly, higher stock returns starting with November are supported by </w:t>
      </w:r>
      <w:r w:rsidR="00EE28EB">
        <w:rPr>
          <w:rFonts w:ascii="Times New Roman" w:hAnsi="Times New Roman"/>
          <w:lang w:val="en-GB"/>
        </w:rPr>
        <w:t xml:space="preserve">an </w:t>
      </w:r>
      <w:r w:rsidRPr="00125CE4">
        <w:rPr>
          <w:rFonts w:ascii="Times New Roman" w:hAnsi="Times New Roman"/>
          <w:lang w:val="en-GB"/>
        </w:rPr>
        <w:t>overly optimistic outlook for earnings at the beginning of the new calendar year.  A similar explanation is put forward by Shigeki, Takashi, Katsuhiko (2011) as they link the semi-annual pattern in Japanese stock markets with the optimism of investors related to the feeling of a “fresh start” (a new calendar year, a new fiscal year, the spring, national holidays).</w:t>
      </w:r>
      <w:r w:rsidR="004017D2">
        <w:rPr>
          <w:rFonts w:ascii="Times New Roman" w:hAnsi="Times New Roman"/>
          <w:lang w:val="en-GB"/>
        </w:rPr>
        <w:t xml:space="preserve"> Doran, Jiang and Peterson (2012</w:t>
      </w:r>
      <w:r w:rsidRPr="00125CE4">
        <w:rPr>
          <w:rFonts w:ascii="Times New Roman" w:hAnsi="Times New Roman"/>
          <w:lang w:val="en-GB"/>
        </w:rPr>
        <w:t>) support the idea of a gambling preference of investors at the beginning of the year which is reflected in a strong performance of risky stocks at the beginning of the New Year</w:t>
      </w:r>
      <w:r w:rsidRPr="008E191F">
        <w:rPr>
          <w:vertAlign w:val="superscript"/>
        </w:rPr>
        <w:footnoteReference w:id="14"/>
      </w:r>
      <w:r w:rsidRPr="00125CE4">
        <w:rPr>
          <w:rFonts w:ascii="Times New Roman" w:hAnsi="Times New Roman"/>
          <w:lang w:val="en-GB"/>
        </w:rPr>
        <w:t>. All of these explanations imply a boost in risk appetite at the beginning of the year and suggest that bond returns are go</w:t>
      </w:r>
      <w:r w:rsidR="00A96CAA">
        <w:rPr>
          <w:rFonts w:ascii="Times New Roman" w:hAnsi="Times New Roman"/>
          <w:lang w:val="en-GB"/>
        </w:rPr>
        <w:t>ing to be lower at the start</w:t>
      </w:r>
      <w:r w:rsidRPr="00125CE4">
        <w:rPr>
          <w:rFonts w:ascii="Times New Roman" w:hAnsi="Times New Roman"/>
          <w:lang w:val="en-GB"/>
        </w:rPr>
        <w:t xml:space="preserve"> of the year.</w:t>
      </w:r>
    </w:p>
    <w:p w:rsidR="0035065F" w:rsidRPr="00125CE4" w:rsidRDefault="0035065F" w:rsidP="0035065F">
      <w:pPr>
        <w:spacing w:after="0" w:line="360" w:lineRule="auto"/>
        <w:ind w:firstLine="720"/>
        <w:jc w:val="both"/>
        <w:rPr>
          <w:rFonts w:ascii="Times New Roman" w:hAnsi="Times New Roman"/>
          <w:lang w:val="en-GB"/>
        </w:rPr>
      </w:pPr>
      <w:r>
        <w:rPr>
          <w:rFonts w:ascii="Times New Roman" w:hAnsi="Times New Roman"/>
          <w:lang w:val="en-GB"/>
        </w:rPr>
        <w:t xml:space="preserve">Another category of studies tries to explain the seasonality in stock returns through the seasonality in macroeconomic data. </w:t>
      </w:r>
      <w:r w:rsidRPr="00125CE4">
        <w:rPr>
          <w:rFonts w:ascii="Times New Roman" w:hAnsi="Times New Roman"/>
          <w:lang w:val="en-GB"/>
        </w:rPr>
        <w:t>Ogden (2003) relates equity return patterns to the seasonality of m</w:t>
      </w:r>
      <w:r w:rsidR="00A96CAA">
        <w:rPr>
          <w:rFonts w:ascii="Times New Roman" w:hAnsi="Times New Roman"/>
          <w:lang w:val="en-GB"/>
        </w:rPr>
        <w:t>acroeconomic variables (real gross domestic product (GDP)</w:t>
      </w:r>
      <w:r w:rsidRPr="00125CE4">
        <w:rPr>
          <w:rFonts w:ascii="Times New Roman" w:hAnsi="Times New Roman"/>
          <w:lang w:val="en-GB"/>
        </w:rPr>
        <w:t>, industrial production, unemployment rate</w:t>
      </w:r>
      <w:r w:rsidR="00EE28EB">
        <w:rPr>
          <w:rFonts w:ascii="Times New Roman" w:hAnsi="Times New Roman"/>
          <w:lang w:val="en-GB"/>
        </w:rPr>
        <w:t xml:space="preserve"> and </w:t>
      </w:r>
      <w:r w:rsidRPr="00125CE4">
        <w:rPr>
          <w:rFonts w:ascii="Times New Roman" w:hAnsi="Times New Roman"/>
          <w:lang w:val="en-GB"/>
        </w:rPr>
        <w:t xml:space="preserve">producer price index (PPI)). He finds complementary seasonalities in economic activity and stock returns and he proposes as an explanation that “April through September losses reflect the development of investors’ expectation of poor macroeconomic conditions for October through March, and this induces them to adjust security prices to provide higher expected returns in October through March”. </w:t>
      </w:r>
    </w:p>
    <w:p w:rsidR="0035065F" w:rsidRDefault="0035065F" w:rsidP="0035065F">
      <w:pPr>
        <w:spacing w:after="0" w:line="360" w:lineRule="auto"/>
        <w:ind w:firstLine="720"/>
        <w:jc w:val="both"/>
        <w:rPr>
          <w:rFonts w:ascii="Times New Roman" w:hAnsi="Times New Roman"/>
          <w:lang w:val="en-GB"/>
        </w:rPr>
      </w:pPr>
      <w:r w:rsidRPr="00F94538">
        <w:rPr>
          <w:rFonts w:ascii="Times New Roman" w:hAnsi="Times New Roman"/>
          <w:lang w:val="en-GB"/>
        </w:rPr>
        <w:t xml:space="preserve">Kamstra, Kramer and Levi (2014) also consider the hypothesis that the seasonality in bond prices could be the result of macroeconomic seasonality and consider a wide range of variables: GDP, </w:t>
      </w:r>
      <w:r w:rsidR="00A96CAA">
        <w:rPr>
          <w:rFonts w:ascii="Times New Roman" w:hAnsi="Times New Roman"/>
          <w:lang w:val="en-GB"/>
        </w:rPr>
        <w:t>PPI</w:t>
      </w:r>
      <w:r w:rsidRPr="00F94538">
        <w:rPr>
          <w:rFonts w:ascii="Times New Roman" w:hAnsi="Times New Roman"/>
          <w:lang w:val="en-GB"/>
        </w:rPr>
        <w:t>, industrial production, unemployment rate, consumer price index</w:t>
      </w:r>
      <w:r w:rsidR="00A96CAA">
        <w:rPr>
          <w:rFonts w:ascii="Times New Roman" w:hAnsi="Times New Roman"/>
          <w:lang w:val="en-GB"/>
        </w:rPr>
        <w:t xml:space="preserve"> (CPI)</w:t>
      </w:r>
      <w:r w:rsidRPr="00F94538">
        <w:rPr>
          <w:rFonts w:ascii="Times New Roman" w:hAnsi="Times New Roman"/>
          <w:lang w:val="en-GB"/>
        </w:rPr>
        <w:t>, but argue that they do not manage to capture the seasonality fully.</w:t>
      </w:r>
    </w:p>
    <w:p w:rsidR="0035065F" w:rsidRPr="00125CE4" w:rsidRDefault="0035065F" w:rsidP="00EE28EB">
      <w:pPr>
        <w:spacing w:after="0" w:line="360" w:lineRule="auto"/>
        <w:ind w:firstLine="720"/>
        <w:jc w:val="both"/>
        <w:rPr>
          <w:rFonts w:ascii="Times New Roman" w:hAnsi="Times New Roman"/>
          <w:lang w:val="en-GB"/>
        </w:rPr>
      </w:pPr>
      <w:r w:rsidRPr="00F94538">
        <w:rPr>
          <w:rFonts w:ascii="Times New Roman" w:hAnsi="Times New Roman"/>
          <w:lang w:val="en-GB"/>
        </w:rPr>
        <w:t>Based on U</w:t>
      </w:r>
      <w:r w:rsidR="00A96CAA">
        <w:rPr>
          <w:rFonts w:ascii="Times New Roman" w:hAnsi="Times New Roman"/>
          <w:lang w:val="en-GB"/>
        </w:rPr>
        <w:t>.</w:t>
      </w:r>
      <w:r w:rsidRPr="00F94538">
        <w:rPr>
          <w:rFonts w:ascii="Times New Roman" w:hAnsi="Times New Roman"/>
          <w:lang w:val="en-GB"/>
        </w:rPr>
        <w:t>S</w:t>
      </w:r>
      <w:r w:rsidR="00A96CAA">
        <w:rPr>
          <w:rFonts w:ascii="Times New Roman" w:hAnsi="Times New Roman"/>
          <w:lang w:val="en-GB"/>
        </w:rPr>
        <w:t>.</w:t>
      </w:r>
      <w:r w:rsidRPr="00F94538">
        <w:rPr>
          <w:rFonts w:ascii="Times New Roman" w:hAnsi="Times New Roman"/>
          <w:lang w:val="en-GB"/>
        </w:rPr>
        <w:t xml:space="preserve"> stock returns during 1980 – 2003, Gerlach (2007) </w:t>
      </w:r>
      <w:r>
        <w:rPr>
          <w:rFonts w:ascii="Times New Roman" w:hAnsi="Times New Roman"/>
          <w:lang w:val="en-GB"/>
        </w:rPr>
        <w:t>finds</w:t>
      </w:r>
      <w:r w:rsidRPr="00F94538">
        <w:rPr>
          <w:rFonts w:ascii="Times New Roman" w:hAnsi="Times New Roman"/>
          <w:lang w:val="en-GB"/>
        </w:rPr>
        <w:t xml:space="preserve"> that higher daily average of returns during fall (October – December) is linked to the market response to macroeconomic news </w:t>
      </w:r>
      <w:r w:rsidRPr="00F94538">
        <w:rPr>
          <w:rFonts w:ascii="Times New Roman" w:hAnsi="Times New Roman"/>
          <w:lang w:val="en-GB"/>
        </w:rPr>
        <w:lastRenderedPageBreak/>
        <w:t>scheduled in that period.</w:t>
      </w:r>
      <w:r w:rsidR="00EE28EB">
        <w:rPr>
          <w:rFonts w:ascii="Times New Roman" w:hAnsi="Times New Roman"/>
          <w:lang w:val="en-GB"/>
        </w:rPr>
        <w:t xml:space="preserve"> </w:t>
      </w:r>
      <w:r w:rsidRPr="00125CE4">
        <w:rPr>
          <w:rFonts w:ascii="Times New Roman" w:hAnsi="Times New Roman"/>
          <w:lang w:val="en-GB"/>
        </w:rPr>
        <w:t>Given the macroeconomic data have different implications for bonds and stocks</w:t>
      </w:r>
      <w:r w:rsidRPr="00A96CAA">
        <w:rPr>
          <w:vertAlign w:val="superscript"/>
        </w:rPr>
        <w:footnoteReference w:id="15"/>
      </w:r>
      <w:r w:rsidRPr="00125CE4">
        <w:rPr>
          <w:rFonts w:ascii="Times New Roman" w:hAnsi="Times New Roman"/>
          <w:lang w:val="en-GB"/>
        </w:rPr>
        <w:t xml:space="preserve">, an opposite reaction is expected in case of bond returns. </w:t>
      </w:r>
    </w:p>
    <w:p w:rsidR="0035065F" w:rsidRDefault="00F361CD" w:rsidP="00F361CD">
      <w:pPr>
        <w:spacing w:after="0" w:line="360" w:lineRule="auto"/>
        <w:ind w:firstLine="720"/>
        <w:jc w:val="both"/>
        <w:rPr>
          <w:rFonts w:ascii="Times New Roman" w:hAnsi="Times New Roman"/>
          <w:lang w:val="nl-NL"/>
        </w:rPr>
      </w:pPr>
      <w:r>
        <w:rPr>
          <w:rFonts w:ascii="Times New Roman" w:hAnsi="Times New Roman" w:cs="Times New Roman"/>
          <w:noProof/>
          <w:lang w:val="en-GB"/>
        </w:rPr>
        <w:t>Studies have also</w:t>
      </w:r>
      <w:r w:rsidR="006F06A2">
        <w:rPr>
          <w:rFonts w:ascii="Times New Roman" w:hAnsi="Times New Roman" w:cs="Times New Roman"/>
          <w:noProof/>
          <w:lang w:val="en-GB"/>
        </w:rPr>
        <w:t xml:space="preserve"> raised the</w:t>
      </w:r>
      <w:r>
        <w:rPr>
          <w:rFonts w:ascii="Times New Roman" w:hAnsi="Times New Roman" w:cs="Times New Roman"/>
          <w:noProof/>
          <w:lang w:val="en-GB"/>
        </w:rPr>
        <w:t xml:space="preserve"> problem of</w:t>
      </w:r>
      <w:r w:rsidR="006F06A2">
        <w:rPr>
          <w:rFonts w:ascii="Times New Roman" w:hAnsi="Times New Roman" w:cs="Times New Roman"/>
          <w:noProof/>
          <w:lang w:val="en-GB"/>
        </w:rPr>
        <w:t xml:space="preserve"> </w:t>
      </w:r>
      <w:r>
        <w:rPr>
          <w:rFonts w:ascii="Times New Roman" w:hAnsi="Times New Roman" w:cs="Times New Roman"/>
          <w:noProof/>
          <w:lang w:val="en-GB"/>
        </w:rPr>
        <w:t>data-mining related to the d</w:t>
      </w:r>
      <w:r w:rsidR="000F696A">
        <w:rPr>
          <w:rFonts w:ascii="Times New Roman" w:hAnsi="Times New Roman" w:cs="Times New Roman"/>
          <w:noProof/>
          <w:lang w:val="en-GB"/>
        </w:rPr>
        <w:t xml:space="preserve">iscovery of seasonal patterns. </w:t>
      </w:r>
      <w:r w:rsidR="000F696A" w:rsidRPr="00E319AD">
        <w:rPr>
          <w:rFonts w:ascii="Times New Roman" w:hAnsi="Times New Roman" w:cs="Times New Roman"/>
        </w:rPr>
        <w:t>Sullivan, Timmermann and White (2001)</w:t>
      </w:r>
      <w:r w:rsidR="0035065F" w:rsidRPr="00874259">
        <w:rPr>
          <w:rFonts w:ascii="Times New Roman" w:hAnsi="Times New Roman"/>
          <w:lang w:val="en-GB"/>
        </w:rPr>
        <w:t xml:space="preserve"> point out that the seasonal patterns discovered on stock market returns are the result of data-mining problems. Accordingly, the patterns might have been found by chance, especially as data which contain outliers are prone to data-mining biases. This possibility is also noted by Lakonishok and Smidt (1988). Zhang and Jacobsen (2013) also underline that the reported monthly seasonal patterns might be the result of spurious regressions. Investigating the existence of the January effect across 317-year period in UK stock market, they conclude that the anomalies are highly dependent on the chosen sample period and length. Maberly and Pierce (2004) prove that the “Halloween effect” does not hold when controlling for the impact of two </w:t>
      </w:r>
      <w:r w:rsidR="0035065F">
        <w:rPr>
          <w:rFonts w:ascii="Times New Roman" w:hAnsi="Times New Roman"/>
          <w:lang w:val="en-GB"/>
        </w:rPr>
        <w:t xml:space="preserve">strong negative returns </w:t>
      </w:r>
      <w:r w:rsidR="0035065F" w:rsidRPr="00874259">
        <w:rPr>
          <w:rFonts w:ascii="Times New Roman" w:hAnsi="Times New Roman"/>
          <w:lang w:val="en-GB"/>
        </w:rPr>
        <w:t>(October 1987,</w:t>
      </w:r>
      <w:r w:rsidR="0035065F" w:rsidRPr="005B4F16">
        <w:rPr>
          <w:rFonts w:ascii="Times New Roman" w:hAnsi="Times New Roman"/>
          <w:lang w:val="nl-NL"/>
        </w:rPr>
        <w:t xml:space="preserve"> August 1998). However, Haggard and Witte (2010) show that the Halloween effect is robust to outliers </w:t>
      </w:r>
      <w:r w:rsidR="0035065F">
        <w:rPr>
          <w:rFonts w:ascii="Times New Roman" w:hAnsi="Times New Roman"/>
          <w:lang w:val="nl-NL"/>
        </w:rPr>
        <w:t>in U</w:t>
      </w:r>
      <w:r w:rsidR="0054483C">
        <w:rPr>
          <w:rFonts w:ascii="Times New Roman" w:hAnsi="Times New Roman"/>
          <w:lang w:val="nl-NL"/>
        </w:rPr>
        <w:t>.</w:t>
      </w:r>
      <w:r w:rsidR="0035065F">
        <w:rPr>
          <w:rFonts w:ascii="Times New Roman" w:hAnsi="Times New Roman"/>
          <w:lang w:val="nl-NL"/>
        </w:rPr>
        <w:t>S</w:t>
      </w:r>
      <w:r w:rsidR="0054483C">
        <w:rPr>
          <w:rFonts w:ascii="Times New Roman" w:hAnsi="Times New Roman"/>
          <w:lang w:val="nl-NL"/>
        </w:rPr>
        <w:t>.</w:t>
      </w:r>
      <w:r w:rsidR="0035065F">
        <w:rPr>
          <w:rFonts w:ascii="Times New Roman" w:hAnsi="Times New Roman"/>
          <w:lang w:val="nl-NL"/>
        </w:rPr>
        <w:t xml:space="preserve"> </w:t>
      </w:r>
      <w:r w:rsidR="0035065F" w:rsidRPr="005B4F16">
        <w:rPr>
          <w:rFonts w:ascii="Times New Roman" w:hAnsi="Times New Roman"/>
          <w:lang w:val="nl-NL"/>
        </w:rPr>
        <w:t xml:space="preserve">during 1954-2008 and it remains significant at a global level (37 countries) when </w:t>
      </w:r>
      <w:r w:rsidR="0035065F" w:rsidRPr="00874259">
        <w:rPr>
          <w:rFonts w:ascii="Times New Roman" w:hAnsi="Times New Roman"/>
          <w:lang w:val="en-GB"/>
        </w:rPr>
        <w:t>controlling for outliers, but at a lower magnitude. These mixed findings about the stock returns patterns suggest that bond return pat</w:t>
      </w:r>
      <w:r w:rsidR="0035065F">
        <w:rPr>
          <w:rFonts w:ascii="Times New Roman" w:hAnsi="Times New Roman"/>
        </w:rPr>
        <w:t>terns can also be found by chanc</w:t>
      </w:r>
      <w:r w:rsidR="0035065F" w:rsidRPr="00874259">
        <w:rPr>
          <w:rFonts w:ascii="Times New Roman" w:hAnsi="Times New Roman"/>
          <w:lang w:val="en-GB"/>
        </w:rPr>
        <w:t>e. Thus, tests are required to investigate if the effect persists</w:t>
      </w:r>
      <w:r w:rsidR="0035065F">
        <w:rPr>
          <w:rFonts w:ascii="Times New Roman" w:hAnsi="Times New Roman"/>
          <w:lang w:val="en-GB"/>
        </w:rPr>
        <w:t xml:space="preserve"> aft</w:t>
      </w:r>
      <w:r w:rsidR="0035065F">
        <w:rPr>
          <w:rFonts w:ascii="Times New Roman" w:hAnsi="Times New Roman"/>
        </w:rPr>
        <w:t>e</w:t>
      </w:r>
      <w:r w:rsidR="0035065F">
        <w:rPr>
          <w:rFonts w:ascii="Times New Roman" w:hAnsi="Times New Roman"/>
          <w:lang w:val="en-GB"/>
        </w:rPr>
        <w:t>r controlling for outliers or</w:t>
      </w:r>
      <w:r w:rsidR="0035065F" w:rsidRPr="00874259">
        <w:rPr>
          <w:rFonts w:ascii="Times New Roman" w:hAnsi="Times New Roman"/>
          <w:lang w:val="en-GB"/>
        </w:rPr>
        <w:t xml:space="preserve"> conducting the analyses on</w:t>
      </w:r>
      <w:r w:rsidR="0035065F">
        <w:rPr>
          <w:rFonts w:ascii="Times New Roman" w:hAnsi="Times New Roman"/>
        </w:rPr>
        <w:t xml:space="preserve"> out-of-sample data or using uncorrelated/different</w:t>
      </w:r>
      <w:r w:rsidR="0035065F" w:rsidRPr="00874259">
        <w:rPr>
          <w:rFonts w:ascii="Times New Roman" w:hAnsi="Times New Roman"/>
          <w:lang w:val="en-GB"/>
        </w:rPr>
        <w:t xml:space="preserve"> data.</w:t>
      </w:r>
    </w:p>
    <w:p w:rsidR="0035065F" w:rsidRDefault="0035065F" w:rsidP="0035065F">
      <w:pPr>
        <w:spacing w:after="0" w:line="360" w:lineRule="auto"/>
        <w:jc w:val="both"/>
        <w:rPr>
          <w:rFonts w:ascii="Times New Roman" w:hAnsi="Times New Roman"/>
          <w:lang w:val="nl-NL"/>
        </w:rPr>
      </w:pPr>
      <w:r>
        <w:rPr>
          <w:rFonts w:ascii="Times New Roman" w:hAnsi="Times New Roman"/>
          <w:lang w:val="nl-NL"/>
        </w:rPr>
        <w:tab/>
      </w:r>
      <w:r w:rsidR="00026AA7" w:rsidRPr="00920046">
        <w:rPr>
          <w:rFonts w:ascii="Times New Roman" w:hAnsi="Times New Roman"/>
        </w:rPr>
        <w:t>All</w:t>
      </w:r>
      <w:r w:rsidR="00026AA7">
        <w:rPr>
          <w:rFonts w:ascii="Times New Roman" w:hAnsi="Times New Roman"/>
          <w:lang w:val="nl-NL"/>
        </w:rPr>
        <w:t xml:space="preserve"> the </w:t>
      </w:r>
      <w:r w:rsidR="00026AA7" w:rsidRPr="00920046">
        <w:rPr>
          <w:rFonts w:ascii="Times New Roman" w:hAnsi="Times New Roman"/>
        </w:rPr>
        <w:t>above</w:t>
      </w:r>
      <w:r w:rsidR="00026AA7">
        <w:rPr>
          <w:rFonts w:ascii="Times New Roman" w:hAnsi="Times New Roman"/>
          <w:lang w:val="nl-NL"/>
        </w:rPr>
        <w:t xml:space="preserve"> </w:t>
      </w:r>
      <w:r w:rsidR="00026AA7" w:rsidRPr="00920046">
        <w:rPr>
          <w:rFonts w:ascii="Times New Roman" w:hAnsi="Times New Roman"/>
        </w:rPr>
        <w:t>three</w:t>
      </w:r>
      <w:r w:rsidR="00026AA7">
        <w:rPr>
          <w:rFonts w:ascii="Times New Roman" w:hAnsi="Times New Roman"/>
          <w:lang w:val="nl-NL"/>
        </w:rPr>
        <w:t xml:space="preserve"> </w:t>
      </w:r>
      <w:r w:rsidR="00026AA7" w:rsidRPr="00920046">
        <w:rPr>
          <w:rFonts w:ascii="Times New Roman" w:hAnsi="Times New Roman"/>
        </w:rPr>
        <w:t xml:space="preserve">categories </w:t>
      </w:r>
      <w:r w:rsidR="00026AA7">
        <w:rPr>
          <w:rFonts w:ascii="Times New Roman" w:hAnsi="Times New Roman"/>
          <w:lang w:val="nl-NL"/>
        </w:rPr>
        <w:t xml:space="preserve">of </w:t>
      </w:r>
      <w:r w:rsidR="00026AA7" w:rsidRPr="00920046">
        <w:rPr>
          <w:rFonts w:ascii="Times New Roman" w:hAnsi="Times New Roman"/>
        </w:rPr>
        <w:t>explanations</w:t>
      </w:r>
      <w:r w:rsidR="00026AA7">
        <w:rPr>
          <w:rFonts w:ascii="Times New Roman" w:hAnsi="Times New Roman"/>
          <w:lang w:val="nl-NL"/>
        </w:rPr>
        <w:t xml:space="preserve"> </w:t>
      </w:r>
      <w:r w:rsidR="00026AA7" w:rsidRPr="00920046">
        <w:rPr>
          <w:rFonts w:ascii="Times New Roman" w:hAnsi="Times New Roman"/>
        </w:rPr>
        <w:t xml:space="preserve">could </w:t>
      </w:r>
      <w:r w:rsidR="00F310E2" w:rsidRPr="00920046">
        <w:rPr>
          <w:rFonts w:ascii="Times New Roman" w:hAnsi="Times New Roman"/>
        </w:rPr>
        <w:t>be</w:t>
      </w:r>
      <w:r w:rsidR="00F310E2">
        <w:rPr>
          <w:rFonts w:ascii="Times New Roman" w:hAnsi="Times New Roman"/>
          <w:lang w:val="nl-NL"/>
        </w:rPr>
        <w:t xml:space="preserve"> </w:t>
      </w:r>
      <w:r w:rsidR="00026AA7" w:rsidRPr="00920046">
        <w:rPr>
          <w:rFonts w:ascii="Times New Roman" w:hAnsi="Times New Roman"/>
        </w:rPr>
        <w:t>appl</w:t>
      </w:r>
      <w:r w:rsidR="00F310E2" w:rsidRPr="00920046">
        <w:rPr>
          <w:rFonts w:ascii="Times New Roman" w:hAnsi="Times New Roman"/>
        </w:rPr>
        <w:t>ied</w:t>
      </w:r>
      <w:r w:rsidR="00026AA7">
        <w:rPr>
          <w:rFonts w:ascii="Times New Roman" w:hAnsi="Times New Roman"/>
          <w:lang w:val="nl-NL"/>
        </w:rPr>
        <w:t xml:space="preserve"> </w:t>
      </w:r>
      <w:r w:rsidR="00026AA7" w:rsidRPr="00920046">
        <w:rPr>
          <w:rFonts w:ascii="Times New Roman" w:hAnsi="Times New Roman"/>
        </w:rPr>
        <w:t>to</w:t>
      </w:r>
      <w:r w:rsidR="00026AA7">
        <w:rPr>
          <w:rFonts w:ascii="Times New Roman" w:hAnsi="Times New Roman"/>
          <w:lang w:val="nl-NL"/>
        </w:rPr>
        <w:t xml:space="preserve"> the bond market: time-</w:t>
      </w:r>
      <w:r w:rsidR="00026AA7" w:rsidRPr="00920046">
        <w:rPr>
          <w:rFonts w:ascii="Times New Roman" w:hAnsi="Times New Roman"/>
        </w:rPr>
        <w:t>varying</w:t>
      </w:r>
      <w:r w:rsidR="00026AA7">
        <w:rPr>
          <w:rFonts w:ascii="Times New Roman" w:hAnsi="Times New Roman"/>
          <w:lang w:val="nl-NL"/>
        </w:rPr>
        <w:t xml:space="preserve"> </w:t>
      </w:r>
      <w:r w:rsidR="00026AA7" w:rsidRPr="00920046">
        <w:rPr>
          <w:rFonts w:ascii="Times New Roman" w:hAnsi="Times New Roman"/>
        </w:rPr>
        <w:t>optimism</w:t>
      </w:r>
      <w:r w:rsidR="00026AA7">
        <w:rPr>
          <w:rFonts w:ascii="Times New Roman" w:hAnsi="Times New Roman"/>
          <w:lang w:val="nl-NL"/>
        </w:rPr>
        <w:t xml:space="preserve"> </w:t>
      </w:r>
      <w:r w:rsidR="00026AA7" w:rsidRPr="00920046">
        <w:rPr>
          <w:rFonts w:ascii="Times New Roman" w:hAnsi="Times New Roman"/>
        </w:rPr>
        <w:t>during</w:t>
      </w:r>
      <w:r w:rsidR="00026AA7">
        <w:rPr>
          <w:rFonts w:ascii="Times New Roman" w:hAnsi="Times New Roman"/>
          <w:lang w:val="nl-NL"/>
        </w:rPr>
        <w:t xml:space="preserve"> the </w:t>
      </w:r>
      <w:r w:rsidR="00026AA7" w:rsidRPr="00920046">
        <w:rPr>
          <w:rFonts w:ascii="Times New Roman" w:hAnsi="Times New Roman"/>
        </w:rPr>
        <w:t>year</w:t>
      </w:r>
      <w:r w:rsidR="00026AA7">
        <w:rPr>
          <w:rFonts w:ascii="Times New Roman" w:hAnsi="Times New Roman"/>
          <w:lang w:val="nl-NL"/>
        </w:rPr>
        <w:t xml:space="preserve">, </w:t>
      </w:r>
      <w:r w:rsidR="00026AA7" w:rsidRPr="00920046">
        <w:rPr>
          <w:rFonts w:ascii="Times New Roman" w:hAnsi="Times New Roman"/>
        </w:rPr>
        <w:t>an annual</w:t>
      </w:r>
      <w:r w:rsidR="00026AA7">
        <w:rPr>
          <w:rFonts w:ascii="Times New Roman" w:hAnsi="Times New Roman"/>
        </w:rPr>
        <w:t xml:space="preserve"> cycle of economic conditions or the possibility that the seasonal patterns are the result of data-mining problems. While</w:t>
      </w:r>
      <w:r w:rsidR="00F310E2">
        <w:rPr>
          <w:rFonts w:ascii="Times New Roman" w:hAnsi="Times New Roman"/>
        </w:rPr>
        <w:t xml:space="preserve"> </w:t>
      </w:r>
      <w:r w:rsidR="000B7A30">
        <w:rPr>
          <w:rFonts w:ascii="Times New Roman" w:hAnsi="Times New Roman"/>
        </w:rPr>
        <w:t xml:space="preserve">the proposals from the literature can be used </w:t>
      </w:r>
      <w:r w:rsidR="002515C5">
        <w:rPr>
          <w:rFonts w:ascii="Times New Roman" w:hAnsi="Times New Roman"/>
        </w:rPr>
        <w:t>to test for</w:t>
      </w:r>
      <w:r w:rsidR="000B7A30">
        <w:rPr>
          <w:rFonts w:ascii="Times New Roman" w:hAnsi="Times New Roman"/>
        </w:rPr>
        <w:t xml:space="preserve"> the last two</w:t>
      </w:r>
      <w:r w:rsidR="002515C5">
        <w:rPr>
          <w:rFonts w:ascii="Times New Roman" w:hAnsi="Times New Roman"/>
        </w:rPr>
        <w:t xml:space="preserve"> hypotheses</w:t>
      </w:r>
      <w:r w:rsidR="000B7A30">
        <w:rPr>
          <w:rFonts w:ascii="Times New Roman" w:hAnsi="Times New Roman"/>
        </w:rPr>
        <w:t xml:space="preserve">, </w:t>
      </w:r>
      <w:r w:rsidR="00F310E2">
        <w:rPr>
          <w:rFonts w:ascii="Times New Roman" w:hAnsi="Times New Roman"/>
        </w:rPr>
        <w:t xml:space="preserve">it is difficult to find </w:t>
      </w:r>
      <w:r w:rsidR="00920046">
        <w:rPr>
          <w:rFonts w:ascii="Times New Roman" w:hAnsi="Times New Roman"/>
        </w:rPr>
        <w:t>measures to quantify changes in investor sentiment</w:t>
      </w:r>
      <w:r w:rsidR="00F310E2">
        <w:rPr>
          <w:rFonts w:ascii="Times New Roman" w:hAnsi="Times New Roman"/>
        </w:rPr>
        <w:t xml:space="preserve">.  </w:t>
      </w:r>
      <w:r w:rsidR="000B7A30">
        <w:rPr>
          <w:rFonts w:ascii="Times New Roman" w:hAnsi="Times New Roman"/>
        </w:rPr>
        <w:t>However, the study proposes two proxies for investor sentiment: consumer confidence survey and the implied volatility of stock options.</w:t>
      </w:r>
      <w:r w:rsidR="00F310E2">
        <w:rPr>
          <w:rFonts w:ascii="Times New Roman" w:hAnsi="Times New Roman"/>
        </w:rPr>
        <w:t xml:space="preserve"> </w:t>
      </w:r>
      <w:r w:rsidR="00026AA7" w:rsidRPr="00920046">
        <w:rPr>
          <w:rFonts w:ascii="Times New Roman" w:hAnsi="Times New Roman"/>
        </w:rPr>
        <w:t xml:space="preserve">    </w:t>
      </w:r>
    </w:p>
    <w:p w:rsidR="00BC7F37" w:rsidRDefault="00BC7F37" w:rsidP="0035065F">
      <w:pPr>
        <w:spacing w:after="0" w:line="360" w:lineRule="auto"/>
        <w:jc w:val="both"/>
        <w:rPr>
          <w:rFonts w:ascii="Times New Roman" w:hAnsi="Times New Roman"/>
          <w:lang w:val="nl-NL"/>
        </w:rPr>
      </w:pPr>
    </w:p>
    <w:p w:rsidR="00BC7F37" w:rsidRDefault="00BC7F37" w:rsidP="0035065F">
      <w:pPr>
        <w:spacing w:after="0" w:line="360" w:lineRule="auto"/>
        <w:jc w:val="both"/>
        <w:rPr>
          <w:rFonts w:ascii="Times New Roman" w:hAnsi="Times New Roman"/>
          <w:lang w:val="nl-NL"/>
        </w:rPr>
      </w:pPr>
    </w:p>
    <w:p w:rsidR="00A14616" w:rsidRDefault="00A14616" w:rsidP="00A14616">
      <w:pPr>
        <w:pStyle w:val="Heading2"/>
        <w:numPr>
          <w:ilvl w:val="0"/>
          <w:numId w:val="7"/>
        </w:numPr>
      </w:pPr>
      <w:bookmarkStart w:id="20" w:name="_Toc396762697"/>
      <w:r>
        <w:t>Seasonality in inflation rate</w:t>
      </w:r>
      <w:bookmarkEnd w:id="20"/>
    </w:p>
    <w:p w:rsidR="0035065F" w:rsidRDefault="0035065F" w:rsidP="0035065F">
      <w:pPr>
        <w:spacing w:after="0" w:line="360" w:lineRule="auto"/>
        <w:jc w:val="both"/>
        <w:rPr>
          <w:rFonts w:ascii="Times New Roman" w:hAnsi="Times New Roman"/>
          <w:lang w:val="nl-NL"/>
        </w:rPr>
      </w:pPr>
    </w:p>
    <w:p w:rsidR="0035065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t>Among the variables which display seasonal patterns,</w:t>
      </w:r>
      <w:r w:rsidR="009A5273">
        <w:rPr>
          <w:rFonts w:ascii="Times New Roman" w:eastAsiaTheme="majorEastAsia" w:hAnsi="Times New Roman" w:cs="Times New Roman"/>
          <w:bCs/>
          <w:lang w:val="en-GB"/>
        </w:rPr>
        <w:t xml:space="preserve"> the</w:t>
      </w:r>
      <w:r w:rsidRPr="0044661F">
        <w:rPr>
          <w:rFonts w:ascii="Times New Roman" w:eastAsiaTheme="majorEastAsia" w:hAnsi="Times New Roman" w:cs="Times New Roman"/>
          <w:bCs/>
          <w:lang w:val="en-GB"/>
        </w:rPr>
        <w:t xml:space="preserve"> inflation rate is relevant for nominal bond returns dynamics.</w:t>
      </w:r>
      <w:r>
        <w:rPr>
          <w:rFonts w:ascii="Times New Roman" w:eastAsiaTheme="majorEastAsia" w:hAnsi="Times New Roman" w:cs="Times New Roman"/>
          <w:bCs/>
          <w:lang w:val="en-GB"/>
        </w:rPr>
        <w:t xml:space="preserve"> </w:t>
      </w:r>
      <w:r w:rsidRPr="0044661F">
        <w:rPr>
          <w:rFonts w:ascii="Times New Roman" w:eastAsiaTheme="majorEastAsia" w:hAnsi="Times New Roman" w:cs="Times New Roman"/>
          <w:bCs/>
          <w:lang w:val="en-GB"/>
        </w:rPr>
        <w:t>According to</w:t>
      </w:r>
      <w:r>
        <w:rPr>
          <w:rFonts w:ascii="Times New Roman" w:eastAsiaTheme="majorEastAsia" w:hAnsi="Times New Roman" w:cs="Times New Roman"/>
          <w:bCs/>
        </w:rPr>
        <w:t xml:space="preserve"> </w:t>
      </w:r>
      <w:r w:rsidRPr="00026AA7">
        <w:rPr>
          <w:rFonts w:ascii="Times New Roman" w:eastAsiaTheme="majorEastAsia" w:hAnsi="Times New Roman" w:cs="Times New Roman"/>
          <w:bCs/>
        </w:rPr>
        <w:t>Fabozzi</w:t>
      </w:r>
      <w:r w:rsidRPr="006E26A6">
        <w:rPr>
          <w:rFonts w:ascii="Times New Roman" w:eastAsiaTheme="majorEastAsia" w:hAnsi="Times New Roman" w:cs="Times New Roman"/>
          <w:bCs/>
        </w:rPr>
        <w:t xml:space="preserve">, </w:t>
      </w:r>
      <w:r>
        <w:rPr>
          <w:rFonts w:ascii="Times New Roman" w:eastAsiaTheme="majorEastAsia" w:hAnsi="Times New Roman" w:cs="Times New Roman"/>
          <w:bCs/>
        </w:rPr>
        <w:t>Martellini</w:t>
      </w:r>
      <w:r w:rsidRPr="006E26A6">
        <w:rPr>
          <w:rFonts w:ascii="Times New Roman" w:eastAsiaTheme="majorEastAsia" w:hAnsi="Times New Roman" w:cs="Times New Roman"/>
          <w:bCs/>
        </w:rPr>
        <w:t xml:space="preserve"> </w:t>
      </w:r>
      <w:r>
        <w:rPr>
          <w:rFonts w:ascii="Times New Roman" w:eastAsiaTheme="majorEastAsia" w:hAnsi="Times New Roman" w:cs="Times New Roman"/>
          <w:bCs/>
        </w:rPr>
        <w:t xml:space="preserve">and </w:t>
      </w:r>
      <w:r w:rsidRPr="006E26A6">
        <w:rPr>
          <w:rFonts w:ascii="Times New Roman" w:eastAsiaTheme="majorEastAsia" w:hAnsi="Times New Roman" w:cs="Times New Roman"/>
          <w:bCs/>
        </w:rPr>
        <w:t>Priaulet</w:t>
      </w:r>
      <w:r>
        <w:rPr>
          <w:rFonts w:ascii="Times New Roman" w:eastAsiaTheme="majorEastAsia" w:hAnsi="Times New Roman" w:cs="Times New Roman"/>
          <w:bCs/>
        </w:rPr>
        <w:t xml:space="preserve"> (2006, p. 455),</w:t>
      </w:r>
      <w:r w:rsidRPr="006E26A6">
        <w:rPr>
          <w:rFonts w:ascii="Times New Roman" w:eastAsiaTheme="majorEastAsia" w:hAnsi="Times New Roman" w:cs="Times New Roman"/>
          <w:bCs/>
        </w:rPr>
        <w:t xml:space="preserve"> </w:t>
      </w:r>
      <w:r w:rsidRPr="0044661F">
        <w:rPr>
          <w:rFonts w:ascii="Times New Roman" w:eastAsiaTheme="majorEastAsia" w:hAnsi="Times New Roman" w:cs="Times New Roman"/>
          <w:bCs/>
          <w:lang w:val="en-GB"/>
        </w:rPr>
        <w:t>the nominal yield incorporates the expected inflation and an inflation risk premium related to uncertainty about</w:t>
      </w:r>
      <w:r>
        <w:rPr>
          <w:rFonts w:ascii="Times New Roman" w:eastAsiaTheme="majorEastAsia" w:hAnsi="Times New Roman" w:cs="Times New Roman"/>
          <w:bCs/>
        </w:rPr>
        <w:t xml:space="preserve"> consumer</w:t>
      </w:r>
      <w:r w:rsidRPr="0044661F">
        <w:rPr>
          <w:rFonts w:ascii="Times New Roman" w:eastAsiaTheme="majorEastAsia" w:hAnsi="Times New Roman" w:cs="Times New Roman"/>
          <w:bCs/>
          <w:lang w:val="en-GB"/>
        </w:rPr>
        <w:t xml:space="preserve"> price movements</w:t>
      </w:r>
      <w:r>
        <w:rPr>
          <w:rStyle w:val="FootnoteReference"/>
          <w:rFonts w:ascii="Times New Roman" w:hAnsi="Times New Roman" w:cs="Times New Roman"/>
          <w:bCs/>
        </w:rPr>
        <w:footnoteReference w:id="16"/>
      </w:r>
      <w:r w:rsidRPr="0044661F">
        <w:rPr>
          <w:rFonts w:ascii="Times New Roman" w:eastAsiaTheme="majorEastAsia" w:hAnsi="Times New Roman" w:cs="Times New Roman"/>
          <w:bCs/>
          <w:lang w:val="en-GB"/>
        </w:rPr>
        <w:t xml:space="preserve">. Balduzzi, Elton and Green (2001) show that </w:t>
      </w:r>
      <w:r w:rsidR="00D6506F">
        <w:rPr>
          <w:rFonts w:ascii="Times New Roman" w:eastAsiaTheme="majorEastAsia" w:hAnsi="Times New Roman" w:cs="Times New Roman"/>
          <w:bCs/>
          <w:lang w:val="en-GB"/>
        </w:rPr>
        <w:t xml:space="preserve">the </w:t>
      </w:r>
      <w:r w:rsidRPr="0044661F">
        <w:rPr>
          <w:rFonts w:ascii="Times New Roman" w:eastAsiaTheme="majorEastAsia" w:hAnsi="Times New Roman" w:cs="Times New Roman"/>
          <w:bCs/>
          <w:lang w:val="en-GB"/>
        </w:rPr>
        <w:t xml:space="preserve">inflation rate impacts the prices of </w:t>
      </w:r>
      <w:r w:rsidRPr="0044661F">
        <w:rPr>
          <w:rFonts w:ascii="Times New Roman" w:eastAsiaTheme="majorEastAsia" w:hAnsi="Times New Roman" w:cs="Times New Roman"/>
          <w:bCs/>
          <w:lang w:val="en-GB"/>
        </w:rPr>
        <w:lastRenderedPageBreak/>
        <w:t>U</w:t>
      </w:r>
      <w:r w:rsidR="009A5273">
        <w:rPr>
          <w:rFonts w:ascii="Times New Roman" w:eastAsiaTheme="majorEastAsia" w:hAnsi="Times New Roman" w:cs="Times New Roman"/>
          <w:bCs/>
          <w:lang w:val="en-GB"/>
        </w:rPr>
        <w:t>.</w:t>
      </w:r>
      <w:r w:rsidRPr="0044661F">
        <w:rPr>
          <w:rFonts w:ascii="Times New Roman" w:eastAsiaTheme="majorEastAsia" w:hAnsi="Times New Roman" w:cs="Times New Roman"/>
          <w:bCs/>
          <w:lang w:val="en-GB"/>
        </w:rPr>
        <w:t>S</w:t>
      </w:r>
      <w:r w:rsidR="009A5273">
        <w:rPr>
          <w:rFonts w:ascii="Times New Roman" w:eastAsiaTheme="majorEastAsia" w:hAnsi="Times New Roman" w:cs="Times New Roman"/>
          <w:bCs/>
          <w:lang w:val="en-GB"/>
        </w:rPr>
        <w:t>.</w:t>
      </w:r>
      <w:r w:rsidRPr="0044661F">
        <w:rPr>
          <w:rFonts w:ascii="Times New Roman" w:eastAsiaTheme="majorEastAsia" w:hAnsi="Times New Roman" w:cs="Times New Roman"/>
          <w:bCs/>
          <w:lang w:val="en-GB"/>
        </w:rPr>
        <w:t xml:space="preserve"> Treasuries and that the relationship between bond returns and inflation rate is negative. Accordingly, an increase in the inflation rate will mean lower bond prices as the expected inflation component from no</w:t>
      </w:r>
      <w:r>
        <w:rPr>
          <w:rFonts w:ascii="Times New Roman" w:eastAsiaTheme="majorEastAsia" w:hAnsi="Times New Roman" w:cs="Times New Roman"/>
          <w:bCs/>
          <w:lang w:val="en-GB"/>
        </w:rPr>
        <w:t>minal bond yield will increase. This is in line with the finding of Goldberg and</w:t>
      </w:r>
      <w:r w:rsidRPr="000E18CD">
        <w:rPr>
          <w:rFonts w:ascii="Times New Roman" w:eastAsiaTheme="majorEastAsia" w:hAnsi="Times New Roman" w:cs="Times New Roman"/>
          <w:bCs/>
          <w:lang w:val="en-GB"/>
        </w:rPr>
        <w:t xml:space="preserve"> Leonard (2003)</w:t>
      </w:r>
      <w:r>
        <w:rPr>
          <w:rFonts w:ascii="Times New Roman" w:eastAsiaTheme="majorEastAsia" w:hAnsi="Times New Roman" w:cs="Times New Roman"/>
          <w:bCs/>
          <w:lang w:val="en-GB"/>
        </w:rPr>
        <w:t xml:space="preserve">. </w:t>
      </w:r>
      <w:r w:rsidRPr="00B97EAC">
        <w:rPr>
          <w:rFonts w:ascii="Times New Roman" w:eastAsiaTheme="majorEastAsia" w:hAnsi="Times New Roman" w:cs="Times New Roman"/>
          <w:bCs/>
          <w:lang w:val="en-GB"/>
        </w:rPr>
        <w:t>Kim, McKenzie</w:t>
      </w:r>
      <w:r>
        <w:rPr>
          <w:rFonts w:ascii="Times New Roman" w:eastAsiaTheme="majorEastAsia" w:hAnsi="Times New Roman" w:cs="Times New Roman"/>
          <w:bCs/>
          <w:lang w:val="en-GB"/>
        </w:rPr>
        <w:t>, Fa</w:t>
      </w:r>
      <w:r w:rsidRPr="00B97EAC">
        <w:rPr>
          <w:rFonts w:ascii="Times New Roman" w:eastAsiaTheme="majorEastAsia" w:hAnsi="Times New Roman" w:cs="Times New Roman"/>
          <w:bCs/>
          <w:lang w:val="en-GB"/>
        </w:rPr>
        <w:t>ff (2004)</w:t>
      </w:r>
      <w:r>
        <w:rPr>
          <w:rFonts w:ascii="Times New Roman" w:eastAsiaTheme="majorEastAsia" w:hAnsi="Times New Roman" w:cs="Times New Roman"/>
          <w:bCs/>
          <w:lang w:val="en-GB"/>
        </w:rPr>
        <w:t xml:space="preserve"> also find a negative significant impact of an increase in inflation rate</w:t>
      </w:r>
      <w:r w:rsidR="008E1002">
        <w:rPr>
          <w:rFonts w:ascii="Times New Roman" w:eastAsiaTheme="majorEastAsia" w:hAnsi="Times New Roman" w:cs="Times New Roman"/>
          <w:bCs/>
          <w:lang w:val="en-GB"/>
        </w:rPr>
        <w:t>s</w:t>
      </w:r>
      <w:r>
        <w:rPr>
          <w:rFonts w:ascii="Times New Roman" w:eastAsiaTheme="majorEastAsia" w:hAnsi="Times New Roman" w:cs="Times New Roman"/>
          <w:bCs/>
          <w:lang w:val="en-GB"/>
        </w:rPr>
        <w:t xml:space="preserve"> on U</w:t>
      </w:r>
      <w:r w:rsidR="009A5273">
        <w:rPr>
          <w:rFonts w:ascii="Times New Roman" w:eastAsiaTheme="majorEastAsia" w:hAnsi="Times New Roman" w:cs="Times New Roman"/>
          <w:bCs/>
          <w:lang w:val="en-GB"/>
        </w:rPr>
        <w:t>.</w:t>
      </w:r>
      <w:r>
        <w:rPr>
          <w:rFonts w:ascii="Times New Roman" w:eastAsiaTheme="majorEastAsia" w:hAnsi="Times New Roman" w:cs="Times New Roman"/>
          <w:bCs/>
          <w:lang w:val="en-GB"/>
        </w:rPr>
        <w:t>S</w:t>
      </w:r>
      <w:r w:rsidR="009A5273">
        <w:rPr>
          <w:rFonts w:ascii="Times New Roman" w:eastAsiaTheme="majorEastAsia" w:hAnsi="Times New Roman" w:cs="Times New Roman"/>
          <w:bCs/>
          <w:lang w:val="en-GB"/>
        </w:rPr>
        <w:t>.</w:t>
      </w:r>
      <w:r>
        <w:rPr>
          <w:rFonts w:ascii="Times New Roman" w:eastAsiaTheme="majorEastAsia" w:hAnsi="Times New Roman" w:cs="Times New Roman"/>
          <w:bCs/>
          <w:lang w:val="en-GB"/>
        </w:rPr>
        <w:t xml:space="preserve"> bond market returns.</w:t>
      </w:r>
    </w:p>
    <w:p w:rsidR="0035065F" w:rsidRPr="0044661F" w:rsidRDefault="0035065F" w:rsidP="0035065F">
      <w:pPr>
        <w:spacing w:after="0" w:line="360" w:lineRule="auto"/>
        <w:ind w:firstLine="720"/>
        <w:jc w:val="both"/>
        <w:rPr>
          <w:rFonts w:ascii="Times New Roman" w:eastAsiaTheme="majorEastAsia" w:hAnsi="Times New Roman" w:cs="Times New Roman"/>
          <w:bCs/>
          <w:lang w:val="en-GB"/>
        </w:rPr>
      </w:pPr>
      <w:r>
        <w:rPr>
          <w:rFonts w:ascii="Times New Roman" w:eastAsiaTheme="majorEastAsia" w:hAnsi="Times New Roman" w:cs="Times New Roman"/>
          <w:bCs/>
          <w:lang w:val="en-GB"/>
        </w:rPr>
        <w:t>Another direction through which</w:t>
      </w:r>
      <w:r w:rsidR="00D6506F">
        <w:rPr>
          <w:rFonts w:ascii="Times New Roman" w:eastAsiaTheme="majorEastAsia" w:hAnsi="Times New Roman" w:cs="Times New Roman"/>
          <w:bCs/>
          <w:lang w:val="en-GB"/>
        </w:rPr>
        <w:t xml:space="preserve"> the</w:t>
      </w:r>
      <w:r>
        <w:rPr>
          <w:rFonts w:ascii="Times New Roman" w:eastAsiaTheme="majorEastAsia" w:hAnsi="Times New Roman" w:cs="Times New Roman"/>
          <w:bCs/>
          <w:lang w:val="en-GB"/>
        </w:rPr>
        <w:t xml:space="preserve"> inflation rate influences the bond market is pointed out by </w:t>
      </w:r>
      <w:r w:rsidR="0027416D">
        <w:rPr>
          <w:rFonts w:ascii="Times New Roman" w:eastAsiaTheme="majorEastAsia" w:hAnsi="Times New Roman" w:cs="Times New Roman"/>
          <w:bCs/>
          <w:lang w:val="en-GB"/>
        </w:rPr>
        <w:t>Brandt and Wang (2003</w:t>
      </w:r>
      <w:r w:rsidRPr="0044661F">
        <w:rPr>
          <w:rFonts w:ascii="Times New Roman" w:eastAsiaTheme="majorEastAsia" w:hAnsi="Times New Roman" w:cs="Times New Roman"/>
          <w:bCs/>
          <w:lang w:val="en-GB"/>
        </w:rPr>
        <w:t>)</w:t>
      </w:r>
      <w:r>
        <w:rPr>
          <w:rFonts w:ascii="Times New Roman" w:eastAsiaTheme="majorEastAsia" w:hAnsi="Times New Roman" w:cs="Times New Roman"/>
          <w:bCs/>
          <w:lang w:val="en-GB"/>
        </w:rPr>
        <w:t>. They</w:t>
      </w:r>
      <w:r w:rsidRPr="0044661F">
        <w:rPr>
          <w:rFonts w:ascii="Times New Roman" w:eastAsiaTheme="majorEastAsia" w:hAnsi="Times New Roman" w:cs="Times New Roman"/>
          <w:bCs/>
          <w:lang w:val="en-GB"/>
        </w:rPr>
        <w:t xml:space="preserve"> find that news about inflation </w:t>
      </w:r>
      <w:r>
        <w:rPr>
          <w:rFonts w:ascii="Times New Roman" w:eastAsiaTheme="majorEastAsia" w:hAnsi="Times New Roman" w:cs="Times New Roman"/>
          <w:bCs/>
        </w:rPr>
        <w:t xml:space="preserve">has an </w:t>
      </w:r>
      <w:r w:rsidRPr="0044661F">
        <w:rPr>
          <w:rFonts w:ascii="Times New Roman" w:eastAsiaTheme="majorEastAsia" w:hAnsi="Times New Roman" w:cs="Times New Roman"/>
          <w:bCs/>
          <w:lang w:val="en-GB"/>
        </w:rPr>
        <w:t>influence</w:t>
      </w:r>
      <w:r>
        <w:rPr>
          <w:rFonts w:ascii="Times New Roman" w:eastAsiaTheme="majorEastAsia" w:hAnsi="Times New Roman" w:cs="Times New Roman"/>
          <w:bCs/>
          <w:lang w:val="en-GB"/>
        </w:rPr>
        <w:t xml:space="preserve"> </w:t>
      </w:r>
      <w:r>
        <w:rPr>
          <w:rFonts w:ascii="Times New Roman" w:eastAsiaTheme="majorEastAsia" w:hAnsi="Times New Roman" w:cs="Times New Roman"/>
          <w:bCs/>
        </w:rPr>
        <w:t xml:space="preserve">on </w:t>
      </w:r>
      <w:r>
        <w:rPr>
          <w:rFonts w:ascii="Times New Roman" w:eastAsiaTheme="majorEastAsia" w:hAnsi="Times New Roman" w:cs="Times New Roman"/>
          <w:bCs/>
          <w:lang w:val="en-GB"/>
        </w:rPr>
        <w:t>the</w:t>
      </w:r>
      <w:r w:rsidRPr="0044661F">
        <w:rPr>
          <w:rFonts w:ascii="Times New Roman" w:eastAsiaTheme="majorEastAsia" w:hAnsi="Times New Roman" w:cs="Times New Roman"/>
          <w:bCs/>
          <w:lang w:val="en-GB"/>
        </w:rPr>
        <w:t xml:space="preserve"> risk aversion of investors. Accordingly, unexpected increases in inflation determine an increase in r</w:t>
      </w:r>
      <w:r>
        <w:rPr>
          <w:rFonts w:ascii="Times New Roman" w:eastAsiaTheme="majorEastAsia" w:hAnsi="Times New Roman" w:cs="Times New Roman"/>
          <w:bCs/>
          <w:lang w:val="en-GB"/>
        </w:rPr>
        <w:t>isk aversion which bodes well for government bonds.</w:t>
      </w:r>
    </w:p>
    <w:p w:rsidR="0035065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t xml:space="preserve">In the current low-inflation environment, </w:t>
      </w:r>
      <w:r w:rsidR="00045C10">
        <w:rPr>
          <w:rFonts w:ascii="Times New Roman" w:eastAsiaTheme="majorEastAsia" w:hAnsi="Times New Roman" w:cs="Times New Roman"/>
          <w:bCs/>
          <w:lang w:val="en-GB"/>
        </w:rPr>
        <w:t>the monthly changes in inflation rate could be explained to a larger extent by the seasonal variation than by the underlying inflationary pressures.</w:t>
      </w:r>
      <w:r w:rsidR="00D6506F">
        <w:rPr>
          <w:rFonts w:ascii="Times New Roman" w:eastAsiaTheme="majorEastAsia" w:hAnsi="Times New Roman" w:cs="Times New Roman"/>
          <w:bCs/>
          <w:lang w:val="en-GB"/>
        </w:rPr>
        <w:t xml:space="preserve"> </w:t>
      </w:r>
      <w:r w:rsidR="00DE3D62">
        <w:rPr>
          <w:rFonts w:ascii="Times New Roman" w:eastAsiaTheme="majorEastAsia" w:hAnsi="Times New Roman" w:cs="Times New Roman"/>
          <w:bCs/>
          <w:lang w:val="en-GB"/>
        </w:rPr>
        <w:t>Thus, it is</w:t>
      </w:r>
      <w:r w:rsidR="0038284D">
        <w:rPr>
          <w:rFonts w:ascii="Times New Roman" w:eastAsiaTheme="majorEastAsia" w:hAnsi="Times New Roman" w:cs="Times New Roman"/>
          <w:bCs/>
          <w:lang w:val="en-GB"/>
        </w:rPr>
        <w:t xml:space="preserve"> even more</w:t>
      </w:r>
      <w:r w:rsidR="00DE3D62">
        <w:rPr>
          <w:rFonts w:ascii="Times New Roman" w:eastAsiaTheme="majorEastAsia" w:hAnsi="Times New Roman" w:cs="Times New Roman"/>
          <w:bCs/>
          <w:lang w:val="en-GB"/>
        </w:rPr>
        <w:t xml:space="preserve"> important to understand the seasonal pattern of inflation.</w:t>
      </w:r>
      <w:r w:rsidR="008E1002">
        <w:rPr>
          <w:rFonts w:ascii="Times New Roman" w:eastAsiaTheme="majorEastAsia" w:hAnsi="Times New Roman" w:cs="Times New Roman"/>
          <w:bCs/>
          <w:lang w:val="en-GB"/>
        </w:rPr>
        <w:t xml:space="preserve"> </w:t>
      </w:r>
      <w:r>
        <w:rPr>
          <w:rFonts w:ascii="Times New Roman" w:eastAsiaTheme="majorEastAsia" w:hAnsi="Times New Roman" w:cs="Times New Roman"/>
          <w:bCs/>
          <w:lang w:val="en-GB"/>
        </w:rPr>
        <w:t>The percentage variation in the</w:t>
      </w:r>
      <w:r w:rsidRPr="0044661F">
        <w:rPr>
          <w:rFonts w:ascii="Times New Roman" w:eastAsiaTheme="majorEastAsia" w:hAnsi="Times New Roman" w:cs="Times New Roman"/>
          <w:bCs/>
          <w:lang w:val="en-GB"/>
        </w:rPr>
        <w:t xml:space="preserve"> consumer prices index </w:t>
      </w:r>
      <w:r>
        <w:rPr>
          <w:rFonts w:ascii="Times New Roman" w:eastAsiaTheme="majorEastAsia" w:hAnsi="Times New Roman" w:cs="Times New Roman"/>
          <w:bCs/>
          <w:lang w:val="en-GB"/>
        </w:rPr>
        <w:t xml:space="preserve">is one of the measures used to </w:t>
      </w:r>
      <w:r w:rsidRPr="0044661F">
        <w:rPr>
          <w:rFonts w:ascii="Times New Roman" w:eastAsiaTheme="majorEastAsia" w:hAnsi="Times New Roman" w:cs="Times New Roman"/>
          <w:bCs/>
          <w:lang w:val="en-GB"/>
        </w:rPr>
        <w:t>track the inflation dynamics</w:t>
      </w:r>
      <w:r>
        <w:rPr>
          <w:rFonts w:ascii="Times New Roman" w:eastAsiaTheme="majorEastAsia" w:hAnsi="Times New Roman" w:cs="Times New Roman"/>
          <w:bCs/>
          <w:lang w:val="en-GB"/>
        </w:rPr>
        <w:t>. The consumer price index</w:t>
      </w:r>
      <w:r w:rsidRPr="0044661F">
        <w:rPr>
          <w:rFonts w:ascii="Times New Roman" w:eastAsiaTheme="majorEastAsia" w:hAnsi="Times New Roman" w:cs="Times New Roman"/>
          <w:bCs/>
          <w:lang w:val="en-GB"/>
        </w:rPr>
        <w:t xml:space="preserve"> represents a weighted average of differe</w:t>
      </w:r>
      <w:r>
        <w:rPr>
          <w:rFonts w:ascii="Times New Roman" w:eastAsiaTheme="majorEastAsia" w:hAnsi="Times New Roman" w:cs="Times New Roman"/>
          <w:bCs/>
          <w:lang w:val="en-GB"/>
        </w:rPr>
        <w:t>nt components. Therefore,</w:t>
      </w:r>
      <w:r w:rsidRPr="0044661F">
        <w:rPr>
          <w:rFonts w:ascii="Times New Roman" w:eastAsiaTheme="majorEastAsia" w:hAnsi="Times New Roman" w:cs="Times New Roman"/>
          <w:bCs/>
          <w:lang w:val="en-GB"/>
        </w:rPr>
        <w:t xml:space="preserve"> the seasonality</w:t>
      </w:r>
      <w:r>
        <w:rPr>
          <w:rFonts w:ascii="Times New Roman" w:eastAsiaTheme="majorEastAsia" w:hAnsi="Times New Roman" w:cs="Times New Roman"/>
          <w:bCs/>
          <w:lang w:val="en-GB"/>
        </w:rPr>
        <w:t xml:space="preserve"> in inflation rate</w:t>
      </w:r>
      <w:r w:rsidRPr="0044661F">
        <w:rPr>
          <w:rFonts w:ascii="Times New Roman" w:eastAsiaTheme="majorEastAsia" w:hAnsi="Times New Roman" w:cs="Times New Roman"/>
          <w:bCs/>
          <w:lang w:val="en-GB"/>
        </w:rPr>
        <w:t xml:space="preserve"> is driven by the dynamics of these components</w:t>
      </w:r>
      <w:r>
        <w:rPr>
          <w:rStyle w:val="FootnoteReference"/>
          <w:rFonts w:ascii="Times New Roman" w:hAnsi="Times New Roman" w:cs="Times New Roman"/>
          <w:lang w:val="en-GB"/>
        </w:rPr>
        <w:footnoteReference w:id="17"/>
      </w:r>
      <w:r w:rsidRPr="0044661F">
        <w:rPr>
          <w:rFonts w:ascii="Times New Roman" w:eastAsiaTheme="majorEastAsia" w:hAnsi="Times New Roman" w:cs="Times New Roman"/>
          <w:bCs/>
          <w:lang w:val="en-GB"/>
        </w:rPr>
        <w:t xml:space="preserve">. </w:t>
      </w:r>
    </w:p>
    <w:p w:rsidR="0035065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t xml:space="preserve">One component is food prices. </w:t>
      </w:r>
      <w:r>
        <w:rPr>
          <w:rFonts w:ascii="Times New Roman" w:eastAsiaTheme="majorEastAsia" w:hAnsi="Times New Roman" w:cs="Times New Roman"/>
          <w:bCs/>
        </w:rPr>
        <w:t>Unprocessed f</w:t>
      </w:r>
      <w:r w:rsidRPr="0044661F">
        <w:rPr>
          <w:rFonts w:ascii="Times New Roman" w:eastAsiaTheme="majorEastAsia" w:hAnsi="Times New Roman" w:cs="Times New Roman"/>
          <w:bCs/>
          <w:lang w:val="en-GB"/>
        </w:rPr>
        <w:t xml:space="preserve">ood prices </w:t>
      </w:r>
      <w:r>
        <w:rPr>
          <w:rFonts w:ascii="Times New Roman" w:eastAsiaTheme="majorEastAsia" w:hAnsi="Times New Roman" w:cs="Times New Roman"/>
          <w:bCs/>
        </w:rPr>
        <w:t>are related to the</w:t>
      </w:r>
      <w:r w:rsidRPr="0044661F">
        <w:rPr>
          <w:rFonts w:ascii="Times New Roman" w:eastAsiaTheme="majorEastAsia" w:hAnsi="Times New Roman" w:cs="Times New Roman"/>
          <w:bCs/>
          <w:lang w:val="en-GB"/>
        </w:rPr>
        <w:t xml:space="preserve"> agricultural output supply dynamics and tend to decrease during summer-fall months when the harvest becomes av</w:t>
      </w:r>
      <w:r>
        <w:rPr>
          <w:rFonts w:ascii="Times New Roman" w:eastAsiaTheme="majorEastAsia" w:hAnsi="Times New Roman" w:cs="Times New Roman"/>
          <w:bCs/>
          <w:lang w:val="en-GB"/>
        </w:rPr>
        <w:t xml:space="preserve">ailable and increase in winter </w:t>
      </w:r>
      <w:r w:rsidRPr="0044661F">
        <w:rPr>
          <w:rFonts w:ascii="Times New Roman" w:eastAsiaTheme="majorEastAsia" w:hAnsi="Times New Roman" w:cs="Times New Roman"/>
          <w:bCs/>
          <w:lang w:val="en-GB"/>
        </w:rPr>
        <w:t>(Bryan and Cecchetti (1995), Brondolo and Giani (2005), Ejsing, Garcia and Werner (2007) support this pattern for U</w:t>
      </w:r>
      <w:r w:rsidR="009A5273">
        <w:rPr>
          <w:rFonts w:ascii="Times New Roman" w:eastAsiaTheme="majorEastAsia" w:hAnsi="Times New Roman" w:cs="Times New Roman"/>
          <w:bCs/>
          <w:lang w:val="en-GB"/>
        </w:rPr>
        <w:t>.</w:t>
      </w:r>
      <w:r w:rsidRPr="0044661F">
        <w:rPr>
          <w:rFonts w:ascii="Times New Roman" w:eastAsiaTheme="majorEastAsia" w:hAnsi="Times New Roman" w:cs="Times New Roman"/>
          <w:bCs/>
          <w:lang w:val="en-GB"/>
        </w:rPr>
        <w:t>S</w:t>
      </w:r>
      <w:r w:rsidR="009A5273">
        <w:rPr>
          <w:rFonts w:ascii="Times New Roman" w:eastAsiaTheme="majorEastAsia" w:hAnsi="Times New Roman" w:cs="Times New Roman"/>
          <w:bCs/>
          <w:lang w:val="en-GB"/>
        </w:rPr>
        <w:t>.</w:t>
      </w:r>
      <w:r w:rsidRPr="0044661F">
        <w:rPr>
          <w:rFonts w:ascii="Times New Roman" w:eastAsiaTheme="majorEastAsia" w:hAnsi="Times New Roman" w:cs="Times New Roman"/>
          <w:bCs/>
          <w:lang w:val="en-GB"/>
        </w:rPr>
        <w:t xml:space="preserve"> and Euro Area respectively). </w:t>
      </w:r>
    </w:p>
    <w:p w:rsidR="0035065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t>Brondolo and Giani (2005)</w:t>
      </w:r>
      <w:r>
        <w:rPr>
          <w:rFonts w:ascii="Times New Roman" w:eastAsiaTheme="majorEastAsia" w:hAnsi="Times New Roman" w:cs="Times New Roman"/>
          <w:bCs/>
        </w:rPr>
        <w:t xml:space="preserve"> also notice that seasonality plays a key role in case of discounted sales prices (apparel, durable goods etc). In U</w:t>
      </w:r>
      <w:r w:rsidR="009A5273">
        <w:rPr>
          <w:rFonts w:ascii="Times New Roman" w:eastAsiaTheme="majorEastAsia" w:hAnsi="Times New Roman" w:cs="Times New Roman"/>
          <w:bCs/>
        </w:rPr>
        <w:t>.</w:t>
      </w:r>
      <w:r>
        <w:rPr>
          <w:rFonts w:ascii="Times New Roman" w:eastAsiaTheme="majorEastAsia" w:hAnsi="Times New Roman" w:cs="Times New Roman"/>
          <w:bCs/>
        </w:rPr>
        <w:t>S</w:t>
      </w:r>
      <w:r w:rsidR="009A5273">
        <w:rPr>
          <w:rFonts w:ascii="Times New Roman" w:eastAsiaTheme="majorEastAsia" w:hAnsi="Times New Roman" w:cs="Times New Roman"/>
          <w:bCs/>
        </w:rPr>
        <w:t>.</w:t>
      </w:r>
      <w:r>
        <w:rPr>
          <w:rFonts w:ascii="Times New Roman" w:eastAsiaTheme="majorEastAsia" w:hAnsi="Times New Roman" w:cs="Times New Roman"/>
          <w:bCs/>
        </w:rPr>
        <w:t>, prices decrease during holiday sales seasons (November – January) and June-July (</w:t>
      </w:r>
      <w:r w:rsidRPr="0044661F">
        <w:rPr>
          <w:rFonts w:ascii="Times New Roman" w:eastAsiaTheme="majorEastAsia" w:hAnsi="Times New Roman" w:cs="Times New Roman"/>
          <w:bCs/>
          <w:lang w:val="en-GB"/>
        </w:rPr>
        <w:t>Mirani, Pond and Skeoch (2012)</w:t>
      </w:r>
      <w:r>
        <w:rPr>
          <w:rFonts w:ascii="Times New Roman" w:eastAsiaTheme="majorEastAsia" w:hAnsi="Times New Roman" w:cs="Times New Roman"/>
          <w:bCs/>
        </w:rPr>
        <w:t xml:space="preserve">). Sooben and James (2012) find a similar timing of sale periods </w:t>
      </w:r>
      <w:r w:rsidR="009A5273">
        <w:rPr>
          <w:rFonts w:ascii="Times New Roman" w:eastAsiaTheme="majorEastAsia" w:hAnsi="Times New Roman" w:cs="Times New Roman"/>
          <w:bCs/>
        </w:rPr>
        <w:t xml:space="preserve">in Euro Area </w:t>
      </w:r>
      <w:r>
        <w:rPr>
          <w:rFonts w:ascii="Times New Roman" w:eastAsiaTheme="majorEastAsia" w:hAnsi="Times New Roman" w:cs="Times New Roman"/>
          <w:bCs/>
        </w:rPr>
        <w:t xml:space="preserve">which triggers a fall in prices in January and July.  </w:t>
      </w:r>
    </w:p>
    <w:p w:rsidR="0035065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t xml:space="preserve">Evidence about energy prices is mixed. In </w:t>
      </w:r>
      <w:r w:rsidR="00045C10">
        <w:rPr>
          <w:rFonts w:ascii="Times New Roman" w:eastAsiaTheme="majorEastAsia" w:hAnsi="Times New Roman" w:cs="Times New Roman"/>
          <w:bCs/>
          <w:lang w:val="en-GB"/>
        </w:rPr>
        <w:t>E</w:t>
      </w:r>
      <w:r w:rsidRPr="0044661F">
        <w:rPr>
          <w:rFonts w:ascii="Times New Roman" w:eastAsiaTheme="majorEastAsia" w:hAnsi="Times New Roman" w:cs="Times New Roman"/>
          <w:bCs/>
          <w:lang w:val="en-GB"/>
        </w:rPr>
        <w:t xml:space="preserve">uro </w:t>
      </w:r>
      <w:r w:rsidR="00045C10">
        <w:rPr>
          <w:rFonts w:ascii="Times New Roman" w:eastAsiaTheme="majorEastAsia" w:hAnsi="Times New Roman" w:cs="Times New Roman"/>
          <w:bCs/>
          <w:lang w:val="en-GB"/>
        </w:rPr>
        <w:t>A</w:t>
      </w:r>
      <w:r w:rsidRPr="0044661F">
        <w:rPr>
          <w:rFonts w:ascii="Times New Roman" w:eastAsiaTheme="majorEastAsia" w:hAnsi="Times New Roman" w:cs="Times New Roman"/>
          <w:bCs/>
          <w:lang w:val="en-GB"/>
        </w:rPr>
        <w:t>rea, Brondolo and Giani (2005) fail to find a statistically significant patte</w:t>
      </w:r>
      <w:r>
        <w:rPr>
          <w:rFonts w:ascii="Times New Roman" w:eastAsiaTheme="majorEastAsia" w:hAnsi="Times New Roman" w:cs="Times New Roman"/>
          <w:bCs/>
        </w:rPr>
        <w:t>rn for energy components, where</w:t>
      </w:r>
      <w:r w:rsidRPr="0044661F">
        <w:rPr>
          <w:rFonts w:ascii="Times New Roman" w:eastAsiaTheme="majorEastAsia" w:hAnsi="Times New Roman" w:cs="Times New Roman"/>
          <w:bCs/>
          <w:lang w:val="en-GB"/>
        </w:rPr>
        <w:t>as Mirani, Pond and Skeoch (2012) argue that energy prices display a seasonal pattern in U</w:t>
      </w:r>
      <w:r w:rsidR="0063297C">
        <w:rPr>
          <w:rFonts w:ascii="Times New Roman" w:eastAsiaTheme="majorEastAsia" w:hAnsi="Times New Roman" w:cs="Times New Roman"/>
          <w:bCs/>
          <w:lang w:val="en-GB"/>
        </w:rPr>
        <w:t>.</w:t>
      </w:r>
      <w:r w:rsidRPr="0044661F">
        <w:rPr>
          <w:rFonts w:ascii="Times New Roman" w:eastAsiaTheme="majorEastAsia" w:hAnsi="Times New Roman" w:cs="Times New Roman"/>
          <w:bCs/>
          <w:lang w:val="en-GB"/>
        </w:rPr>
        <w:t xml:space="preserve">S. They increase during spring and decline in the last quarter of the year. </w:t>
      </w:r>
    </w:p>
    <w:p w:rsidR="0035065F" w:rsidRDefault="0035065F" w:rsidP="0035065F">
      <w:pPr>
        <w:spacing w:after="0" w:line="360" w:lineRule="auto"/>
        <w:ind w:firstLine="720"/>
        <w:jc w:val="both"/>
        <w:rPr>
          <w:rFonts w:ascii="Times New Roman" w:eastAsiaTheme="majorEastAsia" w:hAnsi="Times New Roman" w:cs="Times New Roman"/>
          <w:bCs/>
          <w:lang w:val="en-GB"/>
        </w:rPr>
      </w:pPr>
      <w:r>
        <w:rPr>
          <w:rFonts w:ascii="Times New Roman" w:eastAsiaTheme="majorEastAsia" w:hAnsi="Times New Roman" w:cs="Times New Roman"/>
          <w:bCs/>
          <w:lang w:val="en-GB"/>
        </w:rPr>
        <w:t>Administrated prices (e.g.</w:t>
      </w:r>
      <w:r w:rsidRPr="0044661F">
        <w:rPr>
          <w:rFonts w:ascii="Times New Roman" w:eastAsiaTheme="majorEastAsia" w:hAnsi="Times New Roman" w:cs="Times New Roman"/>
          <w:bCs/>
          <w:lang w:val="en-GB"/>
        </w:rPr>
        <w:t xml:space="preserve"> public transport, natural gas, electricity and fu</w:t>
      </w:r>
      <w:r>
        <w:rPr>
          <w:rFonts w:ascii="Times New Roman" w:eastAsiaTheme="majorEastAsia" w:hAnsi="Times New Roman" w:cs="Times New Roman"/>
          <w:bCs/>
          <w:lang w:val="en-GB"/>
        </w:rPr>
        <w:t xml:space="preserve">el prices) and tax changes </w:t>
      </w:r>
      <w:r w:rsidRPr="0044661F">
        <w:rPr>
          <w:rFonts w:ascii="Times New Roman" w:eastAsiaTheme="majorEastAsia" w:hAnsi="Times New Roman" w:cs="Times New Roman"/>
          <w:bCs/>
          <w:lang w:val="en-GB"/>
        </w:rPr>
        <w:t xml:space="preserve">tend to be altered at the same time in the year. Brondolo and Giani (2005) argue that from statistical point of view they can be considered as displaying a seasonal pattern. Accordingly, they are usually altered during the first month of the fiscal year (for most of the countries in January, while in case of Japan and United Kingdom in April or in July for Australia).  </w:t>
      </w:r>
    </w:p>
    <w:p w:rsidR="0035065F" w:rsidRPr="0044661F" w:rsidRDefault="0035065F" w:rsidP="0035065F">
      <w:pPr>
        <w:spacing w:after="0" w:line="360" w:lineRule="auto"/>
        <w:ind w:firstLine="720"/>
        <w:jc w:val="both"/>
        <w:rPr>
          <w:rFonts w:ascii="Times New Roman" w:eastAsiaTheme="majorEastAsia" w:hAnsi="Times New Roman" w:cs="Times New Roman"/>
          <w:bCs/>
          <w:lang w:val="en-GB"/>
        </w:rPr>
      </w:pPr>
      <w:r w:rsidRPr="0044661F">
        <w:rPr>
          <w:rFonts w:ascii="Times New Roman" w:eastAsiaTheme="majorEastAsia" w:hAnsi="Times New Roman" w:cs="Times New Roman"/>
          <w:bCs/>
          <w:lang w:val="en-GB"/>
        </w:rPr>
        <w:lastRenderedPageBreak/>
        <w:t xml:space="preserve">Inflation is seasonally adjusted in order to smooth the effects of price </w:t>
      </w:r>
      <w:r>
        <w:rPr>
          <w:rFonts w:ascii="Times New Roman" w:eastAsiaTheme="majorEastAsia" w:hAnsi="Times New Roman" w:cs="Times New Roman"/>
          <w:bCs/>
          <w:lang w:val="en-GB"/>
        </w:rPr>
        <w:t>fluctuations</w:t>
      </w:r>
      <w:r w:rsidRPr="0044661F">
        <w:rPr>
          <w:rFonts w:ascii="Times New Roman" w:eastAsiaTheme="majorEastAsia" w:hAnsi="Times New Roman" w:cs="Times New Roman"/>
          <w:bCs/>
          <w:lang w:val="en-GB"/>
        </w:rPr>
        <w:t xml:space="preserve"> of similar magnitude and timing across the year (generated by weather conditions, production cycles, holidays and sales)</w:t>
      </w:r>
      <w:r>
        <w:rPr>
          <w:rStyle w:val="FootnoteReference"/>
          <w:rFonts w:ascii="Times New Roman" w:hAnsi="Times New Roman" w:cs="Times New Roman"/>
          <w:lang w:val="en-GB"/>
        </w:rPr>
        <w:footnoteReference w:id="18"/>
      </w:r>
      <w:r w:rsidRPr="0044661F">
        <w:rPr>
          <w:rFonts w:ascii="Times New Roman" w:eastAsiaTheme="majorEastAsia" w:hAnsi="Times New Roman" w:cs="Times New Roman"/>
          <w:bCs/>
          <w:lang w:val="en-GB"/>
        </w:rPr>
        <w:t>. Non-seasonally adjusted inflation measures the actual change in prices of goods and services paid by consumers and it is used in contract agreements, pensi</w:t>
      </w:r>
      <w:r>
        <w:rPr>
          <w:rFonts w:ascii="Times New Roman" w:eastAsiaTheme="majorEastAsia" w:hAnsi="Times New Roman" w:cs="Times New Roman"/>
          <w:bCs/>
          <w:lang w:val="en-GB"/>
        </w:rPr>
        <w:t>on plans or</w:t>
      </w:r>
      <w:r w:rsidRPr="0044661F">
        <w:rPr>
          <w:rFonts w:ascii="Times New Roman" w:eastAsiaTheme="majorEastAsia" w:hAnsi="Times New Roman" w:cs="Times New Roman"/>
          <w:bCs/>
          <w:lang w:val="en-GB"/>
        </w:rPr>
        <w:t xml:space="preserve"> the indexation of inflation-linked bonds. Seasonally adjusted inflation </w:t>
      </w:r>
      <w:r>
        <w:rPr>
          <w:rFonts w:ascii="Times New Roman" w:eastAsiaTheme="majorEastAsia" w:hAnsi="Times New Roman" w:cs="Times New Roman"/>
          <w:bCs/>
          <w:lang w:val="en-GB"/>
        </w:rPr>
        <w:t xml:space="preserve">reflects </w:t>
      </w:r>
      <w:r>
        <w:rPr>
          <w:rFonts w:ascii="Times New Roman" w:eastAsiaTheme="majorEastAsia" w:hAnsi="Times New Roman" w:cs="Times New Roman"/>
          <w:bCs/>
        </w:rPr>
        <w:t xml:space="preserve">the long-term </w:t>
      </w:r>
      <w:r>
        <w:rPr>
          <w:rFonts w:ascii="Times New Roman" w:eastAsiaTheme="majorEastAsia" w:hAnsi="Times New Roman" w:cs="Times New Roman"/>
          <w:bCs/>
          <w:lang w:val="en-GB"/>
        </w:rPr>
        <w:t xml:space="preserve">trend </w:t>
      </w:r>
      <w:r>
        <w:rPr>
          <w:rFonts w:ascii="Times New Roman" w:eastAsiaTheme="majorEastAsia" w:hAnsi="Times New Roman" w:cs="Times New Roman"/>
          <w:bCs/>
        </w:rPr>
        <w:t>of consumer prices</w:t>
      </w:r>
      <w:r w:rsidRPr="0044661F">
        <w:rPr>
          <w:rFonts w:ascii="Times New Roman" w:eastAsiaTheme="majorEastAsia" w:hAnsi="Times New Roman" w:cs="Times New Roman"/>
          <w:bCs/>
          <w:lang w:val="en-GB"/>
        </w:rPr>
        <w:t xml:space="preserve">. </w:t>
      </w:r>
    </w:p>
    <w:p w:rsidR="0035065F" w:rsidRDefault="00045C10" w:rsidP="0035065F">
      <w:pPr>
        <w:spacing w:after="0" w:line="360" w:lineRule="auto"/>
        <w:ind w:firstLine="720"/>
        <w:jc w:val="both"/>
        <w:rPr>
          <w:rFonts w:ascii="Times New Roman" w:eastAsiaTheme="majorEastAsia" w:hAnsi="Times New Roman" w:cs="Times New Roman"/>
          <w:bCs/>
          <w:lang w:val="en-GB"/>
        </w:rPr>
      </w:pPr>
      <w:r>
        <w:rPr>
          <w:rFonts w:ascii="Times New Roman" w:eastAsiaTheme="majorEastAsia" w:hAnsi="Times New Roman" w:cs="Times New Roman"/>
          <w:bCs/>
          <w:lang w:val="en-GB"/>
        </w:rPr>
        <w:t>The i</w:t>
      </w:r>
      <w:r w:rsidR="0035065F" w:rsidRPr="0044661F">
        <w:rPr>
          <w:rFonts w:ascii="Times New Roman" w:eastAsiaTheme="majorEastAsia" w:hAnsi="Times New Roman" w:cs="Times New Roman"/>
          <w:bCs/>
          <w:lang w:val="en-GB"/>
        </w:rPr>
        <w:t xml:space="preserve">nflation rate </w:t>
      </w:r>
      <w:r w:rsidR="0035065F">
        <w:rPr>
          <w:rFonts w:ascii="Times New Roman" w:eastAsiaTheme="majorEastAsia" w:hAnsi="Times New Roman" w:cs="Times New Roman"/>
          <w:bCs/>
        </w:rPr>
        <w:t>plays a key role also for inflation-linked bond</w:t>
      </w:r>
      <w:r w:rsidR="0035065F">
        <w:rPr>
          <w:rFonts w:ascii="Times New Roman" w:eastAsiaTheme="majorEastAsia" w:hAnsi="Times New Roman" w:cs="Times New Roman"/>
          <w:bCs/>
          <w:lang w:val="en-GB"/>
        </w:rPr>
        <w:t>s</w:t>
      </w:r>
      <w:r w:rsidR="0035065F" w:rsidRPr="0044661F">
        <w:rPr>
          <w:rFonts w:ascii="Times New Roman" w:eastAsiaTheme="majorEastAsia" w:hAnsi="Times New Roman" w:cs="Times New Roman"/>
          <w:bCs/>
          <w:lang w:val="en-GB"/>
        </w:rPr>
        <w:t xml:space="preserve">. The cash-flows of inflation linked bonds are </w:t>
      </w:r>
      <w:r w:rsidR="0035065F">
        <w:rPr>
          <w:rFonts w:ascii="Times New Roman" w:eastAsiaTheme="majorEastAsia" w:hAnsi="Times New Roman" w:cs="Times New Roman"/>
          <w:bCs/>
        </w:rPr>
        <w:t xml:space="preserve">directly </w:t>
      </w:r>
      <w:r w:rsidR="0035065F" w:rsidRPr="0044661F">
        <w:rPr>
          <w:rFonts w:ascii="Times New Roman" w:eastAsiaTheme="majorEastAsia" w:hAnsi="Times New Roman" w:cs="Times New Roman"/>
          <w:bCs/>
          <w:lang w:val="en-GB"/>
        </w:rPr>
        <w:t>linked to the non-seasonally adjusted inflation rate. When investigating how quickly U</w:t>
      </w:r>
      <w:r w:rsidR="0063297C">
        <w:rPr>
          <w:rFonts w:ascii="Times New Roman" w:eastAsiaTheme="majorEastAsia" w:hAnsi="Times New Roman" w:cs="Times New Roman"/>
          <w:bCs/>
          <w:lang w:val="en-GB"/>
        </w:rPr>
        <w:t>.</w:t>
      </w:r>
      <w:r w:rsidR="0035065F" w:rsidRPr="0044661F">
        <w:rPr>
          <w:rFonts w:ascii="Times New Roman" w:eastAsiaTheme="majorEastAsia" w:hAnsi="Times New Roman" w:cs="Times New Roman"/>
          <w:bCs/>
          <w:lang w:val="en-GB"/>
        </w:rPr>
        <w:t>S</w:t>
      </w:r>
      <w:r w:rsidR="0063297C">
        <w:rPr>
          <w:rFonts w:ascii="Times New Roman" w:eastAsiaTheme="majorEastAsia" w:hAnsi="Times New Roman" w:cs="Times New Roman"/>
          <w:bCs/>
          <w:lang w:val="en-GB"/>
        </w:rPr>
        <w:t>.</w:t>
      </w:r>
      <w:r w:rsidR="0035065F" w:rsidRPr="0044661F">
        <w:rPr>
          <w:rFonts w:ascii="Times New Roman" w:eastAsiaTheme="majorEastAsia" w:hAnsi="Times New Roman" w:cs="Times New Roman"/>
          <w:bCs/>
          <w:lang w:val="en-GB"/>
        </w:rPr>
        <w:t xml:space="preserve"> Treasury Inflation-Protected Securities (TIPS) incorporate the information about future inflation, Chu, Pittman and Yu (2011) find that TIPS prices fully reflect the US inflation data by the end of the corresponding month, before the official announcement. </w:t>
      </w:r>
      <w:r w:rsidR="00C22504" w:rsidRPr="00C22504">
        <w:rPr>
          <w:rFonts w:ascii="Times New Roman" w:eastAsiaTheme="majorEastAsia" w:hAnsi="Times New Roman" w:cs="Times New Roman"/>
          <w:bCs/>
          <w:lang w:val="en-GB"/>
        </w:rPr>
        <w:t xml:space="preserve">Huberman and Schwert (1985) </w:t>
      </w:r>
      <w:r w:rsidR="00C22504">
        <w:rPr>
          <w:rFonts w:ascii="Times New Roman" w:eastAsiaTheme="majorEastAsia" w:hAnsi="Times New Roman" w:cs="Times New Roman"/>
          <w:bCs/>
          <w:lang w:val="en-GB"/>
        </w:rPr>
        <w:t xml:space="preserve">also </w:t>
      </w:r>
      <w:r w:rsidR="00C22504" w:rsidRPr="00C22504">
        <w:rPr>
          <w:rFonts w:ascii="Times New Roman" w:eastAsiaTheme="majorEastAsia" w:hAnsi="Times New Roman" w:cs="Times New Roman"/>
          <w:bCs/>
          <w:lang w:val="en-GB"/>
        </w:rPr>
        <w:t>found that 85</w:t>
      </w:r>
      <w:r w:rsidR="00C22504">
        <w:rPr>
          <w:rFonts w:ascii="Times New Roman" w:eastAsiaTheme="majorEastAsia" w:hAnsi="Times New Roman" w:cs="Times New Roman"/>
          <w:bCs/>
          <w:lang w:val="en-GB"/>
        </w:rPr>
        <w:t>%</w:t>
      </w:r>
      <w:r w:rsidR="00C22504" w:rsidRPr="00C22504">
        <w:rPr>
          <w:rFonts w:ascii="Times New Roman" w:eastAsiaTheme="majorEastAsia" w:hAnsi="Times New Roman" w:cs="Times New Roman"/>
          <w:bCs/>
          <w:lang w:val="en-GB"/>
        </w:rPr>
        <w:t xml:space="preserve"> of the reaction </w:t>
      </w:r>
      <w:r w:rsidR="00C22504">
        <w:rPr>
          <w:rFonts w:ascii="Times New Roman" w:eastAsiaTheme="majorEastAsia" w:hAnsi="Times New Roman" w:cs="Times New Roman"/>
          <w:bCs/>
          <w:lang w:val="en-GB"/>
        </w:rPr>
        <w:t xml:space="preserve">of inflation-linked bonds </w:t>
      </w:r>
      <w:r w:rsidR="00C22504" w:rsidRPr="00C22504">
        <w:rPr>
          <w:rFonts w:ascii="Times New Roman" w:eastAsiaTheme="majorEastAsia" w:hAnsi="Times New Roman" w:cs="Times New Roman"/>
          <w:bCs/>
          <w:lang w:val="en-GB"/>
        </w:rPr>
        <w:t>to inflation information occurs from two to five weeks before the announcement</w:t>
      </w:r>
      <w:r w:rsidR="00C22504">
        <w:rPr>
          <w:rFonts w:ascii="Times New Roman" w:eastAsiaTheme="majorEastAsia" w:hAnsi="Times New Roman" w:cs="Times New Roman"/>
          <w:bCs/>
          <w:lang w:val="en-GB"/>
        </w:rPr>
        <w:t xml:space="preserve">, </w:t>
      </w:r>
      <w:r w:rsidR="00C22504" w:rsidRPr="00C22504">
        <w:rPr>
          <w:rFonts w:ascii="Times New Roman" w:eastAsiaTheme="majorEastAsia" w:hAnsi="Times New Roman" w:cs="Times New Roman"/>
          <w:bCs/>
          <w:lang w:val="en-GB"/>
        </w:rPr>
        <w:t xml:space="preserve">while the inflation is </w:t>
      </w:r>
      <w:r w:rsidR="00C22504">
        <w:rPr>
          <w:rFonts w:ascii="Times New Roman" w:eastAsiaTheme="majorEastAsia" w:hAnsi="Times New Roman" w:cs="Times New Roman"/>
          <w:bCs/>
          <w:lang w:val="en-GB"/>
        </w:rPr>
        <w:t>recorded</w:t>
      </w:r>
      <w:r w:rsidR="00C22504" w:rsidRPr="00C22504">
        <w:rPr>
          <w:rFonts w:ascii="Times New Roman" w:eastAsiaTheme="majorEastAsia" w:hAnsi="Times New Roman" w:cs="Times New Roman"/>
          <w:bCs/>
          <w:lang w:val="en-GB"/>
        </w:rPr>
        <w:t>.</w:t>
      </w:r>
      <w:r w:rsidR="00C22504">
        <w:rPr>
          <w:rFonts w:ascii="Times New Roman" w:eastAsiaTheme="majorEastAsia" w:hAnsi="Times New Roman" w:cs="Times New Roman"/>
          <w:bCs/>
          <w:lang w:val="en-GB"/>
        </w:rPr>
        <w:t xml:space="preserve"> </w:t>
      </w:r>
      <w:r w:rsidR="0035065F" w:rsidRPr="0044661F">
        <w:rPr>
          <w:rFonts w:ascii="Times New Roman" w:eastAsiaTheme="majorEastAsia" w:hAnsi="Times New Roman" w:cs="Times New Roman"/>
          <w:bCs/>
          <w:lang w:val="en-GB"/>
        </w:rPr>
        <w:t>This finding suggests that the current inflation rate should not have an influence on ILB prices as it is already incorporated.</w:t>
      </w:r>
      <w:r w:rsidR="00C22504">
        <w:rPr>
          <w:rFonts w:ascii="Times New Roman" w:eastAsiaTheme="majorEastAsia" w:hAnsi="Times New Roman" w:cs="Times New Roman"/>
          <w:bCs/>
          <w:lang w:val="en-GB"/>
        </w:rPr>
        <w:t xml:space="preserve"> </w:t>
      </w:r>
    </w:p>
    <w:p w:rsidR="00045C10" w:rsidRPr="0044661F" w:rsidRDefault="00DE3D62" w:rsidP="0035065F">
      <w:pPr>
        <w:spacing w:after="0" w:line="360" w:lineRule="auto"/>
        <w:ind w:firstLine="720"/>
        <w:jc w:val="both"/>
        <w:rPr>
          <w:rFonts w:ascii="Times New Roman" w:eastAsiaTheme="majorEastAsia" w:hAnsi="Times New Roman" w:cs="Times New Roman"/>
          <w:bCs/>
          <w:lang w:val="en-GB"/>
        </w:rPr>
      </w:pPr>
      <w:r>
        <w:rPr>
          <w:rFonts w:ascii="Times New Roman" w:eastAsiaTheme="majorEastAsia" w:hAnsi="Times New Roman" w:cs="Times New Roman"/>
          <w:bCs/>
          <w:lang w:val="en-GB"/>
        </w:rPr>
        <w:t xml:space="preserve">While a seasonal variation in the components of inflation rate is mentioned in the literature, it is difficult to assess the overall pattern in inflation rate </w:t>
      </w:r>
      <w:r w:rsidR="00AA146B">
        <w:rPr>
          <w:rFonts w:ascii="Times New Roman" w:eastAsiaTheme="majorEastAsia" w:hAnsi="Times New Roman" w:cs="Times New Roman"/>
          <w:bCs/>
          <w:lang w:val="en-GB"/>
        </w:rPr>
        <w:t>as the dynamics of the</w:t>
      </w:r>
      <w:r>
        <w:rPr>
          <w:rFonts w:ascii="Times New Roman" w:eastAsiaTheme="majorEastAsia" w:hAnsi="Times New Roman" w:cs="Times New Roman"/>
          <w:bCs/>
          <w:lang w:val="en-GB"/>
        </w:rPr>
        <w:t xml:space="preserve"> components </w:t>
      </w:r>
      <w:r w:rsidR="00AA146B">
        <w:rPr>
          <w:rFonts w:ascii="Times New Roman" w:eastAsiaTheme="majorEastAsia" w:hAnsi="Times New Roman" w:cs="Times New Roman"/>
          <w:bCs/>
          <w:lang w:val="en-GB"/>
        </w:rPr>
        <w:t>are mixed</w:t>
      </w:r>
      <w:r>
        <w:rPr>
          <w:rFonts w:ascii="Times New Roman" w:eastAsiaTheme="majorEastAsia" w:hAnsi="Times New Roman" w:cs="Times New Roman"/>
          <w:bCs/>
          <w:lang w:val="en-GB"/>
        </w:rPr>
        <w:t xml:space="preserve"> (</w:t>
      </w:r>
      <w:r w:rsidR="00AA146B">
        <w:rPr>
          <w:rFonts w:ascii="Times New Roman" w:eastAsiaTheme="majorEastAsia" w:hAnsi="Times New Roman" w:cs="Times New Roman"/>
          <w:bCs/>
          <w:lang w:val="en-GB"/>
        </w:rPr>
        <w:t xml:space="preserve">e.g. </w:t>
      </w:r>
      <w:r>
        <w:rPr>
          <w:rFonts w:ascii="Times New Roman" w:eastAsiaTheme="majorEastAsia" w:hAnsi="Times New Roman" w:cs="Times New Roman"/>
          <w:bCs/>
          <w:lang w:val="en-GB"/>
        </w:rPr>
        <w:t xml:space="preserve">lower prices during holiday season (November-January) and higher food prices during the </w:t>
      </w:r>
      <w:r w:rsidR="00AA146B">
        <w:rPr>
          <w:rFonts w:ascii="Times New Roman" w:eastAsiaTheme="majorEastAsia" w:hAnsi="Times New Roman" w:cs="Times New Roman"/>
          <w:bCs/>
          <w:lang w:val="en-GB"/>
        </w:rPr>
        <w:t>winter</w:t>
      </w:r>
      <w:r w:rsidR="002F3F36">
        <w:rPr>
          <w:rFonts w:ascii="Times New Roman" w:eastAsiaTheme="majorEastAsia" w:hAnsi="Times New Roman" w:cs="Times New Roman"/>
          <w:bCs/>
          <w:lang w:val="en-GB"/>
        </w:rPr>
        <w:t>) and different across countries.</w:t>
      </w:r>
      <w:r>
        <w:rPr>
          <w:rFonts w:ascii="Times New Roman" w:eastAsiaTheme="majorEastAsia" w:hAnsi="Times New Roman" w:cs="Times New Roman"/>
          <w:bCs/>
          <w:lang w:val="en-GB"/>
        </w:rPr>
        <w:t xml:space="preserve"> </w:t>
      </w:r>
      <w:r w:rsidR="002F3F36">
        <w:rPr>
          <w:rFonts w:ascii="Times New Roman" w:eastAsiaTheme="majorEastAsia" w:hAnsi="Times New Roman" w:cs="Times New Roman"/>
          <w:bCs/>
          <w:lang w:val="en-GB"/>
        </w:rPr>
        <w:t xml:space="preserve"> </w:t>
      </w:r>
    </w:p>
    <w:p w:rsidR="00EE1A2A" w:rsidRPr="00737EEE" w:rsidRDefault="00EE1A2A" w:rsidP="00737EEE">
      <w:pPr>
        <w:pStyle w:val="Heading1"/>
      </w:pPr>
      <w:bookmarkStart w:id="21" w:name="_Toc396762698"/>
      <w:r w:rsidRPr="00737EEE">
        <w:t>3.</w:t>
      </w:r>
      <w:r w:rsidRPr="00737EEE">
        <w:tab/>
        <w:t>Data and methodology</w:t>
      </w:r>
      <w:bookmarkEnd w:id="21"/>
    </w:p>
    <w:p w:rsidR="00EE1A2A" w:rsidRDefault="00EE1A2A" w:rsidP="00737EEE">
      <w:pPr>
        <w:jc w:val="both"/>
        <w:rPr>
          <w:rFonts w:ascii="Times New Roman" w:hAnsi="Times New Roman" w:cs="Times New Roman"/>
        </w:rPr>
      </w:pPr>
    </w:p>
    <w:p w:rsidR="000B5954" w:rsidRDefault="002F3F36" w:rsidP="0063297C">
      <w:pPr>
        <w:spacing w:after="0" w:line="360" w:lineRule="auto"/>
        <w:ind w:firstLine="720"/>
        <w:jc w:val="both"/>
        <w:rPr>
          <w:rFonts w:ascii="Times New Roman" w:hAnsi="Times New Roman" w:cs="Times New Roman"/>
        </w:rPr>
      </w:pPr>
      <w:r>
        <w:rPr>
          <w:rFonts w:ascii="Times New Roman" w:hAnsi="Times New Roman" w:cs="Times New Roman"/>
        </w:rPr>
        <w:t xml:space="preserve">Chapter 3 </w:t>
      </w:r>
      <w:r w:rsidR="008E1002">
        <w:rPr>
          <w:rFonts w:ascii="Times New Roman" w:hAnsi="Times New Roman" w:cs="Times New Roman"/>
        </w:rPr>
        <w:t>covers</w:t>
      </w:r>
      <w:r w:rsidR="000B5954" w:rsidRPr="000B5954">
        <w:rPr>
          <w:rFonts w:ascii="Times New Roman" w:hAnsi="Times New Roman" w:cs="Times New Roman"/>
        </w:rPr>
        <w:t xml:space="preserve"> the data used for the empirical analysis</w:t>
      </w:r>
      <w:r w:rsidR="00AA146B">
        <w:rPr>
          <w:rFonts w:ascii="Times New Roman" w:hAnsi="Times New Roman" w:cs="Times New Roman"/>
        </w:rPr>
        <w:t xml:space="preserve"> (Section 3.1) and a </w:t>
      </w:r>
      <w:r w:rsidR="00AA146B" w:rsidRPr="00AA146B">
        <w:rPr>
          <w:rFonts w:ascii="Times New Roman" w:hAnsi="Times New Roman" w:cs="Times New Roman"/>
        </w:rPr>
        <w:t>desc</w:t>
      </w:r>
      <w:r w:rsidR="00AA146B">
        <w:rPr>
          <w:rFonts w:ascii="Times New Roman" w:hAnsi="Times New Roman" w:cs="Times New Roman"/>
        </w:rPr>
        <w:t>ri</w:t>
      </w:r>
      <w:r w:rsidR="00AA146B" w:rsidRPr="00AA146B">
        <w:rPr>
          <w:rFonts w:ascii="Times New Roman" w:hAnsi="Times New Roman" w:cs="Times New Roman"/>
        </w:rPr>
        <w:t>ption</w:t>
      </w:r>
      <w:r w:rsidR="00AA146B">
        <w:rPr>
          <w:rFonts w:ascii="Times New Roman" w:hAnsi="Times New Roman" w:cs="Times New Roman"/>
        </w:rPr>
        <w:t xml:space="preserve"> of the methodology (Section 3.2). </w:t>
      </w:r>
      <w:r>
        <w:rPr>
          <w:rFonts w:ascii="Times New Roman" w:hAnsi="Times New Roman" w:cs="Times New Roman"/>
        </w:rPr>
        <w:t xml:space="preserve"> </w:t>
      </w:r>
    </w:p>
    <w:p w:rsidR="00AA146B" w:rsidRDefault="00AA146B" w:rsidP="0063297C">
      <w:pPr>
        <w:spacing w:after="0" w:line="360" w:lineRule="auto"/>
        <w:ind w:firstLine="720"/>
        <w:jc w:val="both"/>
        <w:rPr>
          <w:rFonts w:ascii="Times New Roman" w:hAnsi="Times New Roman" w:cs="Times New Roman"/>
        </w:rPr>
      </w:pPr>
    </w:p>
    <w:p w:rsidR="0005594A" w:rsidRPr="002954A3" w:rsidRDefault="0005594A" w:rsidP="0005594A">
      <w:pPr>
        <w:pStyle w:val="Heading2"/>
        <w:ind w:left="360"/>
        <w:rPr>
          <w:lang w:val="nl-NL"/>
        </w:rPr>
      </w:pPr>
      <w:bookmarkStart w:id="22" w:name="_Toc394500052"/>
      <w:bookmarkStart w:id="23" w:name="_Toc396762699"/>
      <w:r w:rsidRPr="002954A3">
        <w:rPr>
          <w:lang w:val="nl-NL"/>
        </w:rPr>
        <w:t>3.1 Data</w:t>
      </w:r>
      <w:bookmarkEnd w:id="22"/>
      <w:bookmarkEnd w:id="23"/>
    </w:p>
    <w:p w:rsidR="0005594A" w:rsidRDefault="0005594A" w:rsidP="0005594A">
      <w:pPr>
        <w:rPr>
          <w:lang w:val="nl-NL"/>
        </w:rPr>
      </w:pP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 xml:space="preserve">This paper aims at discovering and explaining the seasonal patterns </w:t>
      </w:r>
      <w:r>
        <w:rPr>
          <w:rFonts w:ascii="Times New Roman" w:hAnsi="Times New Roman" w:cs="Times New Roman"/>
        </w:rPr>
        <w:t>in</w:t>
      </w:r>
      <w:r w:rsidRPr="00DB60A9">
        <w:rPr>
          <w:rFonts w:ascii="Times New Roman" w:hAnsi="Times New Roman" w:cs="Times New Roman"/>
        </w:rPr>
        <w:t xml:space="preserve"> </w:t>
      </w:r>
      <w:r>
        <w:rPr>
          <w:rFonts w:ascii="Times New Roman" w:hAnsi="Times New Roman" w:cs="Times New Roman"/>
        </w:rPr>
        <w:t xml:space="preserve">government </w:t>
      </w:r>
      <w:r w:rsidRPr="00DB60A9">
        <w:rPr>
          <w:rFonts w:ascii="Times New Roman" w:hAnsi="Times New Roman" w:cs="Times New Roman"/>
        </w:rPr>
        <w:t>bond markets</w:t>
      </w:r>
      <w:r>
        <w:rPr>
          <w:rFonts w:ascii="Times New Roman" w:hAnsi="Times New Roman" w:cs="Times New Roman"/>
        </w:rPr>
        <w:t xml:space="preserve"> returns</w:t>
      </w:r>
      <w:r w:rsidRPr="00DB60A9">
        <w:rPr>
          <w:rFonts w:ascii="Times New Roman" w:hAnsi="Times New Roman" w:cs="Times New Roman"/>
        </w:rPr>
        <w:t>. While prior research studies on bond markets are focused on one market (primarily U</w:t>
      </w:r>
      <w:r w:rsidR="0063297C">
        <w:rPr>
          <w:rFonts w:ascii="Times New Roman" w:hAnsi="Times New Roman" w:cs="Times New Roman"/>
        </w:rPr>
        <w:t>.</w:t>
      </w:r>
      <w:r w:rsidRPr="00DB60A9">
        <w:rPr>
          <w:rFonts w:ascii="Times New Roman" w:hAnsi="Times New Roman" w:cs="Times New Roman"/>
        </w:rPr>
        <w:t>S</w:t>
      </w:r>
      <w:r w:rsidR="0063297C">
        <w:rPr>
          <w:rFonts w:ascii="Times New Roman" w:hAnsi="Times New Roman" w:cs="Times New Roman"/>
        </w:rPr>
        <w:t>.</w:t>
      </w:r>
      <w:r w:rsidRPr="00DB60A9">
        <w:rPr>
          <w:rFonts w:ascii="Times New Roman" w:hAnsi="Times New Roman" w:cs="Times New Roman"/>
        </w:rPr>
        <w:t>), the current study considers six developed liquid markets (Australia, Canada, Germany</w:t>
      </w:r>
      <w:r>
        <w:rPr>
          <w:rStyle w:val="FootnoteReference"/>
          <w:rFonts w:ascii="Times New Roman" w:hAnsi="Times New Roman" w:cs="Times New Roman"/>
        </w:rPr>
        <w:footnoteReference w:id="19"/>
      </w:r>
      <w:r w:rsidRPr="00DB60A9">
        <w:rPr>
          <w:rFonts w:ascii="Times New Roman" w:hAnsi="Times New Roman" w:cs="Times New Roman"/>
        </w:rPr>
        <w:t xml:space="preserve">, Japan, </w:t>
      </w:r>
      <w:r w:rsidR="0063297C">
        <w:rPr>
          <w:rFonts w:ascii="Times New Roman" w:hAnsi="Times New Roman" w:cs="Times New Roman"/>
        </w:rPr>
        <w:t xml:space="preserve">the </w:t>
      </w:r>
      <w:r w:rsidRPr="00DB60A9">
        <w:rPr>
          <w:rFonts w:ascii="Times New Roman" w:hAnsi="Times New Roman" w:cs="Times New Roman"/>
        </w:rPr>
        <w:t xml:space="preserve">United </w:t>
      </w:r>
      <w:r w:rsidRPr="00DB60A9">
        <w:rPr>
          <w:rFonts w:ascii="Times New Roman" w:hAnsi="Times New Roman" w:cs="Times New Roman"/>
        </w:rPr>
        <w:lastRenderedPageBreak/>
        <w:t>Kingdom and</w:t>
      </w:r>
      <w:r>
        <w:rPr>
          <w:rFonts w:ascii="Times New Roman" w:hAnsi="Times New Roman" w:cs="Times New Roman"/>
        </w:rPr>
        <w:t xml:space="preserve"> the</w:t>
      </w:r>
      <w:r w:rsidRPr="00DB60A9">
        <w:rPr>
          <w:rFonts w:ascii="Times New Roman" w:hAnsi="Times New Roman" w:cs="Times New Roman"/>
        </w:rPr>
        <w:t xml:space="preserve"> United States)</w:t>
      </w:r>
      <w:r w:rsidRPr="00DB60A9">
        <w:rPr>
          <w:rStyle w:val="FootnoteReference"/>
          <w:rFonts w:ascii="Times New Roman" w:hAnsi="Times New Roman" w:cs="Times New Roman"/>
        </w:rPr>
        <w:footnoteReference w:id="20"/>
      </w:r>
      <w:r w:rsidRPr="00DB60A9">
        <w:rPr>
          <w:rFonts w:ascii="Times New Roman" w:hAnsi="Times New Roman" w:cs="Times New Roman"/>
        </w:rPr>
        <w:t xml:space="preserve">. </w:t>
      </w:r>
      <w:r>
        <w:rPr>
          <w:rFonts w:ascii="Times New Roman" w:hAnsi="Times New Roman" w:cs="Times New Roman"/>
        </w:rPr>
        <w:t>At the end of June 2014, t</w:t>
      </w:r>
      <w:r w:rsidRPr="002E0E45">
        <w:rPr>
          <w:rFonts w:ascii="Times New Roman" w:hAnsi="Times New Roman" w:cs="Times New Roman"/>
        </w:rPr>
        <w:t xml:space="preserve">he six markets considered account for </w:t>
      </w:r>
      <w:r>
        <w:rPr>
          <w:rFonts w:ascii="Times New Roman" w:hAnsi="Times New Roman" w:cs="Times New Roman"/>
        </w:rPr>
        <w:t xml:space="preserve">more than three quarters of the </w:t>
      </w:r>
      <w:r w:rsidRPr="002954A3">
        <w:rPr>
          <w:rFonts w:ascii="Times New Roman" w:hAnsi="Times New Roman" w:cs="Times New Roman"/>
          <w:lang w:val="en-GB"/>
        </w:rPr>
        <w:t>J.P</w:t>
      </w:r>
      <w:r>
        <w:rPr>
          <w:rFonts w:ascii="Times New Roman" w:hAnsi="Times New Roman" w:cs="Times New Roman"/>
        </w:rPr>
        <w:t xml:space="preserve"> Morgan GBI Global Index. The index tracks the local-currency government debt market of the most important developed countries and it is widely used by fixed income investors as benchmark.</w:t>
      </w:r>
      <w:r w:rsidRPr="00DB60A9">
        <w:rPr>
          <w:rFonts w:ascii="Times New Roman" w:hAnsi="Times New Roman" w:cs="Times New Roman"/>
        </w:rPr>
        <w:t xml:space="preserve"> </w:t>
      </w:r>
      <w:r>
        <w:rPr>
          <w:rFonts w:ascii="Times New Roman" w:hAnsi="Times New Roman" w:cs="Times New Roman"/>
        </w:rPr>
        <w:t xml:space="preserve">These countries were chosen based on data availability and market capitalisation criteria. Moreover, the countries also cover four continents and two hemispheres.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Table </w:t>
      </w:r>
      <w:r w:rsidR="00A95985">
        <w:rPr>
          <w:rFonts w:ascii="Times New Roman" w:hAnsi="Times New Roman" w:cs="Times New Roman"/>
        </w:rPr>
        <w:t>3.</w:t>
      </w:r>
      <w:r>
        <w:rPr>
          <w:rFonts w:ascii="Times New Roman" w:hAnsi="Times New Roman" w:cs="Times New Roman"/>
        </w:rPr>
        <w:t>1 shows descriptive statistics for total excess returns expressed in local currency on nominal bonds, inflation-linked bonds, comparator indices and stocks for each of the considered countries. For each asset class, excess returns are</w:t>
      </w:r>
      <w:r w:rsidRPr="00DB60A9">
        <w:rPr>
          <w:rFonts w:ascii="Times New Roman" w:hAnsi="Times New Roman" w:cs="Times New Roman"/>
        </w:rPr>
        <w:t xml:space="preserve"> computed by subtracting the previous period three-month interbank rate</w:t>
      </w:r>
      <w:r w:rsidRPr="00DB60A9">
        <w:rPr>
          <w:rStyle w:val="FootnoteReference"/>
          <w:rFonts w:ascii="Times New Roman" w:hAnsi="Times New Roman" w:cs="Times New Roman"/>
        </w:rPr>
        <w:footnoteReference w:id="21"/>
      </w:r>
      <w:r w:rsidRPr="00DB60A9">
        <w:rPr>
          <w:rFonts w:ascii="Times New Roman" w:hAnsi="Times New Roman" w:cs="Times New Roman"/>
        </w:rPr>
        <w:t xml:space="preserve"> which is obtained from Bloomberg. </w:t>
      </w:r>
      <w:r w:rsidRPr="00737786">
        <w:rPr>
          <w:rFonts w:ascii="Times New Roman" w:hAnsi="Times New Roman" w:cs="Times New Roman"/>
        </w:rPr>
        <w:t xml:space="preserve">For each country, the </w:t>
      </w:r>
      <w:r>
        <w:rPr>
          <w:rFonts w:ascii="Times New Roman" w:hAnsi="Times New Roman" w:cs="Times New Roman"/>
        </w:rPr>
        <w:t xml:space="preserve">indices and </w:t>
      </w:r>
      <w:r w:rsidRPr="00737786">
        <w:rPr>
          <w:rFonts w:ascii="Times New Roman" w:hAnsi="Times New Roman" w:cs="Times New Roman"/>
        </w:rPr>
        <w:t>three-month rates are expressed in local currency</w:t>
      </w:r>
      <w:r>
        <w:rPr>
          <w:rFonts w:ascii="Times New Roman" w:hAnsi="Times New Roman" w:cs="Times New Roman"/>
        </w:rPr>
        <w:t xml:space="preserve"> and the excess returns are consistent with hedged returns denominated in the local currency.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 </w:t>
      </w:r>
      <w:r w:rsidRPr="00DB60A9">
        <w:rPr>
          <w:rFonts w:ascii="Times New Roman" w:hAnsi="Times New Roman" w:cs="Times New Roman"/>
        </w:rPr>
        <w:t xml:space="preserve">For bond markets, </w:t>
      </w:r>
      <w:r>
        <w:rPr>
          <w:rFonts w:ascii="Times New Roman" w:hAnsi="Times New Roman" w:cs="Times New Roman"/>
        </w:rPr>
        <w:t>the Datastream</w:t>
      </w:r>
      <w:r w:rsidRPr="00DB60A9">
        <w:rPr>
          <w:rFonts w:ascii="Times New Roman" w:hAnsi="Times New Roman" w:cs="Times New Roman"/>
        </w:rPr>
        <w:t xml:space="preserve"> total return ind</w:t>
      </w:r>
      <w:r>
        <w:rPr>
          <w:rFonts w:ascii="Times New Roman" w:hAnsi="Times New Roman" w:cs="Times New Roman"/>
        </w:rPr>
        <w:t>ices</w:t>
      </w:r>
      <w:r w:rsidRPr="00DB60A9">
        <w:rPr>
          <w:rFonts w:ascii="Times New Roman" w:hAnsi="Times New Roman" w:cs="Times New Roman"/>
        </w:rPr>
        <w:t xml:space="preserve"> for the period </w:t>
      </w:r>
      <w:r>
        <w:rPr>
          <w:rFonts w:ascii="Times New Roman" w:hAnsi="Times New Roman" w:cs="Times New Roman"/>
        </w:rPr>
        <w:t xml:space="preserve">January 1980 – December </w:t>
      </w:r>
      <w:r w:rsidRPr="00737786">
        <w:rPr>
          <w:rFonts w:ascii="Times New Roman" w:hAnsi="Times New Roman" w:cs="Times New Roman"/>
        </w:rPr>
        <w:t>2013</w:t>
      </w:r>
      <w:r w:rsidRPr="00DB60A9">
        <w:rPr>
          <w:rFonts w:ascii="Times New Roman" w:hAnsi="Times New Roman" w:cs="Times New Roman"/>
        </w:rPr>
        <w:t xml:space="preserve"> </w:t>
      </w:r>
      <w:r>
        <w:rPr>
          <w:rFonts w:ascii="Times New Roman" w:hAnsi="Times New Roman" w:cs="Times New Roman"/>
        </w:rPr>
        <w:t>are</w:t>
      </w:r>
      <w:r w:rsidRPr="00DB60A9">
        <w:rPr>
          <w:rFonts w:ascii="Times New Roman" w:hAnsi="Times New Roman" w:cs="Times New Roman"/>
        </w:rPr>
        <w:t xml:space="preserve"> extracted from Thompson Financial Datastream</w:t>
      </w:r>
      <w:r>
        <w:rPr>
          <w:rStyle w:val="FootnoteReference"/>
          <w:rFonts w:ascii="Times New Roman" w:hAnsi="Times New Roman" w:cs="Times New Roman"/>
        </w:rPr>
        <w:footnoteReference w:id="22"/>
      </w:r>
      <w:r w:rsidRPr="00DB60A9">
        <w:rPr>
          <w:rFonts w:ascii="Times New Roman" w:hAnsi="Times New Roman" w:cs="Times New Roman"/>
        </w:rPr>
        <w:t xml:space="preserve">. </w:t>
      </w:r>
      <w:r>
        <w:rPr>
          <w:rFonts w:ascii="Times New Roman" w:hAnsi="Times New Roman" w:cs="Times New Roman"/>
        </w:rPr>
        <w:t>To validate</w:t>
      </w:r>
      <w:r w:rsidRPr="00B262AF">
        <w:rPr>
          <w:rFonts w:ascii="Times New Roman" w:hAnsi="Times New Roman" w:cs="Times New Roman"/>
        </w:rPr>
        <w:t xml:space="preserve"> the persistence over time, a long sample of US Treasuries from Center for Research in Security prices (CRSP) is considered.</w:t>
      </w:r>
      <w:r w:rsidR="007768BC">
        <w:rPr>
          <w:rFonts w:ascii="Times New Roman" w:hAnsi="Times New Roman" w:cs="Times New Roman"/>
        </w:rPr>
        <w:t xml:space="preserve"> Based on Campbell’s (1991</w:t>
      </w:r>
      <w:r w:rsidRPr="00B262AF">
        <w:rPr>
          <w:rFonts w:ascii="Times New Roman" w:hAnsi="Times New Roman" w:cs="Times New Roman"/>
        </w:rPr>
        <w:t>) observation and consistent with Kamstra, Kramer and Levi (2014), the start of the sample is 1952. The source of inflation-linked bond and so-called</w:t>
      </w:r>
      <w:r>
        <w:rPr>
          <w:rFonts w:ascii="Times New Roman" w:hAnsi="Times New Roman" w:cs="Times New Roman"/>
        </w:rPr>
        <w:t xml:space="preserve"> comparator bond indices is Barclays Capital. The number of </w:t>
      </w:r>
      <w:r w:rsidR="008E1002">
        <w:rPr>
          <w:rFonts w:ascii="Times New Roman" w:hAnsi="Times New Roman" w:cs="Times New Roman"/>
        </w:rPr>
        <w:t xml:space="preserve">monthly </w:t>
      </w:r>
      <w:r>
        <w:rPr>
          <w:rFonts w:ascii="Times New Roman" w:hAnsi="Times New Roman" w:cs="Times New Roman"/>
        </w:rPr>
        <w:t xml:space="preserve">observation is 390 for United Kingdom, but it is quite limited for some countries (93 monthly observations in case of Germany for example).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The samples of inflation-linked bond and comparator indices are identical. The comparator indices are made up of nominal bonds in order to match the characteristics of inflation-linked bonds (the maturity of constituents and weights). This is useful for investors to compare the investment in a nominal bond to the one in the real asset and also to run analyses on these two types of bonds. Table </w:t>
      </w:r>
      <w:r w:rsidR="00E32DEF">
        <w:rPr>
          <w:rFonts w:ascii="Times New Roman" w:hAnsi="Times New Roman" w:cs="Times New Roman"/>
        </w:rPr>
        <w:t>3.</w:t>
      </w:r>
      <w:r>
        <w:rPr>
          <w:rFonts w:ascii="Times New Roman" w:hAnsi="Times New Roman" w:cs="Times New Roman"/>
        </w:rPr>
        <w:t>1 shows that there are some differences in the average modified duration between ILB</w:t>
      </w:r>
      <w:r w:rsidR="00D24F15">
        <w:rPr>
          <w:rFonts w:ascii="Times New Roman" w:hAnsi="Times New Roman" w:cs="Times New Roman"/>
        </w:rPr>
        <w:t>s</w:t>
      </w:r>
      <w:r>
        <w:rPr>
          <w:rFonts w:ascii="Times New Roman" w:hAnsi="Times New Roman" w:cs="Times New Roman"/>
        </w:rPr>
        <w:t xml:space="preserve"> and comparator bonds</w:t>
      </w:r>
      <w:r w:rsidR="00D24F15">
        <w:rPr>
          <w:rFonts w:ascii="Times New Roman" w:hAnsi="Times New Roman" w:cs="Times New Roman"/>
        </w:rPr>
        <w:t xml:space="preserve"> (nominal (comparator) bonds have higher yields and this is consistent with a lower duration than ILBs)</w:t>
      </w:r>
      <w:r>
        <w:rPr>
          <w:rFonts w:ascii="Times New Roman" w:hAnsi="Times New Roman" w:cs="Times New Roman"/>
        </w:rPr>
        <w:t>. They also differ in what concerns the liquidity, credit risk and tax treatments</w:t>
      </w:r>
      <w:r>
        <w:rPr>
          <w:rStyle w:val="FootnoteReference"/>
          <w:rFonts w:ascii="Times New Roman" w:hAnsi="Times New Roman" w:cs="Times New Roman"/>
        </w:rPr>
        <w:footnoteReference w:id="23"/>
      </w:r>
      <w:r>
        <w:rPr>
          <w:rFonts w:ascii="Times New Roman" w:hAnsi="Times New Roman" w:cs="Times New Roman"/>
        </w:rPr>
        <w:t>.</w:t>
      </w:r>
    </w:p>
    <w:p w:rsidR="0005594A" w:rsidRDefault="0005594A" w:rsidP="0005594A">
      <w:pPr>
        <w:spacing w:after="0" w:line="360" w:lineRule="auto"/>
        <w:ind w:firstLine="720"/>
        <w:jc w:val="both"/>
        <w:rPr>
          <w:rFonts w:ascii="Times New Roman" w:hAnsi="Times New Roman" w:cs="Times New Roman"/>
          <w:noProof/>
        </w:rPr>
      </w:pPr>
      <w:r w:rsidRPr="00DB4C0D">
        <w:rPr>
          <w:rFonts w:ascii="Times New Roman" w:hAnsi="Times New Roman" w:cs="Times New Roman"/>
          <w:noProof/>
        </w:rPr>
        <w:lastRenderedPageBreak/>
        <w:t>G</w:t>
      </w:r>
      <w:r w:rsidRPr="00DB4C0D">
        <w:rPr>
          <w:rFonts w:ascii="Times New Roman" w:hAnsi="Times New Roman" w:cs="Times New Roman"/>
        </w:rPr>
        <w:t>iven the different nature of government bonds and stocks</w:t>
      </w:r>
      <w:r w:rsidR="00DB4C0D">
        <w:rPr>
          <w:rStyle w:val="FootnoteReference"/>
          <w:rFonts w:ascii="Times New Roman" w:hAnsi="Times New Roman" w:cs="Times New Roman"/>
        </w:rPr>
        <w:footnoteReference w:id="24"/>
      </w:r>
      <w:r w:rsidRPr="00DB60A9">
        <w:rPr>
          <w:rFonts w:ascii="Times New Roman" w:hAnsi="Times New Roman" w:cs="Times New Roman"/>
        </w:rPr>
        <w:t xml:space="preserve">, </w:t>
      </w:r>
      <w:r>
        <w:rPr>
          <w:rFonts w:ascii="Times New Roman" w:hAnsi="Times New Roman" w:cs="Times New Roman"/>
        </w:rPr>
        <w:t>I analyse the seasonal patterns in equity returns. Moreover, most of academic papers are focused on the stock market and the explanation found for bond seasonal patterns should also be consistent with the seasonal pattern in stock returns to the extent that the seasonality pattern is related. Thus, t</w:t>
      </w:r>
      <w:r w:rsidRPr="00AC1C1D">
        <w:rPr>
          <w:rFonts w:ascii="Times New Roman" w:hAnsi="Times New Roman" w:cs="Times New Roman"/>
        </w:rPr>
        <w:t>otal return indices from Morgan Stanley C</w:t>
      </w:r>
      <w:r>
        <w:rPr>
          <w:rFonts w:ascii="Times New Roman" w:hAnsi="Times New Roman" w:cs="Times New Roman"/>
        </w:rPr>
        <w:t xml:space="preserve">apital International (MSCI) </w:t>
      </w:r>
      <w:r w:rsidRPr="00AC1C1D">
        <w:rPr>
          <w:rFonts w:ascii="Times New Roman" w:hAnsi="Times New Roman" w:cs="Times New Roman"/>
        </w:rPr>
        <w:t>fro</w:t>
      </w:r>
      <w:r>
        <w:rPr>
          <w:rFonts w:ascii="Times New Roman" w:hAnsi="Times New Roman" w:cs="Times New Roman"/>
        </w:rPr>
        <w:t>m Thompson Financial Datastream are used to measure the performance of local equity markets for the period 1975 – 2013. These market cap indices are often used as a benchmark and track the investment opportunities in the country.</w:t>
      </w:r>
    </w:p>
    <w:p w:rsidR="0005594A" w:rsidRPr="00B67F36"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For the analysis, I also consider inflation rate measures. The indices chosen to gauge inflation dynamics are the official price indices used for the indexation of the cash-flows of inflation-linked bonds (coupon payments and principal). Inflation data are extracted from Bloomberg and Datastream and span from January 1980 to December 2013. More details about the indices can be found in Table A.1 in the Appendix</w:t>
      </w:r>
      <w:r w:rsidR="008E191F">
        <w:rPr>
          <w:rFonts w:ascii="Times New Roman" w:hAnsi="Times New Roman" w:cs="Times New Roman"/>
        </w:rPr>
        <w:t xml:space="preserve"> A</w:t>
      </w:r>
      <w:r>
        <w:rPr>
          <w:rFonts w:ascii="Times New Roman" w:hAnsi="Times New Roman" w:cs="Times New Roman"/>
        </w:rPr>
        <w:t>.</w:t>
      </w:r>
    </w:p>
    <w:p w:rsidR="0005594A" w:rsidRDefault="0005594A" w:rsidP="0005594A">
      <w:pPr>
        <w:spacing w:after="0" w:line="360" w:lineRule="auto"/>
        <w:jc w:val="both"/>
        <w:rPr>
          <w:rFonts w:ascii="Times New Roman" w:hAnsi="Times New Roman" w:cs="Times New Roman"/>
          <w:b/>
          <w:noProof/>
          <w:sz w:val="20"/>
          <w:szCs w:val="20"/>
        </w:rPr>
      </w:pPr>
    </w:p>
    <w:p w:rsidR="0005594A" w:rsidRPr="00E32DEF" w:rsidRDefault="0005594A" w:rsidP="00E32DEF">
      <w:pPr>
        <w:spacing w:after="120" w:line="360" w:lineRule="auto"/>
        <w:jc w:val="center"/>
        <w:rPr>
          <w:rFonts w:ascii="Times New Roman" w:hAnsi="Times New Roman" w:cs="Times New Roman"/>
          <w:noProof/>
        </w:rPr>
      </w:pPr>
      <w:r w:rsidRPr="002D5F6D">
        <w:rPr>
          <w:rFonts w:ascii="Times New Roman" w:hAnsi="Times New Roman" w:cs="Times New Roman"/>
          <w:noProof/>
        </w:rPr>
        <w:t xml:space="preserve">Table </w:t>
      </w:r>
      <w:r w:rsidR="00A95985">
        <w:rPr>
          <w:rFonts w:ascii="Times New Roman" w:hAnsi="Times New Roman" w:cs="Times New Roman"/>
          <w:noProof/>
        </w:rPr>
        <w:t>3.</w:t>
      </w:r>
      <w:r w:rsidRPr="002D5F6D">
        <w:rPr>
          <w:rFonts w:ascii="Times New Roman" w:hAnsi="Times New Roman" w:cs="Times New Roman"/>
          <w:noProof/>
        </w:rPr>
        <w:t>1: Descriptive Statistic</w:t>
      </w:r>
      <w:r w:rsidR="00E32DEF">
        <w:rPr>
          <w:rFonts w:ascii="Times New Roman" w:hAnsi="Times New Roman" w:cs="Times New Roman"/>
          <w:noProof/>
        </w:rPr>
        <w:t>s</w:t>
      </w:r>
    </w:p>
    <w:tbl>
      <w:tblPr>
        <w:tblW w:w="10093" w:type="dxa"/>
        <w:jc w:val="center"/>
        <w:tblInd w:w="108" w:type="dxa"/>
        <w:tblLook w:val="04A0"/>
      </w:tblPr>
      <w:tblGrid>
        <w:gridCol w:w="1774"/>
        <w:gridCol w:w="1737"/>
        <w:gridCol w:w="1035"/>
        <w:gridCol w:w="1172"/>
        <w:gridCol w:w="1135"/>
        <w:gridCol w:w="1017"/>
        <w:gridCol w:w="1050"/>
        <w:gridCol w:w="1173"/>
      </w:tblGrid>
      <w:tr w:rsidR="0005594A" w:rsidRPr="00A8714A" w:rsidTr="00D0485F">
        <w:trPr>
          <w:trHeight w:val="765"/>
          <w:jc w:val="center"/>
        </w:trPr>
        <w:tc>
          <w:tcPr>
            <w:tcW w:w="1774"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Country/Sample start</w:t>
            </w:r>
          </w:p>
        </w:tc>
        <w:tc>
          <w:tcPr>
            <w:tcW w:w="1737" w:type="dxa"/>
            <w:tcBorders>
              <w:top w:val="single" w:sz="4" w:space="0" w:color="auto"/>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Asset Class</w:t>
            </w:r>
          </w:p>
        </w:tc>
        <w:tc>
          <w:tcPr>
            <w:tcW w:w="1035" w:type="dxa"/>
            <w:tcBorders>
              <w:top w:val="single" w:sz="4" w:space="0" w:color="auto"/>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Nb. Obs.</w:t>
            </w:r>
          </w:p>
        </w:tc>
        <w:tc>
          <w:tcPr>
            <w:tcW w:w="1172"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Average</w:t>
            </w:r>
          </w:p>
        </w:tc>
        <w:tc>
          <w:tcPr>
            <w:tcW w:w="1135"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Standard Deviation</w:t>
            </w:r>
          </w:p>
        </w:tc>
        <w:tc>
          <w:tcPr>
            <w:tcW w:w="1017"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Minimum</w:t>
            </w:r>
          </w:p>
        </w:tc>
        <w:tc>
          <w:tcPr>
            <w:tcW w:w="1050"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Maximum</w:t>
            </w:r>
          </w:p>
        </w:tc>
        <w:tc>
          <w:tcPr>
            <w:tcW w:w="1173" w:type="dxa"/>
            <w:tcBorders>
              <w:top w:val="single" w:sz="4" w:space="0" w:color="auto"/>
              <w:left w:val="nil"/>
              <w:bottom w:val="single" w:sz="4" w:space="0" w:color="auto"/>
              <w:right w:val="nil"/>
            </w:tcBorders>
            <w:shd w:val="clear" w:color="auto" w:fill="auto"/>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Average Duration (Years)</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Australia</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136</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4.3%</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1.8%</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-0.5%</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4.1%</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Mar-87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322</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4.2%</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4.4</w:t>
            </w:r>
          </w:p>
        </w:tc>
      </w:tr>
      <w:tr w:rsidR="0005594A" w:rsidRPr="00A8714A" w:rsidTr="00D0485F">
        <w:trPr>
          <w:trHeight w:val="300"/>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May-97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2.6%</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-4.3%</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5.2%</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8.7</w:t>
            </w:r>
          </w:p>
        </w:tc>
      </w:tr>
      <w:tr w:rsidR="0005594A" w:rsidRPr="00A8714A" w:rsidTr="00D0485F">
        <w:trPr>
          <w:trHeight w:val="300"/>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May-97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2.2%</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6.1%</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-4.3%</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6.7%</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6.4</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5.9%</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17.8%</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-42.2%</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20.0%</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Canada</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3.2%</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1.4%</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-1.0%</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2.6%</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348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3.0%</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5.4%</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-5.6%</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6.1%</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6.0</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204</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4.3%</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7.5%</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-10.3%</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8.7%</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15.6</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204</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4.5%</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6.9%</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7.3%</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11.5</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16.6%</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-22.4%</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16.0%</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Germany</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2.2%</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1.1%</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-0.8%</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1.7%</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Jan-80</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1.8%</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-5.0%</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3.8%</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5.0</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Apr-06</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93</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4.5%</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-5.0%</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5.4%</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6.2</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Apr-06</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93</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2.5%</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3.1%</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5.4</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6.6%</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-25.2%</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20.7%</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Japan</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0.9%</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1.5%</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-1.1%</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Jan-82</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384</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2.3%</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3.7%</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-4.8%</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5.5</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Apr-04</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117</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5.4%</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-9.8%</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6.9</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Apr-04</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117</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1.7%</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2.8%</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2.7%</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6.7</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4.3%</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18.4%</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-21.1%</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19.6%</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United Kingdom</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4.2%</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1.7%</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-1.4%</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3.4%</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Jan-80</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6.4%</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-7.5%</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6.3%</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6.8</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lastRenderedPageBreak/>
              <w:t>Jul-81</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0.3%</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7.2%</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9.3%</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13.0</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Jul-81</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2.7%</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-8.0%</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8.9%</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8.4</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7.8%</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19.2%</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-26.8%</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53.0%</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United States</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3.3%</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1.2%</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1.5%</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Jan-80</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5.5%</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-6.4%</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8.1%</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4.9</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Mar-97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202</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-8.6%</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5.8%</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8.4</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Mar-97</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202</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3.2%</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6.5%</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-6.5%</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7.0%</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7.2</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6.6%</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15.2%</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-21.9%</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12.8%</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Jan-52</w:t>
            </w:r>
          </w:p>
        </w:tc>
        <w:tc>
          <w:tcPr>
            <w:tcW w:w="1737"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CRSP Universe</w:t>
            </w:r>
          </w:p>
        </w:tc>
        <w:tc>
          <w:tcPr>
            <w:tcW w:w="1035"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744</w:t>
            </w:r>
          </w:p>
        </w:tc>
        <w:tc>
          <w:tcPr>
            <w:tcW w:w="1172"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1.6%</w:t>
            </w:r>
          </w:p>
        </w:tc>
        <w:tc>
          <w:tcPr>
            <w:tcW w:w="1135"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5.8%</w:t>
            </w:r>
          </w:p>
        </w:tc>
        <w:tc>
          <w:tcPr>
            <w:tcW w:w="1017"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-6.2%</w:t>
            </w:r>
          </w:p>
        </w:tc>
        <w:tc>
          <w:tcPr>
            <w:tcW w:w="1050"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9.1%</w:t>
            </w:r>
          </w:p>
        </w:tc>
        <w:tc>
          <w:tcPr>
            <w:tcW w:w="1173" w:type="dxa"/>
            <w:tcBorders>
              <w:top w:val="nil"/>
              <w:left w:val="nil"/>
              <w:bottom w:val="nil"/>
              <w:right w:val="nil"/>
            </w:tcBorders>
            <w:shd w:val="clear" w:color="auto" w:fill="auto"/>
            <w:noWrap/>
            <w:vAlign w:val="center"/>
            <w:hideMark/>
          </w:tcPr>
          <w:p w:rsidR="0005594A" w:rsidRPr="0004554E" w:rsidRDefault="0005594A" w:rsidP="00D0485F">
            <w:pPr>
              <w:spacing w:after="0" w:line="240" w:lineRule="auto"/>
              <w:jc w:val="center"/>
              <w:rPr>
                <w:rFonts w:ascii="Times New Roman" w:eastAsia="Times New Roman" w:hAnsi="Times New Roman" w:cs="Times New Roman"/>
                <w:color w:val="000000"/>
                <w:sz w:val="20"/>
                <w:szCs w:val="20"/>
              </w:rPr>
            </w:pPr>
            <w:r w:rsidRPr="0004554E">
              <w:rPr>
                <w:rFonts w:ascii="Times New Roman" w:eastAsia="Times New Roman" w:hAnsi="Times New Roman" w:cs="Times New Roman"/>
                <w:color w:val="000000"/>
                <w:sz w:val="20"/>
                <w:szCs w:val="20"/>
              </w:rPr>
              <w:t>10.7</w:t>
            </w:r>
            <w:r>
              <w:rPr>
                <w:rFonts w:ascii="Times New Roman" w:eastAsia="Times New Roman" w:hAnsi="Times New Roman" w:cs="Times New Roman"/>
                <w:color w:val="000000"/>
                <w:sz w:val="20"/>
                <w:szCs w:val="20"/>
              </w:rPr>
              <w:t>**</w:t>
            </w:r>
          </w:p>
        </w:tc>
      </w:tr>
      <w:tr w:rsidR="0005594A" w:rsidRPr="00A8714A" w:rsidTr="00D0485F">
        <w:trPr>
          <w:trHeight w:val="255"/>
          <w:jc w:val="center"/>
        </w:trPr>
        <w:tc>
          <w:tcPr>
            <w:tcW w:w="1774"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b/>
                <w:bCs/>
                <w:color w:val="000000"/>
                <w:sz w:val="20"/>
                <w:szCs w:val="20"/>
              </w:rPr>
            </w:pPr>
            <w:r w:rsidRPr="00A8714A">
              <w:rPr>
                <w:rFonts w:ascii="Times New Roman" w:eastAsia="Times New Roman" w:hAnsi="Times New Roman" w:cs="Times New Roman"/>
                <w:b/>
                <w:bCs/>
                <w:color w:val="000000"/>
                <w:sz w:val="20"/>
                <w:szCs w:val="20"/>
              </w:rPr>
              <w:t>Developed</w:t>
            </w:r>
          </w:p>
        </w:tc>
        <w:tc>
          <w:tcPr>
            <w:tcW w:w="173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Inflation</w:t>
            </w:r>
          </w:p>
        </w:tc>
        <w:tc>
          <w:tcPr>
            <w:tcW w:w="10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2.8%</w:t>
            </w:r>
          </w:p>
        </w:tc>
        <w:tc>
          <w:tcPr>
            <w:tcW w:w="1135"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0.9%</w:t>
            </w:r>
          </w:p>
        </w:tc>
        <w:tc>
          <w:tcPr>
            <w:tcW w:w="1017"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-0.9%</w:t>
            </w:r>
          </w:p>
        </w:tc>
        <w:tc>
          <w:tcPr>
            <w:tcW w:w="1050"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1.5%</w:t>
            </w:r>
          </w:p>
        </w:tc>
        <w:tc>
          <w:tcPr>
            <w:tcW w:w="1173" w:type="dxa"/>
            <w:tcBorders>
              <w:top w:val="nil"/>
              <w:left w:val="nil"/>
              <w:bottom w:val="nil"/>
              <w:right w:val="nil"/>
            </w:tcBorders>
            <w:shd w:val="clear" w:color="000000" w:fill="F2F2F2"/>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Jan-80</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Nominal</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408</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2.1%</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4.0%</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-4.1%</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5.4</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Jul-81</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Infl-link</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0.3%</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6.3%</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-6.5%</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7.8%</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9.8</w:t>
            </w:r>
          </w:p>
        </w:tc>
      </w:tr>
      <w:tr w:rsidR="0005594A" w:rsidRPr="00A8714A" w:rsidTr="00D0485F">
        <w:trPr>
          <w:trHeight w:val="255"/>
          <w:jc w:val="center"/>
        </w:trPr>
        <w:tc>
          <w:tcPr>
            <w:tcW w:w="1774"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Jul-81</w:t>
            </w:r>
          </w:p>
        </w:tc>
        <w:tc>
          <w:tcPr>
            <w:tcW w:w="173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Comparator</w:t>
            </w:r>
          </w:p>
        </w:tc>
        <w:tc>
          <w:tcPr>
            <w:tcW w:w="10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390</w:t>
            </w:r>
          </w:p>
        </w:tc>
        <w:tc>
          <w:tcPr>
            <w:tcW w:w="1172"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2.8%</w:t>
            </w:r>
          </w:p>
        </w:tc>
        <w:tc>
          <w:tcPr>
            <w:tcW w:w="1135"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7.6%</w:t>
            </w:r>
          </w:p>
        </w:tc>
        <w:tc>
          <w:tcPr>
            <w:tcW w:w="1017"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-8.0%</w:t>
            </w:r>
          </w:p>
        </w:tc>
        <w:tc>
          <w:tcPr>
            <w:tcW w:w="1050"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8.9%</w:t>
            </w:r>
          </w:p>
        </w:tc>
        <w:tc>
          <w:tcPr>
            <w:tcW w:w="1173" w:type="dxa"/>
            <w:tcBorders>
              <w:top w:val="nil"/>
              <w:left w:val="nil"/>
              <w:bottom w:val="nil"/>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7.6</w:t>
            </w:r>
          </w:p>
        </w:tc>
      </w:tr>
      <w:tr w:rsidR="0005594A" w:rsidRPr="00A8714A" w:rsidTr="00D0485F">
        <w:trPr>
          <w:trHeight w:val="255"/>
          <w:jc w:val="center"/>
        </w:trPr>
        <w:tc>
          <w:tcPr>
            <w:tcW w:w="1774"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Jan-75</w:t>
            </w:r>
          </w:p>
        </w:tc>
        <w:tc>
          <w:tcPr>
            <w:tcW w:w="1737"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Equities</w:t>
            </w:r>
          </w:p>
        </w:tc>
        <w:tc>
          <w:tcPr>
            <w:tcW w:w="1035"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468</w:t>
            </w:r>
          </w:p>
        </w:tc>
        <w:tc>
          <w:tcPr>
            <w:tcW w:w="1172"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6.0%</w:t>
            </w:r>
          </w:p>
        </w:tc>
        <w:tc>
          <w:tcPr>
            <w:tcW w:w="1135"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13.7%</w:t>
            </w:r>
          </w:p>
        </w:tc>
        <w:tc>
          <w:tcPr>
            <w:tcW w:w="1017"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-24.9%</w:t>
            </w:r>
          </w:p>
        </w:tc>
        <w:tc>
          <w:tcPr>
            <w:tcW w:w="1050"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19.0%</w:t>
            </w:r>
          </w:p>
        </w:tc>
        <w:tc>
          <w:tcPr>
            <w:tcW w:w="1173" w:type="dxa"/>
            <w:tcBorders>
              <w:top w:val="nil"/>
              <w:left w:val="nil"/>
              <w:bottom w:val="single" w:sz="4" w:space="0" w:color="auto"/>
              <w:right w:val="nil"/>
            </w:tcBorders>
            <w:shd w:val="clear" w:color="auto" w:fill="auto"/>
            <w:noWrap/>
            <w:vAlign w:val="center"/>
            <w:hideMark/>
          </w:tcPr>
          <w:p w:rsidR="0005594A" w:rsidRPr="00A8714A" w:rsidRDefault="0005594A" w:rsidP="00D0485F">
            <w:pPr>
              <w:spacing w:after="0" w:line="240" w:lineRule="auto"/>
              <w:jc w:val="center"/>
              <w:rPr>
                <w:rFonts w:ascii="Times New Roman" w:eastAsia="Times New Roman" w:hAnsi="Times New Roman" w:cs="Times New Roman"/>
                <w:color w:val="000000"/>
                <w:sz w:val="20"/>
                <w:szCs w:val="20"/>
              </w:rPr>
            </w:pPr>
            <w:r w:rsidRPr="00A8714A">
              <w:rPr>
                <w:rFonts w:ascii="Times New Roman" w:eastAsia="Times New Roman" w:hAnsi="Times New Roman" w:cs="Times New Roman"/>
                <w:color w:val="000000"/>
                <w:sz w:val="20"/>
                <w:szCs w:val="20"/>
              </w:rPr>
              <w:t xml:space="preserve"> -</w:t>
            </w:r>
          </w:p>
        </w:tc>
      </w:tr>
    </w:tbl>
    <w:p w:rsidR="0005594A" w:rsidRDefault="0005594A" w:rsidP="0005594A">
      <w:pPr>
        <w:spacing w:after="0" w:line="240" w:lineRule="auto"/>
        <w:jc w:val="both"/>
        <w:rPr>
          <w:rFonts w:ascii="Times New Roman" w:hAnsi="Times New Roman" w:cs="Times New Roman"/>
          <w:i/>
          <w:noProof/>
          <w:sz w:val="18"/>
          <w:szCs w:val="18"/>
        </w:rPr>
      </w:pPr>
    </w:p>
    <w:p w:rsidR="0005594A" w:rsidRDefault="0005594A" w:rsidP="0005594A">
      <w:pPr>
        <w:spacing w:after="0" w:line="240" w:lineRule="auto"/>
        <w:jc w:val="both"/>
        <w:rPr>
          <w:rFonts w:ascii="Times New Roman" w:hAnsi="Times New Roman" w:cs="Times New Roman"/>
          <w:noProof/>
          <w:sz w:val="18"/>
          <w:szCs w:val="18"/>
        </w:rPr>
      </w:pPr>
      <w:r w:rsidRPr="00A8714A">
        <w:rPr>
          <w:rFonts w:ascii="Times New Roman" w:hAnsi="Times New Roman" w:cs="Times New Roman"/>
          <w:i/>
          <w:noProof/>
          <w:sz w:val="18"/>
          <w:szCs w:val="18"/>
        </w:rPr>
        <w:t>Notes:</w:t>
      </w:r>
      <w:r>
        <w:rPr>
          <w:rFonts w:ascii="Times New Roman" w:hAnsi="Times New Roman" w:cs="Times New Roman"/>
          <w:noProof/>
          <w:sz w:val="18"/>
          <w:szCs w:val="18"/>
        </w:rPr>
        <w:t xml:space="preserve"> </w:t>
      </w:r>
      <w:r w:rsidRPr="00743EBA">
        <w:rPr>
          <w:rFonts w:ascii="Times New Roman" w:hAnsi="Times New Roman" w:cs="Times New Roman"/>
          <w:noProof/>
          <w:sz w:val="18"/>
          <w:szCs w:val="18"/>
        </w:rPr>
        <w:t xml:space="preserve">The table reports the descriptive statistics </w:t>
      </w:r>
      <w:r>
        <w:rPr>
          <w:rFonts w:ascii="Times New Roman" w:hAnsi="Times New Roman" w:cs="Times New Roman"/>
          <w:noProof/>
          <w:sz w:val="18"/>
          <w:szCs w:val="18"/>
        </w:rPr>
        <w:t>of the asset classes and the inflation rate</w:t>
      </w:r>
      <w:r w:rsidR="00E32DEF">
        <w:rPr>
          <w:rFonts w:ascii="Times New Roman" w:hAnsi="Times New Roman" w:cs="Times New Roman"/>
          <w:noProof/>
          <w:sz w:val="18"/>
          <w:szCs w:val="18"/>
        </w:rPr>
        <w:t xml:space="preserve"> considered in the analysis</w:t>
      </w:r>
      <w:r>
        <w:rPr>
          <w:rFonts w:ascii="Times New Roman" w:hAnsi="Times New Roman" w:cs="Times New Roman"/>
          <w:noProof/>
          <w:sz w:val="18"/>
          <w:szCs w:val="18"/>
        </w:rPr>
        <w:t xml:space="preserve">. The first column contains the start of the sample. For all series, the sample ends in December 2013. In case of </w:t>
      </w:r>
      <w:r w:rsidR="008E1002">
        <w:rPr>
          <w:rFonts w:ascii="Times New Roman" w:hAnsi="Times New Roman" w:cs="Times New Roman"/>
          <w:noProof/>
          <w:sz w:val="18"/>
          <w:szCs w:val="18"/>
        </w:rPr>
        <w:t xml:space="preserve">the </w:t>
      </w:r>
      <w:r>
        <w:rPr>
          <w:rFonts w:ascii="Times New Roman" w:hAnsi="Times New Roman" w:cs="Times New Roman"/>
          <w:noProof/>
          <w:sz w:val="18"/>
          <w:szCs w:val="18"/>
        </w:rPr>
        <w:t>inflation rate, the start of the sample is January 1980 for all countries. The third</w:t>
      </w:r>
      <w:r w:rsidRPr="00743EBA">
        <w:rPr>
          <w:rFonts w:ascii="Times New Roman" w:hAnsi="Times New Roman" w:cs="Times New Roman"/>
          <w:noProof/>
          <w:sz w:val="18"/>
          <w:szCs w:val="18"/>
        </w:rPr>
        <w:t xml:space="preserve"> column contains the number of observations in the sample.</w:t>
      </w:r>
      <w:r>
        <w:rPr>
          <w:rFonts w:ascii="Times New Roman" w:hAnsi="Times New Roman" w:cs="Times New Roman"/>
          <w:noProof/>
          <w:sz w:val="18"/>
          <w:szCs w:val="18"/>
        </w:rPr>
        <w:t xml:space="preserve"> For each country, the table reports statistics on</w:t>
      </w:r>
      <w:r w:rsidR="008E1002">
        <w:rPr>
          <w:rFonts w:ascii="Times New Roman" w:hAnsi="Times New Roman" w:cs="Times New Roman"/>
          <w:noProof/>
          <w:sz w:val="18"/>
          <w:szCs w:val="18"/>
        </w:rPr>
        <w:t xml:space="preserve"> the</w:t>
      </w:r>
      <w:r>
        <w:rPr>
          <w:rFonts w:ascii="Times New Roman" w:hAnsi="Times New Roman" w:cs="Times New Roman"/>
          <w:noProof/>
          <w:sz w:val="18"/>
          <w:szCs w:val="18"/>
        </w:rPr>
        <w:t xml:space="preserve"> local inflation rate (Inflation), </w:t>
      </w:r>
      <w:r w:rsidR="008E1002">
        <w:rPr>
          <w:rFonts w:ascii="Times New Roman" w:hAnsi="Times New Roman" w:cs="Times New Roman"/>
          <w:noProof/>
          <w:sz w:val="18"/>
          <w:szCs w:val="18"/>
        </w:rPr>
        <w:t xml:space="preserve">the </w:t>
      </w:r>
      <w:r>
        <w:rPr>
          <w:rFonts w:ascii="Times New Roman" w:hAnsi="Times New Roman" w:cs="Times New Roman"/>
          <w:noProof/>
          <w:sz w:val="18"/>
          <w:szCs w:val="18"/>
        </w:rPr>
        <w:t xml:space="preserve">local nominal bond index (Nominal), </w:t>
      </w:r>
      <w:r w:rsidR="008E1002">
        <w:rPr>
          <w:rFonts w:ascii="Times New Roman" w:hAnsi="Times New Roman" w:cs="Times New Roman"/>
          <w:noProof/>
          <w:sz w:val="18"/>
          <w:szCs w:val="18"/>
        </w:rPr>
        <w:t xml:space="preserve">the </w:t>
      </w:r>
      <w:r>
        <w:rPr>
          <w:rFonts w:ascii="Times New Roman" w:hAnsi="Times New Roman" w:cs="Times New Roman"/>
          <w:noProof/>
          <w:sz w:val="18"/>
          <w:szCs w:val="18"/>
        </w:rPr>
        <w:t>local inflation-linked bond index (Infl-link),</w:t>
      </w:r>
      <w:r w:rsidR="008E1002">
        <w:rPr>
          <w:rFonts w:ascii="Times New Roman" w:hAnsi="Times New Roman" w:cs="Times New Roman"/>
          <w:noProof/>
          <w:sz w:val="18"/>
          <w:szCs w:val="18"/>
        </w:rPr>
        <w:t xml:space="preserve"> the</w:t>
      </w:r>
      <w:r>
        <w:rPr>
          <w:rFonts w:ascii="Times New Roman" w:hAnsi="Times New Roman" w:cs="Times New Roman"/>
          <w:noProof/>
          <w:sz w:val="18"/>
          <w:szCs w:val="18"/>
        </w:rPr>
        <w:t xml:space="preserve"> local nominal comparator bond index (Comparator) and </w:t>
      </w:r>
      <w:r w:rsidR="008E1002">
        <w:rPr>
          <w:rFonts w:ascii="Times New Roman" w:hAnsi="Times New Roman" w:cs="Times New Roman"/>
          <w:noProof/>
          <w:sz w:val="18"/>
          <w:szCs w:val="18"/>
        </w:rPr>
        <w:t xml:space="preserve">the </w:t>
      </w:r>
      <w:r>
        <w:rPr>
          <w:rFonts w:ascii="Times New Roman" w:hAnsi="Times New Roman" w:cs="Times New Roman"/>
          <w:noProof/>
          <w:sz w:val="18"/>
          <w:szCs w:val="18"/>
        </w:rPr>
        <w:t>local stock market (Equities). In case of U</w:t>
      </w:r>
      <w:r w:rsidR="00E32DEF">
        <w:rPr>
          <w:rFonts w:ascii="Times New Roman" w:hAnsi="Times New Roman" w:cs="Times New Roman"/>
          <w:noProof/>
          <w:sz w:val="18"/>
          <w:szCs w:val="18"/>
        </w:rPr>
        <w:t>.</w:t>
      </w:r>
      <w:r>
        <w:rPr>
          <w:rFonts w:ascii="Times New Roman" w:hAnsi="Times New Roman" w:cs="Times New Roman"/>
          <w:noProof/>
          <w:sz w:val="18"/>
          <w:szCs w:val="18"/>
        </w:rPr>
        <w:t>S</w:t>
      </w:r>
      <w:r w:rsidR="00E32DEF">
        <w:rPr>
          <w:rFonts w:ascii="Times New Roman" w:hAnsi="Times New Roman" w:cs="Times New Roman"/>
          <w:noProof/>
          <w:sz w:val="18"/>
          <w:szCs w:val="18"/>
        </w:rPr>
        <w:t>.</w:t>
      </w:r>
      <w:r>
        <w:rPr>
          <w:rFonts w:ascii="Times New Roman" w:hAnsi="Times New Roman" w:cs="Times New Roman"/>
          <w:noProof/>
          <w:sz w:val="18"/>
          <w:szCs w:val="18"/>
        </w:rPr>
        <w:t>, a longer sample on nominal bond indices from CRSP is added. CRSP Universe stands for an equally-weighted portfolio of U</w:t>
      </w:r>
      <w:r w:rsidR="00E32DEF">
        <w:rPr>
          <w:rFonts w:ascii="Times New Roman" w:hAnsi="Times New Roman" w:cs="Times New Roman"/>
          <w:noProof/>
          <w:sz w:val="18"/>
          <w:szCs w:val="18"/>
        </w:rPr>
        <w:t>.</w:t>
      </w:r>
      <w:r>
        <w:rPr>
          <w:rFonts w:ascii="Times New Roman" w:hAnsi="Times New Roman" w:cs="Times New Roman"/>
          <w:noProof/>
          <w:sz w:val="18"/>
          <w:szCs w:val="18"/>
        </w:rPr>
        <w:t>S</w:t>
      </w:r>
      <w:r w:rsidR="00E32DEF">
        <w:rPr>
          <w:rFonts w:ascii="Times New Roman" w:hAnsi="Times New Roman" w:cs="Times New Roman"/>
          <w:noProof/>
          <w:sz w:val="18"/>
          <w:szCs w:val="18"/>
        </w:rPr>
        <w:t>.</w:t>
      </w:r>
      <w:r>
        <w:rPr>
          <w:rFonts w:ascii="Times New Roman" w:hAnsi="Times New Roman" w:cs="Times New Roman"/>
          <w:noProof/>
          <w:sz w:val="18"/>
          <w:szCs w:val="18"/>
        </w:rPr>
        <w:t xml:space="preserve"> Treasuries with maturities of 1Y, 2Y, 5Y, 7Y, 10Y, 20Y and 30Y. </w:t>
      </w:r>
      <w:r w:rsidRPr="00743EBA">
        <w:rPr>
          <w:rFonts w:ascii="Times New Roman" w:hAnsi="Times New Roman" w:cs="Times New Roman"/>
          <w:noProof/>
          <w:sz w:val="18"/>
          <w:szCs w:val="18"/>
        </w:rPr>
        <w:t xml:space="preserve">The table reports the </w:t>
      </w:r>
      <w:r>
        <w:rPr>
          <w:rFonts w:ascii="Times New Roman" w:hAnsi="Times New Roman" w:cs="Times New Roman"/>
          <w:noProof/>
          <w:sz w:val="18"/>
          <w:szCs w:val="18"/>
        </w:rPr>
        <w:t>annualised average return, annualised</w:t>
      </w:r>
      <w:r w:rsidRPr="00743EBA">
        <w:rPr>
          <w:rFonts w:ascii="Times New Roman" w:hAnsi="Times New Roman" w:cs="Times New Roman"/>
          <w:noProof/>
          <w:sz w:val="18"/>
          <w:szCs w:val="18"/>
        </w:rPr>
        <w:t xml:space="preserve"> standard deviation, minimum, maximum monthly returns and the average</w:t>
      </w:r>
      <w:r>
        <w:rPr>
          <w:rFonts w:ascii="Times New Roman" w:hAnsi="Times New Roman" w:cs="Times New Roman"/>
          <w:noProof/>
          <w:sz w:val="18"/>
          <w:szCs w:val="18"/>
        </w:rPr>
        <w:t xml:space="preserve"> modified</w:t>
      </w:r>
      <w:r w:rsidRPr="00743EBA">
        <w:rPr>
          <w:rFonts w:ascii="Times New Roman" w:hAnsi="Times New Roman" w:cs="Times New Roman"/>
          <w:noProof/>
          <w:sz w:val="18"/>
          <w:szCs w:val="18"/>
        </w:rPr>
        <w:t xml:space="preserve"> duration of the bonds. Developed stands for an equally-weighted port</w:t>
      </w:r>
      <w:r>
        <w:rPr>
          <w:rFonts w:ascii="Times New Roman" w:hAnsi="Times New Roman" w:cs="Times New Roman"/>
          <w:noProof/>
          <w:sz w:val="18"/>
          <w:szCs w:val="18"/>
        </w:rPr>
        <w:t>folio</w:t>
      </w:r>
      <w:r w:rsidR="00E32DEF">
        <w:rPr>
          <w:rFonts w:ascii="Times New Roman" w:hAnsi="Times New Roman" w:cs="Times New Roman"/>
          <w:noProof/>
          <w:sz w:val="18"/>
          <w:szCs w:val="18"/>
        </w:rPr>
        <w:t xml:space="preserve"> of the six markets</w:t>
      </w:r>
      <w:r>
        <w:rPr>
          <w:rFonts w:ascii="Times New Roman" w:hAnsi="Times New Roman" w:cs="Times New Roman"/>
          <w:noProof/>
          <w:sz w:val="18"/>
          <w:szCs w:val="18"/>
        </w:rPr>
        <w:t xml:space="preserve">. The number of countries included depends on the data availability. </w:t>
      </w:r>
      <w:r w:rsidRPr="00743EBA">
        <w:rPr>
          <w:rFonts w:ascii="Times New Roman" w:hAnsi="Times New Roman" w:cs="Times New Roman"/>
          <w:noProof/>
          <w:sz w:val="18"/>
          <w:szCs w:val="18"/>
        </w:rPr>
        <w:t xml:space="preserve"> </w:t>
      </w:r>
    </w:p>
    <w:p w:rsidR="0005594A" w:rsidRDefault="0005594A" w:rsidP="0005594A">
      <w:pPr>
        <w:spacing w:after="0" w:line="240" w:lineRule="auto"/>
        <w:jc w:val="both"/>
        <w:rPr>
          <w:rFonts w:ascii="Times New Roman" w:hAnsi="Times New Roman" w:cs="Times New Roman"/>
          <w:noProof/>
          <w:sz w:val="18"/>
          <w:szCs w:val="18"/>
        </w:rPr>
      </w:pPr>
      <w:r>
        <w:rPr>
          <w:rFonts w:ascii="Times New Roman" w:hAnsi="Times New Roman" w:cs="Times New Roman"/>
          <w:noProof/>
          <w:sz w:val="18"/>
          <w:szCs w:val="18"/>
        </w:rPr>
        <w:t xml:space="preserve">* For Australia, the frequency of inflation rate data is quarterly. The minimum and maximum values are thus reported at </w:t>
      </w:r>
      <w:r w:rsidR="008E1002">
        <w:rPr>
          <w:rFonts w:ascii="Times New Roman" w:hAnsi="Times New Roman" w:cs="Times New Roman"/>
          <w:noProof/>
          <w:sz w:val="18"/>
          <w:szCs w:val="18"/>
        </w:rPr>
        <w:t xml:space="preserve">the </w:t>
      </w:r>
      <w:r>
        <w:rPr>
          <w:rFonts w:ascii="Times New Roman" w:hAnsi="Times New Roman" w:cs="Times New Roman"/>
          <w:noProof/>
          <w:sz w:val="18"/>
          <w:szCs w:val="18"/>
        </w:rPr>
        <w:t xml:space="preserve">quarterly frequency. </w:t>
      </w:r>
    </w:p>
    <w:p w:rsidR="0005594A" w:rsidRPr="00A8714A" w:rsidRDefault="00E32DEF" w:rsidP="0005594A">
      <w:pPr>
        <w:spacing w:after="0" w:line="240" w:lineRule="auto"/>
        <w:jc w:val="both"/>
        <w:rPr>
          <w:rFonts w:ascii="Times New Roman" w:hAnsi="Times New Roman" w:cs="Times New Roman"/>
          <w:noProof/>
          <w:sz w:val="18"/>
          <w:szCs w:val="18"/>
        </w:rPr>
      </w:pPr>
      <w:r>
        <w:rPr>
          <w:rFonts w:ascii="Times New Roman" w:hAnsi="Times New Roman" w:cs="Times New Roman"/>
          <w:noProof/>
          <w:sz w:val="18"/>
          <w:szCs w:val="18"/>
        </w:rPr>
        <w:t>** For</w:t>
      </w:r>
      <w:r w:rsidR="0005594A">
        <w:rPr>
          <w:rFonts w:ascii="Times New Roman" w:hAnsi="Times New Roman" w:cs="Times New Roman"/>
          <w:noProof/>
          <w:sz w:val="18"/>
          <w:szCs w:val="18"/>
        </w:rPr>
        <w:t xml:space="preserve"> </w:t>
      </w:r>
      <w:r w:rsidR="008E1002">
        <w:rPr>
          <w:rFonts w:ascii="Times New Roman" w:hAnsi="Times New Roman" w:cs="Times New Roman"/>
          <w:noProof/>
          <w:sz w:val="18"/>
          <w:szCs w:val="18"/>
        </w:rPr>
        <w:t xml:space="preserve">the </w:t>
      </w:r>
      <w:r w:rsidR="0005594A">
        <w:rPr>
          <w:rFonts w:ascii="Times New Roman" w:hAnsi="Times New Roman" w:cs="Times New Roman"/>
          <w:noProof/>
          <w:sz w:val="18"/>
          <w:szCs w:val="18"/>
        </w:rPr>
        <w:t>CRSP Universe, the average maturity of the bonds in the portfolio is reported</w:t>
      </w:r>
      <w:r>
        <w:rPr>
          <w:rFonts w:ascii="Times New Roman" w:hAnsi="Times New Roman" w:cs="Times New Roman"/>
          <w:noProof/>
          <w:sz w:val="18"/>
          <w:szCs w:val="18"/>
        </w:rPr>
        <w:t xml:space="preserve"> instead of average modified duration</w:t>
      </w:r>
      <w:r w:rsidR="0005594A">
        <w:rPr>
          <w:rFonts w:ascii="Times New Roman" w:hAnsi="Times New Roman" w:cs="Times New Roman"/>
          <w:noProof/>
          <w:sz w:val="18"/>
          <w:szCs w:val="18"/>
        </w:rPr>
        <w:t>.</w:t>
      </w:r>
    </w:p>
    <w:p w:rsidR="0005594A" w:rsidRDefault="0005594A" w:rsidP="0005594A">
      <w:pPr>
        <w:spacing w:after="0" w:line="240" w:lineRule="auto"/>
        <w:jc w:val="both"/>
        <w:rPr>
          <w:rFonts w:ascii="Times New Roman" w:hAnsi="Times New Roman" w:cs="Times New Roman"/>
          <w:noProof/>
          <w:sz w:val="18"/>
          <w:szCs w:val="18"/>
        </w:rPr>
      </w:pPr>
    </w:p>
    <w:p w:rsidR="0005594A" w:rsidRDefault="0005594A" w:rsidP="0005594A">
      <w:pPr>
        <w:spacing w:after="0" w:line="240" w:lineRule="auto"/>
        <w:jc w:val="both"/>
        <w:rPr>
          <w:rFonts w:ascii="Times New Roman" w:hAnsi="Times New Roman" w:cs="Times New Roman"/>
          <w:noProof/>
          <w:sz w:val="18"/>
          <w:szCs w:val="18"/>
        </w:rPr>
      </w:pPr>
    </w:p>
    <w:p w:rsidR="0005594A" w:rsidRDefault="0005594A" w:rsidP="0005594A">
      <w:pPr>
        <w:spacing w:after="0" w:line="240" w:lineRule="auto"/>
        <w:jc w:val="both"/>
        <w:rPr>
          <w:rFonts w:ascii="Times New Roman" w:hAnsi="Times New Roman" w:cs="Times New Roman"/>
          <w:noProof/>
          <w:sz w:val="18"/>
          <w:szCs w:val="18"/>
        </w:rPr>
      </w:pP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Table </w:t>
      </w:r>
      <w:r w:rsidR="008E191F">
        <w:rPr>
          <w:rFonts w:ascii="Times New Roman" w:hAnsi="Times New Roman" w:cs="Times New Roman"/>
        </w:rPr>
        <w:t>3.</w:t>
      </w:r>
      <w:r>
        <w:rPr>
          <w:rFonts w:ascii="Times New Roman" w:hAnsi="Times New Roman" w:cs="Times New Roman"/>
        </w:rPr>
        <w:t>1</w:t>
      </w:r>
      <w:r w:rsidRPr="00743EBA">
        <w:rPr>
          <w:rFonts w:ascii="Times New Roman" w:hAnsi="Times New Roman" w:cs="Times New Roman"/>
        </w:rPr>
        <w:t xml:space="preserve"> shows that </w:t>
      </w:r>
      <w:r>
        <w:rPr>
          <w:rFonts w:ascii="Times New Roman" w:hAnsi="Times New Roman" w:cs="Times New Roman"/>
        </w:rPr>
        <w:t xml:space="preserve">annual averages of nominal bond excess returns were of a similar magnitude across countries ranging from 1.8% to 3.0%. As expected, equities recorded a better performance when compared to nominal bonds in all cases, but also the risk borne by equity investors was higher. Accordingly, the annualised volatility of nominal bonds stood between 3.7% and 6.4%, while equity volatilities exceeded 15%. When combining the </w:t>
      </w:r>
      <w:r w:rsidR="00E6544A">
        <w:rPr>
          <w:rFonts w:ascii="Times New Roman" w:hAnsi="Times New Roman" w:cs="Times New Roman"/>
        </w:rPr>
        <w:t xml:space="preserve">stock </w:t>
      </w:r>
      <w:r>
        <w:rPr>
          <w:rFonts w:ascii="Times New Roman" w:hAnsi="Times New Roman" w:cs="Times New Roman"/>
        </w:rPr>
        <w:t>excess returns of the six countries, diversification benefits lead to the lowest standard deviation recorded (13.7%)</w:t>
      </w:r>
      <w:r w:rsidR="008E1002">
        <w:rPr>
          <w:rFonts w:ascii="Times New Roman" w:hAnsi="Times New Roman" w:cs="Times New Roman"/>
        </w:rPr>
        <w:t>.</w:t>
      </w:r>
      <w:r>
        <w:rPr>
          <w:rFonts w:ascii="Times New Roman" w:hAnsi="Times New Roman" w:cs="Times New Roman"/>
        </w:rPr>
        <w:t xml:space="preserve">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The correlation matrix of nominal bond ex</w:t>
      </w:r>
      <w:r w:rsidR="00A95985">
        <w:rPr>
          <w:rFonts w:ascii="Times New Roman" w:hAnsi="Times New Roman" w:cs="Times New Roman"/>
        </w:rPr>
        <w:t>cess returns depicted in Table 3.2</w:t>
      </w:r>
      <w:r>
        <w:rPr>
          <w:rFonts w:ascii="Times New Roman" w:hAnsi="Times New Roman" w:cs="Times New Roman"/>
        </w:rPr>
        <w:t xml:space="preserve"> shows that the bond markets from United States and Canada are highly correlated. They display the highest correlation of 0.77. The lowest correlation coefficient is recorded for Japan and Australia (0.22). The fact that in 8 out of 12 cases the correlation is below 0.5 indicates that there are diversification benefits by considering other bond markets</w:t>
      </w:r>
      <w:r w:rsidR="00E6544A">
        <w:rPr>
          <w:rFonts w:ascii="Times New Roman" w:hAnsi="Times New Roman" w:cs="Times New Roman"/>
        </w:rPr>
        <w:t xml:space="preserve">. More important, it also hints that the use of an </w:t>
      </w:r>
      <w:r>
        <w:rPr>
          <w:rFonts w:ascii="Times New Roman" w:hAnsi="Times New Roman" w:cs="Times New Roman"/>
        </w:rPr>
        <w:t>international sample of countries adds value to the analysis.</w:t>
      </w:r>
    </w:p>
    <w:p w:rsidR="00BC7F37" w:rsidRDefault="00BC7F37" w:rsidP="0005594A">
      <w:pPr>
        <w:spacing w:after="0" w:line="360" w:lineRule="auto"/>
        <w:ind w:firstLine="720"/>
        <w:jc w:val="both"/>
        <w:rPr>
          <w:rFonts w:ascii="Times New Roman" w:hAnsi="Times New Roman" w:cs="Times New Roman"/>
          <w:noProof/>
        </w:rPr>
      </w:pPr>
    </w:p>
    <w:p w:rsidR="0005594A" w:rsidRPr="002D5F6D" w:rsidRDefault="00A95985" w:rsidP="0005594A">
      <w:pPr>
        <w:jc w:val="center"/>
        <w:rPr>
          <w:rFonts w:ascii="Times New Roman" w:hAnsi="Times New Roman" w:cs="Times New Roman"/>
        </w:rPr>
      </w:pPr>
      <w:r>
        <w:rPr>
          <w:rFonts w:ascii="Times New Roman" w:hAnsi="Times New Roman" w:cs="Times New Roman"/>
        </w:rPr>
        <w:t>Table 3.2</w:t>
      </w:r>
      <w:r w:rsidR="0005594A" w:rsidRPr="002D5F6D">
        <w:rPr>
          <w:rFonts w:ascii="Times New Roman" w:hAnsi="Times New Roman" w:cs="Times New Roman"/>
        </w:rPr>
        <w:t>: Correlation matrix of bond returns</w:t>
      </w:r>
    </w:p>
    <w:tbl>
      <w:tblPr>
        <w:tblW w:w="9380" w:type="dxa"/>
        <w:jc w:val="center"/>
        <w:tblInd w:w="93" w:type="dxa"/>
        <w:tblLook w:val="04A0"/>
      </w:tblPr>
      <w:tblGrid>
        <w:gridCol w:w="1720"/>
        <w:gridCol w:w="1160"/>
        <w:gridCol w:w="1160"/>
        <w:gridCol w:w="1080"/>
        <w:gridCol w:w="1020"/>
        <w:gridCol w:w="1889"/>
        <w:gridCol w:w="1351"/>
      </w:tblGrid>
      <w:tr w:rsidR="0005594A" w:rsidRPr="00457424" w:rsidTr="00D0485F">
        <w:trPr>
          <w:trHeight w:val="510"/>
          <w:jc w:val="center"/>
        </w:trPr>
        <w:tc>
          <w:tcPr>
            <w:tcW w:w="1720" w:type="dxa"/>
            <w:tcBorders>
              <w:top w:val="nil"/>
              <w:left w:val="nil"/>
              <w:bottom w:val="nil"/>
              <w:right w:val="nil"/>
            </w:tcBorders>
            <w:shd w:val="clear" w:color="auto" w:fill="auto"/>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lastRenderedPageBreak/>
              <w:t>Nominal Bond Excess Returns</w:t>
            </w:r>
          </w:p>
        </w:tc>
        <w:tc>
          <w:tcPr>
            <w:tcW w:w="1160" w:type="dxa"/>
            <w:tcBorders>
              <w:top w:val="nil"/>
              <w:left w:val="single" w:sz="4" w:space="0" w:color="auto"/>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Australia</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Canada</w:t>
            </w: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Germany</w:t>
            </w: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 xml:space="preserve">Japan </w:t>
            </w:r>
          </w:p>
        </w:tc>
        <w:tc>
          <w:tcPr>
            <w:tcW w:w="1889" w:type="dxa"/>
            <w:tcBorders>
              <w:top w:val="nil"/>
              <w:left w:val="nil"/>
              <w:bottom w:val="nil"/>
              <w:right w:val="nil"/>
            </w:tcBorders>
            <w:shd w:val="clear" w:color="auto" w:fill="auto"/>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United Kingdom</w:t>
            </w: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United States</w:t>
            </w:r>
          </w:p>
        </w:tc>
      </w:tr>
      <w:tr w:rsidR="0005594A" w:rsidRPr="00457424" w:rsidTr="00D0485F">
        <w:trPr>
          <w:trHeight w:val="255"/>
          <w:jc w:val="center"/>
        </w:trPr>
        <w:tc>
          <w:tcPr>
            <w:tcW w:w="1720" w:type="dxa"/>
            <w:tcBorders>
              <w:top w:val="single" w:sz="4" w:space="0" w:color="auto"/>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Australia</w:t>
            </w:r>
          </w:p>
        </w:tc>
        <w:tc>
          <w:tcPr>
            <w:tcW w:w="1160"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c>
          <w:tcPr>
            <w:tcW w:w="1160"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0.48</w:t>
            </w:r>
          </w:p>
        </w:tc>
        <w:tc>
          <w:tcPr>
            <w:tcW w:w="1080"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0.45</w:t>
            </w:r>
          </w:p>
        </w:tc>
        <w:tc>
          <w:tcPr>
            <w:tcW w:w="1020"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0.22</w:t>
            </w:r>
          </w:p>
        </w:tc>
        <w:tc>
          <w:tcPr>
            <w:tcW w:w="1889"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0.44</w:t>
            </w:r>
          </w:p>
        </w:tc>
        <w:tc>
          <w:tcPr>
            <w:tcW w:w="1351" w:type="dxa"/>
            <w:tcBorders>
              <w:top w:val="single" w:sz="4" w:space="0" w:color="auto"/>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0.50</w:t>
            </w:r>
          </w:p>
        </w:tc>
      </w:tr>
      <w:tr w:rsidR="0005594A" w:rsidRPr="00457424" w:rsidTr="00D0485F">
        <w:trPr>
          <w:trHeight w:val="255"/>
          <w:jc w:val="center"/>
        </w:trPr>
        <w:tc>
          <w:tcPr>
            <w:tcW w:w="1720" w:type="dxa"/>
            <w:tcBorders>
              <w:top w:val="nil"/>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Canada</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0.53</w:t>
            </w: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0.33</w:t>
            </w:r>
          </w:p>
        </w:tc>
        <w:tc>
          <w:tcPr>
            <w:tcW w:w="1889"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0.56</w:t>
            </w: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0.77</w:t>
            </w:r>
          </w:p>
        </w:tc>
      </w:tr>
      <w:tr w:rsidR="0005594A" w:rsidRPr="00457424" w:rsidTr="00D0485F">
        <w:trPr>
          <w:trHeight w:val="255"/>
          <w:jc w:val="center"/>
        </w:trPr>
        <w:tc>
          <w:tcPr>
            <w:tcW w:w="1720" w:type="dxa"/>
            <w:tcBorders>
              <w:top w:val="nil"/>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Germany</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0.38</w:t>
            </w:r>
          </w:p>
        </w:tc>
        <w:tc>
          <w:tcPr>
            <w:tcW w:w="1889"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0.58</w:t>
            </w: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0.63</w:t>
            </w:r>
          </w:p>
        </w:tc>
      </w:tr>
      <w:tr w:rsidR="0005594A" w:rsidRPr="00457424" w:rsidTr="00D0485F">
        <w:trPr>
          <w:trHeight w:val="255"/>
          <w:jc w:val="center"/>
        </w:trPr>
        <w:tc>
          <w:tcPr>
            <w:tcW w:w="1720" w:type="dxa"/>
            <w:tcBorders>
              <w:top w:val="nil"/>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 xml:space="preserve">Japan </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c>
          <w:tcPr>
            <w:tcW w:w="1889"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0.32</w:t>
            </w: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0.33</w:t>
            </w:r>
          </w:p>
        </w:tc>
      </w:tr>
      <w:tr w:rsidR="0005594A" w:rsidRPr="00457424" w:rsidTr="00D0485F">
        <w:trPr>
          <w:trHeight w:val="255"/>
          <w:jc w:val="center"/>
        </w:trPr>
        <w:tc>
          <w:tcPr>
            <w:tcW w:w="1720" w:type="dxa"/>
            <w:tcBorders>
              <w:top w:val="nil"/>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United Kingdom</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889"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0.53</w:t>
            </w:r>
          </w:p>
        </w:tc>
      </w:tr>
      <w:tr w:rsidR="0005594A" w:rsidRPr="00457424" w:rsidTr="00D0485F">
        <w:trPr>
          <w:trHeight w:val="255"/>
          <w:jc w:val="center"/>
        </w:trPr>
        <w:tc>
          <w:tcPr>
            <w:tcW w:w="1720" w:type="dxa"/>
            <w:tcBorders>
              <w:top w:val="nil"/>
              <w:left w:val="nil"/>
              <w:bottom w:val="nil"/>
              <w:right w:val="single" w:sz="4" w:space="0" w:color="auto"/>
            </w:tcBorders>
            <w:shd w:val="clear" w:color="auto" w:fill="auto"/>
            <w:noWrap/>
            <w:vAlign w:val="center"/>
            <w:hideMark/>
          </w:tcPr>
          <w:p w:rsidR="0005594A" w:rsidRPr="00457424" w:rsidRDefault="0005594A" w:rsidP="00D0485F">
            <w:pPr>
              <w:spacing w:after="0" w:line="240" w:lineRule="auto"/>
              <w:rPr>
                <w:rFonts w:ascii="Times New Roman" w:eastAsia="Times New Roman" w:hAnsi="Times New Roman" w:cs="Times New Roman"/>
                <w:color w:val="000000"/>
                <w:sz w:val="20"/>
                <w:szCs w:val="20"/>
              </w:rPr>
            </w:pPr>
            <w:r w:rsidRPr="00457424">
              <w:rPr>
                <w:rFonts w:ascii="Times New Roman" w:eastAsia="Times New Roman" w:hAnsi="Times New Roman" w:cs="Times New Roman"/>
                <w:color w:val="000000"/>
                <w:sz w:val="20"/>
                <w:szCs w:val="20"/>
              </w:rPr>
              <w:t>United States</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r w:rsidRPr="00457424">
              <w:rPr>
                <w:rFonts w:ascii="Times New Roman" w:eastAsia="Times New Roman" w:hAnsi="Times New Roman" w:cs="Times New Roman"/>
                <w:color w:val="291C00"/>
                <w:sz w:val="20"/>
                <w:szCs w:val="20"/>
              </w:rPr>
              <w:t> </w:t>
            </w:r>
          </w:p>
        </w:tc>
        <w:tc>
          <w:tcPr>
            <w:tcW w:w="116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8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020"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889"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color w:val="291C00"/>
                <w:sz w:val="20"/>
                <w:szCs w:val="20"/>
              </w:rPr>
            </w:pPr>
          </w:p>
        </w:tc>
        <w:tc>
          <w:tcPr>
            <w:tcW w:w="1351" w:type="dxa"/>
            <w:tcBorders>
              <w:top w:val="nil"/>
              <w:left w:val="nil"/>
              <w:bottom w:val="nil"/>
              <w:right w:val="nil"/>
            </w:tcBorders>
            <w:shd w:val="clear" w:color="auto" w:fill="auto"/>
            <w:noWrap/>
            <w:vAlign w:val="center"/>
            <w:hideMark/>
          </w:tcPr>
          <w:p w:rsidR="0005594A" w:rsidRPr="00457424" w:rsidRDefault="0005594A" w:rsidP="00D0485F">
            <w:pPr>
              <w:spacing w:after="0" w:line="240" w:lineRule="auto"/>
              <w:jc w:val="center"/>
              <w:rPr>
                <w:rFonts w:ascii="Times New Roman" w:eastAsia="Times New Roman" w:hAnsi="Times New Roman" w:cs="Times New Roman"/>
                <w:b/>
                <w:bCs/>
                <w:color w:val="291C00"/>
                <w:sz w:val="20"/>
                <w:szCs w:val="20"/>
              </w:rPr>
            </w:pPr>
            <w:r w:rsidRPr="00457424">
              <w:rPr>
                <w:rFonts w:ascii="Times New Roman" w:eastAsia="Times New Roman" w:hAnsi="Times New Roman" w:cs="Times New Roman"/>
                <w:b/>
                <w:bCs/>
                <w:color w:val="291C00"/>
                <w:sz w:val="20"/>
                <w:szCs w:val="20"/>
              </w:rPr>
              <w:t>1.00</w:t>
            </w:r>
          </w:p>
        </w:tc>
      </w:tr>
    </w:tbl>
    <w:p w:rsidR="0005594A" w:rsidRDefault="0005594A" w:rsidP="0005594A">
      <w:pPr>
        <w:pStyle w:val="NoSpacing"/>
        <w:rPr>
          <w:rFonts w:ascii="Times New Roman" w:hAnsi="Times New Roman" w:cs="Times New Roman"/>
          <w:i/>
          <w:sz w:val="18"/>
          <w:szCs w:val="18"/>
        </w:rPr>
      </w:pPr>
    </w:p>
    <w:p w:rsidR="0005594A" w:rsidRPr="008E47E2" w:rsidRDefault="0005594A" w:rsidP="0005594A">
      <w:pPr>
        <w:pStyle w:val="NoSpacing"/>
        <w:rPr>
          <w:rFonts w:ascii="Times New Roman" w:hAnsi="Times New Roman" w:cs="Times New Roman"/>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correlation coefficients between bond returns time-series for the</w:t>
      </w:r>
      <w:r w:rsidR="00E6544A">
        <w:rPr>
          <w:rFonts w:ascii="Times New Roman" w:hAnsi="Times New Roman" w:cs="Times New Roman"/>
          <w:sz w:val="18"/>
          <w:szCs w:val="18"/>
        </w:rPr>
        <w:t xml:space="preserve"> maximum overlapping period for each pair. The sample of</w:t>
      </w:r>
      <w:r w:rsidR="0057450F">
        <w:rPr>
          <w:rFonts w:ascii="Times New Roman" w:hAnsi="Times New Roman" w:cs="Times New Roman"/>
          <w:sz w:val="18"/>
          <w:szCs w:val="18"/>
        </w:rPr>
        <w:t xml:space="preserve"> nominal bond excess returns is shown in </w:t>
      </w:r>
      <w:r>
        <w:rPr>
          <w:rFonts w:ascii="Times New Roman" w:hAnsi="Times New Roman" w:cs="Times New Roman"/>
          <w:sz w:val="18"/>
          <w:szCs w:val="18"/>
        </w:rPr>
        <w:t xml:space="preserve">Table </w:t>
      </w:r>
      <w:r w:rsidR="008E191F">
        <w:rPr>
          <w:rFonts w:ascii="Times New Roman" w:hAnsi="Times New Roman" w:cs="Times New Roman"/>
          <w:sz w:val="18"/>
          <w:szCs w:val="18"/>
        </w:rPr>
        <w:t>3.</w:t>
      </w:r>
      <w:r>
        <w:rPr>
          <w:rFonts w:ascii="Times New Roman" w:hAnsi="Times New Roman" w:cs="Times New Roman"/>
          <w:sz w:val="18"/>
          <w:szCs w:val="18"/>
        </w:rPr>
        <w:t>1.</w:t>
      </w:r>
    </w:p>
    <w:p w:rsidR="0005594A" w:rsidRDefault="0005594A" w:rsidP="0005594A">
      <w:pPr>
        <w:spacing w:after="0" w:line="360" w:lineRule="auto"/>
        <w:jc w:val="both"/>
        <w:rPr>
          <w:rFonts w:ascii="Times New Roman" w:hAnsi="Times New Roman" w:cs="Times New Roman"/>
          <w:noProof/>
          <w:sz w:val="18"/>
          <w:szCs w:val="18"/>
        </w:rPr>
      </w:pPr>
      <w:r>
        <w:rPr>
          <w:rFonts w:ascii="Times New Roman" w:hAnsi="Times New Roman" w:cs="Times New Roman"/>
          <w:noProof/>
          <w:sz w:val="18"/>
          <w:szCs w:val="18"/>
        </w:rPr>
        <w:tab/>
      </w:r>
    </w:p>
    <w:p w:rsidR="006C375A" w:rsidRDefault="0005594A" w:rsidP="0005594A">
      <w:pPr>
        <w:spacing w:after="0" w:line="360" w:lineRule="auto"/>
        <w:ind w:firstLine="720"/>
        <w:jc w:val="both"/>
        <w:rPr>
          <w:rFonts w:ascii="Times New Roman" w:hAnsi="Times New Roman" w:cs="Times New Roman"/>
        </w:rPr>
      </w:pPr>
      <w:r w:rsidRPr="004C1BF2">
        <w:rPr>
          <w:rFonts w:ascii="Times New Roman" w:hAnsi="Times New Roman" w:cs="Times New Roman"/>
        </w:rPr>
        <w:t>For mo</w:t>
      </w:r>
      <w:r>
        <w:rPr>
          <w:rFonts w:ascii="Times New Roman" w:hAnsi="Times New Roman" w:cs="Times New Roman"/>
        </w:rPr>
        <w:t xml:space="preserve">st of the countries, the average realised returns of inflation-linked bonds is lower than the one of comparator indices (Australia and Japan are the exceptions). This is related to the different components of the nominal and ILB yield. Besides the real rate, the most important component of </w:t>
      </w:r>
      <w:r w:rsidR="00D24F15">
        <w:rPr>
          <w:rFonts w:ascii="Times New Roman" w:hAnsi="Times New Roman" w:cs="Times New Roman"/>
        </w:rPr>
        <w:t>the comparator</w:t>
      </w:r>
      <w:r>
        <w:rPr>
          <w:rFonts w:ascii="Times New Roman" w:hAnsi="Times New Roman" w:cs="Times New Roman"/>
        </w:rPr>
        <w:t xml:space="preserve"> (nominal) yield is the inflation rate risk premium</w:t>
      </w:r>
      <w:r w:rsidRPr="00D24F15">
        <w:rPr>
          <w:vertAlign w:val="superscript"/>
        </w:rPr>
        <w:footnoteReference w:id="25"/>
      </w:r>
      <w:r>
        <w:rPr>
          <w:rFonts w:ascii="Times New Roman" w:hAnsi="Times New Roman" w:cs="Times New Roman"/>
        </w:rPr>
        <w:t>, while for the ILB yields the liquidity risk premium</w:t>
      </w:r>
      <w:r w:rsidRPr="00D24F15">
        <w:rPr>
          <w:vertAlign w:val="superscript"/>
        </w:rPr>
        <w:footnoteReference w:id="26"/>
      </w:r>
      <w:r>
        <w:rPr>
          <w:rFonts w:ascii="Times New Roman" w:hAnsi="Times New Roman" w:cs="Times New Roman"/>
        </w:rPr>
        <w:t xml:space="preserve">. </w:t>
      </w:r>
      <w:bookmarkStart w:id="24" w:name="_GoBack"/>
      <w:bookmarkEnd w:id="24"/>
    </w:p>
    <w:p w:rsidR="0005594A" w:rsidRDefault="009C0C19" w:rsidP="00D24F15">
      <w:pPr>
        <w:spacing w:after="0" w:line="360" w:lineRule="auto"/>
        <w:ind w:firstLine="720"/>
        <w:jc w:val="both"/>
        <w:rPr>
          <w:rFonts w:ascii="Times New Roman" w:hAnsi="Times New Roman" w:cs="Times New Roman"/>
        </w:rPr>
      </w:pPr>
      <w:r>
        <w:rPr>
          <w:rFonts w:ascii="Times New Roman" w:hAnsi="Times New Roman" w:cs="Times New Roman"/>
        </w:rPr>
        <w:t>The T</w:t>
      </w:r>
      <w:r w:rsidR="0005594A">
        <w:rPr>
          <w:rFonts w:ascii="Times New Roman" w:hAnsi="Times New Roman" w:cs="Times New Roman"/>
        </w:rPr>
        <w:t>able</w:t>
      </w:r>
      <w:r>
        <w:rPr>
          <w:rFonts w:ascii="Times New Roman" w:hAnsi="Times New Roman" w:cs="Times New Roman"/>
        </w:rPr>
        <w:t xml:space="preserve"> 3.1</w:t>
      </w:r>
      <w:r w:rsidR="0005594A">
        <w:rPr>
          <w:rFonts w:ascii="Times New Roman" w:hAnsi="Times New Roman" w:cs="Times New Roman"/>
        </w:rPr>
        <w:t xml:space="preserve"> also reports the inflation characteristics. Australia and United Kingdom record the highest average annualised inflation (4.3% and 4.2% respectively) and also the most volatile (1.8% and 1.7% respectively). On the opposite side, Japan recorded the smallest average inflation rate during the period 1980 – 2013. </w:t>
      </w:r>
    </w:p>
    <w:p w:rsidR="0005594A" w:rsidRDefault="0005594A" w:rsidP="0005594A">
      <w:pPr>
        <w:spacing w:after="0" w:line="360" w:lineRule="auto"/>
        <w:ind w:firstLine="720"/>
        <w:jc w:val="both"/>
        <w:rPr>
          <w:rFonts w:ascii="Times New Roman" w:hAnsi="Times New Roman" w:cs="Times New Roman"/>
        </w:rPr>
      </w:pPr>
      <w:r w:rsidRPr="00743EBA">
        <w:rPr>
          <w:rFonts w:ascii="Times New Roman" w:hAnsi="Times New Roman" w:cs="Times New Roman"/>
        </w:rPr>
        <w:t xml:space="preserve">The normality and stationary properties of the series are formally tested using </w:t>
      </w:r>
      <w:r>
        <w:rPr>
          <w:rFonts w:ascii="Times New Roman" w:hAnsi="Times New Roman" w:cs="Times New Roman"/>
        </w:rPr>
        <w:t xml:space="preserve">the </w:t>
      </w:r>
      <w:r w:rsidRPr="00743EBA">
        <w:rPr>
          <w:rFonts w:ascii="Times New Roman" w:hAnsi="Times New Roman" w:cs="Times New Roman"/>
        </w:rPr>
        <w:t xml:space="preserve">Jarque-Bera test, </w:t>
      </w:r>
      <w:r>
        <w:rPr>
          <w:rFonts w:ascii="Times New Roman" w:hAnsi="Times New Roman" w:cs="Times New Roman"/>
        </w:rPr>
        <w:t xml:space="preserve">the </w:t>
      </w:r>
      <w:r w:rsidRPr="00743EBA">
        <w:rPr>
          <w:rFonts w:ascii="Times New Roman" w:hAnsi="Times New Roman" w:cs="Times New Roman"/>
        </w:rPr>
        <w:t xml:space="preserve">Augmented Dickey-Fuller Test (ADF, 1979) and </w:t>
      </w:r>
      <w:r>
        <w:rPr>
          <w:rFonts w:ascii="Times New Roman" w:hAnsi="Times New Roman" w:cs="Times New Roman"/>
        </w:rPr>
        <w:t xml:space="preserve">the </w:t>
      </w:r>
      <w:r w:rsidRPr="00743EBA">
        <w:rPr>
          <w:rFonts w:ascii="Times New Roman" w:hAnsi="Times New Roman" w:cs="Times New Roman"/>
        </w:rPr>
        <w:t xml:space="preserve">Kwiatkowski-Phillips-Schmidt-Shin Test (KPSS, 1992). The use of KPSS in addition to ADF is justified on the grounds that </w:t>
      </w:r>
      <w:r>
        <w:rPr>
          <w:rFonts w:ascii="Times New Roman" w:hAnsi="Times New Roman" w:cs="Times New Roman"/>
        </w:rPr>
        <w:t xml:space="preserve">the </w:t>
      </w:r>
      <w:r w:rsidRPr="00743EBA">
        <w:rPr>
          <w:rFonts w:ascii="Times New Roman" w:hAnsi="Times New Roman" w:cs="Times New Roman"/>
        </w:rPr>
        <w:t xml:space="preserve">ADF </w:t>
      </w:r>
      <w:r>
        <w:rPr>
          <w:rFonts w:ascii="Times New Roman" w:hAnsi="Times New Roman" w:cs="Times New Roman"/>
        </w:rPr>
        <w:t xml:space="preserve">test </w:t>
      </w:r>
      <w:r w:rsidRPr="00743EBA">
        <w:rPr>
          <w:rFonts w:ascii="Times New Roman" w:hAnsi="Times New Roman" w:cs="Times New Roman"/>
        </w:rPr>
        <w:t>has low power in distinguishing between a unit root and a weakly-stationary series</w:t>
      </w:r>
      <w:r>
        <w:rPr>
          <w:rFonts w:ascii="Times New Roman" w:hAnsi="Times New Roman" w:cs="Times New Roman"/>
        </w:rPr>
        <w:t xml:space="preserve"> (Kwiatkowski, Phillips, Schmidt, Shin (</w:t>
      </w:r>
      <w:r w:rsidRPr="005725C7">
        <w:rPr>
          <w:rFonts w:ascii="Times New Roman" w:hAnsi="Times New Roman" w:cs="Times New Roman"/>
        </w:rPr>
        <w:t>1992</w:t>
      </w:r>
      <w:r>
        <w:rPr>
          <w:rFonts w:ascii="Times New Roman" w:hAnsi="Times New Roman" w:cs="Times New Roman"/>
        </w:rPr>
        <w:t>))</w:t>
      </w:r>
      <w:r w:rsidRPr="00743EBA">
        <w:rPr>
          <w:rFonts w:ascii="Times New Roman" w:hAnsi="Times New Roman" w:cs="Times New Roman"/>
        </w:rPr>
        <w:t>. Based on the test results whi</w:t>
      </w:r>
      <w:r>
        <w:rPr>
          <w:rFonts w:ascii="Times New Roman" w:hAnsi="Times New Roman" w:cs="Times New Roman"/>
        </w:rPr>
        <w:t>ch can be found in the Table A.2</w:t>
      </w:r>
      <w:r w:rsidRPr="00743EBA">
        <w:rPr>
          <w:rFonts w:ascii="Times New Roman" w:hAnsi="Times New Roman" w:cs="Times New Roman"/>
        </w:rPr>
        <w:t xml:space="preserve"> in the Appendix</w:t>
      </w:r>
      <w:r w:rsidR="008E191F">
        <w:rPr>
          <w:rFonts w:ascii="Times New Roman" w:hAnsi="Times New Roman" w:cs="Times New Roman"/>
        </w:rPr>
        <w:t xml:space="preserve"> A</w:t>
      </w:r>
      <w:r w:rsidRPr="00743EBA">
        <w:rPr>
          <w:rFonts w:ascii="Times New Roman" w:hAnsi="Times New Roman" w:cs="Times New Roman"/>
        </w:rPr>
        <w:t xml:space="preserve">, the null hypothesis </w:t>
      </w:r>
      <w:r>
        <w:rPr>
          <w:rFonts w:ascii="Times New Roman" w:hAnsi="Times New Roman" w:cs="Times New Roman"/>
        </w:rPr>
        <w:t xml:space="preserve">of normality is rejected </w:t>
      </w:r>
      <w:r w:rsidR="00FC58D2">
        <w:rPr>
          <w:rFonts w:ascii="Times New Roman" w:hAnsi="Times New Roman" w:cs="Times New Roman"/>
        </w:rPr>
        <w:t xml:space="preserve">which </w:t>
      </w:r>
      <w:r w:rsidR="004210F1">
        <w:rPr>
          <w:rFonts w:ascii="Times New Roman" w:hAnsi="Times New Roman" w:cs="Times New Roman"/>
        </w:rPr>
        <w:t>hints that the return series</w:t>
      </w:r>
      <w:r w:rsidR="00FC58D2">
        <w:rPr>
          <w:rFonts w:ascii="Times New Roman" w:hAnsi="Times New Roman" w:cs="Times New Roman"/>
        </w:rPr>
        <w:t xml:space="preserve"> could be subjected to outliers. T</w:t>
      </w:r>
      <w:r>
        <w:rPr>
          <w:rFonts w:ascii="Times New Roman" w:hAnsi="Times New Roman" w:cs="Times New Roman"/>
        </w:rPr>
        <w:t>he</w:t>
      </w:r>
      <w:r w:rsidRPr="00743EBA">
        <w:rPr>
          <w:rFonts w:ascii="Times New Roman" w:hAnsi="Times New Roman" w:cs="Times New Roman"/>
        </w:rPr>
        <w:t xml:space="preserve"> series are </w:t>
      </w:r>
      <w:r w:rsidR="00FC58D2">
        <w:rPr>
          <w:rFonts w:ascii="Times New Roman" w:hAnsi="Times New Roman" w:cs="Times New Roman"/>
        </w:rPr>
        <w:t xml:space="preserve">also </w:t>
      </w:r>
      <w:r w:rsidRPr="00743EBA">
        <w:rPr>
          <w:rFonts w:ascii="Times New Roman" w:hAnsi="Times New Roman" w:cs="Times New Roman"/>
        </w:rPr>
        <w:t>stationary at</w:t>
      </w:r>
      <w:r>
        <w:rPr>
          <w:rFonts w:ascii="Times New Roman" w:hAnsi="Times New Roman" w:cs="Times New Roman"/>
        </w:rPr>
        <w:t xml:space="preserve"> the</w:t>
      </w:r>
      <w:r w:rsidRPr="00743EBA">
        <w:rPr>
          <w:rFonts w:ascii="Times New Roman" w:hAnsi="Times New Roman" w:cs="Times New Roman"/>
        </w:rPr>
        <w:t xml:space="preserve"> 5% significance level</w:t>
      </w:r>
      <w:r w:rsidRPr="00D24F15">
        <w:rPr>
          <w:vertAlign w:val="superscript"/>
        </w:rPr>
        <w:footnoteReference w:id="27"/>
      </w:r>
      <w:r w:rsidRPr="00743EBA">
        <w:rPr>
          <w:rFonts w:ascii="Times New Roman" w:hAnsi="Times New Roman" w:cs="Times New Roman"/>
        </w:rPr>
        <w:t xml:space="preserve">. </w:t>
      </w:r>
      <w:r w:rsidR="00FC58D2">
        <w:rPr>
          <w:rFonts w:ascii="Times New Roman" w:hAnsi="Times New Roman" w:cs="Times New Roman"/>
        </w:rPr>
        <w:t xml:space="preserve"> </w:t>
      </w:r>
    </w:p>
    <w:p w:rsidR="0005594A" w:rsidRDefault="0005594A" w:rsidP="00D24F15">
      <w:pPr>
        <w:spacing w:after="0" w:line="360" w:lineRule="auto"/>
        <w:ind w:firstLine="720"/>
        <w:jc w:val="both"/>
        <w:rPr>
          <w:rFonts w:ascii="Times New Roman" w:hAnsi="Times New Roman" w:cs="Times New Roman"/>
          <w:noProof/>
        </w:rPr>
      </w:pPr>
      <w:r>
        <w:rPr>
          <w:rFonts w:ascii="Times New Roman" w:hAnsi="Times New Roman" w:cs="Times New Roman"/>
        </w:rPr>
        <w:t xml:space="preserve">The autocorrelation and heteroscedasticity of the returns and inflation series are also investigated. The former is formally tested by applying </w:t>
      </w:r>
      <w:r w:rsidRPr="00826A6B">
        <w:rPr>
          <w:rFonts w:ascii="Times New Roman" w:hAnsi="Times New Roman" w:cs="Times New Roman"/>
        </w:rPr>
        <w:t>Ljung-Box Q-test</w:t>
      </w:r>
      <w:r>
        <w:rPr>
          <w:rFonts w:ascii="Times New Roman" w:hAnsi="Times New Roman" w:cs="Times New Roman"/>
        </w:rPr>
        <w:t xml:space="preserve">. To check if the series display </w:t>
      </w:r>
      <w:r w:rsidRPr="00826A6B">
        <w:rPr>
          <w:rFonts w:ascii="Times New Roman" w:hAnsi="Times New Roman" w:cs="Times New Roman"/>
        </w:rPr>
        <w:t>conditional heteroscedasticity</w:t>
      </w:r>
      <w:r>
        <w:rPr>
          <w:rFonts w:ascii="Times New Roman" w:hAnsi="Times New Roman" w:cs="Times New Roman"/>
        </w:rPr>
        <w:t xml:space="preserve">, the ARCH test developed by Engle is implemented and the </w:t>
      </w:r>
      <w:r w:rsidRPr="00826A6B">
        <w:rPr>
          <w:rFonts w:ascii="Times New Roman" w:hAnsi="Times New Roman" w:cs="Times New Roman"/>
        </w:rPr>
        <w:t>Ljung-Box Q-test</w:t>
      </w:r>
      <w:r>
        <w:rPr>
          <w:rFonts w:ascii="Times New Roman" w:hAnsi="Times New Roman" w:cs="Times New Roman"/>
        </w:rPr>
        <w:t xml:space="preserve"> on the squared returns. The results centralised in Table A.3 from the Appendix</w:t>
      </w:r>
      <w:r w:rsidR="008E191F">
        <w:rPr>
          <w:rFonts w:ascii="Times New Roman" w:hAnsi="Times New Roman" w:cs="Times New Roman"/>
        </w:rPr>
        <w:t xml:space="preserve"> A</w:t>
      </w:r>
      <w:r>
        <w:rPr>
          <w:rFonts w:ascii="Times New Roman" w:hAnsi="Times New Roman" w:cs="Times New Roman"/>
        </w:rPr>
        <w:t xml:space="preserve"> show that most of the considered series display heteroscedasticity and autocorrelation. This suggests that the errors should be corrected for autocorrelation and heteroscedasticity. The same tests are also applied on the residuals from</w:t>
      </w:r>
      <w:r>
        <w:rPr>
          <w:rFonts w:ascii="Times New Roman" w:hAnsi="Times New Roman" w:cs="Times New Roman"/>
          <w:noProof/>
        </w:rPr>
        <w:t xml:space="preserve"> </w:t>
      </w:r>
      <w:r>
        <w:rPr>
          <w:rFonts w:ascii="Times New Roman" w:hAnsi="Times New Roman" w:cs="Times New Roman"/>
          <w:noProof/>
        </w:rPr>
        <w:lastRenderedPageBreak/>
        <w:t>the Ordinary Least Squares (OLS) regressions, but they are not reported due to space constraints. For all the regressions in the analysis, I report t-values based on autocorrelation and heteroscedasticity-consistent standard errors (Newey-West Standard Errors). This approach is consistent with conservative t-statistics because the chance of rejecting the null hypothesis is lower. Newey-West Standard Errors are usually consistent with lower t-statistic values in absolute terms compared to OLS Standard Errors.</w:t>
      </w:r>
    </w:p>
    <w:p w:rsidR="00AA146B" w:rsidRDefault="00AA146B" w:rsidP="0005594A">
      <w:pPr>
        <w:spacing w:after="0" w:line="360" w:lineRule="auto"/>
        <w:jc w:val="both"/>
        <w:rPr>
          <w:rFonts w:ascii="Times New Roman" w:hAnsi="Times New Roman" w:cs="Times New Roman"/>
          <w:noProof/>
        </w:rPr>
      </w:pPr>
    </w:p>
    <w:p w:rsidR="00AA146B" w:rsidRDefault="00AA146B" w:rsidP="00920046">
      <w:pPr>
        <w:pStyle w:val="Heading2"/>
        <w:rPr>
          <w:sz w:val="28"/>
          <w:szCs w:val="28"/>
          <w:lang w:val="nl-NL"/>
        </w:rPr>
      </w:pPr>
      <w:bookmarkStart w:id="25" w:name="_Toc396762700"/>
      <w:r w:rsidRPr="00920046">
        <w:rPr>
          <w:sz w:val="28"/>
          <w:szCs w:val="28"/>
          <w:lang w:val="nl-NL"/>
        </w:rPr>
        <w:t>3.2 Methodology</w:t>
      </w:r>
      <w:bookmarkEnd w:id="25"/>
    </w:p>
    <w:p w:rsidR="00AA146B" w:rsidRDefault="00AA146B" w:rsidP="00920046">
      <w:pPr>
        <w:rPr>
          <w:lang w:val="nl-NL"/>
        </w:rPr>
      </w:pPr>
    </w:p>
    <w:p w:rsidR="002F3F36" w:rsidRPr="002F3F36" w:rsidRDefault="002F3F36" w:rsidP="00930C6E">
      <w:pPr>
        <w:spacing w:after="0" w:line="360" w:lineRule="auto"/>
        <w:ind w:firstLine="720"/>
        <w:jc w:val="both"/>
        <w:rPr>
          <w:rFonts w:ascii="Times New Roman" w:hAnsi="Times New Roman" w:cs="Times New Roman"/>
        </w:rPr>
      </w:pPr>
      <w:r w:rsidRPr="002F3F36">
        <w:rPr>
          <w:rFonts w:ascii="Times New Roman" w:hAnsi="Times New Roman" w:cs="Times New Roman"/>
        </w:rPr>
        <w:t>Section</w:t>
      </w:r>
      <w:r>
        <w:rPr>
          <w:rFonts w:ascii="Times New Roman" w:hAnsi="Times New Roman" w:cs="Times New Roman"/>
          <w:lang w:val="nl-NL"/>
        </w:rPr>
        <w:t xml:space="preserve"> 3.</w:t>
      </w:r>
      <w:r w:rsidRPr="002F3F36">
        <w:rPr>
          <w:rFonts w:ascii="Times New Roman" w:hAnsi="Times New Roman" w:cs="Times New Roman"/>
        </w:rPr>
        <w:t>2 starts</w:t>
      </w:r>
      <w:r>
        <w:rPr>
          <w:rFonts w:ascii="Times New Roman" w:hAnsi="Times New Roman" w:cs="Times New Roman"/>
        </w:rPr>
        <w:t xml:space="preserve"> with an overview of the techniques used in the literature to determinate the seasonality patterns and their drivers (Section 3.2.1). Section 3.2.2 describes the techniques used for the discovery of the seasonal variation. Section 3.2.3 covers the robustness check techniques of the results to outliers. Sections 3.2.4 is related to the second research question as it presents the method to test different candidate hypotheses for t</w:t>
      </w:r>
      <w:r w:rsidR="00930C6E">
        <w:rPr>
          <w:rFonts w:ascii="Times New Roman" w:hAnsi="Times New Roman" w:cs="Times New Roman"/>
        </w:rPr>
        <w:t xml:space="preserve">he seasonality in bond returns. Besides the statistical significance, Section 3.2.5 considers the technique used to compare two investment strategies: one which exploits the H1 H2 pattern and a simple buy and hold strategy. </w:t>
      </w:r>
      <w:r>
        <w:rPr>
          <w:rFonts w:ascii="Times New Roman" w:hAnsi="Times New Roman" w:cs="Times New Roman"/>
        </w:rPr>
        <w:t xml:space="preserve"> </w:t>
      </w:r>
      <w:r w:rsidRPr="002F3F36">
        <w:rPr>
          <w:rFonts w:ascii="Times New Roman" w:hAnsi="Times New Roman" w:cs="Times New Roman"/>
        </w:rPr>
        <w:t xml:space="preserve"> </w:t>
      </w:r>
    </w:p>
    <w:p w:rsidR="00AA146B" w:rsidRPr="00920046" w:rsidRDefault="00AA146B" w:rsidP="00920046">
      <w:pPr>
        <w:rPr>
          <w:lang w:val="nl-NL"/>
        </w:rPr>
      </w:pPr>
    </w:p>
    <w:p w:rsidR="0005594A" w:rsidRDefault="0005594A" w:rsidP="00920046">
      <w:pPr>
        <w:pStyle w:val="Heading3"/>
        <w:rPr>
          <w:lang w:val="nl-NL"/>
        </w:rPr>
      </w:pPr>
      <w:bookmarkStart w:id="26" w:name="_Toc396762701"/>
      <w:r w:rsidRPr="001F187E">
        <w:rPr>
          <w:lang w:val="nl-NL"/>
        </w:rPr>
        <w:t>3.2</w:t>
      </w:r>
      <w:r w:rsidR="00AA146B">
        <w:rPr>
          <w:lang w:val="nl-NL"/>
        </w:rPr>
        <w:t>.1</w:t>
      </w:r>
      <w:r w:rsidRPr="001F187E">
        <w:rPr>
          <w:lang w:val="nl-NL"/>
        </w:rPr>
        <w:t xml:space="preserve"> A short review on methodologies employed in the literature</w:t>
      </w:r>
      <w:bookmarkEnd w:id="26"/>
    </w:p>
    <w:p w:rsidR="00027ADB" w:rsidRPr="00027ADB" w:rsidRDefault="00027ADB" w:rsidP="00027ADB">
      <w:pPr>
        <w:rPr>
          <w:lang w:val="nl-NL"/>
        </w:rPr>
      </w:pPr>
    </w:p>
    <w:p w:rsidR="0005594A" w:rsidRPr="00DB60A9"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 xml:space="preserve">When testing for seasonality in equity or bond returns, two aspects are considered: the methods to identify a seasonal pattern in the data and then the testing procedure for several hypotheses which might explain the seasonality. Most of the papers focus on the first aspect, while those which put forward and test explanatory hypotheses are often accompanied by robustness checks. </w:t>
      </w: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Parametric and non-parametric tests are employed in order to test for a seasonal pattern. Introducing a dummy which captures a specific seasonal pattern in a regression and checking for the significance of the coefficient using a t-test</w:t>
      </w:r>
      <w:r w:rsidRPr="00DB60A9">
        <w:rPr>
          <w:rStyle w:val="FootnoteReference"/>
          <w:rFonts w:ascii="Times New Roman" w:hAnsi="Times New Roman" w:cs="Times New Roman"/>
        </w:rPr>
        <w:footnoteReference w:id="28"/>
      </w:r>
      <w:r w:rsidRPr="00DB60A9">
        <w:rPr>
          <w:rFonts w:ascii="Times New Roman" w:hAnsi="Times New Roman" w:cs="Times New Roman"/>
        </w:rPr>
        <w:t xml:space="preserve"> based on corrected errors is the most common approach. The dummy can also be replaced by hypothesis specific variables</w:t>
      </w:r>
      <w:r w:rsidRPr="00DB60A9">
        <w:rPr>
          <w:rStyle w:val="FootnoteReference"/>
          <w:rFonts w:ascii="Times New Roman" w:hAnsi="Times New Roman" w:cs="Times New Roman"/>
        </w:rPr>
        <w:footnoteReference w:id="29"/>
      </w:r>
      <w:r w:rsidRPr="00DB60A9">
        <w:rPr>
          <w:rFonts w:ascii="Times New Roman" w:hAnsi="Times New Roman" w:cs="Times New Roman"/>
        </w:rPr>
        <w:t xml:space="preserve">. Using the regression to test for the difference in means has the advantage of adding other explanatory variables. Accordingly, control variables are also introduced in the testing equation (for example Jacobsen and Marquering (2008) control for correlation across countries, for the January anomaly and for the seasonality in changing macroeconomic conditions) or as a robustness check (Bouman and Jacobsen (2002)). </w:t>
      </w:r>
      <w:r>
        <w:rPr>
          <w:rFonts w:ascii="Times New Roman" w:hAnsi="Times New Roman" w:cs="Times New Roman"/>
        </w:rPr>
        <w:t xml:space="preserve">Table </w:t>
      </w:r>
      <w:r w:rsidR="00A95985">
        <w:rPr>
          <w:rFonts w:ascii="Times New Roman" w:hAnsi="Times New Roman" w:cs="Times New Roman"/>
        </w:rPr>
        <w:t>3.3</w:t>
      </w:r>
      <w:r>
        <w:rPr>
          <w:rFonts w:ascii="Times New Roman" w:hAnsi="Times New Roman" w:cs="Times New Roman"/>
        </w:rPr>
        <w:t xml:space="preserve"> provides </w:t>
      </w:r>
      <w:r>
        <w:rPr>
          <w:rFonts w:ascii="Times New Roman" w:hAnsi="Times New Roman" w:cs="Times New Roman"/>
        </w:rPr>
        <w:lastRenderedPageBreak/>
        <w:t xml:space="preserve">an overview of the </w:t>
      </w:r>
      <w:r w:rsidRPr="00DB60A9">
        <w:rPr>
          <w:rFonts w:ascii="Times New Roman" w:hAnsi="Times New Roman" w:cs="Times New Roman"/>
        </w:rPr>
        <w:t xml:space="preserve">estimation methods </w:t>
      </w:r>
      <w:r>
        <w:rPr>
          <w:rFonts w:ascii="Times New Roman" w:hAnsi="Times New Roman" w:cs="Times New Roman"/>
        </w:rPr>
        <w:t xml:space="preserve">used by empirical studies. They </w:t>
      </w:r>
      <w:r w:rsidRPr="00DB60A9">
        <w:rPr>
          <w:rFonts w:ascii="Times New Roman" w:hAnsi="Times New Roman" w:cs="Times New Roman"/>
        </w:rPr>
        <w:t xml:space="preserve">differ from one paper to another, but most of them employ several methods to show that the results are not related to econometric problems. </w:t>
      </w:r>
    </w:p>
    <w:p w:rsidR="005339AF" w:rsidRDefault="005339AF" w:rsidP="0005594A">
      <w:pPr>
        <w:spacing w:after="0" w:line="360" w:lineRule="auto"/>
        <w:ind w:firstLine="720"/>
        <w:jc w:val="both"/>
        <w:rPr>
          <w:rFonts w:ascii="Times New Roman" w:hAnsi="Times New Roman" w:cs="Times New Roman"/>
        </w:rPr>
      </w:pPr>
    </w:p>
    <w:p w:rsidR="0005594A" w:rsidRPr="002D5F6D" w:rsidRDefault="00A95985" w:rsidP="005339AF">
      <w:pPr>
        <w:spacing w:after="120" w:line="360" w:lineRule="auto"/>
        <w:jc w:val="both"/>
        <w:rPr>
          <w:rFonts w:ascii="Times New Roman" w:hAnsi="Times New Roman" w:cs="Times New Roman"/>
          <w:lang w:val="nl-NL"/>
        </w:rPr>
      </w:pPr>
      <w:r>
        <w:rPr>
          <w:rFonts w:ascii="Times New Roman" w:hAnsi="Times New Roman" w:cs="Times New Roman"/>
          <w:lang w:val="nl-NL"/>
        </w:rPr>
        <w:t>Table 3.3</w:t>
      </w:r>
      <w:r w:rsidR="0005594A" w:rsidRPr="002D5F6D">
        <w:rPr>
          <w:rFonts w:ascii="Times New Roman" w:hAnsi="Times New Roman" w:cs="Times New Roman"/>
          <w:lang w:val="nl-NL"/>
        </w:rPr>
        <w:t>: Estimation methods used in the literature in order to test for seasonality</w:t>
      </w:r>
    </w:p>
    <w:tbl>
      <w:tblPr>
        <w:tblW w:w="9840" w:type="dxa"/>
        <w:tblInd w:w="93" w:type="dxa"/>
        <w:tblLook w:val="04A0"/>
      </w:tblPr>
      <w:tblGrid>
        <w:gridCol w:w="649"/>
        <w:gridCol w:w="2819"/>
        <w:gridCol w:w="942"/>
        <w:gridCol w:w="942"/>
        <w:gridCol w:w="1094"/>
        <w:gridCol w:w="1261"/>
        <w:gridCol w:w="1128"/>
        <w:gridCol w:w="1005"/>
      </w:tblGrid>
      <w:tr w:rsidR="0005594A" w:rsidRPr="00F34E79" w:rsidTr="00D0485F">
        <w:trPr>
          <w:trHeight w:val="765"/>
        </w:trPr>
        <w:tc>
          <w:tcPr>
            <w:tcW w:w="649"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No.</w:t>
            </w:r>
          </w:p>
        </w:tc>
        <w:tc>
          <w:tcPr>
            <w:tcW w:w="2819"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Empirical studies</w:t>
            </w:r>
          </w:p>
        </w:tc>
        <w:tc>
          <w:tcPr>
            <w:tcW w:w="942"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Single equation OLS</w:t>
            </w:r>
          </w:p>
        </w:tc>
        <w:tc>
          <w:tcPr>
            <w:tcW w:w="942"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Single equation GMM</w:t>
            </w:r>
          </w:p>
        </w:tc>
        <w:tc>
          <w:tcPr>
            <w:tcW w:w="1094"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Maximum likelihood-GARCH</w:t>
            </w:r>
          </w:p>
        </w:tc>
        <w:tc>
          <w:tcPr>
            <w:tcW w:w="1261"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Panel/pooled regression</w:t>
            </w:r>
          </w:p>
        </w:tc>
        <w:tc>
          <w:tcPr>
            <w:tcW w:w="1128"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Robust estimations</w:t>
            </w:r>
          </w:p>
        </w:tc>
        <w:tc>
          <w:tcPr>
            <w:tcW w:w="1005" w:type="dxa"/>
            <w:tcBorders>
              <w:top w:val="single" w:sz="4" w:space="0" w:color="auto"/>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bookmarkStart w:id="27" w:name="RANGE!H1"/>
            <w:r w:rsidRPr="00F34E79">
              <w:rPr>
                <w:rFonts w:ascii="Times New Roman" w:eastAsia="Times New Roman" w:hAnsi="Times New Roman" w:cs="Times New Roman"/>
                <w:color w:val="000000"/>
                <w:sz w:val="20"/>
                <w:szCs w:val="20"/>
                <w:lang w:val="en-GB"/>
              </w:rPr>
              <w:t>Corrected errors</w:t>
            </w:r>
            <w:bookmarkEnd w:id="27"/>
            <w:r>
              <w:rPr>
                <w:rStyle w:val="FootnoteReference"/>
                <w:rFonts w:ascii="Times New Roman" w:eastAsia="Times New Roman" w:hAnsi="Times New Roman" w:cs="Times New Roman"/>
                <w:color w:val="000000"/>
                <w:lang w:val="en-GB"/>
              </w:rPr>
              <w:footnoteReference w:id="30"/>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1</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Bouman and Jacobsen (2002)</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2</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Ogden (2003)</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3</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Jacobsen and Marquering (2008)</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28" w:name="RANGE!F4"/>
            <w:r w:rsidRPr="00F34E79">
              <w:rPr>
                <w:rFonts w:ascii="Wingdings" w:eastAsia="Times New Roman" w:hAnsi="Wingdings" w:cs="Calibri"/>
                <w:color w:val="000000"/>
                <w:sz w:val="20"/>
                <w:szCs w:val="20"/>
                <w:lang w:val="en-GB"/>
              </w:rPr>
              <w:t></w:t>
            </w:r>
            <w:r>
              <w:rPr>
                <w:rFonts w:ascii="Wingdings" w:eastAsia="Times New Roman" w:hAnsi="Wingdings" w:cs="Calibri"/>
                <w:color w:val="000000"/>
                <w:sz w:val="20"/>
                <w:szCs w:val="20"/>
                <w:lang w:val="en-GB"/>
              </w:rPr>
              <w:t></w:t>
            </w:r>
            <w:r w:rsidRPr="00F34E79">
              <w:rPr>
                <w:rStyle w:val="FootnoteReference"/>
                <w:rFonts w:ascii="Times New Roman" w:eastAsia="Times New Roman" w:hAnsi="Times New Roman" w:cs="Times New Roman"/>
                <w:color w:val="000000"/>
                <w:lang w:val="en-GB"/>
              </w:rPr>
              <w:footnoteReference w:id="31"/>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bookmarkEnd w:id="28"/>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4</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Dowling and Lucey (2008)</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r>
      <w:tr w:rsidR="0005594A" w:rsidRPr="00F34E79" w:rsidTr="00D0485F">
        <w:trPr>
          <w:trHeight w:val="345"/>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5</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Hong and Yu (2009)</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6</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Kelly and Meschke (2010)</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7</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Haggard and Witte (2010)</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29" w:name="RANGE!G8"/>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bookmarkEnd w:id="29"/>
            <w:r>
              <w:rPr>
                <w:rStyle w:val="FootnoteReference"/>
                <w:rFonts w:ascii="Times New Roman" w:eastAsia="Times New Roman" w:hAnsi="Times New Roman" w:cs="Times New Roman"/>
                <w:color w:val="000000"/>
                <w:lang w:val="en-GB"/>
              </w:rPr>
              <w:footnoteReference w:id="32"/>
            </w: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8</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Kamstra, Kramer and Levi (2012)</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30" w:name="RANGE!F9"/>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w:t>
            </w:r>
            <w:r w:rsidRPr="00F34E79">
              <w:rPr>
                <w:rStyle w:val="FootnoteReference"/>
                <w:rFonts w:ascii="Times New Roman" w:eastAsia="Times New Roman" w:hAnsi="Times New Roman" w:cs="Times New Roman"/>
                <w:color w:val="000000"/>
                <w:lang w:val="en-GB"/>
              </w:rPr>
              <w:footnoteReference w:id="33"/>
            </w:r>
            <w:r w:rsidRPr="00F34E79">
              <w:rPr>
                <w:rFonts w:ascii="Times New Roman" w:eastAsia="Times New Roman" w:hAnsi="Times New Roman" w:cs="Times New Roman"/>
                <w:color w:val="000000"/>
                <w:sz w:val="20"/>
                <w:szCs w:val="20"/>
                <w:lang w:val="en-GB"/>
              </w:rPr>
              <w:t> </w:t>
            </w:r>
            <w:bookmarkEnd w:id="30"/>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9</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Zhang and Jacobsen (2013)</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31" w:name="RANGE!G10"/>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w:t>
            </w:r>
            <w:r w:rsidRPr="00F34E79">
              <w:rPr>
                <w:rStyle w:val="FootnoteReference"/>
                <w:rFonts w:ascii="Times New Roman" w:eastAsia="Times New Roman" w:hAnsi="Times New Roman" w:cs="Times New Roman"/>
                <w:color w:val="000000"/>
                <w:lang w:val="en-GB"/>
              </w:rPr>
              <w:footnoteReference w:id="34"/>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bookmarkEnd w:id="31"/>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51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10</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Andrade, Chhaochharia and Fuerst (2013)</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32" w:name="RANGE!F11"/>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w:t>
            </w:r>
            <w:r w:rsidRPr="00BB766F">
              <w:rPr>
                <w:rStyle w:val="FootnoteReference"/>
                <w:rFonts w:ascii="Times New Roman" w:eastAsia="Times New Roman" w:hAnsi="Times New Roman" w:cs="Times New Roman"/>
                <w:color w:val="000000"/>
                <w:lang w:val="en-GB"/>
              </w:rPr>
              <w:footnoteReference w:id="35"/>
            </w:r>
            <w:r w:rsidRPr="00F34E79">
              <w:rPr>
                <w:rFonts w:ascii="Times New Roman" w:eastAsia="Times New Roman" w:hAnsi="Times New Roman" w:cs="Times New Roman"/>
                <w:color w:val="000000"/>
                <w:sz w:val="20"/>
                <w:szCs w:val="20"/>
                <w:lang w:val="en-GB"/>
              </w:rPr>
              <w:t xml:space="preserve">  </w:t>
            </w:r>
            <w:bookmarkEnd w:id="32"/>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11</w:t>
            </w:r>
          </w:p>
        </w:tc>
        <w:tc>
          <w:tcPr>
            <w:tcW w:w="2819"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both"/>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Kamstra, Kramer and Levi (2014)</w:t>
            </w: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942"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bookmarkStart w:id="33" w:name="RANGE!D12"/>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w:t>
            </w:r>
            <w:r w:rsidRPr="00BB766F">
              <w:rPr>
                <w:rStyle w:val="FootnoteReference"/>
                <w:rFonts w:ascii="Times New Roman" w:eastAsia="Times New Roman" w:hAnsi="Times New Roman" w:cs="Times New Roman"/>
                <w:color w:val="000000"/>
                <w:lang w:val="en-GB"/>
              </w:rPr>
              <w:footnoteReference w:id="36"/>
            </w:r>
            <w:r w:rsidRPr="00F34E79">
              <w:rPr>
                <w:rFonts w:ascii="Times New Roman" w:eastAsia="Times New Roman" w:hAnsi="Times New Roman" w:cs="Times New Roman"/>
                <w:color w:val="000000"/>
                <w:sz w:val="20"/>
                <w:szCs w:val="20"/>
                <w:lang w:val="en-GB"/>
              </w:rPr>
              <w:t xml:space="preserve">  </w:t>
            </w:r>
            <w:bookmarkEnd w:id="33"/>
          </w:p>
        </w:tc>
        <w:tc>
          <w:tcPr>
            <w:tcW w:w="1094"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261"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128"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p>
        </w:tc>
        <w:tc>
          <w:tcPr>
            <w:tcW w:w="1005" w:type="dxa"/>
            <w:tcBorders>
              <w:top w:val="nil"/>
              <w:left w:val="nil"/>
              <w:bottom w:val="nil"/>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r>
      <w:tr w:rsidR="0005594A" w:rsidRPr="00F34E79" w:rsidTr="00D0485F">
        <w:trPr>
          <w:trHeight w:val="300"/>
        </w:trPr>
        <w:tc>
          <w:tcPr>
            <w:tcW w:w="649"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12</w:t>
            </w:r>
          </w:p>
        </w:tc>
        <w:tc>
          <w:tcPr>
            <w:tcW w:w="2819" w:type="dxa"/>
            <w:tcBorders>
              <w:top w:val="nil"/>
              <w:left w:val="nil"/>
              <w:bottom w:val="single" w:sz="4" w:space="0" w:color="auto"/>
              <w:right w:val="nil"/>
            </w:tcBorders>
            <w:shd w:val="clear" w:color="auto" w:fill="auto"/>
            <w:vAlign w:val="center"/>
            <w:hideMark/>
          </w:tcPr>
          <w:p w:rsidR="0005594A" w:rsidRPr="00233091" w:rsidRDefault="00233091" w:rsidP="00D0485F">
            <w:pPr>
              <w:spacing w:after="0" w:line="240" w:lineRule="auto"/>
              <w:jc w:val="both"/>
              <w:rPr>
                <w:rFonts w:ascii="Times New Roman" w:eastAsia="Times New Roman" w:hAnsi="Times New Roman" w:cs="Times New Roman"/>
                <w:color w:val="000000"/>
                <w:sz w:val="20"/>
                <w:szCs w:val="20"/>
              </w:rPr>
            </w:pPr>
            <w:r w:rsidRPr="00233091">
              <w:rPr>
                <w:rFonts w:ascii="Times New Roman" w:hAnsi="Times New Roman" w:cs="Times New Roman"/>
                <w:sz w:val="20"/>
                <w:szCs w:val="20"/>
              </w:rPr>
              <w:t>Frühwirth and Sögner</w:t>
            </w:r>
            <w:r w:rsidR="0005594A" w:rsidRPr="00233091">
              <w:rPr>
                <w:rFonts w:ascii="Times New Roman" w:eastAsia="Times New Roman" w:hAnsi="Times New Roman" w:cs="Times New Roman"/>
                <w:color w:val="000000"/>
                <w:sz w:val="20"/>
                <w:szCs w:val="20"/>
                <w:lang w:val="en-GB"/>
              </w:rPr>
              <w:t xml:space="preserve"> (2014)</w:t>
            </w:r>
          </w:p>
        </w:tc>
        <w:tc>
          <w:tcPr>
            <w:tcW w:w="942"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 </w:t>
            </w:r>
          </w:p>
        </w:tc>
        <w:tc>
          <w:tcPr>
            <w:tcW w:w="942"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 </w:t>
            </w:r>
          </w:p>
        </w:tc>
        <w:tc>
          <w:tcPr>
            <w:tcW w:w="1094"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 </w:t>
            </w:r>
          </w:p>
        </w:tc>
        <w:tc>
          <w:tcPr>
            <w:tcW w:w="1261"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Wingdings" w:eastAsia="Times New Roman" w:hAnsi="Wingdings" w:cs="Calibri"/>
                <w:color w:val="000000"/>
                <w:sz w:val="20"/>
                <w:szCs w:val="20"/>
              </w:rPr>
            </w:pPr>
            <w:r w:rsidRPr="00F34E79">
              <w:rPr>
                <w:rFonts w:ascii="Wingdings" w:eastAsia="Times New Roman" w:hAnsi="Wingdings" w:cs="Calibri"/>
                <w:color w:val="000000"/>
                <w:sz w:val="20"/>
                <w:szCs w:val="20"/>
                <w:lang w:val="en-GB"/>
              </w:rPr>
              <w:t></w:t>
            </w:r>
            <w:r w:rsidRPr="00F34E79">
              <w:rPr>
                <w:rFonts w:ascii="Times New Roman" w:eastAsia="Times New Roman" w:hAnsi="Times New Roman" w:cs="Times New Roman"/>
                <w:color w:val="000000"/>
                <w:sz w:val="14"/>
                <w:szCs w:val="14"/>
                <w:lang w:val="en-GB"/>
              </w:rPr>
              <w:t xml:space="preserve">  </w:t>
            </w:r>
            <w:r w:rsidRPr="00F34E79">
              <w:rPr>
                <w:rFonts w:ascii="Times New Roman" w:eastAsia="Times New Roman" w:hAnsi="Times New Roman" w:cs="Times New Roman"/>
                <w:color w:val="000000"/>
                <w:sz w:val="20"/>
                <w:szCs w:val="20"/>
                <w:lang w:val="en-GB"/>
              </w:rPr>
              <w:t> </w:t>
            </w:r>
          </w:p>
        </w:tc>
        <w:tc>
          <w:tcPr>
            <w:tcW w:w="1128"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 </w:t>
            </w:r>
          </w:p>
        </w:tc>
        <w:tc>
          <w:tcPr>
            <w:tcW w:w="1005" w:type="dxa"/>
            <w:tcBorders>
              <w:top w:val="nil"/>
              <w:left w:val="nil"/>
              <w:bottom w:val="single" w:sz="4" w:space="0" w:color="auto"/>
              <w:right w:val="nil"/>
            </w:tcBorders>
            <w:shd w:val="clear" w:color="auto" w:fill="auto"/>
            <w:vAlign w:val="center"/>
            <w:hideMark/>
          </w:tcPr>
          <w:p w:rsidR="0005594A" w:rsidRPr="00F34E79" w:rsidRDefault="0005594A" w:rsidP="00D0485F">
            <w:pPr>
              <w:spacing w:after="0" w:line="240" w:lineRule="auto"/>
              <w:jc w:val="center"/>
              <w:rPr>
                <w:rFonts w:ascii="Times New Roman" w:eastAsia="Times New Roman" w:hAnsi="Times New Roman" w:cs="Times New Roman"/>
                <w:color w:val="000000"/>
                <w:sz w:val="20"/>
                <w:szCs w:val="20"/>
              </w:rPr>
            </w:pPr>
            <w:r w:rsidRPr="00F34E79">
              <w:rPr>
                <w:rFonts w:ascii="Times New Roman" w:eastAsia="Times New Roman" w:hAnsi="Times New Roman" w:cs="Times New Roman"/>
                <w:color w:val="000000"/>
                <w:sz w:val="20"/>
                <w:szCs w:val="20"/>
                <w:lang w:val="en-GB"/>
              </w:rPr>
              <w:t> </w:t>
            </w:r>
          </w:p>
        </w:tc>
      </w:tr>
    </w:tbl>
    <w:p w:rsidR="0005594A" w:rsidRDefault="0005594A" w:rsidP="0005594A">
      <w:pPr>
        <w:rPr>
          <w:rFonts w:ascii="Times New Roman" w:hAnsi="Times New Roman" w:cs="Times New Roman"/>
          <w:b/>
          <w:sz w:val="24"/>
          <w:szCs w:val="24"/>
          <w:lang w:val="nl-NL"/>
        </w:rPr>
      </w:pPr>
      <w:r w:rsidRPr="00A8714A">
        <w:rPr>
          <w:rFonts w:ascii="Times New Roman" w:hAnsi="Times New Roman" w:cs="Times New Roman"/>
          <w:i/>
          <w:noProof/>
          <w:sz w:val="18"/>
          <w:szCs w:val="18"/>
        </w:rPr>
        <w:t>Notes:</w:t>
      </w:r>
      <w:r>
        <w:rPr>
          <w:rFonts w:ascii="Times New Roman" w:hAnsi="Times New Roman" w:cs="Times New Roman"/>
          <w:noProof/>
          <w:sz w:val="18"/>
          <w:szCs w:val="18"/>
        </w:rPr>
        <w:t xml:space="preserve"> </w:t>
      </w:r>
      <w:r w:rsidRPr="00743EBA">
        <w:rPr>
          <w:rFonts w:ascii="Times New Roman" w:hAnsi="Times New Roman" w:cs="Times New Roman"/>
          <w:noProof/>
          <w:sz w:val="18"/>
          <w:szCs w:val="18"/>
        </w:rPr>
        <w:t xml:space="preserve">The table </w:t>
      </w:r>
      <w:r>
        <w:rPr>
          <w:rFonts w:ascii="Times New Roman" w:hAnsi="Times New Roman" w:cs="Times New Roman"/>
          <w:noProof/>
          <w:sz w:val="18"/>
          <w:szCs w:val="18"/>
        </w:rPr>
        <w:t xml:space="preserve">provides an overview of the estimation methods which are used in empirical studies to test for seasonality. </w:t>
      </w:r>
    </w:p>
    <w:p w:rsidR="0005594A" w:rsidRPr="00DB60A9"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Some papers (Gerlach (2007), Doeswijk (2008), Shigeki, Takashi, Katsuhiko (2011)) use a t-test for the difference between population means or use a Chi-square test for the difference in variances (Shigeki, Takashi, Katsuhiko (2011)). As a step further these papers consider the comparison of a strategy based on the discovered pattern and the reversed one</w:t>
      </w:r>
      <w:r w:rsidRPr="00DB60A9">
        <w:rPr>
          <w:rStyle w:val="FootnoteReference"/>
          <w:rFonts w:ascii="Times New Roman" w:hAnsi="Times New Roman" w:cs="Times New Roman"/>
        </w:rPr>
        <w:footnoteReference w:id="37"/>
      </w:r>
      <w:r w:rsidRPr="00DB60A9">
        <w:rPr>
          <w:rFonts w:ascii="Times New Roman" w:hAnsi="Times New Roman" w:cs="Times New Roman"/>
        </w:rPr>
        <w:t xml:space="preserve">. As often the assumptions of parametric test are not supported by the data or as a check for the reliability of the results, non-parametric tests for difference in mean returns are also employed: </w:t>
      </w:r>
      <w:r w:rsidR="00D24F15">
        <w:rPr>
          <w:rFonts w:ascii="Times New Roman" w:hAnsi="Times New Roman" w:cs="Times New Roman"/>
        </w:rPr>
        <w:t xml:space="preserve">the </w:t>
      </w:r>
      <w:r w:rsidRPr="00DB60A9">
        <w:rPr>
          <w:rFonts w:ascii="Times New Roman" w:hAnsi="Times New Roman" w:cs="Times New Roman"/>
        </w:rPr>
        <w:t xml:space="preserve">Wilcoxon rank test (Smith (2002)), </w:t>
      </w:r>
      <w:r w:rsidR="00D24F15">
        <w:rPr>
          <w:rFonts w:ascii="Times New Roman" w:hAnsi="Times New Roman" w:cs="Times New Roman"/>
        </w:rPr>
        <w:t xml:space="preserve">the </w:t>
      </w:r>
      <w:r w:rsidRPr="00DB60A9">
        <w:rPr>
          <w:rFonts w:ascii="Times New Roman" w:hAnsi="Times New Roman" w:cs="Times New Roman"/>
        </w:rPr>
        <w:t>median test (Clayton</w:t>
      </w:r>
      <w:r w:rsidR="00D24F15">
        <w:rPr>
          <w:rFonts w:ascii="Times New Roman" w:hAnsi="Times New Roman" w:cs="Times New Roman"/>
        </w:rPr>
        <w:t xml:space="preserve">, </w:t>
      </w:r>
      <w:r w:rsidR="00D24F15">
        <w:rPr>
          <w:rFonts w:ascii="Times New Roman" w:hAnsi="Times New Roman" w:cs="Times New Roman"/>
        </w:rPr>
        <w:lastRenderedPageBreak/>
        <w:t>Delozier and Ehrhardt (1989)) and the</w:t>
      </w:r>
      <w:r w:rsidRPr="00DB60A9">
        <w:rPr>
          <w:rFonts w:ascii="Times New Roman" w:hAnsi="Times New Roman" w:cs="Times New Roman"/>
        </w:rPr>
        <w:t xml:space="preserve"> Kruskal and Wallis test (Rozeff and Kinney (1976), Zhang and Jacobsen (2013)). </w:t>
      </w:r>
    </w:p>
    <w:p w:rsidR="0005594A" w:rsidRDefault="0005594A" w:rsidP="0005594A">
      <w:pPr>
        <w:spacing w:line="360" w:lineRule="auto"/>
        <w:jc w:val="both"/>
        <w:rPr>
          <w:rFonts w:ascii="Times New Roman" w:hAnsi="Times New Roman" w:cs="Times New Roman"/>
        </w:rPr>
      </w:pPr>
      <w:r>
        <w:rPr>
          <w:rFonts w:ascii="Times New Roman" w:hAnsi="Times New Roman" w:cs="Times New Roman"/>
          <w:b/>
          <w:lang w:val="nl-NL"/>
        </w:rPr>
        <w:tab/>
      </w:r>
      <w:r w:rsidRPr="001F187E">
        <w:rPr>
          <w:rFonts w:ascii="Times New Roman" w:hAnsi="Times New Roman" w:cs="Times New Roman"/>
          <w:lang w:val="nl-NL"/>
        </w:rPr>
        <w:t xml:space="preserve">In order to </w:t>
      </w:r>
      <w:r>
        <w:rPr>
          <w:rFonts w:ascii="Times New Roman" w:hAnsi="Times New Roman" w:cs="Times New Roman"/>
          <w:lang w:val="nl-NL"/>
        </w:rPr>
        <w:t>confirm the seasonal pattern, studies often test for data mining problems: control for outliers (</w:t>
      </w:r>
      <w:r w:rsidRPr="00DB60A9">
        <w:rPr>
          <w:rFonts w:ascii="Times New Roman" w:hAnsi="Times New Roman" w:cs="Times New Roman"/>
        </w:rPr>
        <w:t>Shigeki, Takashi, Katsuhiko (2011)), test for out-of-sample persistence (Andrade, Chhaochharia and Fuerst (2013)</w:t>
      </w:r>
      <w:r>
        <w:rPr>
          <w:rFonts w:ascii="Times New Roman" w:hAnsi="Times New Roman" w:cs="Times New Roman"/>
        </w:rPr>
        <w:t xml:space="preserve">), check consistency over subperiods </w:t>
      </w:r>
      <w:r w:rsidRPr="00DB60A9">
        <w:rPr>
          <w:rFonts w:ascii="Times New Roman" w:hAnsi="Times New Roman" w:cs="Times New Roman"/>
        </w:rPr>
        <w:t>(Doeswijk (2008), Haggard and Witte (2010), Shigeki, Takashi, Katsuhiko (2011)) or across countries (Ogden (2003)),</w:t>
      </w:r>
      <w:r>
        <w:rPr>
          <w:rFonts w:ascii="Times New Roman" w:hAnsi="Times New Roman" w:cs="Times New Roman"/>
        </w:rPr>
        <w:t xml:space="preserve"> or perform </w:t>
      </w:r>
      <w:r w:rsidRPr="00DB60A9">
        <w:rPr>
          <w:rFonts w:ascii="Times New Roman" w:hAnsi="Times New Roman" w:cs="Times New Roman"/>
        </w:rPr>
        <w:t>bootstrapped tests (KKL (2014)).</w:t>
      </w:r>
      <w:r>
        <w:rPr>
          <w:rFonts w:ascii="Times New Roman" w:hAnsi="Times New Roman" w:cs="Times New Roman"/>
        </w:rPr>
        <w:t xml:space="preserve"> The empirical papers which advance an explanation for the found seasonal pattern also provide robustness checks in order to reject other possible explanations for the observed phenomenon. In an attempt to reject other explanations, several studies check if the higher returns are just a compensation for bearing higher risk (</w:t>
      </w:r>
      <w:r w:rsidRPr="00DB60A9">
        <w:rPr>
          <w:rFonts w:ascii="Times New Roman" w:hAnsi="Times New Roman" w:cs="Times New Roman"/>
        </w:rPr>
        <w:t>Bouman and Jacobsen (2002), G</w:t>
      </w:r>
      <w:r>
        <w:rPr>
          <w:rFonts w:ascii="Times New Roman" w:hAnsi="Times New Roman" w:cs="Times New Roman"/>
        </w:rPr>
        <w:t>erlach (2007), Doeswijk (2008)) or analyse the interaction between seasonal patterns (</w:t>
      </w:r>
      <w:r w:rsidRPr="00DB60A9">
        <w:rPr>
          <w:rFonts w:ascii="Times New Roman" w:hAnsi="Times New Roman" w:cs="Times New Roman"/>
        </w:rPr>
        <w:t>Bouman and Jacobsen (2002), Hong and Yu (2009), Zhang and Jacobsen (2013))</w:t>
      </w:r>
      <w:r>
        <w:rPr>
          <w:rFonts w:ascii="Times New Roman" w:hAnsi="Times New Roman" w:cs="Times New Roman"/>
        </w:rPr>
        <w:t>.</w:t>
      </w:r>
    </w:p>
    <w:p w:rsidR="0005594A" w:rsidRPr="00AD40FC" w:rsidRDefault="0005594A" w:rsidP="0005594A">
      <w:pPr>
        <w:spacing w:after="0" w:line="360" w:lineRule="auto"/>
        <w:ind w:firstLine="720"/>
        <w:jc w:val="both"/>
        <w:rPr>
          <w:rFonts w:ascii="Times New Roman" w:hAnsi="Times New Roman" w:cs="Times New Roman"/>
          <w:lang w:val="nl-NL"/>
        </w:rPr>
      </w:pPr>
    </w:p>
    <w:p w:rsidR="0005594A" w:rsidRDefault="00930C6E" w:rsidP="00027ADB">
      <w:pPr>
        <w:pStyle w:val="Heading3"/>
        <w:rPr>
          <w:lang w:val="nl-NL"/>
        </w:rPr>
      </w:pPr>
      <w:bookmarkStart w:id="34" w:name="_Toc396762702"/>
      <w:r>
        <w:rPr>
          <w:lang w:val="nl-NL"/>
        </w:rPr>
        <w:t>3.2.2</w:t>
      </w:r>
      <w:r w:rsidR="0005594A">
        <w:rPr>
          <w:lang w:val="nl-NL"/>
        </w:rPr>
        <w:t xml:space="preserve"> Seasonal Pattern Discovery</w:t>
      </w:r>
      <w:bookmarkEnd w:id="34"/>
    </w:p>
    <w:p w:rsidR="00027ADB" w:rsidRPr="00027ADB" w:rsidRDefault="00027ADB" w:rsidP="00027ADB">
      <w:pPr>
        <w:rPr>
          <w:lang w:val="nl-NL"/>
        </w:rPr>
      </w:pPr>
    </w:p>
    <w:p w:rsidR="0005594A" w:rsidRPr="00175B01" w:rsidRDefault="0005594A" w:rsidP="0005594A">
      <w:pPr>
        <w:spacing w:after="0" w:line="360" w:lineRule="auto"/>
        <w:ind w:firstLine="720"/>
        <w:jc w:val="both"/>
        <w:rPr>
          <w:rFonts w:ascii="Times New Roman" w:hAnsi="Times New Roman" w:cs="Times New Roman"/>
          <w:lang w:val="en-GB"/>
        </w:rPr>
      </w:pPr>
      <w:r w:rsidRPr="00175B01">
        <w:rPr>
          <w:rFonts w:ascii="Times New Roman" w:hAnsi="Times New Roman" w:cs="Times New Roman"/>
          <w:lang w:val="en-GB"/>
        </w:rPr>
        <w:t>The first part of the research is to uncover the seasonal pattern in the excess bond returns. In order to answer this question, two methods are used: a regression including dummy variables</w:t>
      </w:r>
      <w:r w:rsidRPr="00175B01">
        <w:rPr>
          <w:rStyle w:val="FootnoteReference"/>
          <w:rFonts w:ascii="Times New Roman" w:hAnsi="Times New Roman" w:cs="Times New Roman"/>
          <w:lang w:val="en-GB"/>
        </w:rPr>
        <w:footnoteReference w:id="38"/>
      </w:r>
      <w:r w:rsidRPr="00175B01">
        <w:rPr>
          <w:rFonts w:ascii="Times New Roman" w:hAnsi="Times New Roman" w:cs="Times New Roman"/>
          <w:lang w:val="en-GB"/>
        </w:rPr>
        <w:t xml:space="preserve"> and the economic significance of a strategy based on the statistically significant calendar anomaly. </w:t>
      </w:r>
    </w:p>
    <w:p w:rsidR="0005594A" w:rsidRDefault="0005594A" w:rsidP="0005594A">
      <w:pPr>
        <w:spacing w:after="0" w:line="360" w:lineRule="auto"/>
        <w:ind w:firstLine="720"/>
        <w:jc w:val="both"/>
        <w:rPr>
          <w:rFonts w:ascii="Times New Roman" w:hAnsi="Times New Roman" w:cs="Times New Roman"/>
          <w:lang w:val="en-GB"/>
        </w:rPr>
      </w:pPr>
      <w:r w:rsidRPr="00175B01">
        <w:rPr>
          <w:rFonts w:ascii="Times New Roman" w:hAnsi="Times New Roman" w:cs="Times New Roman"/>
          <w:lang w:val="en-GB"/>
        </w:rPr>
        <w:t xml:space="preserve">The regression technique is a popular and simple method used in the literature, but it is also dependent on the specification of the calendar anomaly. I use this method because it offers the possibility to perform robustness checks by adding control variables and it constitutes a specific test. The implementation of a standard F-test </w:t>
      </w:r>
      <w:r>
        <w:rPr>
          <w:rFonts w:ascii="Times New Roman" w:hAnsi="Times New Roman" w:cs="Times New Roman"/>
          <w:lang w:val="en-GB"/>
        </w:rPr>
        <w:t>will give</w:t>
      </w:r>
      <w:r w:rsidRPr="00175B01">
        <w:rPr>
          <w:rFonts w:ascii="Times New Roman" w:hAnsi="Times New Roman" w:cs="Times New Roman"/>
          <w:lang w:val="en-GB"/>
        </w:rPr>
        <w:t xml:space="preserve"> a general outcome – if the returns are different across months, without detecting which months are causing the fluctuations.</w:t>
      </w:r>
      <w:r w:rsidR="00B7742B">
        <w:rPr>
          <w:rFonts w:ascii="Times New Roman" w:hAnsi="Times New Roman" w:cs="Times New Roman"/>
          <w:lang w:val="en-GB"/>
        </w:rPr>
        <w:t xml:space="preserve"> As KKL</w:t>
      </w:r>
      <w:r w:rsidR="00D24F15">
        <w:rPr>
          <w:rFonts w:ascii="Times New Roman" w:hAnsi="Times New Roman" w:cs="Times New Roman"/>
          <w:lang w:val="en-GB"/>
        </w:rPr>
        <w:t xml:space="preserve"> </w:t>
      </w:r>
      <w:r w:rsidR="00B7742B">
        <w:rPr>
          <w:rFonts w:ascii="Times New Roman" w:hAnsi="Times New Roman" w:cs="Times New Roman"/>
          <w:lang w:val="en-GB"/>
        </w:rPr>
        <w:t>(2014) mentions “t</w:t>
      </w:r>
      <w:r w:rsidR="00B7742B" w:rsidRPr="00B7742B">
        <w:rPr>
          <w:rFonts w:ascii="Times New Roman" w:hAnsi="Times New Roman" w:cs="Times New Roman"/>
          <w:lang w:val="en-GB"/>
        </w:rPr>
        <w:t>he test for nonspecific monthly seasonality is a weak test for a specific form of seasonal variation</w:t>
      </w:r>
      <w:r w:rsidR="00B7742B">
        <w:rPr>
          <w:rFonts w:ascii="Times New Roman" w:hAnsi="Times New Roman" w:cs="Times New Roman"/>
          <w:lang w:val="en-GB"/>
        </w:rPr>
        <w:t xml:space="preserve">”.  </w:t>
      </w:r>
    </w:p>
    <w:p w:rsidR="00C92BF1" w:rsidRPr="00175B01" w:rsidRDefault="00C92BF1" w:rsidP="0005594A">
      <w:pPr>
        <w:spacing w:after="0" w:line="360" w:lineRule="auto"/>
        <w:ind w:firstLine="720"/>
        <w:jc w:val="both"/>
        <w:rPr>
          <w:rFonts w:ascii="Times New Roman" w:hAnsi="Times New Roman" w:cs="Times New Roman"/>
          <w:lang w:val="en-GB"/>
        </w:rPr>
      </w:pPr>
      <w:r>
        <w:rPr>
          <w:rFonts w:ascii="Times New Roman" w:hAnsi="Times New Roman" w:cs="Times New Roman"/>
          <w:lang w:val="en-GB"/>
        </w:rPr>
        <w:t>I use the relatively simple Ordinary Least Squares (OLS) technique as using more complex techniques do</w:t>
      </w:r>
      <w:r w:rsidR="00560045">
        <w:rPr>
          <w:rFonts w:ascii="Times New Roman" w:hAnsi="Times New Roman" w:cs="Times New Roman"/>
          <w:lang w:val="en-GB"/>
        </w:rPr>
        <w:t>es</w:t>
      </w:r>
      <w:r>
        <w:rPr>
          <w:rFonts w:ascii="Times New Roman" w:hAnsi="Times New Roman" w:cs="Times New Roman"/>
          <w:lang w:val="en-GB"/>
        </w:rPr>
        <w:t xml:space="preserve"> not add value to the scope of this research which is discover a seasonal pattern and the corresponding explanation. </w:t>
      </w:r>
      <w:r w:rsidR="00995846">
        <w:rPr>
          <w:rFonts w:ascii="Times New Roman" w:hAnsi="Times New Roman" w:cs="Times New Roman"/>
          <w:lang w:val="en-GB"/>
        </w:rPr>
        <w:t xml:space="preserve">After using different techniques (e.g. OLS, GMM, Maximum Likelihood with GARCH effects), </w:t>
      </w:r>
      <w:r>
        <w:rPr>
          <w:rFonts w:ascii="Times New Roman" w:hAnsi="Times New Roman" w:cs="Times New Roman"/>
          <w:lang w:val="en-GB"/>
        </w:rPr>
        <w:t xml:space="preserve">Jacobsen and Marquering (2008) </w:t>
      </w:r>
      <w:r w:rsidR="00560045">
        <w:rPr>
          <w:rFonts w:ascii="Times New Roman" w:hAnsi="Times New Roman" w:cs="Times New Roman"/>
          <w:lang w:val="en-GB"/>
        </w:rPr>
        <w:t>conclude “with the exception of some minor changes, overall the results are very similar to the OLS results”.</w:t>
      </w:r>
    </w:p>
    <w:p w:rsidR="0005594A" w:rsidRDefault="0005594A" w:rsidP="0005594A">
      <w:pPr>
        <w:spacing w:after="0" w:line="360" w:lineRule="auto"/>
        <w:ind w:firstLine="720"/>
        <w:jc w:val="both"/>
        <w:rPr>
          <w:rFonts w:ascii="Times New Roman" w:hAnsi="Times New Roman" w:cs="Times New Roman"/>
          <w:lang w:val="en-GB"/>
        </w:rPr>
      </w:pPr>
      <w:r w:rsidRPr="00175B01">
        <w:rPr>
          <w:rFonts w:ascii="Times New Roman" w:hAnsi="Times New Roman" w:cs="Times New Roman"/>
          <w:lang w:val="en-GB"/>
        </w:rPr>
        <w:t>Following a commonly used technique in the literature, dummies with ones and zeros are defined and the following regression is estimated:</w:t>
      </w:r>
    </w:p>
    <w:p w:rsidR="00C92BF1" w:rsidRPr="00175B01" w:rsidRDefault="00C92BF1" w:rsidP="0005594A">
      <w:pPr>
        <w:spacing w:after="0" w:line="360" w:lineRule="auto"/>
        <w:ind w:firstLine="720"/>
        <w:jc w:val="both"/>
        <w:rPr>
          <w:rFonts w:ascii="Times New Roman" w:hAnsi="Times New Roman" w:cs="Times New Roman"/>
          <w:lang w:val="en-GB"/>
        </w:rPr>
      </w:pPr>
    </w:p>
    <w:p w:rsidR="0005594A" w:rsidRDefault="004C40A2" w:rsidP="0005594A">
      <w:pPr>
        <w:spacing w:after="0" w:line="360" w:lineRule="auto"/>
        <w:jc w:val="center"/>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Ex_r</m:t>
            </m:r>
          </m:e>
          <m:sub>
            <m:r>
              <w:rPr>
                <w:rFonts w:ascii="Cambria Math" w:hAnsi="Cambria Math" w:cs="Times New Roman"/>
              </w:rPr>
              <m:t>t</m:t>
            </m:r>
          </m:sub>
        </m:sSub>
        <m:r>
          <w:rPr>
            <w:rFonts w:ascii="Cambria Math" w:hAnsi="Cambria Math" w:cs="Times New Roman"/>
          </w:rPr>
          <m:t>=μ+α</m:t>
        </m:r>
        <m:sSub>
          <m:sSubPr>
            <m:ctrlPr>
              <w:rPr>
                <w:rFonts w:ascii="Cambria Math" w:hAnsi="Cambria Math" w:cs="Times New Roman"/>
                <w:i/>
              </w:rPr>
            </m:ctrlPr>
          </m:sSubPr>
          <m:e>
            <m:r>
              <w:rPr>
                <w:rFonts w:ascii="Cambria Math" w:hAnsi="Cambria Math" w:cs="Times New Roman"/>
              </w:rPr>
              <m:t>D</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t</m:t>
            </m:r>
          </m:sub>
        </m:sSub>
      </m:oMath>
      <w:r w:rsidR="00995846">
        <w:rPr>
          <w:rFonts w:ascii="Times New Roman" w:hAnsi="Times New Roman" w:cs="Times New Roman"/>
        </w:rPr>
        <w:tab/>
      </w:r>
      <w:r w:rsidR="00995846">
        <w:rPr>
          <w:rFonts w:ascii="Times New Roman" w:hAnsi="Times New Roman" w:cs="Times New Roman"/>
        </w:rPr>
        <w:tab/>
      </w:r>
      <w:r w:rsidR="0005594A">
        <w:rPr>
          <w:rFonts w:ascii="Times New Roman" w:hAnsi="Times New Roman" w:cs="Times New Roman"/>
        </w:rPr>
        <w:t>(1)</w:t>
      </w:r>
    </w:p>
    <w:p w:rsidR="00C92BF1" w:rsidRPr="00DB60A9" w:rsidRDefault="00C92BF1" w:rsidP="0005594A">
      <w:pPr>
        <w:spacing w:after="0" w:line="360" w:lineRule="auto"/>
        <w:jc w:val="center"/>
        <w:rPr>
          <w:rFonts w:ascii="Times New Roman" w:hAnsi="Times New Roman" w:cs="Times New Roman"/>
        </w:rPr>
      </w:pPr>
    </w:p>
    <w:p w:rsidR="0005594A" w:rsidRPr="00175B01" w:rsidRDefault="0005594A" w:rsidP="0005594A">
      <w:pPr>
        <w:spacing w:after="0" w:line="360" w:lineRule="auto"/>
        <w:jc w:val="both"/>
        <w:rPr>
          <w:rFonts w:ascii="Times New Roman" w:hAnsi="Times New Roman" w:cs="Times New Roman"/>
          <w:lang w:val="en-GB"/>
        </w:rPr>
      </w:pPr>
      <w:r w:rsidRPr="00175B01">
        <w:rPr>
          <w:rFonts w:ascii="Times New Roman" w:hAnsi="Times New Roman" w:cs="Times New Roman"/>
          <w:lang w:val="en-GB"/>
        </w:rPr>
        <w:t xml:space="preserve">where </w:t>
      </w:r>
      <m:oMath>
        <m:sSub>
          <m:sSubPr>
            <m:ctrlPr>
              <w:rPr>
                <w:rFonts w:ascii="Cambria Math" w:hAnsi="Cambria Math" w:cs="Times New Roman"/>
                <w:i/>
                <w:lang w:val="en-GB"/>
              </w:rPr>
            </m:ctrlPr>
          </m:sSubPr>
          <m:e>
            <m:r>
              <w:rPr>
                <w:rFonts w:ascii="Cambria Math" w:hAnsi="Cambria Math" w:cs="Times New Roman"/>
                <w:lang w:val="en-GB"/>
              </w:rPr>
              <m:t>Ex_r</m:t>
            </m:r>
          </m:e>
          <m:sub>
            <m:r>
              <w:rPr>
                <w:rFonts w:ascii="Cambria Math" w:hAnsi="Cambria Math" w:cs="Times New Roman"/>
                <w:lang w:val="en-GB"/>
              </w:rPr>
              <m:t>t</m:t>
            </m:r>
          </m:sub>
        </m:sSub>
      </m:oMath>
      <w:r w:rsidRPr="00175B01">
        <w:rPr>
          <w:rFonts w:ascii="Times New Roman" w:hAnsi="Times New Roman" w:cs="Times New Roman"/>
          <w:lang w:val="en-GB"/>
        </w:rPr>
        <w:t xml:space="preserve"> represents the excess returns, </w:t>
      </w:r>
      <m:oMath>
        <m:r>
          <w:rPr>
            <w:rFonts w:ascii="Cambria Math" w:hAnsi="Cambria Math" w:cs="Times New Roman"/>
            <w:lang w:val="en-GB"/>
          </w:rPr>
          <m:t>μ</m:t>
        </m:r>
      </m:oMath>
      <w:r w:rsidRPr="00175B01">
        <w:rPr>
          <w:rFonts w:ascii="Times New Roman" w:hAnsi="Times New Roman" w:cs="Times New Roman"/>
          <w:lang w:val="en-GB"/>
        </w:rPr>
        <w:t xml:space="preserve"> is the intercept term, </w:t>
      </w:r>
      <m:oMath>
        <m:r>
          <w:rPr>
            <w:rFonts w:ascii="Cambria Math" w:hAnsi="Cambria Math" w:cs="Times New Roman"/>
            <w:lang w:val="en-GB"/>
          </w:rPr>
          <m:t xml:space="preserve">α </m:t>
        </m:r>
      </m:oMath>
      <w:r w:rsidRPr="00175B01">
        <w:rPr>
          <w:rFonts w:ascii="Times New Roman" w:hAnsi="Times New Roman" w:cs="Times New Roman"/>
          <w:lang w:val="en-GB"/>
        </w:rPr>
        <w:t xml:space="preserve">is the coefficient of the dummy variable, </w:t>
      </w:r>
      <m:oMath>
        <m:sSub>
          <m:sSubPr>
            <m:ctrlPr>
              <w:rPr>
                <w:rFonts w:ascii="Cambria Math" w:hAnsi="Cambria Math" w:cs="Times New Roman"/>
                <w:i/>
                <w:lang w:val="en-GB"/>
              </w:rPr>
            </m:ctrlPr>
          </m:sSubPr>
          <m:e>
            <m:r>
              <w:rPr>
                <w:rFonts w:ascii="Cambria Math" w:hAnsi="Cambria Math" w:cs="Times New Roman"/>
                <w:lang w:val="en-GB"/>
              </w:rPr>
              <m:t>D</m:t>
            </m:r>
          </m:e>
          <m:sub>
            <m:r>
              <w:rPr>
                <w:rFonts w:ascii="Cambria Math" w:hAnsi="Cambria Math" w:cs="Times New Roman"/>
                <w:lang w:val="en-GB"/>
              </w:rPr>
              <m:t>t</m:t>
            </m:r>
          </m:sub>
        </m:sSub>
        <m:r>
          <w:rPr>
            <w:rFonts w:ascii="Cambria Math" w:hAnsi="Cambria Math" w:cs="Times New Roman"/>
            <w:lang w:val="en-GB"/>
          </w:rPr>
          <m:t xml:space="preserve"> </m:t>
        </m:r>
      </m:oMath>
      <w:r w:rsidRPr="00175B01">
        <w:rPr>
          <w:rFonts w:ascii="Times New Roman" w:hAnsi="Times New Roman" w:cs="Times New Roman"/>
          <w:lang w:val="en-GB"/>
        </w:rPr>
        <w:t xml:space="preserve">is the dummy variable and </w:t>
      </w:r>
      <m:oMath>
        <m:sSub>
          <m:sSubPr>
            <m:ctrlPr>
              <w:rPr>
                <w:rFonts w:ascii="Cambria Math" w:hAnsi="Cambria Math" w:cs="Times New Roman"/>
                <w:i/>
                <w:lang w:val="en-GB"/>
              </w:rPr>
            </m:ctrlPr>
          </m:sSubPr>
          <m:e>
            <m:r>
              <w:rPr>
                <w:rFonts w:ascii="Cambria Math" w:hAnsi="Cambria Math" w:cs="Times New Roman"/>
                <w:lang w:val="en-GB"/>
              </w:rPr>
              <m:t>ε</m:t>
            </m:r>
          </m:e>
          <m:sub>
            <m:r>
              <w:rPr>
                <w:rFonts w:ascii="Cambria Math" w:hAnsi="Cambria Math" w:cs="Times New Roman"/>
                <w:lang w:val="en-GB"/>
              </w:rPr>
              <m:t>t</m:t>
            </m:r>
          </m:sub>
        </m:sSub>
      </m:oMath>
      <w:r w:rsidRPr="00175B01">
        <w:rPr>
          <w:rFonts w:ascii="Times New Roman" w:hAnsi="Times New Roman" w:cs="Times New Roman"/>
          <w:lang w:val="en-GB"/>
        </w:rPr>
        <w:t xml:space="preserve"> is the error term. Specifying a dummy with ones for the months in which higher returns are expected and zeros for the rest of the year makes the regression a simple mean test. </w:t>
      </w:r>
      <w:r>
        <w:rPr>
          <w:rFonts w:ascii="Times New Roman" w:hAnsi="Times New Roman" w:cs="Times New Roman"/>
          <w:lang w:val="en-GB"/>
        </w:rPr>
        <w:t xml:space="preserve">The goal is to analyse whether the returns in certain months (when the dummy takes ones) are significantly different from the other months (when the dummies take zeros). </w:t>
      </w:r>
    </w:p>
    <w:p w:rsidR="0005594A" w:rsidRDefault="0005594A" w:rsidP="0005594A">
      <w:pPr>
        <w:spacing w:after="0" w:line="360" w:lineRule="auto"/>
        <w:jc w:val="both"/>
        <w:rPr>
          <w:rFonts w:ascii="Times New Roman" w:hAnsi="Times New Roman" w:cs="Times New Roman"/>
          <w:lang w:val="en-GB"/>
        </w:rPr>
      </w:pPr>
      <w:r>
        <w:rPr>
          <w:rFonts w:ascii="Times New Roman" w:hAnsi="Times New Roman" w:cs="Times New Roman"/>
        </w:rPr>
        <w:tab/>
      </w:r>
      <w:r>
        <w:rPr>
          <w:rFonts w:ascii="Times New Roman" w:hAnsi="Times New Roman" w:cs="Times New Roman"/>
          <w:lang w:val="en-GB"/>
        </w:rPr>
        <w:t>A</w:t>
      </w:r>
      <w:r w:rsidRPr="00175B01">
        <w:rPr>
          <w:rFonts w:ascii="Times New Roman" w:hAnsi="Times New Roman" w:cs="Times New Roman"/>
          <w:lang w:val="en-GB"/>
        </w:rPr>
        <w:t xml:space="preserve"> t-test </w:t>
      </w:r>
      <w:r>
        <w:rPr>
          <w:rFonts w:ascii="Times New Roman" w:hAnsi="Times New Roman" w:cs="Times New Roman"/>
          <w:lang w:val="en-GB"/>
        </w:rPr>
        <w:t xml:space="preserve">is </w:t>
      </w:r>
      <w:r w:rsidRPr="00175B01">
        <w:rPr>
          <w:rFonts w:ascii="Times New Roman" w:hAnsi="Times New Roman" w:cs="Times New Roman"/>
          <w:lang w:val="en-GB"/>
        </w:rPr>
        <w:t xml:space="preserve">applied on </w:t>
      </w:r>
      <m:oMath>
        <m:r>
          <w:rPr>
            <w:rFonts w:ascii="Cambria Math" w:hAnsi="Cambria Math" w:cs="Times New Roman"/>
            <w:lang w:val="en-GB"/>
          </w:rPr>
          <m:t>α</m:t>
        </m:r>
      </m:oMath>
      <w:r>
        <w:rPr>
          <w:rFonts w:ascii="Times New Roman" w:hAnsi="Times New Roman" w:cs="Times New Roman"/>
          <w:lang w:val="en-GB"/>
        </w:rPr>
        <w:t>. T</w:t>
      </w:r>
      <w:r w:rsidRPr="00175B01">
        <w:rPr>
          <w:rFonts w:ascii="Times New Roman" w:hAnsi="Times New Roman" w:cs="Times New Roman"/>
          <w:lang w:val="en-GB"/>
        </w:rPr>
        <w:t>he null hypothesis</w:t>
      </w:r>
      <w:r>
        <w:rPr>
          <w:rFonts w:ascii="Times New Roman" w:hAnsi="Times New Roman" w:cs="Times New Roman"/>
          <w:lang w:val="en-GB"/>
        </w:rPr>
        <w:t xml:space="preserve"> is</w:t>
      </w:r>
      <w:r w:rsidRPr="00175B01">
        <w:rPr>
          <w:rFonts w:ascii="Times New Roman" w:hAnsi="Times New Roman" w:cs="Times New Roman"/>
          <w:lang w:val="en-GB"/>
        </w:rPr>
        <w:t xml:space="preserve"> that </w:t>
      </w:r>
      <m:oMath>
        <m:r>
          <w:rPr>
            <w:rFonts w:ascii="Cambria Math" w:hAnsi="Cambria Math" w:cs="Times New Roman"/>
            <w:lang w:val="en-GB"/>
          </w:rPr>
          <m:t>α</m:t>
        </m:r>
      </m:oMath>
      <w:r w:rsidRPr="00175B01">
        <w:rPr>
          <w:rFonts w:ascii="Times New Roman" w:hAnsi="Times New Roman" w:cs="Times New Roman"/>
          <w:lang w:val="en-GB"/>
        </w:rPr>
        <w:t xml:space="preserve"> is equal to zero</w:t>
      </w:r>
      <w:r>
        <w:rPr>
          <w:rFonts w:ascii="Times New Roman" w:hAnsi="Times New Roman" w:cs="Times New Roman"/>
          <w:lang w:val="en-GB"/>
        </w:rPr>
        <w:t>.</w:t>
      </w:r>
      <w:r w:rsidRPr="00175B01">
        <w:rPr>
          <w:rFonts w:ascii="Times New Roman" w:hAnsi="Times New Roman" w:cs="Times New Roman"/>
          <w:lang w:val="en-GB"/>
        </w:rPr>
        <w:t xml:space="preserve"> In order to conclude that there is a statistically significant seasonal pattern, the t-test applied on </w:t>
      </w:r>
      <m:oMath>
        <m:r>
          <w:rPr>
            <w:rFonts w:ascii="Cambria Math" w:hAnsi="Cambria Math" w:cs="Times New Roman"/>
            <w:lang w:val="en-GB"/>
          </w:rPr>
          <m:t>α</m:t>
        </m:r>
      </m:oMath>
      <w:r w:rsidRPr="00175B01">
        <w:rPr>
          <w:rFonts w:ascii="Times New Roman" w:hAnsi="Times New Roman" w:cs="Times New Roman"/>
          <w:lang w:val="en-GB"/>
        </w:rPr>
        <w:t xml:space="preserve"> should reject the null hypothesis. </w:t>
      </w:r>
    </w:p>
    <w:p w:rsidR="0005594A" w:rsidRPr="00175B01" w:rsidRDefault="0005594A" w:rsidP="0005594A">
      <w:pPr>
        <w:spacing w:after="0" w:line="360" w:lineRule="auto"/>
        <w:ind w:firstLine="720"/>
        <w:jc w:val="both"/>
        <w:rPr>
          <w:rFonts w:ascii="Times New Roman" w:hAnsi="Times New Roman" w:cs="Times New Roman"/>
          <w:lang w:val="en-GB"/>
        </w:rPr>
      </w:pPr>
      <w:r w:rsidRPr="00175B01">
        <w:rPr>
          <w:rFonts w:ascii="Times New Roman" w:hAnsi="Times New Roman" w:cs="Times New Roman"/>
          <w:lang w:val="en-GB"/>
        </w:rPr>
        <w:t>Ordinary Least Squares (OLS) regression residuals are examined for autocorrelation and heteroskedasticity using the Ljung-Box Q-test and Arch test. If these tests show the presence of autocorrelation and heteroskedasticity, Newey-West standard errors are used. As Newey and West (1994) suggest, the autocovariance lag used is equal to</w:t>
      </w:r>
      <m:oMath>
        <m:r>
          <w:rPr>
            <w:rFonts w:ascii="Cambria Math" w:hAnsi="Cambria Math" w:cs="Times New Roman"/>
            <w:lang w:val="en-GB"/>
          </w:rPr>
          <m:t xml:space="preserve"> 4</m:t>
        </m:r>
        <m:sSup>
          <m:sSupPr>
            <m:ctrlPr>
              <w:rPr>
                <w:rFonts w:ascii="Cambria Math" w:hAnsi="Cambria Math" w:cs="Times New Roman"/>
                <w:i/>
                <w:lang w:val="en-GB"/>
              </w:rPr>
            </m:ctrlPr>
          </m:sSupPr>
          <m:e>
            <m:d>
              <m:dPr>
                <m:ctrlPr>
                  <w:rPr>
                    <w:rFonts w:ascii="Cambria Math" w:hAnsi="Cambria Math" w:cs="Times New Roman"/>
                    <w:i/>
                    <w:lang w:val="en-GB"/>
                  </w:rPr>
                </m:ctrlPr>
              </m:dPr>
              <m:e>
                <m:f>
                  <m:fPr>
                    <m:ctrlPr>
                      <w:rPr>
                        <w:rFonts w:ascii="Cambria Math" w:hAnsi="Cambria Math" w:cs="Times New Roman"/>
                        <w:i/>
                        <w:lang w:val="en-GB"/>
                      </w:rPr>
                    </m:ctrlPr>
                  </m:fPr>
                  <m:num>
                    <m:r>
                      <w:rPr>
                        <w:rFonts w:ascii="Cambria Math" w:hAnsi="Cambria Math" w:cs="Times New Roman"/>
                        <w:lang w:val="en-GB"/>
                      </w:rPr>
                      <m:t>Nr Obs</m:t>
                    </m:r>
                  </m:num>
                  <m:den>
                    <m:r>
                      <w:rPr>
                        <w:rFonts w:ascii="Cambria Math" w:hAnsi="Cambria Math" w:cs="Times New Roman"/>
                        <w:lang w:val="en-GB"/>
                      </w:rPr>
                      <m:t>100</m:t>
                    </m:r>
                  </m:den>
                </m:f>
              </m:e>
            </m:d>
          </m:e>
          <m:sup>
            <m:f>
              <m:fPr>
                <m:ctrlPr>
                  <w:rPr>
                    <w:rFonts w:ascii="Cambria Math" w:hAnsi="Cambria Math" w:cs="Times New Roman"/>
                    <w:i/>
                    <w:lang w:val="en-GB"/>
                  </w:rPr>
                </m:ctrlPr>
              </m:fPr>
              <m:num>
                <m:r>
                  <w:rPr>
                    <w:rFonts w:ascii="Cambria Math" w:hAnsi="Cambria Math" w:cs="Times New Roman"/>
                    <w:lang w:val="en-GB"/>
                  </w:rPr>
                  <m:t>2</m:t>
                </m:r>
              </m:num>
              <m:den>
                <m:r>
                  <w:rPr>
                    <w:rFonts w:ascii="Cambria Math" w:hAnsi="Cambria Math" w:cs="Times New Roman"/>
                    <w:lang w:val="en-GB"/>
                  </w:rPr>
                  <m:t>9</m:t>
                </m:r>
              </m:den>
            </m:f>
          </m:sup>
        </m:sSup>
      </m:oMath>
      <w:r w:rsidRPr="00175B01">
        <w:rPr>
          <w:rFonts w:ascii="Times New Roman" w:hAnsi="Times New Roman" w:cs="Times New Roman"/>
          <w:lang w:val="en-GB"/>
        </w:rPr>
        <w:t>.</w:t>
      </w:r>
    </w:p>
    <w:p w:rsidR="0005594A" w:rsidRDefault="0005594A" w:rsidP="0005594A">
      <w:pPr>
        <w:spacing w:after="0" w:line="360" w:lineRule="auto"/>
        <w:jc w:val="both"/>
        <w:rPr>
          <w:rFonts w:ascii="Times New Roman" w:hAnsi="Times New Roman" w:cs="Times New Roman"/>
        </w:rPr>
      </w:pPr>
    </w:p>
    <w:p w:rsidR="0005594A" w:rsidRDefault="00930C6E" w:rsidP="00027ADB">
      <w:pPr>
        <w:pStyle w:val="Heading3"/>
        <w:rPr>
          <w:lang w:val="nl-NL"/>
        </w:rPr>
      </w:pPr>
      <w:bookmarkStart w:id="35" w:name="_Toc396762703"/>
      <w:r>
        <w:rPr>
          <w:lang w:val="nl-NL"/>
        </w:rPr>
        <w:t>3.2.3</w:t>
      </w:r>
      <w:r w:rsidR="0005594A" w:rsidRPr="00494F4D">
        <w:rPr>
          <w:lang w:val="nl-NL"/>
        </w:rPr>
        <w:t xml:space="preserve"> M-estimation – robust to outliers</w:t>
      </w:r>
      <w:bookmarkEnd w:id="35"/>
    </w:p>
    <w:p w:rsidR="00027ADB" w:rsidRPr="00027ADB" w:rsidRDefault="00027ADB" w:rsidP="00027ADB">
      <w:pPr>
        <w:rPr>
          <w:lang w:val="nl-NL"/>
        </w:rPr>
      </w:pP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Motivated by the fact the Halloween effec</w:t>
      </w:r>
      <w:r>
        <w:rPr>
          <w:rFonts w:ascii="Times New Roman" w:hAnsi="Times New Roman" w:cs="Times New Roman"/>
        </w:rPr>
        <w:t>t was put into question as it might be</w:t>
      </w:r>
      <w:r w:rsidRPr="00DB60A9">
        <w:rPr>
          <w:rFonts w:ascii="Times New Roman" w:hAnsi="Times New Roman" w:cs="Times New Roman"/>
        </w:rPr>
        <w:t xml:space="preserve"> just the result of outliers (Maberly and Pierce (2004)), </w:t>
      </w:r>
      <w:r>
        <w:rPr>
          <w:rFonts w:ascii="Times New Roman" w:hAnsi="Times New Roman" w:cs="Times New Roman"/>
        </w:rPr>
        <w:t xml:space="preserve">I check the robustness of the results to outliers using </w:t>
      </w:r>
      <w:r w:rsidRPr="00DB60A9">
        <w:rPr>
          <w:rFonts w:ascii="Times New Roman" w:hAnsi="Times New Roman" w:cs="Times New Roman"/>
        </w:rPr>
        <w:t xml:space="preserve">the M-estimation technique introduced by Huber (1973). </w:t>
      </w: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The difference between an OLS</w:t>
      </w:r>
      <w:r>
        <w:rPr>
          <w:rFonts w:ascii="Times New Roman" w:hAnsi="Times New Roman" w:cs="Times New Roman"/>
        </w:rPr>
        <w:t xml:space="preserve"> estimation technique</w:t>
      </w:r>
      <w:r w:rsidRPr="00DB60A9">
        <w:rPr>
          <w:rFonts w:ascii="Times New Roman" w:hAnsi="Times New Roman" w:cs="Times New Roman"/>
        </w:rPr>
        <w:t xml:space="preserve"> used above</w:t>
      </w:r>
      <w:r>
        <w:rPr>
          <w:rFonts w:ascii="Times New Roman" w:hAnsi="Times New Roman" w:cs="Times New Roman"/>
        </w:rPr>
        <w:t xml:space="preserve"> and M-estimation</w:t>
      </w:r>
      <w:r w:rsidRPr="00DB60A9">
        <w:rPr>
          <w:rFonts w:ascii="Times New Roman" w:hAnsi="Times New Roman" w:cs="Times New Roman"/>
        </w:rPr>
        <w:t xml:space="preserve"> is the fact that</w:t>
      </w:r>
      <w:r>
        <w:rPr>
          <w:rFonts w:ascii="Times New Roman" w:hAnsi="Times New Roman" w:cs="Times New Roman"/>
        </w:rPr>
        <w:t xml:space="preserve"> when minimising the sum of squared errors, the weights attached to residuals are not e</w:t>
      </w:r>
      <w:r w:rsidRPr="00DB60A9">
        <w:rPr>
          <w:rFonts w:ascii="Times New Roman" w:hAnsi="Times New Roman" w:cs="Times New Roman"/>
        </w:rPr>
        <w:t xml:space="preserve">qual to 1, but </w:t>
      </w:r>
      <w:r>
        <w:rPr>
          <w:rFonts w:ascii="Times New Roman" w:hAnsi="Times New Roman" w:cs="Times New Roman"/>
        </w:rPr>
        <w:t>they</w:t>
      </w:r>
      <w:r w:rsidRPr="00DB60A9">
        <w:rPr>
          <w:rFonts w:ascii="Times New Roman" w:hAnsi="Times New Roman" w:cs="Times New Roman"/>
        </w:rPr>
        <w:t xml:space="preserve"> are decreasing</w:t>
      </w:r>
      <w:r>
        <w:rPr>
          <w:rFonts w:ascii="Times New Roman" w:hAnsi="Times New Roman" w:cs="Times New Roman"/>
        </w:rPr>
        <w:t xml:space="preserve"> to dampen the impact of large errors. Thus, for the general specification, </w:t>
      </w:r>
      <w:r w:rsidRPr="00BC20DF">
        <w:rPr>
          <w:rFonts w:ascii="Times New Roman" w:hAnsi="Times New Roman" w:cs="Times New Roman"/>
        </w:rPr>
        <w:t>Y</w:t>
      </w:r>
      <m:oMath>
        <m:r>
          <w:rPr>
            <w:rFonts w:ascii="Cambria Math" w:hAnsi="Cambria Math" w:cs="Times New Roman"/>
          </w:rPr>
          <m:t>=Xβ+σε</m:t>
        </m:r>
      </m:oMath>
      <w:r>
        <w:rPr>
          <w:rFonts w:ascii="Times New Roman" w:hAnsi="Times New Roman" w:cs="Times New Roman"/>
        </w:rPr>
        <w:t>, t</w:t>
      </w:r>
      <w:r w:rsidRPr="00BC20DF">
        <w:rPr>
          <w:rFonts w:ascii="Times New Roman" w:hAnsi="Times New Roman" w:cs="Times New Roman"/>
        </w:rPr>
        <w:t xml:space="preserve">he OLS estimator </w:t>
      </w:r>
      <m:oMath>
        <m:acc>
          <m:accPr>
            <m:ctrlPr>
              <w:rPr>
                <w:rFonts w:ascii="Cambria Math" w:hAnsi="Cambria Math" w:cs="Times New Roman"/>
                <w:i/>
              </w:rPr>
            </m:ctrlPr>
          </m:accPr>
          <m:e>
            <m:sSub>
              <m:sSubPr>
                <m:ctrlPr>
                  <w:rPr>
                    <w:rFonts w:ascii="Cambria Math" w:hAnsi="Cambria Math" w:cs="Times New Roman"/>
                    <w:i/>
                  </w:rPr>
                </m:ctrlPr>
              </m:sSubPr>
              <m:e>
                <m:r>
                  <w:rPr>
                    <w:rFonts w:ascii="Cambria Math" w:hAnsi="Cambria Math" w:cs="Times New Roman"/>
                  </w:rPr>
                  <m:t>β</m:t>
                </m:r>
              </m:e>
              <m:sub>
                <m:r>
                  <w:rPr>
                    <w:rFonts w:ascii="Cambria Math" w:hAnsi="Cambria Math" w:cs="Times New Roman"/>
                  </w:rPr>
                  <m:t>OLS</m:t>
                </m:r>
              </m:sub>
            </m:sSub>
          </m:e>
        </m:acc>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r>
                  <w:rPr>
                    <w:rFonts w:ascii="Cambria Math" w:hAnsi="Cambria Math" w:cs="Times New Roman"/>
                  </w:rPr>
                  <m:t>X</m:t>
                </m:r>
              </m:e>
            </m:d>
          </m:e>
          <m:sup>
            <m:r>
              <w:rPr>
                <w:rFonts w:ascii="Cambria Math" w:hAnsi="Cambria Math" w:cs="Times New Roman"/>
              </w:rPr>
              <m:t>-1</m:t>
            </m:r>
          </m:sup>
        </m:sSup>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r>
          <w:rPr>
            <w:rFonts w:ascii="Cambria Math" w:hAnsi="Cambria Math" w:cs="Times New Roman"/>
          </w:rPr>
          <m:t xml:space="preserve">Y  </m:t>
        </m:r>
      </m:oMath>
      <w:r w:rsidRPr="00BC20DF">
        <w:rPr>
          <w:rFonts w:ascii="Times New Roman" w:hAnsi="Times New Roman" w:cs="Times New Roman"/>
        </w:rPr>
        <w:t xml:space="preserve">will then become  </w:t>
      </w:r>
      <m:oMath>
        <m:acc>
          <m:accPr>
            <m:ctrlPr>
              <w:rPr>
                <w:rFonts w:ascii="Cambria Math" w:hAnsi="Cambria Math" w:cs="Times New Roman"/>
                <w:i/>
              </w:rPr>
            </m:ctrlPr>
          </m:accPr>
          <m:e>
            <m:r>
              <w:rPr>
                <w:rFonts w:ascii="Cambria Math" w:hAnsi="Cambria Math" w:cs="Times New Roman"/>
              </w:rPr>
              <m:t>β</m:t>
            </m:r>
          </m:e>
        </m:acc>
        <m:r>
          <w:rPr>
            <w:rFonts w:ascii="Cambria Math" w:hAnsi="Cambria Math" w:cs="Times New Roman"/>
          </w:rPr>
          <m:t>=</m:t>
        </m:r>
        <m:sSup>
          <m:sSupPr>
            <m:ctrlPr>
              <w:rPr>
                <w:rFonts w:ascii="Cambria Math" w:hAnsi="Cambria Math" w:cs="Times New Roman"/>
                <w:i/>
              </w:rPr>
            </m:ctrlPr>
          </m:sSupPr>
          <m:e>
            <m:d>
              <m:dPr>
                <m:ctrlPr>
                  <w:rPr>
                    <w:rFonts w:ascii="Cambria Math" w:hAnsi="Cambria Math" w:cs="Times New Roman"/>
                    <w:i/>
                  </w:rPr>
                </m:ctrlPr>
              </m:dPr>
              <m:e>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r>
                  <w:rPr>
                    <w:rFonts w:ascii="Cambria Math" w:hAnsi="Cambria Math" w:cs="Times New Roman"/>
                  </w:rPr>
                  <m:t>WX</m:t>
                </m:r>
              </m:e>
            </m:d>
          </m:e>
          <m:sup>
            <m:r>
              <w:rPr>
                <w:rFonts w:ascii="Cambria Math" w:hAnsi="Cambria Math" w:cs="Times New Roman"/>
              </w:rPr>
              <m:t>-1</m:t>
            </m:r>
          </m:sup>
        </m:sSup>
        <m:sSup>
          <m:sSupPr>
            <m:ctrlPr>
              <w:rPr>
                <w:rFonts w:ascii="Cambria Math" w:hAnsi="Cambria Math" w:cs="Times New Roman"/>
                <w:i/>
              </w:rPr>
            </m:ctrlPr>
          </m:sSupPr>
          <m:e>
            <m:r>
              <w:rPr>
                <w:rFonts w:ascii="Cambria Math" w:hAnsi="Cambria Math" w:cs="Times New Roman"/>
              </w:rPr>
              <m:t>X</m:t>
            </m:r>
          </m:e>
          <m:sup>
            <m:r>
              <w:rPr>
                <w:rFonts w:ascii="Cambria Math" w:hAnsi="Cambria Math" w:cs="Times New Roman"/>
              </w:rPr>
              <m:t>T</m:t>
            </m:r>
          </m:sup>
        </m:sSup>
        <m:r>
          <w:rPr>
            <w:rFonts w:ascii="Cambria Math" w:hAnsi="Cambria Math" w:cs="Times New Roman"/>
          </w:rPr>
          <m:t>WY</m:t>
        </m:r>
      </m:oMath>
      <w:r w:rsidRPr="00BC20DF">
        <w:rPr>
          <w:rFonts w:ascii="Times New Roman" w:hAnsi="Times New Roman" w:cs="Times New Roman"/>
        </w:rPr>
        <w:t xml:space="preserve"> where </w:t>
      </w:r>
      <m:oMath>
        <m:r>
          <w:rPr>
            <w:rFonts w:ascii="Cambria Math" w:hAnsi="Cambria Math" w:cs="Times New Roman"/>
          </w:rPr>
          <m:t>Y</m:t>
        </m:r>
      </m:oMath>
      <w:r w:rsidRPr="00BC20DF">
        <w:rPr>
          <w:rFonts w:ascii="Times New Roman" w:hAnsi="Times New Roman" w:cs="Times New Roman"/>
        </w:rPr>
        <w:t xml:space="preserve">, </w:t>
      </w:r>
      <m:oMath>
        <m:r>
          <w:rPr>
            <w:rFonts w:ascii="Cambria Math" w:hAnsi="Cambria Math" w:cs="Times New Roman"/>
          </w:rPr>
          <m:t>ε</m:t>
        </m:r>
      </m:oMath>
      <w:r w:rsidRPr="00BC20DF">
        <w:rPr>
          <w:rFonts w:ascii="Times New Roman" w:hAnsi="Times New Roman" w:cs="Times New Roman"/>
        </w:rPr>
        <w:t xml:space="preserve"> are </w:t>
      </w:r>
      <m:oMath>
        <m:r>
          <w:rPr>
            <w:rFonts w:ascii="Cambria Math" w:hAnsi="Cambria Math" w:cs="Times New Roman"/>
          </w:rPr>
          <m:t>nx1</m:t>
        </m:r>
      </m:oMath>
      <w:r w:rsidRPr="00BC20DF">
        <w:rPr>
          <w:rFonts w:ascii="Times New Roman" w:hAnsi="Times New Roman" w:cs="Times New Roman"/>
        </w:rPr>
        <w:t xml:space="preserve"> vectors</w:t>
      </w:r>
      <w:r>
        <w:rPr>
          <w:rFonts w:ascii="Times New Roman" w:hAnsi="Times New Roman" w:cs="Times New Roman"/>
        </w:rPr>
        <w:t xml:space="preserve"> of the dependent variables and residuals respectively</w:t>
      </w:r>
      <w:r w:rsidRPr="00BC20DF">
        <w:rPr>
          <w:rFonts w:ascii="Times New Roman" w:hAnsi="Times New Roman" w:cs="Times New Roman"/>
        </w:rPr>
        <w:t xml:space="preserve">, </w:t>
      </w:r>
      <m:oMath>
        <m:r>
          <w:rPr>
            <w:rFonts w:ascii="Cambria Math" w:hAnsi="Cambria Math" w:cs="Times New Roman"/>
          </w:rPr>
          <m:t>X</m:t>
        </m:r>
      </m:oMath>
      <w:r w:rsidRPr="00BC20DF">
        <w:rPr>
          <w:rFonts w:ascii="Times New Roman" w:hAnsi="Times New Roman" w:cs="Times New Roman"/>
        </w:rPr>
        <w:t xml:space="preserve"> is an </w:t>
      </w:r>
      <m:oMath>
        <m:r>
          <w:rPr>
            <w:rFonts w:ascii="Cambria Math" w:hAnsi="Cambria Math" w:cs="Times New Roman"/>
          </w:rPr>
          <m:t>nxp</m:t>
        </m:r>
      </m:oMath>
      <w:r>
        <w:rPr>
          <w:rFonts w:ascii="Times New Roman" w:hAnsi="Times New Roman" w:cs="Times New Roman"/>
        </w:rPr>
        <w:t xml:space="preserve">  matrix of regressors, σ&gt;0 is a scale parameter and </w:t>
      </w:r>
      <w:r w:rsidRPr="00BC20DF">
        <w:rPr>
          <w:rFonts w:ascii="Times New Roman" w:hAnsi="Times New Roman" w:cs="Times New Roman"/>
        </w:rPr>
        <w:t xml:space="preserve"> </w:t>
      </w:r>
      <m:oMath>
        <m:r>
          <w:rPr>
            <w:rFonts w:ascii="Cambria Math" w:hAnsi="Cambria Math" w:cs="Times New Roman"/>
          </w:rPr>
          <m:t>W</m:t>
        </m:r>
      </m:oMath>
      <w:r w:rsidRPr="00BC20DF">
        <w:rPr>
          <w:rFonts w:ascii="Times New Roman" w:hAnsi="Times New Roman" w:cs="Times New Roman"/>
        </w:rPr>
        <w:t xml:space="preserve"> is a n</w:t>
      </w:r>
      <m:oMath>
        <m:r>
          <w:rPr>
            <w:rFonts w:ascii="Cambria Math" w:hAnsi="Cambria Math" w:cs="Times New Roman"/>
          </w:rPr>
          <m:t>xn</m:t>
        </m:r>
      </m:oMath>
      <w:r w:rsidRPr="00BC20DF">
        <w:rPr>
          <w:rFonts w:ascii="Times New Roman" w:hAnsi="Times New Roman" w:cs="Times New Roman"/>
        </w:rPr>
        <w:t xml:space="preserve">  diagonal weight matrix.</w:t>
      </w: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t>This technique has the advantage of eliminating t</w:t>
      </w:r>
      <w:r>
        <w:rPr>
          <w:rFonts w:ascii="Times New Roman" w:hAnsi="Times New Roman" w:cs="Times New Roman"/>
        </w:rPr>
        <w:t>he arbitrary choice of outliers and</w:t>
      </w:r>
      <w:r w:rsidRPr="00DB60A9">
        <w:rPr>
          <w:rFonts w:ascii="Times New Roman" w:hAnsi="Times New Roman" w:cs="Times New Roman"/>
        </w:rPr>
        <w:t xml:space="preserve"> performing well in terms of robustness to outliers</w:t>
      </w:r>
      <w:r>
        <w:rPr>
          <w:rStyle w:val="FootnoteReference"/>
          <w:rFonts w:ascii="Times New Roman" w:hAnsi="Times New Roman" w:cs="Times New Roman"/>
        </w:rPr>
        <w:footnoteReference w:id="39"/>
      </w:r>
      <w:r w:rsidRPr="00DB60A9">
        <w:rPr>
          <w:rFonts w:ascii="Times New Roman" w:hAnsi="Times New Roman" w:cs="Times New Roman"/>
        </w:rPr>
        <w:t xml:space="preserve"> and efficiency</w:t>
      </w:r>
      <w:r>
        <w:rPr>
          <w:rStyle w:val="FootnoteReference"/>
          <w:rFonts w:ascii="Times New Roman" w:hAnsi="Times New Roman" w:cs="Times New Roman"/>
        </w:rPr>
        <w:footnoteReference w:id="40"/>
      </w:r>
      <w:r w:rsidRPr="00DB60A9">
        <w:rPr>
          <w:rFonts w:ascii="Times New Roman" w:hAnsi="Times New Roman" w:cs="Times New Roman"/>
        </w:rPr>
        <w:t>.</w:t>
      </w:r>
      <w:r>
        <w:rPr>
          <w:rFonts w:ascii="Times New Roman" w:hAnsi="Times New Roman" w:cs="Times New Roman"/>
        </w:rPr>
        <w:t xml:space="preserve"> </w:t>
      </w:r>
      <w:r w:rsidRPr="00DB60A9">
        <w:rPr>
          <w:rFonts w:ascii="Times New Roman" w:hAnsi="Times New Roman" w:cs="Times New Roman"/>
        </w:rPr>
        <w:t xml:space="preserve">Hoaglin, Mosteller and </w:t>
      </w:r>
      <w:r>
        <w:rPr>
          <w:rFonts w:ascii="Times New Roman" w:hAnsi="Times New Roman" w:cs="Times New Roman"/>
        </w:rPr>
        <w:t xml:space="preserve">Tukey (1983) consider this as the method with the best results among robust estimations in case of small and moderate samples. The M-estimation </w:t>
      </w:r>
      <w:r w:rsidRPr="00DB60A9">
        <w:rPr>
          <w:rFonts w:ascii="Times New Roman" w:hAnsi="Times New Roman" w:cs="Times New Roman"/>
        </w:rPr>
        <w:t xml:space="preserve">requires some choices </w:t>
      </w:r>
      <w:r>
        <w:rPr>
          <w:rFonts w:ascii="Times New Roman" w:hAnsi="Times New Roman" w:cs="Times New Roman"/>
        </w:rPr>
        <w:t xml:space="preserve">for the weight function specification </w:t>
      </w:r>
      <m:oMath>
        <m:r>
          <w:rPr>
            <w:rFonts w:ascii="Cambria Math" w:hAnsi="Cambria Math" w:cs="Times New Roman"/>
          </w:rPr>
          <m:t>ψ</m:t>
        </m:r>
        <m:d>
          <m:dPr>
            <m:ctrlPr>
              <w:rPr>
                <w:rFonts w:ascii="Cambria Math" w:hAnsi="Cambria Math" w:cs="Times New Roman"/>
                <w:i/>
              </w:rPr>
            </m:ctrlPr>
          </m:dPr>
          <m:e>
            <m:r>
              <w:rPr>
                <w:rFonts w:ascii="Cambria Math" w:hAnsi="Cambria Math" w:cs="Times New Roman"/>
              </w:rPr>
              <m:t>u</m:t>
            </m:r>
          </m:e>
        </m:d>
      </m:oMath>
      <w:r>
        <w:rPr>
          <w:rFonts w:ascii="Times New Roman" w:hAnsi="Times New Roman" w:cs="Times New Roman"/>
        </w:rPr>
        <w:t xml:space="preserve"> and the scale parameter </w:t>
      </w:r>
      <m:oMath>
        <m:r>
          <w:rPr>
            <w:rFonts w:ascii="Cambria Math" w:hAnsi="Cambria Math" w:cs="Times New Roman"/>
          </w:rPr>
          <m:t>σ</m:t>
        </m:r>
      </m:oMath>
      <w:r>
        <w:rPr>
          <w:rFonts w:ascii="Times New Roman" w:hAnsi="Times New Roman" w:cs="Times New Roman"/>
        </w:rPr>
        <w:t xml:space="preserve">. </w:t>
      </w:r>
      <w:r w:rsidRPr="00DB60A9">
        <w:rPr>
          <w:rFonts w:ascii="Times New Roman" w:hAnsi="Times New Roman" w:cs="Times New Roman"/>
        </w:rPr>
        <w:t>However, these choi</w:t>
      </w:r>
      <w:r>
        <w:rPr>
          <w:rFonts w:ascii="Times New Roman" w:hAnsi="Times New Roman" w:cs="Times New Roman"/>
        </w:rPr>
        <w:t xml:space="preserve">ces are not as arbitrary as the subjective definition of outliers or the </w:t>
      </w:r>
      <w:r>
        <w:rPr>
          <w:rFonts w:ascii="Times New Roman" w:hAnsi="Times New Roman" w:cs="Times New Roman"/>
        </w:rPr>
        <w:lastRenderedPageBreak/>
        <w:t>numbers of outliers to consider. Moreover, not considering the extreme values or replacing the outliers affects the properties of the data: sample size, the distribution function or the variance.</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The M-estimate of β is the solution of a system made up of p equations: </w:t>
      </w:r>
      <m:oMath>
        <m:nary>
          <m:naryPr>
            <m:chr m:val="∑"/>
            <m:limLoc m:val="undOvr"/>
            <m:ctrlPr>
              <w:rPr>
                <w:rFonts w:ascii="Cambria Math" w:hAnsi="Cambria Math" w:cs="Times New Roman"/>
                <w:i/>
              </w:rPr>
            </m:ctrlPr>
          </m:naryPr>
          <m:sub>
            <m:r>
              <w:rPr>
                <w:rFonts w:ascii="Cambria Math" w:hAnsi="Cambria Math" w:cs="Times New Roman"/>
              </w:rPr>
              <m:t>i=1</m:t>
            </m:r>
          </m:sub>
          <m:sup>
            <m:r>
              <w:rPr>
                <w:rFonts w:ascii="Cambria Math" w:hAnsi="Cambria Math" w:cs="Times New Roman"/>
              </w:rPr>
              <m:t>n</m:t>
            </m:r>
          </m:sup>
          <m:e>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m:t>
                </m:r>
              </m:sub>
            </m:sSub>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m:t>
                </m:r>
              </m:sub>
            </m:sSub>
          </m:e>
        </m:nary>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ij</m:t>
            </m:r>
          </m:sub>
        </m:sSub>
        <m:r>
          <w:rPr>
            <w:rFonts w:ascii="Cambria Math" w:hAnsi="Cambria Math" w:cs="Times New Roman"/>
          </w:rPr>
          <m:t>=0</m:t>
        </m:r>
      </m:oMath>
      <w:r>
        <w:rPr>
          <w:rFonts w:ascii="Times New Roman" w:hAnsi="Times New Roman" w:cs="Times New Roman"/>
        </w:rPr>
        <w:t xml:space="preserve">  where i=1,2…n, j=1,2…p,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i</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i</m:t>
            </m:r>
          </m:sub>
        </m:sSub>
        <m:r>
          <m:rPr>
            <m:sty m:val="p"/>
          </m:rPr>
          <w:rPr>
            <w:rFonts w:ascii="Cambria Math" w:hAnsi="Cambria Math" w:cs="Times New Roman"/>
          </w:rPr>
          <m:t>β</m:t>
        </m:r>
      </m:oMath>
      <w:r>
        <w:rPr>
          <w:rFonts w:ascii="Times New Roman" w:hAnsi="Times New Roman" w:cs="Times New Roman"/>
        </w:rPr>
        <w:t xml:space="preserve"> is the residual and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i</m:t>
            </m:r>
          </m:sub>
        </m:sSub>
        <m:r>
          <w:rPr>
            <w:rFonts w:ascii="Cambria Math" w:hAnsi="Cambria Math" w:cs="Times New Roman"/>
          </w:rPr>
          <m:t>=ϕ</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i</m:t>
                    </m:r>
                  </m:sub>
                </m:sSub>
              </m:num>
              <m:den>
                <m:r>
                  <w:rPr>
                    <w:rFonts w:ascii="Cambria Math" w:hAnsi="Cambria Math" w:cs="Times New Roman"/>
                  </w:rPr>
                  <m:t>σ</m:t>
                </m:r>
              </m:den>
            </m:f>
          </m:e>
        </m:d>
      </m:oMath>
      <w:r>
        <w:rPr>
          <w:rFonts w:ascii="Times New Roman" w:hAnsi="Times New Roman" w:cs="Times New Roman"/>
        </w:rPr>
        <w:t xml:space="preserve"> represents the weight function. The specification of the weight function differs for each estimator. </w:t>
      </w:r>
    </w:p>
    <w:p w:rsidR="00995846"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The proposal of Huber for the M-estimator with the same name is: </w:t>
      </w:r>
      <m:oMath>
        <m:r>
          <w:rPr>
            <w:rFonts w:ascii="Cambria Math" w:hAnsi="Cambria Math" w:cs="Times New Roman"/>
          </w:rPr>
          <m:t>ϕ</m:t>
        </m:r>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ψ</m:t>
            </m:r>
            <m:d>
              <m:dPr>
                <m:ctrlPr>
                  <w:rPr>
                    <w:rFonts w:ascii="Cambria Math" w:hAnsi="Cambria Math" w:cs="Times New Roman"/>
                    <w:i/>
                  </w:rPr>
                </m:ctrlPr>
              </m:dPr>
              <m:e>
                <m:r>
                  <w:rPr>
                    <w:rFonts w:ascii="Cambria Math" w:hAnsi="Cambria Math" w:cs="Times New Roman"/>
                  </w:rPr>
                  <m:t>u</m:t>
                </m:r>
              </m:e>
            </m:d>
          </m:num>
          <m:den>
            <m:r>
              <w:rPr>
                <w:rFonts w:ascii="Cambria Math" w:hAnsi="Cambria Math" w:cs="Times New Roman"/>
              </w:rPr>
              <m:t>u</m:t>
            </m:r>
          </m:den>
        </m:f>
      </m:oMath>
      <w:r>
        <w:rPr>
          <w:rFonts w:ascii="Times New Roman" w:hAnsi="Times New Roman" w:cs="Times New Roman"/>
        </w:rPr>
        <w:t xml:space="preserve"> where </w:t>
      </w:r>
    </w:p>
    <w:p w:rsidR="00995846" w:rsidRDefault="00995846" w:rsidP="0005594A">
      <w:pPr>
        <w:spacing w:after="0" w:line="360" w:lineRule="auto"/>
        <w:ind w:firstLine="720"/>
        <w:jc w:val="both"/>
        <w:rPr>
          <w:rFonts w:ascii="Times New Roman" w:hAnsi="Times New Roman" w:cs="Times New Roman"/>
        </w:rPr>
      </w:pPr>
    </w:p>
    <w:p w:rsidR="00995846" w:rsidRDefault="004C40A2" w:rsidP="00995846">
      <w:pPr>
        <w:spacing w:after="0" w:line="360" w:lineRule="auto"/>
        <w:ind w:firstLine="720"/>
        <w:jc w:val="both"/>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ψ</m:t>
            </m:r>
          </m:e>
          <m:sub>
            <m:r>
              <w:rPr>
                <w:rFonts w:ascii="Cambria Math" w:hAnsi="Cambria Math" w:cs="Times New Roman"/>
              </w:rPr>
              <m:t>Huber</m:t>
            </m:r>
          </m:sub>
        </m:sSub>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 k      u≥k</m:t>
                </m:r>
              </m:e>
              <m:e>
                <m:r>
                  <w:rPr>
                    <w:rFonts w:ascii="Cambria Math" w:hAnsi="Cambria Math" w:cs="Times New Roman"/>
                  </w:rPr>
                  <m:t xml:space="preserve">   u      </m:t>
                </m:r>
                <m:d>
                  <m:dPr>
                    <m:begChr m:val="|"/>
                    <m:endChr m:val="|"/>
                    <m:ctrlPr>
                      <w:rPr>
                        <w:rFonts w:ascii="Cambria Math" w:hAnsi="Cambria Math" w:cs="Times New Roman"/>
                        <w:i/>
                      </w:rPr>
                    </m:ctrlPr>
                  </m:dPr>
                  <m:e>
                    <m:r>
                      <w:rPr>
                        <w:rFonts w:ascii="Cambria Math" w:hAnsi="Cambria Math" w:cs="Times New Roman"/>
                      </w:rPr>
                      <m:t>u</m:t>
                    </m:r>
                  </m:e>
                </m:d>
                <m:r>
                  <w:rPr>
                    <w:rFonts w:ascii="Cambria Math" w:hAnsi="Cambria Math" w:cs="Times New Roman"/>
                  </w:rPr>
                  <m:t>&lt;k</m:t>
                </m:r>
              </m:e>
              <m:e>
                <m:r>
                  <w:rPr>
                    <w:rFonts w:ascii="Cambria Math" w:hAnsi="Cambria Math" w:cs="Times New Roman"/>
                  </w:rPr>
                  <m:t xml:space="preserve"> -k     u≤k</m:t>
                </m:r>
              </m:e>
            </m:eqArr>
          </m:e>
        </m:d>
      </m:oMath>
      <w:r w:rsidR="0005594A">
        <w:rPr>
          <w:rFonts w:ascii="Times New Roman" w:hAnsi="Times New Roman" w:cs="Times New Roman"/>
        </w:rPr>
        <w:t xml:space="preserve">  , k is a tuning constant specified by the use</w:t>
      </w:r>
      <w:r w:rsidR="00995846">
        <w:rPr>
          <w:rFonts w:ascii="Times New Roman" w:hAnsi="Times New Roman" w:cs="Times New Roman"/>
        </w:rPr>
        <w:t>r.</w:t>
      </w:r>
      <w:r w:rsidR="00995846">
        <w:rPr>
          <w:rFonts w:ascii="Times New Roman" w:hAnsi="Times New Roman" w:cs="Times New Roman"/>
        </w:rPr>
        <w:tab/>
        <w:t>(2)</w:t>
      </w:r>
    </w:p>
    <w:p w:rsidR="00995846" w:rsidRDefault="00995846" w:rsidP="0005594A">
      <w:pPr>
        <w:spacing w:after="0" w:line="360" w:lineRule="auto"/>
        <w:ind w:firstLine="720"/>
        <w:jc w:val="both"/>
        <w:rPr>
          <w:rFonts w:ascii="Times New Roman" w:hAnsi="Times New Roman" w:cs="Times New Roman"/>
        </w:rPr>
      </w:pPr>
    </w:p>
    <w:p w:rsidR="0005594A" w:rsidRPr="009E6527"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This constant stands for the gain in robustness for the loss of efficiency. As a common practice, the scale estimator σ is approximated simply as the median absolute deviation of the residuals.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Huber’s estimates have the advantage of simplicity as the optimization will give a unique solution, but they do not assign zero weights to large outliers. More cumbersome and robust to any types of outliers are the weighting functions proposed by Tukey a</w:t>
      </w:r>
      <w:r w:rsidR="004F3D3F">
        <w:rPr>
          <w:rFonts w:ascii="Times New Roman" w:hAnsi="Times New Roman" w:cs="Times New Roman"/>
        </w:rPr>
        <w:t xml:space="preserve">nd Hampel. The disadvantage of </w:t>
      </w:r>
      <w:r>
        <w:rPr>
          <w:rFonts w:ascii="Times New Roman" w:hAnsi="Times New Roman" w:cs="Times New Roman"/>
        </w:rPr>
        <w:t>these complex specifications is that they might lead to</w:t>
      </w:r>
      <w:r w:rsidRPr="00EF3A78">
        <w:rPr>
          <w:rFonts w:ascii="Times New Roman" w:hAnsi="Times New Roman" w:cs="Times New Roman"/>
        </w:rPr>
        <w:t xml:space="preserve"> multiple local</w:t>
      </w:r>
      <w:r>
        <w:rPr>
          <w:rFonts w:ascii="Times New Roman" w:hAnsi="Times New Roman" w:cs="Times New Roman"/>
        </w:rPr>
        <w:t xml:space="preserve"> minima and convergence might not be achieved. To tackle this, a good starting point is required.</w:t>
      </w:r>
    </w:p>
    <w:p w:rsidR="00995846"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Tukey’s bisquare function proposal has the advantage of assigning zero weights to large outliers  </w:t>
      </w:r>
      <m:oMath>
        <m:r>
          <w:rPr>
            <w:rFonts w:ascii="Cambria Math" w:hAnsi="Cambria Math" w:cs="Times New Roman"/>
          </w:rPr>
          <m:t xml:space="preserve"> ψ</m:t>
        </m:r>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→0</m:t>
        </m:r>
      </m:oMath>
      <w:r>
        <w:rPr>
          <w:rFonts w:ascii="Times New Roman" w:hAnsi="Times New Roman" w:cs="Times New Roman"/>
        </w:rPr>
        <w:t xml:space="preserve">  for </w:t>
      </w:r>
      <m:oMath>
        <m:r>
          <w:rPr>
            <w:rFonts w:ascii="Cambria Math" w:hAnsi="Cambria Math" w:cs="Times New Roman"/>
          </w:rPr>
          <m:t>u→∞</m:t>
        </m:r>
      </m:oMath>
      <w:r>
        <w:rPr>
          <w:rFonts w:ascii="Times New Roman" w:hAnsi="Times New Roman" w:cs="Times New Roman"/>
        </w:rPr>
        <w:t xml:space="preserve">. The weighting function has the following specification: </w:t>
      </w:r>
    </w:p>
    <w:p w:rsidR="00995846" w:rsidRDefault="00995846" w:rsidP="0005594A">
      <w:pPr>
        <w:spacing w:after="0" w:line="360" w:lineRule="auto"/>
        <w:ind w:firstLine="720"/>
        <w:jc w:val="both"/>
        <w:rPr>
          <w:rFonts w:ascii="Times New Roman" w:hAnsi="Times New Roman" w:cs="Times New Roman"/>
        </w:rPr>
      </w:pP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ψ</m:t>
            </m:r>
          </m:e>
          <m:sub>
            <m:r>
              <w:rPr>
                <w:rFonts w:ascii="Cambria Math" w:hAnsi="Cambria Math" w:cs="Times New Roman"/>
              </w:rPr>
              <m:t>Tukey</m:t>
            </m:r>
          </m:sub>
        </m:sSub>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r>
                  <w:rPr>
                    <w:rFonts w:ascii="Cambria Math" w:hAnsi="Cambria Math" w:cs="Times New Roman"/>
                  </w:rPr>
                  <m:t xml:space="preserve">           0                     u&gt;k</m:t>
                </m:r>
              </m:e>
              <m:e>
                <m:r>
                  <w:rPr>
                    <w:rFonts w:ascii="Cambria Math" w:hAnsi="Cambria Math" w:cs="Times New Roman"/>
                  </w:rPr>
                  <m:t xml:space="preserve">   </m:t>
                </m:r>
                <m:sSup>
                  <m:sSupPr>
                    <m:ctrlPr>
                      <w:rPr>
                        <w:rFonts w:ascii="Cambria Math" w:hAnsi="Cambria Math" w:cs="Times New Roman"/>
                        <w:i/>
                      </w:rPr>
                    </m:ctrlPr>
                  </m:sSupPr>
                  <m:e>
                    <m:r>
                      <w:rPr>
                        <w:rFonts w:ascii="Cambria Math" w:hAnsi="Cambria Math" w:cs="Times New Roman"/>
                      </w:rPr>
                      <m:t>u(k-</m:t>
                    </m:r>
                    <m:sSup>
                      <m:sSupPr>
                        <m:ctrlPr>
                          <w:rPr>
                            <w:rFonts w:ascii="Cambria Math" w:hAnsi="Cambria Math" w:cs="Times New Roman"/>
                            <w:i/>
                          </w:rPr>
                        </m:ctrlPr>
                      </m:sSupPr>
                      <m:e>
                        <m:r>
                          <w:rPr>
                            <w:rFonts w:ascii="Cambria Math" w:hAnsi="Cambria Math" w:cs="Times New Roman"/>
                          </w:rPr>
                          <m:t>u</m:t>
                        </m:r>
                      </m:e>
                      <m:sup>
                        <m:r>
                          <w:rPr>
                            <w:rFonts w:ascii="Cambria Math" w:hAnsi="Cambria Math" w:cs="Times New Roman"/>
                          </w:rPr>
                          <m:t>2</m:t>
                        </m:r>
                      </m:sup>
                    </m:sSup>
                    <m:r>
                      <w:rPr>
                        <w:rFonts w:ascii="Cambria Math" w:hAnsi="Cambria Math" w:cs="Times New Roman"/>
                      </w:rPr>
                      <m:t>)</m:t>
                    </m:r>
                  </m:e>
                  <m:sup>
                    <m:r>
                      <w:rPr>
                        <w:rFonts w:ascii="Cambria Math" w:hAnsi="Cambria Math" w:cs="Times New Roman"/>
                      </w:rPr>
                      <m:t>2</m:t>
                    </m:r>
                  </m:sup>
                </m:sSup>
                <m:r>
                  <w:rPr>
                    <w:rFonts w:ascii="Cambria Math" w:hAnsi="Cambria Math" w:cs="Times New Roman"/>
                  </w:rPr>
                  <m:t xml:space="preserve">         </m:t>
                </m:r>
                <m:d>
                  <m:dPr>
                    <m:begChr m:val="|"/>
                    <m:endChr m:val="|"/>
                    <m:ctrlPr>
                      <w:rPr>
                        <w:rFonts w:ascii="Cambria Math" w:hAnsi="Cambria Math" w:cs="Times New Roman"/>
                        <w:i/>
                      </w:rPr>
                    </m:ctrlPr>
                  </m:dPr>
                  <m:e>
                    <m:r>
                      <w:rPr>
                        <w:rFonts w:ascii="Cambria Math" w:hAnsi="Cambria Math" w:cs="Times New Roman"/>
                      </w:rPr>
                      <m:t>u</m:t>
                    </m:r>
                  </m:e>
                </m:d>
                <m:r>
                  <w:rPr>
                    <w:rFonts w:ascii="Cambria Math" w:hAnsi="Cambria Math" w:cs="Times New Roman"/>
                  </w:rPr>
                  <m:t>≤k</m:t>
                </m:r>
              </m:e>
              <m:e>
                <m:r>
                  <w:rPr>
                    <w:rFonts w:ascii="Cambria Math" w:hAnsi="Cambria Math" w:cs="Times New Roman"/>
                  </w:rPr>
                  <m:t xml:space="preserve">           0                     u&lt;k</m:t>
                </m:r>
              </m:e>
            </m:eqArr>
          </m:e>
        </m:d>
      </m:oMath>
      <w:r>
        <w:rPr>
          <w:rFonts w:ascii="Times New Roman" w:hAnsi="Times New Roman" w:cs="Times New Roman"/>
        </w:rPr>
        <w:t xml:space="preserve"> </w:t>
      </w:r>
      <w:r w:rsidR="00995846">
        <w:rPr>
          <w:rFonts w:ascii="Times New Roman" w:hAnsi="Times New Roman" w:cs="Times New Roman"/>
        </w:rPr>
        <w:t xml:space="preserve"> </w:t>
      </w:r>
      <w:r>
        <w:rPr>
          <w:rFonts w:ascii="Times New Roman" w:hAnsi="Times New Roman" w:cs="Times New Roman"/>
        </w:rPr>
        <w:t>where k is a tuning constant.</w:t>
      </w:r>
      <w:r w:rsidR="00995846">
        <w:rPr>
          <w:rFonts w:ascii="Times New Roman" w:hAnsi="Times New Roman" w:cs="Times New Roman"/>
        </w:rPr>
        <w:t xml:space="preserve"> </w:t>
      </w:r>
      <w:r w:rsidR="00995846">
        <w:rPr>
          <w:rFonts w:ascii="Times New Roman" w:hAnsi="Times New Roman" w:cs="Times New Roman"/>
        </w:rPr>
        <w:tab/>
      </w:r>
      <w:r w:rsidR="00995846">
        <w:rPr>
          <w:rFonts w:ascii="Times New Roman" w:hAnsi="Times New Roman" w:cs="Times New Roman"/>
        </w:rPr>
        <w:tab/>
        <w:t>(3)</w:t>
      </w:r>
      <w:r>
        <w:rPr>
          <w:rFonts w:ascii="Times New Roman" w:hAnsi="Times New Roman" w:cs="Times New Roman"/>
        </w:rPr>
        <w:t xml:space="preserve"> </w:t>
      </w:r>
      <w:r w:rsidR="00995846">
        <w:rPr>
          <w:rFonts w:ascii="Times New Roman" w:hAnsi="Times New Roman" w:cs="Times New Roman"/>
        </w:rPr>
        <w:t xml:space="preserve">            </w:t>
      </w:r>
    </w:p>
    <w:p w:rsidR="00995846" w:rsidRDefault="00995846" w:rsidP="0005594A">
      <w:pPr>
        <w:spacing w:after="0" w:line="360" w:lineRule="auto"/>
        <w:ind w:firstLine="720"/>
        <w:jc w:val="both"/>
        <w:rPr>
          <w:rFonts w:ascii="Times New Roman" w:hAnsi="Times New Roman" w:cs="Times New Roman"/>
        </w:rPr>
      </w:pPr>
    </w:p>
    <w:p w:rsidR="00995846"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Another specification which redescends to 0 is the one of Hampel. It involves a complex specification including three tuning constants (a, b, c):</w:t>
      </w:r>
    </w:p>
    <w:p w:rsidR="00995846" w:rsidRPr="00995846" w:rsidRDefault="00995846" w:rsidP="0005594A">
      <w:pPr>
        <w:spacing w:after="0" w:line="360" w:lineRule="auto"/>
        <w:ind w:firstLine="720"/>
        <w:jc w:val="both"/>
        <w:rPr>
          <w:rFonts w:ascii="Times New Roman" w:hAnsi="Times New Roman" w:cs="Times New Roman"/>
        </w:rPr>
      </w:pPr>
    </w:p>
    <w:p w:rsidR="0005594A" w:rsidRDefault="0005594A" w:rsidP="0005594A">
      <w:pPr>
        <w:spacing w:after="0" w:line="360" w:lineRule="auto"/>
        <w:ind w:firstLine="720"/>
        <w:jc w:val="both"/>
        <w:rPr>
          <w:rFonts w:ascii="Times New Roman" w:hAnsi="Times New Roman" w:cs="Times New Roman"/>
        </w:rPr>
      </w:pPr>
      <m:oMath>
        <m:r>
          <w:rPr>
            <w:rFonts w:ascii="Cambria Math" w:hAnsi="Cambria Math" w:cs="Times New Roman"/>
          </w:rPr>
          <m:t xml:space="preserve"> </m:t>
        </m:r>
        <m:sSub>
          <m:sSubPr>
            <m:ctrlPr>
              <w:rPr>
                <w:rFonts w:ascii="Cambria Math" w:hAnsi="Cambria Math" w:cs="Times New Roman"/>
                <w:i/>
              </w:rPr>
            </m:ctrlPr>
          </m:sSubPr>
          <m:e>
            <m:r>
              <w:rPr>
                <w:rFonts w:ascii="Cambria Math" w:hAnsi="Cambria Math" w:cs="Times New Roman"/>
              </w:rPr>
              <m:t>ψ</m:t>
            </m:r>
          </m:e>
          <m:sub>
            <m:r>
              <w:rPr>
                <w:rFonts w:ascii="Cambria Math" w:hAnsi="Cambria Math" w:cs="Times New Roman"/>
              </w:rPr>
              <m:t xml:space="preserve">Hampel </m:t>
            </m:r>
          </m:sub>
        </m:sSub>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m:t>
        </m:r>
        <m:d>
          <m:dPr>
            <m:begChr m:val="{"/>
            <m:endChr m:val=""/>
            <m:ctrlPr>
              <w:rPr>
                <w:rFonts w:ascii="Cambria Math" w:hAnsi="Cambria Math" w:cs="Times New Roman"/>
                <w:i/>
              </w:rPr>
            </m:ctrlPr>
          </m:dPr>
          <m:e>
            <m:eqArr>
              <m:eqArrPr>
                <m:ctrlPr>
                  <w:rPr>
                    <w:rFonts w:ascii="Cambria Math" w:hAnsi="Cambria Math" w:cs="Times New Roman"/>
                    <w:i/>
                  </w:rPr>
                </m:ctrlPr>
              </m:eqArrPr>
              <m:e>
                <m:f>
                  <m:fPr>
                    <m:type m:val="noBar"/>
                    <m:ctrlPr>
                      <w:rPr>
                        <w:rFonts w:ascii="Cambria Math" w:hAnsi="Cambria Math" w:cs="Times New Roman"/>
                        <w:i/>
                      </w:rPr>
                    </m:ctrlPr>
                  </m:fPr>
                  <m:num>
                    <m:r>
                      <w:rPr>
                        <w:rFonts w:ascii="Cambria Math" w:hAnsi="Cambria Math" w:cs="Times New Roman"/>
                      </w:rPr>
                      <m:t xml:space="preserve">u                            </m:t>
                    </m:r>
                    <m:d>
                      <m:dPr>
                        <m:begChr m:val="|"/>
                        <m:endChr m:val="|"/>
                        <m:ctrlPr>
                          <w:rPr>
                            <w:rFonts w:ascii="Cambria Math" w:hAnsi="Cambria Math" w:cs="Times New Roman"/>
                            <w:i/>
                          </w:rPr>
                        </m:ctrlPr>
                      </m:dPr>
                      <m:e>
                        <m:r>
                          <w:rPr>
                            <w:rFonts w:ascii="Cambria Math" w:hAnsi="Cambria Math" w:cs="Times New Roman"/>
                          </w:rPr>
                          <m:t>u</m:t>
                        </m:r>
                      </m:e>
                    </m:d>
                    <m:r>
                      <w:rPr>
                        <w:rFonts w:ascii="Cambria Math" w:hAnsi="Cambria Math" w:cs="Times New Roman"/>
                      </w:rPr>
                      <m:t>≤a</m:t>
                    </m:r>
                  </m:num>
                  <m:den>
                    <m:r>
                      <w:rPr>
                        <w:rFonts w:ascii="Cambria Math" w:hAnsi="Cambria Math" w:cs="Times New Roman"/>
                      </w:rPr>
                      <m:t>a*sign</m:t>
                    </m:r>
                    <m:d>
                      <m:dPr>
                        <m:ctrlPr>
                          <w:rPr>
                            <w:rFonts w:ascii="Cambria Math" w:hAnsi="Cambria Math" w:cs="Times New Roman"/>
                            <w:i/>
                          </w:rPr>
                        </m:ctrlPr>
                      </m:dPr>
                      <m:e>
                        <m:r>
                          <w:rPr>
                            <w:rFonts w:ascii="Cambria Math" w:hAnsi="Cambria Math" w:cs="Times New Roman"/>
                          </w:rPr>
                          <m:t>u</m:t>
                        </m:r>
                      </m:e>
                    </m:d>
                    <m:r>
                      <w:rPr>
                        <w:rFonts w:ascii="Cambria Math" w:hAnsi="Cambria Math" w:cs="Times New Roman"/>
                      </w:rPr>
                      <m:t xml:space="preserve">               a≤</m:t>
                    </m:r>
                    <m:d>
                      <m:dPr>
                        <m:begChr m:val="|"/>
                        <m:endChr m:val="|"/>
                        <m:ctrlPr>
                          <w:rPr>
                            <w:rFonts w:ascii="Cambria Math" w:hAnsi="Cambria Math" w:cs="Times New Roman"/>
                            <w:i/>
                          </w:rPr>
                        </m:ctrlPr>
                      </m:dPr>
                      <m:e>
                        <m:r>
                          <w:rPr>
                            <w:rFonts w:ascii="Cambria Math" w:hAnsi="Cambria Math" w:cs="Times New Roman"/>
                          </w:rPr>
                          <m:t>u</m:t>
                        </m:r>
                      </m:e>
                    </m:d>
                    <m:r>
                      <w:rPr>
                        <w:rFonts w:ascii="Cambria Math" w:hAnsi="Cambria Math" w:cs="Times New Roman"/>
                      </w:rPr>
                      <m:t>≤b</m:t>
                    </m:r>
                  </m:den>
                </m:f>
              </m:e>
              <m:e>
                <m:f>
                  <m:fPr>
                    <m:type m:val="noBar"/>
                    <m:ctrlPr>
                      <w:rPr>
                        <w:rFonts w:ascii="Cambria Math" w:hAnsi="Cambria Math" w:cs="Times New Roman"/>
                        <w:i/>
                      </w:rPr>
                    </m:ctrlPr>
                  </m:fPr>
                  <m:num>
                    <m:r>
                      <w:rPr>
                        <w:rFonts w:ascii="Cambria Math" w:hAnsi="Cambria Math" w:cs="Times New Roman"/>
                      </w:rPr>
                      <m:t>a*</m:t>
                    </m:r>
                    <m:f>
                      <m:fPr>
                        <m:ctrlPr>
                          <w:rPr>
                            <w:rFonts w:ascii="Cambria Math" w:hAnsi="Cambria Math" w:cs="Times New Roman"/>
                            <w:i/>
                          </w:rPr>
                        </m:ctrlPr>
                      </m:fPr>
                      <m:num>
                        <m:d>
                          <m:dPr>
                            <m:begChr m:val="["/>
                            <m:endChr m:val="]"/>
                            <m:ctrlPr>
                              <w:rPr>
                                <w:rFonts w:ascii="Cambria Math" w:hAnsi="Cambria Math" w:cs="Times New Roman"/>
                                <w:i/>
                              </w:rPr>
                            </m:ctrlPr>
                          </m:dPr>
                          <m:e>
                            <m:r>
                              <w:rPr>
                                <w:rFonts w:ascii="Cambria Math" w:hAnsi="Cambria Math" w:cs="Times New Roman"/>
                              </w:rPr>
                              <m:t>u-c*sign</m:t>
                            </m:r>
                            <m:d>
                              <m:dPr>
                                <m:ctrlPr>
                                  <w:rPr>
                                    <w:rFonts w:ascii="Cambria Math" w:hAnsi="Cambria Math" w:cs="Times New Roman"/>
                                    <w:i/>
                                  </w:rPr>
                                </m:ctrlPr>
                              </m:dPr>
                              <m:e>
                                <m:r>
                                  <w:rPr>
                                    <w:rFonts w:ascii="Cambria Math" w:hAnsi="Cambria Math" w:cs="Times New Roman"/>
                                  </w:rPr>
                                  <m:t>u</m:t>
                                </m:r>
                              </m:e>
                            </m:d>
                          </m:e>
                        </m:d>
                      </m:num>
                      <m:den>
                        <m:r>
                          <w:rPr>
                            <w:rFonts w:ascii="Cambria Math" w:hAnsi="Cambria Math" w:cs="Times New Roman"/>
                          </w:rPr>
                          <m:t>b-c</m:t>
                        </m:r>
                      </m:den>
                    </m:f>
                    <m:r>
                      <w:rPr>
                        <w:rFonts w:ascii="Cambria Math" w:hAnsi="Cambria Math" w:cs="Times New Roman"/>
                      </w:rPr>
                      <m:t xml:space="preserve">      b≤</m:t>
                    </m:r>
                    <m:d>
                      <m:dPr>
                        <m:begChr m:val="|"/>
                        <m:endChr m:val="|"/>
                        <m:ctrlPr>
                          <w:rPr>
                            <w:rFonts w:ascii="Cambria Math" w:hAnsi="Cambria Math" w:cs="Times New Roman"/>
                            <w:i/>
                          </w:rPr>
                        </m:ctrlPr>
                      </m:dPr>
                      <m:e>
                        <m:r>
                          <w:rPr>
                            <w:rFonts w:ascii="Cambria Math" w:hAnsi="Cambria Math" w:cs="Times New Roman"/>
                          </w:rPr>
                          <m:t>u</m:t>
                        </m:r>
                      </m:e>
                    </m:d>
                    <m:r>
                      <w:rPr>
                        <w:rFonts w:ascii="Cambria Math" w:hAnsi="Cambria Math" w:cs="Times New Roman"/>
                      </w:rPr>
                      <m:t>≤c</m:t>
                    </m:r>
                  </m:num>
                  <m:den>
                    <m:r>
                      <w:rPr>
                        <w:rFonts w:ascii="Cambria Math" w:hAnsi="Cambria Math" w:cs="Times New Roman"/>
                      </w:rPr>
                      <m:t>0                             c≤</m:t>
                    </m:r>
                    <m:d>
                      <m:dPr>
                        <m:begChr m:val="|"/>
                        <m:endChr m:val="|"/>
                        <m:ctrlPr>
                          <w:rPr>
                            <w:rFonts w:ascii="Cambria Math" w:hAnsi="Cambria Math" w:cs="Times New Roman"/>
                            <w:i/>
                          </w:rPr>
                        </m:ctrlPr>
                      </m:dPr>
                      <m:e>
                        <m:r>
                          <w:rPr>
                            <w:rFonts w:ascii="Cambria Math" w:hAnsi="Cambria Math" w:cs="Times New Roman"/>
                          </w:rPr>
                          <m:t>u</m:t>
                        </m:r>
                      </m:e>
                    </m:d>
                  </m:den>
                </m:f>
              </m:e>
            </m:eqArr>
          </m:e>
        </m:d>
      </m:oMath>
      <w:r w:rsidR="00995846">
        <w:rPr>
          <w:rFonts w:ascii="Times New Roman" w:hAnsi="Times New Roman" w:cs="Times New Roman"/>
        </w:rPr>
        <w:t xml:space="preserve"> </w:t>
      </w:r>
      <w:r w:rsidR="00995846">
        <w:rPr>
          <w:rFonts w:ascii="Times New Roman" w:hAnsi="Times New Roman" w:cs="Times New Roman"/>
        </w:rPr>
        <w:tab/>
      </w:r>
      <w:r w:rsidR="00995846">
        <w:rPr>
          <w:rFonts w:ascii="Times New Roman" w:hAnsi="Times New Roman" w:cs="Times New Roman"/>
        </w:rPr>
        <w:tab/>
        <w:t>(4)</w:t>
      </w:r>
    </w:p>
    <w:p w:rsidR="00995846" w:rsidRDefault="00995846" w:rsidP="0005594A">
      <w:pPr>
        <w:spacing w:after="0" w:line="360" w:lineRule="auto"/>
        <w:ind w:firstLine="720"/>
        <w:jc w:val="both"/>
        <w:rPr>
          <w:rFonts w:ascii="Times New Roman" w:hAnsi="Times New Roman" w:cs="Times New Roman"/>
        </w:rPr>
      </w:pP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As the weights depend on β and scale estimator σ, the estimation method is iteratively re-weighted least squares (IWLS). First, the OLS estimation is performed. The weights are then calculated based on the OLS residuals and the approximated scale estimator σ. Then, weighted least squares </w:t>
      </w:r>
      <w:r>
        <w:rPr>
          <w:rFonts w:ascii="Times New Roman" w:hAnsi="Times New Roman" w:cs="Times New Roman"/>
        </w:rPr>
        <w:lastRenderedPageBreak/>
        <w:t xml:space="preserve">coefficient estimates are computed. Based on the residuals from the previous iteration, coefficient estimates are computed until convergence is achieved. The method is iterative as the computation of the weights and of the IWLS estimates are repeated until convergence.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To investigate the robustness of the results, I use the three specifications for the weight function</w:t>
      </w:r>
      <w:r w:rsidR="00784909">
        <w:rPr>
          <w:rFonts w:ascii="Times New Roman" w:hAnsi="Times New Roman" w:cs="Times New Roman"/>
        </w:rPr>
        <w:t xml:space="preserve"> captured by equations (2), (3) and (4). </w:t>
      </w:r>
      <w:r>
        <w:rPr>
          <w:rFonts w:ascii="Times New Roman" w:hAnsi="Times New Roman" w:cs="Times New Roman"/>
        </w:rPr>
        <w:t xml:space="preserve"> The weight function  </w:t>
      </w:r>
      <m:oMath>
        <m:r>
          <w:rPr>
            <w:rFonts w:ascii="Cambria Math" w:hAnsi="Cambria Math" w:cs="Times New Roman"/>
          </w:rPr>
          <m:t>ψ</m:t>
        </m:r>
        <m:d>
          <m:dPr>
            <m:ctrlPr>
              <w:rPr>
                <w:rFonts w:ascii="Cambria Math" w:hAnsi="Cambria Math" w:cs="Times New Roman"/>
                <w:i/>
              </w:rPr>
            </m:ctrlPr>
          </m:dPr>
          <m:e>
            <m:r>
              <w:rPr>
                <w:rFonts w:ascii="Cambria Math" w:hAnsi="Cambria Math" w:cs="Times New Roman"/>
              </w:rPr>
              <m:t>u</m:t>
            </m:r>
          </m:e>
        </m:d>
      </m:oMath>
      <w:r>
        <w:rPr>
          <w:rFonts w:ascii="Times New Roman" w:hAnsi="Times New Roman" w:cs="Times New Roman"/>
        </w:rPr>
        <w:t xml:space="preserve"> depends on tu</w:t>
      </w:r>
      <w:r w:rsidRPr="00DB60A9">
        <w:rPr>
          <w:rFonts w:ascii="Times New Roman" w:hAnsi="Times New Roman" w:cs="Times New Roman"/>
        </w:rPr>
        <w:t>ning</w:t>
      </w:r>
      <w:r>
        <w:rPr>
          <w:rFonts w:ascii="Times New Roman" w:hAnsi="Times New Roman" w:cs="Times New Roman"/>
        </w:rPr>
        <w:t xml:space="preserve"> </w:t>
      </w:r>
      <w:r w:rsidRPr="00DB60A9">
        <w:rPr>
          <w:rFonts w:ascii="Times New Roman" w:hAnsi="Times New Roman" w:cs="Times New Roman"/>
        </w:rPr>
        <w:t>constant</w:t>
      </w:r>
      <w:r>
        <w:rPr>
          <w:rFonts w:ascii="Times New Roman" w:hAnsi="Times New Roman" w:cs="Times New Roman"/>
        </w:rPr>
        <w:t>s (</w:t>
      </w:r>
      <m:oMath>
        <m:r>
          <w:rPr>
            <w:rFonts w:ascii="Cambria Math" w:hAnsi="Cambria Math" w:cs="Times New Roman"/>
          </w:rPr>
          <m:t>k</m:t>
        </m:r>
      </m:oMath>
      <w:r>
        <w:rPr>
          <w:rFonts w:ascii="Times New Roman" w:hAnsi="Times New Roman" w:cs="Times New Roman"/>
        </w:rPr>
        <w:t xml:space="preserve">, </w:t>
      </w:r>
      <m:oMath>
        <m:r>
          <w:rPr>
            <w:rFonts w:ascii="Cambria Math" w:hAnsi="Cambria Math" w:cs="Times New Roman"/>
          </w:rPr>
          <m:t>a</m:t>
        </m:r>
      </m:oMath>
      <w:r>
        <w:rPr>
          <w:rFonts w:ascii="Times New Roman" w:hAnsi="Times New Roman" w:cs="Times New Roman"/>
        </w:rPr>
        <w:t xml:space="preserve">, </w:t>
      </w:r>
      <m:oMath>
        <m:r>
          <w:rPr>
            <w:rFonts w:ascii="Cambria Math" w:hAnsi="Cambria Math" w:cs="Times New Roman"/>
          </w:rPr>
          <m:t>b</m:t>
        </m:r>
      </m:oMath>
      <w:r>
        <w:rPr>
          <w:rFonts w:ascii="Times New Roman" w:hAnsi="Times New Roman" w:cs="Times New Roman"/>
        </w:rPr>
        <w:t xml:space="preserve"> and </w:t>
      </w:r>
      <m:oMath>
        <m:r>
          <w:rPr>
            <w:rFonts w:ascii="Cambria Math" w:hAnsi="Cambria Math" w:cs="Times New Roman"/>
          </w:rPr>
          <m:t>c</m:t>
        </m:r>
      </m:oMath>
      <w:r>
        <w:rPr>
          <w:rFonts w:ascii="Times New Roman" w:hAnsi="Times New Roman" w:cs="Times New Roman"/>
        </w:rPr>
        <w:t xml:space="preserve">) which capture the trade-off between efficiency loss and robustness gains. </w:t>
      </w:r>
      <w:r w:rsidRPr="00DB60A9">
        <w:rPr>
          <w:rFonts w:ascii="Times New Roman" w:hAnsi="Times New Roman" w:cs="Times New Roman"/>
        </w:rPr>
        <w:t xml:space="preserve">Studying the impact of different specification of tuning constants on the robust estimators Hoaglin, Mosteller and </w:t>
      </w:r>
      <w:r>
        <w:rPr>
          <w:rFonts w:ascii="Times New Roman" w:hAnsi="Times New Roman" w:cs="Times New Roman"/>
        </w:rPr>
        <w:t>Tukey (1983) showed that a higher tuning constant is consistent with a higher efficiency at the expense of robus</w:t>
      </w:r>
      <w:r w:rsidR="007D7A03">
        <w:rPr>
          <w:rFonts w:ascii="Times New Roman" w:hAnsi="Times New Roman" w:cs="Times New Roman"/>
        </w:rPr>
        <w:t>tness. As Haggard and Witte (2010</w:t>
      </w:r>
      <w:r>
        <w:rPr>
          <w:rFonts w:ascii="Times New Roman" w:hAnsi="Times New Roman" w:cs="Times New Roman"/>
        </w:rPr>
        <w:t xml:space="preserve">), the chosen tuning constants belong to the middle of the range. Accordingly, I perform Huber’s proposal based on k=1.500, Tukey’s proposal for k=4.685 and for Hampel’s specification I use a=1.500, b=3.600 and c=8.000. </w:t>
      </w:r>
    </w:p>
    <w:p w:rsidR="0005594A" w:rsidRDefault="0005594A" w:rsidP="0005594A">
      <w:pPr>
        <w:spacing w:after="0" w:line="360" w:lineRule="auto"/>
        <w:jc w:val="both"/>
        <w:rPr>
          <w:rFonts w:ascii="Times New Roman" w:hAnsi="Times New Roman" w:cs="Times New Roman"/>
          <w:lang w:val="nl-NL"/>
        </w:rPr>
      </w:pPr>
    </w:p>
    <w:p w:rsidR="0005594A" w:rsidRDefault="00930C6E" w:rsidP="00027ADB">
      <w:pPr>
        <w:pStyle w:val="Heading3"/>
        <w:rPr>
          <w:lang w:val="nl-NL"/>
        </w:rPr>
      </w:pPr>
      <w:bookmarkStart w:id="36" w:name="_Toc396762704"/>
      <w:r>
        <w:rPr>
          <w:lang w:val="nl-NL"/>
        </w:rPr>
        <w:t>3.2.4</w:t>
      </w:r>
      <w:r w:rsidR="0005594A">
        <w:rPr>
          <w:lang w:val="nl-NL"/>
        </w:rPr>
        <w:t xml:space="preserve"> Relationship between bond returns and explanatory factors</w:t>
      </w:r>
      <w:bookmarkEnd w:id="36"/>
    </w:p>
    <w:p w:rsidR="00AA146B" w:rsidRPr="00AA146B" w:rsidRDefault="00AA146B" w:rsidP="00920046">
      <w:pPr>
        <w:rPr>
          <w:lang w:val="nl-NL"/>
        </w:rPr>
      </w:pPr>
    </w:p>
    <w:p w:rsidR="0005594A" w:rsidRDefault="0005594A" w:rsidP="0005594A">
      <w:pPr>
        <w:pStyle w:val="NoSpacing"/>
        <w:spacing w:line="360" w:lineRule="auto"/>
        <w:ind w:firstLine="720"/>
        <w:jc w:val="both"/>
        <w:rPr>
          <w:rFonts w:ascii="Times New Roman" w:hAnsi="Times New Roman" w:cs="Times New Roman"/>
        </w:rPr>
      </w:pPr>
      <w:r>
        <w:rPr>
          <w:rFonts w:ascii="Times New Roman" w:hAnsi="Times New Roman" w:cs="Times New Roman"/>
        </w:rPr>
        <w:t>The study also focuses on the identifying the drivers of seasonality. In order to explain the seasonality in government bond returns, I regress these returns on other series which display seasonal patterns (inflation rate, GDP growth, change in consumer confidence etc.) as shown below</w:t>
      </w:r>
      <w:r w:rsidRPr="00797F81">
        <w:rPr>
          <w:rFonts w:ascii="Times New Roman" w:hAnsi="Times New Roman" w:cs="Times New Roman"/>
        </w:rPr>
        <w:t>:</w:t>
      </w:r>
    </w:p>
    <w:p w:rsidR="00784909" w:rsidRPr="00797F81" w:rsidRDefault="00784909" w:rsidP="0005594A">
      <w:pPr>
        <w:pStyle w:val="NoSpacing"/>
        <w:spacing w:line="360" w:lineRule="auto"/>
        <w:ind w:firstLine="720"/>
        <w:jc w:val="both"/>
        <w:rPr>
          <w:rFonts w:ascii="Times New Roman" w:hAnsi="Times New Roman" w:cs="Times New Roman"/>
        </w:rPr>
      </w:pPr>
    </w:p>
    <w:p w:rsidR="0005594A" w:rsidRDefault="004C40A2" w:rsidP="0005594A">
      <w:pPr>
        <w:pStyle w:val="NoSpacing"/>
        <w:spacing w:line="360" w:lineRule="auto"/>
        <w:jc w:val="center"/>
        <w:rPr>
          <w:rFonts w:ascii="Times New Roman" w:hAnsi="Times New Roman" w:cs="Times New Roman"/>
        </w:rPr>
      </w:pPr>
      <m:oMath>
        <m:sSub>
          <m:sSubPr>
            <m:ctrlPr>
              <w:rPr>
                <w:rFonts w:ascii="Cambria Math" w:hAnsi="Times New Roman" w:cs="Times New Roman"/>
                <w:i/>
              </w:rPr>
            </m:ctrlPr>
          </m:sSubPr>
          <m:e>
            <m:r>
              <w:rPr>
                <w:rFonts w:ascii="Cambria Math" w:hAnsi="Cambria Math" w:cs="Times New Roman"/>
              </w:rPr>
              <m:t>Ex</m:t>
            </m:r>
            <m:r>
              <w:rPr>
                <w:rFonts w:ascii="Cambria Math" w:hAnsi="Times New Roman" w:cs="Times New Roman"/>
              </w:rPr>
              <m:t>_</m:t>
            </m:r>
            <m:r>
              <w:rPr>
                <w:rFonts w:ascii="Cambria Math" w:hAnsi="Cambria Math" w:cs="Times New Roman"/>
              </w:rPr>
              <m:t>r</m:t>
            </m:r>
          </m:e>
          <m:sub>
            <m:r>
              <w:rPr>
                <w:rFonts w:ascii="Cambria Math" w:hAnsi="Cambria Math" w:cs="Times New Roman"/>
              </w:rPr>
              <m:t>t</m:t>
            </m:r>
          </m:sub>
        </m:sSub>
        <m:r>
          <w:rPr>
            <w:rFonts w:ascii="Cambria Math" w:hAnsi="Times New Roman" w:cs="Times New Roman"/>
          </w:rPr>
          <m:t>=</m:t>
        </m:r>
        <m:r>
          <w:rPr>
            <w:rFonts w:ascii="Cambria Math" w:hAnsi="Cambria Math" w:cs="Times New Roman"/>
          </w:rPr>
          <m:t>α</m:t>
        </m:r>
        <m:r>
          <w:rPr>
            <w:rFonts w:ascii="Cambria Math" w:hAnsi="Times New Roman" w:cs="Times New Roman"/>
          </w:rPr>
          <m:t>+</m:t>
        </m:r>
        <m:r>
          <w:rPr>
            <w:rFonts w:ascii="Cambria Math" w:hAnsi="Cambria Math" w:cs="Times New Roman"/>
          </w:rPr>
          <m:t>β</m:t>
        </m:r>
        <m:sSub>
          <m:sSubPr>
            <m:ctrlPr>
              <w:rPr>
                <w:rFonts w:ascii="Cambria Math" w:hAnsi="Cambria Math" w:cs="Times New Roman"/>
                <w:i/>
              </w:rPr>
            </m:ctrlPr>
          </m:sSubPr>
          <m:e>
            <m:r>
              <w:rPr>
                <w:rFonts w:ascii="Cambria Math" w:hAnsi="Cambria Math" w:cs="Times New Roman"/>
              </w:rPr>
              <m:t>Factor</m:t>
            </m:r>
          </m:e>
          <m:sub>
            <m:r>
              <w:rPr>
                <w:rFonts w:ascii="Cambria Math" w:hAnsi="Cambria Math" w:cs="Times New Roman"/>
              </w:rPr>
              <m:t>t</m:t>
            </m:r>
          </m:sub>
        </m:sSub>
        <m:r>
          <w:rPr>
            <w:rFonts w:ascii="Cambria Math" w:hAnsi="Times New Roman" w:cs="Times New Roman"/>
          </w:rPr>
          <m:t>+</m:t>
        </m:r>
        <m:sSub>
          <m:sSubPr>
            <m:ctrlPr>
              <w:rPr>
                <w:rFonts w:ascii="Cambria Math" w:hAnsi="Times New Roman" w:cs="Times New Roman"/>
                <w:i/>
              </w:rPr>
            </m:ctrlPr>
          </m:sSubPr>
          <m:e>
            <m:r>
              <w:rPr>
                <w:rFonts w:ascii="Cambria Math" w:hAnsi="Cambria Math" w:cs="Times New Roman"/>
              </w:rPr>
              <m:t>ε</m:t>
            </m:r>
          </m:e>
          <m:sub>
            <m:r>
              <w:rPr>
                <w:rFonts w:ascii="Cambria Math" w:hAnsi="Cambria Math" w:cs="Times New Roman"/>
              </w:rPr>
              <m:t>t</m:t>
            </m:r>
          </m:sub>
        </m:sSub>
      </m:oMath>
      <w:r w:rsidR="0005594A" w:rsidRPr="00797F81">
        <w:rPr>
          <w:rFonts w:ascii="Times New Roman" w:hAnsi="Times New Roman" w:cs="Times New Roman"/>
        </w:rPr>
        <w:tab/>
        <w:t xml:space="preserve">       </w:t>
      </w:r>
      <w:r w:rsidR="00995846">
        <w:rPr>
          <w:rFonts w:ascii="Times New Roman" w:hAnsi="Times New Roman" w:cs="Times New Roman"/>
        </w:rPr>
        <w:t>(5</w:t>
      </w:r>
      <w:r w:rsidR="0005594A" w:rsidRPr="00797F81">
        <w:rPr>
          <w:rFonts w:ascii="Times New Roman" w:hAnsi="Times New Roman" w:cs="Times New Roman"/>
        </w:rPr>
        <w:t>)</w:t>
      </w:r>
    </w:p>
    <w:p w:rsidR="00784909" w:rsidRPr="00797F81" w:rsidRDefault="00784909" w:rsidP="0005594A">
      <w:pPr>
        <w:pStyle w:val="NoSpacing"/>
        <w:spacing w:line="360" w:lineRule="auto"/>
        <w:jc w:val="center"/>
        <w:rPr>
          <w:rFonts w:ascii="Times New Roman" w:hAnsi="Times New Roman" w:cs="Times New Roman"/>
        </w:rPr>
      </w:pPr>
    </w:p>
    <w:p w:rsidR="0005594A" w:rsidRPr="00797F81" w:rsidRDefault="0005594A" w:rsidP="00784909">
      <w:pPr>
        <w:pStyle w:val="NoSpacing"/>
        <w:spacing w:line="360" w:lineRule="auto"/>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Times New Roman" w:cs="Times New Roman"/>
                <w:i/>
              </w:rPr>
            </m:ctrlPr>
          </m:sSubPr>
          <m:e>
            <m:r>
              <w:rPr>
                <w:rFonts w:ascii="Cambria Math" w:hAnsi="Cambria Math" w:cs="Times New Roman"/>
              </w:rPr>
              <m:t>Ex</m:t>
            </m:r>
            <m:r>
              <w:rPr>
                <w:rFonts w:ascii="Cambria Math" w:hAnsi="Times New Roman" w:cs="Times New Roman"/>
              </w:rPr>
              <m:t>_</m:t>
            </m:r>
            <m:r>
              <w:rPr>
                <w:rFonts w:ascii="Cambria Math" w:hAnsi="Cambria Math" w:cs="Times New Roman"/>
              </w:rPr>
              <m:t>r</m:t>
            </m:r>
          </m:e>
          <m:sub>
            <m:r>
              <w:rPr>
                <w:rFonts w:ascii="Cambria Math" w:hAnsi="Cambria Math" w:cs="Times New Roman"/>
              </w:rPr>
              <m:t>t</m:t>
            </m:r>
          </m:sub>
        </m:sSub>
        <m:r>
          <w:rPr>
            <w:rFonts w:ascii="Cambria Math" w:hAnsi="Times New Roman" w:cs="Times New Roman"/>
          </w:rPr>
          <m:t xml:space="preserve">  </m:t>
        </m:r>
      </m:oMath>
      <w:r>
        <w:rPr>
          <w:rFonts w:ascii="Times New Roman" w:hAnsi="Times New Roman" w:cs="Times New Roman"/>
        </w:rPr>
        <w:t xml:space="preserve">is the bond excess return recorded in month t and </w:t>
      </w:r>
      <m:oMath>
        <m:sSub>
          <m:sSubPr>
            <m:ctrlPr>
              <w:rPr>
                <w:rFonts w:ascii="Cambria Math" w:hAnsi="Times New Roman" w:cs="Times New Roman"/>
                <w:i/>
              </w:rPr>
            </m:ctrlPr>
          </m:sSubPr>
          <m:e>
            <m:r>
              <w:rPr>
                <w:rFonts w:ascii="Cambria Math" w:hAnsi="Cambria Math" w:cs="Times New Roman"/>
              </w:rPr>
              <m:t>Factor</m:t>
            </m:r>
          </m:e>
          <m:sub>
            <m:r>
              <w:rPr>
                <w:rFonts w:ascii="Cambria Math" w:hAnsi="Cambria Math" w:cs="Times New Roman"/>
              </w:rPr>
              <m:t>t</m:t>
            </m:r>
          </m:sub>
        </m:sSub>
      </m:oMath>
      <w:r>
        <w:rPr>
          <w:rFonts w:ascii="Times New Roman" w:hAnsi="Times New Roman" w:cs="Times New Roman"/>
        </w:rPr>
        <w:t xml:space="preserve"> is the factor in the same month. </w:t>
      </w:r>
    </w:p>
    <w:p w:rsidR="0005594A" w:rsidRDefault="0005594A" w:rsidP="0005594A">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If the coefficient </w:t>
      </w:r>
      <m:oMath>
        <m:r>
          <w:rPr>
            <w:rFonts w:ascii="Cambria Math" w:hAnsi="Cambria Math" w:cs="Times New Roman"/>
          </w:rPr>
          <m:t>β</m:t>
        </m:r>
      </m:oMath>
      <w:r w:rsidRPr="00797F81">
        <w:rPr>
          <w:rFonts w:ascii="Times New Roman" w:hAnsi="Times New Roman" w:cs="Times New Roman"/>
        </w:rPr>
        <w:t xml:space="preserve"> </w:t>
      </w:r>
      <w:r>
        <w:rPr>
          <w:rFonts w:ascii="Times New Roman" w:hAnsi="Times New Roman" w:cs="Times New Roman"/>
        </w:rPr>
        <w:t xml:space="preserve">is statistically significant, this means that the data series is important for bond markets. Hence, I continue the analysis by running </w:t>
      </w:r>
      <w:r w:rsidRPr="00797F81">
        <w:rPr>
          <w:rFonts w:ascii="Times New Roman" w:hAnsi="Times New Roman" w:cs="Times New Roman"/>
        </w:rPr>
        <w:t>equation (1) for the estimated residuals to see if they exhibit any seasonal pattern</w:t>
      </w:r>
      <w:r>
        <w:rPr>
          <w:rFonts w:ascii="Times New Roman" w:hAnsi="Times New Roman" w:cs="Times New Roman"/>
        </w:rPr>
        <w:t xml:space="preserve"> (repeating the a</w:t>
      </w:r>
      <w:r w:rsidR="00784909">
        <w:rPr>
          <w:rFonts w:ascii="Times New Roman" w:hAnsi="Times New Roman" w:cs="Times New Roman"/>
        </w:rPr>
        <w:t>nalysis described in Section 3.2.2</w:t>
      </w:r>
      <w:r>
        <w:rPr>
          <w:rFonts w:ascii="Times New Roman" w:hAnsi="Times New Roman" w:cs="Times New Roman"/>
        </w:rPr>
        <w:t>)</w:t>
      </w:r>
      <w:r w:rsidRPr="00797F81">
        <w:rPr>
          <w:rFonts w:ascii="Times New Roman" w:hAnsi="Times New Roman" w:cs="Times New Roman"/>
        </w:rPr>
        <w:t>.</w:t>
      </w:r>
      <w:r>
        <w:rPr>
          <w:rFonts w:ascii="Times New Roman" w:hAnsi="Times New Roman" w:cs="Times New Roman"/>
        </w:rPr>
        <w:t xml:space="preserve"> </w:t>
      </w:r>
    </w:p>
    <w:p w:rsidR="0005594A" w:rsidRDefault="0005594A" w:rsidP="0005594A">
      <w:pPr>
        <w:pStyle w:val="NoSpacing"/>
        <w:spacing w:line="360" w:lineRule="auto"/>
        <w:ind w:firstLine="720"/>
        <w:jc w:val="both"/>
        <w:rPr>
          <w:rFonts w:ascii="Times New Roman" w:hAnsi="Times New Roman" w:cs="Times New Roman"/>
        </w:rPr>
      </w:pPr>
      <w:r>
        <w:rPr>
          <w:rFonts w:ascii="Times New Roman" w:hAnsi="Times New Roman" w:cs="Times New Roman"/>
        </w:rPr>
        <w:t>The same idea of verifying if there is a significant seasonal variation in the residuals of the considered models is found in KKL (2014)</w:t>
      </w:r>
      <w:r w:rsidR="00784909">
        <w:rPr>
          <w:rFonts w:ascii="Times New Roman" w:hAnsi="Times New Roman" w:cs="Times New Roman"/>
        </w:rPr>
        <w:t>.</w:t>
      </w:r>
      <w:r>
        <w:rPr>
          <w:rFonts w:ascii="Times New Roman" w:hAnsi="Times New Roman" w:cs="Times New Roman"/>
        </w:rPr>
        <w:t xml:space="preserve"> </w:t>
      </w:r>
    </w:p>
    <w:p w:rsidR="0005594A" w:rsidRDefault="0005594A" w:rsidP="0005594A">
      <w:pPr>
        <w:rPr>
          <w:rFonts w:ascii="Times New Roman" w:hAnsi="Times New Roman" w:cs="Times New Roman"/>
          <w:b/>
          <w:sz w:val="24"/>
          <w:szCs w:val="24"/>
          <w:lang w:val="nl-NL"/>
        </w:rPr>
      </w:pPr>
    </w:p>
    <w:p w:rsidR="0005594A" w:rsidRDefault="00930C6E" w:rsidP="00027ADB">
      <w:pPr>
        <w:pStyle w:val="Heading3"/>
        <w:rPr>
          <w:lang w:val="nl-NL"/>
        </w:rPr>
      </w:pPr>
      <w:bookmarkStart w:id="37" w:name="_Toc396762705"/>
      <w:r>
        <w:rPr>
          <w:lang w:val="nl-NL"/>
        </w:rPr>
        <w:t>3.2.5</w:t>
      </w:r>
      <w:r w:rsidR="0005594A">
        <w:rPr>
          <w:lang w:val="nl-NL"/>
        </w:rPr>
        <w:t xml:space="preserve"> Testing the economic significance</w:t>
      </w:r>
      <w:bookmarkEnd w:id="37"/>
    </w:p>
    <w:p w:rsidR="00027ADB" w:rsidRPr="00027ADB" w:rsidRDefault="00027ADB" w:rsidP="00027ADB">
      <w:pPr>
        <w:rPr>
          <w:lang w:val="nl-NL"/>
        </w:rPr>
      </w:pPr>
    </w:p>
    <w:p w:rsidR="0005594A" w:rsidRDefault="00784909" w:rsidP="0005594A">
      <w:pPr>
        <w:spacing w:after="0" w:line="360" w:lineRule="auto"/>
        <w:ind w:firstLine="720"/>
        <w:jc w:val="both"/>
        <w:rPr>
          <w:rFonts w:ascii="Times New Roman" w:hAnsi="Times New Roman" w:cs="Times New Roman"/>
        </w:rPr>
      </w:pPr>
      <w:r>
        <w:rPr>
          <w:rFonts w:ascii="Times New Roman" w:hAnsi="Times New Roman" w:cs="Times New Roman"/>
        </w:rPr>
        <w:t>The method described in 3.2.2</w:t>
      </w:r>
      <w:r w:rsidR="0005594A">
        <w:rPr>
          <w:rFonts w:ascii="Times New Roman" w:hAnsi="Times New Roman" w:cs="Times New Roman"/>
        </w:rPr>
        <w:t xml:space="preserve"> is focused on the statistical</w:t>
      </w:r>
      <w:r w:rsidR="0005594A" w:rsidRPr="00DB60A9">
        <w:rPr>
          <w:rFonts w:ascii="Times New Roman" w:hAnsi="Times New Roman" w:cs="Times New Roman"/>
        </w:rPr>
        <w:t xml:space="preserve"> significance</w:t>
      </w:r>
      <w:r w:rsidR="0005594A">
        <w:rPr>
          <w:rFonts w:ascii="Times New Roman" w:hAnsi="Times New Roman" w:cs="Times New Roman"/>
        </w:rPr>
        <w:t xml:space="preserve"> of the calendar anomaly. This section covers the mean-variance analysis implemented in order to investigate</w:t>
      </w:r>
      <w:r w:rsidR="0005594A" w:rsidRPr="00DB60A9">
        <w:rPr>
          <w:rFonts w:ascii="Times New Roman" w:hAnsi="Times New Roman" w:cs="Times New Roman"/>
        </w:rPr>
        <w:t xml:space="preserve"> the economic significance of the seasonal pattern. </w:t>
      </w:r>
    </w:p>
    <w:p w:rsidR="0005594A" w:rsidRDefault="0005594A" w:rsidP="0005594A">
      <w:pPr>
        <w:spacing w:after="0" w:line="360" w:lineRule="auto"/>
        <w:ind w:firstLine="720"/>
        <w:jc w:val="both"/>
        <w:rPr>
          <w:rFonts w:ascii="Times New Roman" w:hAnsi="Times New Roman" w:cs="Times New Roman"/>
        </w:rPr>
      </w:pPr>
      <w:r w:rsidRPr="00DB60A9">
        <w:rPr>
          <w:rFonts w:ascii="Times New Roman" w:hAnsi="Times New Roman" w:cs="Times New Roman"/>
        </w:rPr>
        <w:lastRenderedPageBreak/>
        <w:t>The purpose of this metho</w:t>
      </w:r>
      <w:r>
        <w:rPr>
          <w:rFonts w:ascii="Times New Roman" w:hAnsi="Times New Roman" w:cs="Times New Roman"/>
        </w:rPr>
        <w:t>d is to analyse</w:t>
      </w:r>
      <w:r w:rsidRPr="00DB60A9">
        <w:rPr>
          <w:rFonts w:ascii="Times New Roman" w:hAnsi="Times New Roman" w:cs="Times New Roman"/>
        </w:rPr>
        <w:t xml:space="preserve"> if a trading strategy which exploits the discovered calendar anomaly is more profitable and less risky than a simple long strategy (</w:t>
      </w:r>
      <w:r>
        <w:rPr>
          <w:rFonts w:ascii="Times New Roman" w:hAnsi="Times New Roman" w:cs="Times New Roman"/>
        </w:rPr>
        <w:t xml:space="preserve">buy and hold strategy which constitutes the </w:t>
      </w:r>
      <w:r w:rsidRPr="00DB60A9">
        <w:rPr>
          <w:rFonts w:ascii="Times New Roman" w:hAnsi="Times New Roman" w:cs="Times New Roman"/>
        </w:rPr>
        <w:t xml:space="preserve">benchmark). </w:t>
      </w:r>
      <w:r>
        <w:rPr>
          <w:rFonts w:ascii="Times New Roman" w:hAnsi="Times New Roman" w:cs="Times New Roman"/>
        </w:rPr>
        <w:t xml:space="preserve">For this I define a Long-Short strategy which considers that the investor takes advantage of the observed seasonal pattern and thus buys the government bonds in July and holds them until the start of January when he takes a short position in his portfolio.  </w:t>
      </w:r>
    </w:p>
    <w:p w:rsidR="00FC2A7B"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For each strategy, I compute the excess returns as</w:t>
      </w:r>
      <w:r w:rsidR="00FC2A7B">
        <w:rPr>
          <w:rFonts w:ascii="Times New Roman" w:hAnsi="Times New Roman" w:cs="Times New Roman"/>
        </w:rPr>
        <w:t xml:space="preserve"> </w:t>
      </w:r>
    </w:p>
    <w:p w:rsidR="00FC2A7B" w:rsidRDefault="00FC2A7B" w:rsidP="0005594A">
      <w:pPr>
        <w:spacing w:after="0" w:line="360" w:lineRule="auto"/>
        <w:ind w:firstLine="720"/>
        <w:jc w:val="both"/>
        <w:rPr>
          <w:rFonts w:ascii="Times New Roman" w:hAnsi="Times New Roman" w:cs="Times New Roman"/>
        </w:rPr>
      </w:pPr>
    </w:p>
    <w:p w:rsidR="00FC2A7B"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Ex_r</m:t>
            </m:r>
          </m:e>
          <m:sub>
            <m:r>
              <w:rPr>
                <w:rFonts w:ascii="Cambria Math" w:hAnsi="Cambria Math" w:cs="Times New Roman"/>
              </w:rPr>
              <m:t>t</m:t>
            </m:r>
          </m:sub>
        </m:sSub>
        <m:r>
          <w:rPr>
            <w:rFonts w:ascii="Cambria Math" w:hAnsi="Cambria Math" w:cs="Times New Roman"/>
          </w:rPr>
          <m:t>=</m:t>
        </m:r>
        <m:d>
          <m:dPr>
            <m:ctrlPr>
              <w:rPr>
                <w:rFonts w:ascii="Cambria Math" w:hAnsi="Cambria Math" w:cs="Times New Roman"/>
                <w:i/>
              </w:rPr>
            </m:ctrlPr>
          </m:dPr>
          <m:e>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t-1</m:t>
                    </m:r>
                  </m:sub>
                </m:sSub>
              </m:num>
              <m:den>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t-1</m:t>
                    </m:r>
                  </m:sub>
                </m:sSub>
              </m:den>
            </m:f>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3M t-1</m:t>
                </m:r>
              </m:sub>
            </m:sSub>
          </m:e>
        </m:d>
      </m:oMath>
      <w:r>
        <w:rPr>
          <w:rFonts w:ascii="Times New Roman" w:hAnsi="Times New Roman" w:cs="Times New Roman"/>
        </w:rPr>
        <w:t xml:space="preserve">, </w:t>
      </w:r>
      <w:r w:rsidR="00FC2A7B">
        <w:rPr>
          <w:rFonts w:ascii="Times New Roman" w:hAnsi="Times New Roman" w:cs="Times New Roman"/>
        </w:rPr>
        <w:tab/>
      </w:r>
      <w:r w:rsidR="00FC2A7B">
        <w:rPr>
          <w:rFonts w:ascii="Times New Roman" w:hAnsi="Times New Roman" w:cs="Times New Roman"/>
        </w:rPr>
        <w:tab/>
        <w:t>(6)</w:t>
      </w:r>
    </w:p>
    <w:p w:rsidR="00FC2A7B" w:rsidRDefault="00FC2A7B" w:rsidP="0005594A">
      <w:pPr>
        <w:spacing w:after="0" w:line="360" w:lineRule="auto"/>
        <w:ind w:firstLine="720"/>
        <w:jc w:val="both"/>
        <w:rPr>
          <w:rFonts w:ascii="Times New Roman" w:hAnsi="Times New Roman" w:cs="Times New Roman"/>
        </w:rPr>
      </w:pPr>
    </w:p>
    <w:p w:rsidR="00FC2A7B" w:rsidRDefault="0005594A" w:rsidP="00FC2A7B">
      <w:pPr>
        <w:spacing w:after="0" w:line="360" w:lineRule="auto"/>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t</m:t>
            </m:r>
          </m:sub>
        </m:sSub>
      </m:oMath>
      <w:r>
        <w:rPr>
          <w:rFonts w:ascii="Times New Roman" w:hAnsi="Times New Roman" w:cs="Times New Roman"/>
        </w:rPr>
        <w:t xml:space="preserve"> is the bond index level for month t and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3M t-1</m:t>
            </m:r>
          </m:sub>
        </m:sSub>
      </m:oMath>
      <w:r>
        <w:rPr>
          <w:rFonts w:ascii="Times New Roman" w:hAnsi="Times New Roman" w:cs="Times New Roman"/>
        </w:rPr>
        <w:t xml:space="preserve"> is the three-month interest rate for the month t-1, for each leg and report the average for each period January-June or July-December. </w:t>
      </w:r>
    </w:p>
    <w:p w:rsidR="0005594A" w:rsidRDefault="0005594A" w:rsidP="00FC2A7B">
      <w:pPr>
        <w:spacing w:after="0" w:line="360" w:lineRule="auto"/>
        <w:ind w:firstLine="720"/>
        <w:jc w:val="both"/>
        <w:rPr>
          <w:rFonts w:ascii="Times New Roman" w:hAnsi="Times New Roman" w:cs="Times New Roman"/>
        </w:rPr>
      </w:pPr>
      <w:r>
        <w:rPr>
          <w:rFonts w:ascii="Times New Roman" w:hAnsi="Times New Roman" w:cs="Times New Roman"/>
        </w:rPr>
        <w:t xml:space="preserve">The excess return thus represents the percentage increase in the price of the constituent bonds over the three-month money market interest rate. This is </w:t>
      </w:r>
      <w:r w:rsidRPr="00DB60A9">
        <w:rPr>
          <w:rFonts w:ascii="Times New Roman" w:hAnsi="Times New Roman" w:cs="Times New Roman"/>
        </w:rPr>
        <w:t xml:space="preserve">consistent with a zero-investment strategy as the investor </w:t>
      </w:r>
      <w:r>
        <w:rPr>
          <w:rFonts w:ascii="Times New Roman" w:hAnsi="Times New Roman" w:cs="Times New Roman"/>
        </w:rPr>
        <w:t xml:space="preserve">could </w:t>
      </w:r>
      <w:r w:rsidRPr="00DB60A9">
        <w:rPr>
          <w:rFonts w:ascii="Times New Roman" w:hAnsi="Times New Roman" w:cs="Times New Roman"/>
        </w:rPr>
        <w:t xml:space="preserve">invest in the bond market </w:t>
      </w:r>
      <w:r>
        <w:rPr>
          <w:rFonts w:ascii="Times New Roman" w:hAnsi="Times New Roman" w:cs="Times New Roman"/>
        </w:rPr>
        <w:t xml:space="preserve">with the </w:t>
      </w:r>
      <w:r w:rsidRPr="00DB60A9">
        <w:rPr>
          <w:rFonts w:ascii="Times New Roman" w:hAnsi="Times New Roman" w:cs="Times New Roman"/>
        </w:rPr>
        <w:t>money</w:t>
      </w:r>
      <w:r>
        <w:rPr>
          <w:rFonts w:ascii="Times New Roman" w:hAnsi="Times New Roman" w:cs="Times New Roman"/>
        </w:rPr>
        <w:t xml:space="preserve"> borrowed</w:t>
      </w:r>
      <w:r w:rsidRPr="00DB60A9">
        <w:rPr>
          <w:rFonts w:ascii="Times New Roman" w:hAnsi="Times New Roman" w:cs="Times New Roman"/>
        </w:rPr>
        <w:t xml:space="preserve"> from </w:t>
      </w:r>
      <w:r>
        <w:rPr>
          <w:rFonts w:ascii="Times New Roman" w:hAnsi="Times New Roman" w:cs="Times New Roman"/>
        </w:rPr>
        <w:t xml:space="preserve">the </w:t>
      </w:r>
      <w:r w:rsidRPr="00DB60A9">
        <w:rPr>
          <w:rFonts w:ascii="Times New Roman" w:hAnsi="Times New Roman" w:cs="Times New Roman"/>
        </w:rPr>
        <w:t>money market.</w:t>
      </w:r>
    </w:p>
    <w:p w:rsidR="00FC2A7B"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For an investment, it is also important to look at how much the bond index changes through time. The standard deviation</w:t>
      </w:r>
      <w:r w:rsidR="00FC2A7B">
        <w:rPr>
          <w:rFonts w:ascii="Times New Roman" w:hAnsi="Times New Roman" w:cs="Times New Roman"/>
        </w:rPr>
        <w:t xml:space="preserve"> σ</w:t>
      </w:r>
      <w:r>
        <w:rPr>
          <w:rFonts w:ascii="Times New Roman" w:hAnsi="Times New Roman" w:cs="Times New Roman"/>
        </w:rPr>
        <w:t xml:space="preserve"> is </w:t>
      </w:r>
      <w:r w:rsidR="00FC2A7B">
        <w:rPr>
          <w:rFonts w:ascii="Times New Roman" w:hAnsi="Times New Roman" w:cs="Times New Roman"/>
        </w:rPr>
        <w:t xml:space="preserve">the measure which </w:t>
      </w:r>
      <w:r>
        <w:rPr>
          <w:rFonts w:ascii="Times New Roman" w:hAnsi="Times New Roman" w:cs="Times New Roman"/>
        </w:rPr>
        <w:t>captures the volatility and thus the risk profile of the asset</w:t>
      </w:r>
      <w:r w:rsidR="00FC2A7B">
        <w:rPr>
          <w:rFonts w:ascii="Times New Roman" w:hAnsi="Times New Roman" w:cs="Times New Roman"/>
        </w:rPr>
        <w:t xml:space="preserve">. </w:t>
      </w:r>
      <w:r>
        <w:rPr>
          <w:rFonts w:ascii="Times New Roman" w:hAnsi="Times New Roman" w:cs="Times New Roman"/>
        </w:rPr>
        <w:t xml:space="preserve"> </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The</w:t>
      </w:r>
      <w:r w:rsidR="00FC2A7B">
        <w:rPr>
          <w:rFonts w:ascii="Times New Roman" w:hAnsi="Times New Roman" w:cs="Times New Roman"/>
        </w:rPr>
        <w:t xml:space="preserve"> </w:t>
      </w:r>
      <w:r>
        <w:rPr>
          <w:rFonts w:ascii="Times New Roman" w:hAnsi="Times New Roman" w:cs="Times New Roman"/>
        </w:rPr>
        <w:t xml:space="preserve">information ratio (IR) indicator of Grinold and Kahn (2000) is then computed as a ratio between the excess returns and the standard deviation of excess returns (tracking error): </w:t>
      </w:r>
      <m:oMath>
        <m:r>
          <w:rPr>
            <w:rFonts w:ascii="Cambria Math" w:hAnsi="Cambria Math" w:cs="Times New Roman"/>
          </w:rPr>
          <m:t>IR=</m:t>
        </m:r>
        <m:f>
          <m:fPr>
            <m:ctrlPr>
              <w:rPr>
                <w:rFonts w:ascii="Cambria Math" w:hAnsi="Cambria Math" w:cs="Times New Roman"/>
                <w:i/>
              </w:rPr>
            </m:ctrlPr>
          </m:fPr>
          <m:num>
            <m:r>
              <w:rPr>
                <w:rFonts w:ascii="Cambria Math" w:hAnsi="Cambria Math" w:cs="Times New Roman"/>
              </w:rPr>
              <m:t>Ex_r</m:t>
            </m:r>
          </m:num>
          <m:den>
            <m:r>
              <w:rPr>
                <w:rFonts w:ascii="Cambria Math" w:hAnsi="Cambria Math" w:cs="Times New Roman"/>
              </w:rPr>
              <m:t>σ</m:t>
            </m:r>
          </m:den>
        </m:f>
        <m:r>
          <w:rPr>
            <w:rFonts w:ascii="Cambria Math" w:hAnsi="Cambria Math" w:cs="Times New Roman"/>
          </w:rPr>
          <m:t>*</m:t>
        </m:r>
        <m:rad>
          <m:radPr>
            <m:degHide m:val="on"/>
            <m:ctrlPr>
              <w:rPr>
                <w:rFonts w:ascii="Cambria Math" w:hAnsi="Cambria Math" w:cs="Times New Roman"/>
                <w:i/>
              </w:rPr>
            </m:ctrlPr>
          </m:radPr>
          <m:deg/>
          <m:e>
            <m:r>
              <w:rPr>
                <w:rFonts w:ascii="Cambria Math" w:hAnsi="Cambria Math" w:cs="Times New Roman"/>
              </w:rPr>
              <m:t>12</m:t>
            </m:r>
          </m:e>
        </m:rad>
        <m:r>
          <w:rPr>
            <w:rStyle w:val="FootnoteReference"/>
            <w:rFonts w:ascii="Cambria Math" w:hAnsi="Cambria Math" w:cs="Times New Roman"/>
            <w:i/>
          </w:rPr>
          <w:footnoteReference w:id="41"/>
        </m:r>
      </m:oMath>
      <w:r w:rsidR="00FC2A7B">
        <w:rPr>
          <w:rFonts w:ascii="Times New Roman" w:hAnsi="Times New Roman" w:cs="Times New Roman"/>
        </w:rPr>
        <w:t>.</w:t>
      </w:r>
      <w:r>
        <w:rPr>
          <w:rFonts w:ascii="Times New Roman" w:hAnsi="Times New Roman" w:cs="Times New Roman"/>
        </w:rPr>
        <w:t xml:space="preserve"> </w:t>
      </w:r>
      <w:r w:rsidR="00FC2A7B">
        <w:rPr>
          <w:rFonts w:ascii="Times New Roman" w:hAnsi="Times New Roman" w:cs="Times New Roman"/>
        </w:rPr>
        <w:t>Given that the benchmark rate is the risk-free rate in this case and that the volatility of risk-free rate is quite low, this</w:t>
      </w:r>
      <w:r>
        <w:rPr>
          <w:rFonts w:ascii="Times New Roman" w:hAnsi="Times New Roman" w:cs="Times New Roman"/>
        </w:rPr>
        <w:t xml:space="preserve"> measure </w:t>
      </w:r>
      <w:r w:rsidR="00FC2A7B">
        <w:rPr>
          <w:rFonts w:ascii="Times New Roman" w:hAnsi="Times New Roman" w:cs="Times New Roman"/>
        </w:rPr>
        <w:t>is similar to the Sharpe Ratio</w:t>
      </w:r>
      <w:r>
        <w:rPr>
          <w:rFonts w:ascii="Times New Roman" w:hAnsi="Times New Roman" w:cs="Times New Roman"/>
        </w:rPr>
        <w:t xml:space="preserve"> introduced by William Sharpe in 1966</w:t>
      </w:r>
      <w:r w:rsidR="00FC2A7B">
        <w:rPr>
          <w:rFonts w:ascii="Times New Roman" w:hAnsi="Times New Roman" w:cs="Times New Roman"/>
        </w:rPr>
        <w:t xml:space="preserve">. </w:t>
      </w:r>
      <w:r>
        <w:rPr>
          <w:rFonts w:ascii="Times New Roman" w:hAnsi="Times New Roman" w:cs="Times New Roman"/>
        </w:rPr>
        <w:t xml:space="preserve"> </w:t>
      </w:r>
      <w:r w:rsidR="00FC2A7B">
        <w:rPr>
          <w:rFonts w:ascii="Times New Roman" w:hAnsi="Times New Roman" w:cs="Times New Roman"/>
        </w:rPr>
        <w:t>T</w:t>
      </w:r>
      <w:r>
        <w:rPr>
          <w:rFonts w:ascii="Times New Roman" w:hAnsi="Times New Roman" w:cs="Times New Roman"/>
        </w:rPr>
        <w:t>he IR is often used for evaluating investments.</w:t>
      </w:r>
    </w:p>
    <w:p w:rsidR="0005594A" w:rsidRPr="00146C56"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The higher the Information</w:t>
      </w:r>
      <w:r w:rsidRPr="00F1052A">
        <w:rPr>
          <w:rFonts w:ascii="Times New Roman" w:hAnsi="Times New Roman" w:cs="Times New Roman"/>
        </w:rPr>
        <w:t xml:space="preserve"> ratio, the more compensation </w:t>
      </w:r>
      <w:r>
        <w:rPr>
          <w:rFonts w:ascii="Times New Roman" w:hAnsi="Times New Roman" w:cs="Times New Roman"/>
        </w:rPr>
        <w:t xml:space="preserve">the </w:t>
      </w:r>
      <w:r w:rsidRPr="00F1052A">
        <w:rPr>
          <w:rFonts w:ascii="Times New Roman" w:hAnsi="Times New Roman" w:cs="Times New Roman"/>
        </w:rPr>
        <w:t>investor receives per unit of risk</w:t>
      </w:r>
      <w:r w:rsidR="00FC2A7B">
        <w:rPr>
          <w:rFonts w:ascii="Times New Roman" w:hAnsi="Times New Roman" w:cs="Times New Roman"/>
        </w:rPr>
        <w:t>.</w:t>
      </w:r>
      <w:r>
        <w:rPr>
          <w:rFonts w:ascii="Times New Roman" w:hAnsi="Times New Roman" w:cs="Times New Roman"/>
        </w:rPr>
        <w:t xml:space="preserve"> I consider the following criterion that the best performing strategy is the one with the highest Information ratio.</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The calculations do not incorporate transaction costs. However, transaction costs should not be high given that the strategies imply only two transactions per year. Moreover, the markets are liquid and most countries have futures contracts to take positions.</w:t>
      </w:r>
    </w:p>
    <w:p w:rsidR="0005594A" w:rsidRDefault="0005594A" w:rsidP="0005594A">
      <w:pPr>
        <w:spacing w:after="0" w:line="360" w:lineRule="auto"/>
        <w:ind w:firstLine="720"/>
        <w:jc w:val="both"/>
        <w:rPr>
          <w:rFonts w:ascii="Times New Roman" w:hAnsi="Times New Roman" w:cs="Times New Roman"/>
        </w:rPr>
      </w:pPr>
      <w:r>
        <w:rPr>
          <w:rFonts w:ascii="Times New Roman" w:hAnsi="Times New Roman" w:cs="Times New Roman"/>
        </w:rPr>
        <w:t>In order to test if the returns of the strategies exploiting the seasonal pattern are statistically significant higher than the benchmark (buying and holding the government bond during the whole year), I run the following regression:</w:t>
      </w:r>
    </w:p>
    <w:p w:rsidR="00FC2A7B" w:rsidRDefault="00FC2A7B" w:rsidP="0005594A">
      <w:pPr>
        <w:spacing w:after="0" w:line="360" w:lineRule="auto"/>
        <w:ind w:firstLine="720"/>
        <w:jc w:val="both"/>
        <w:rPr>
          <w:rFonts w:ascii="Times New Roman" w:hAnsi="Times New Roman" w:cs="Times New Roman"/>
        </w:rPr>
      </w:pPr>
    </w:p>
    <w:p w:rsidR="0005594A" w:rsidRDefault="004C40A2" w:rsidP="0005594A">
      <w:pPr>
        <w:spacing w:after="0" w:line="360" w:lineRule="auto"/>
        <w:ind w:firstLine="720"/>
        <w:jc w:val="center"/>
        <w:rPr>
          <w:rFonts w:ascii="Times New Roman" w:hAnsi="Times New Roman" w:cs="Times New Roman"/>
        </w:rPr>
      </w:pPr>
      <m:oMath>
        <m:sSub>
          <m:sSubPr>
            <m:ctrlPr>
              <w:rPr>
                <w:rFonts w:ascii="Cambria Math" w:hAnsi="Cambria Math" w:cs="Times New Roman"/>
                <w:i/>
              </w:rPr>
            </m:ctrlPr>
          </m:sSubPr>
          <m:e>
            <m:r>
              <w:rPr>
                <w:rFonts w:ascii="Cambria Math" w:hAnsi="Cambria Math" w:cs="Times New Roman"/>
              </w:rPr>
              <m:t>Strat_Ex_r</m:t>
            </m:r>
          </m:e>
          <m:sub>
            <m:r>
              <w:rPr>
                <w:rFonts w:ascii="Cambria Math" w:hAnsi="Cambria Math" w:cs="Times New Roman"/>
              </w:rPr>
              <m:t>t</m:t>
            </m:r>
          </m:sub>
        </m:sSub>
        <m:r>
          <w:rPr>
            <w:rFonts w:ascii="Cambria Math" w:hAnsi="Cambria Math" w:cs="Times New Roman"/>
          </w:rPr>
          <m:t>=α+β</m:t>
        </m:r>
        <m:sSub>
          <m:sSubPr>
            <m:ctrlPr>
              <w:rPr>
                <w:rFonts w:ascii="Cambria Math" w:hAnsi="Cambria Math" w:cs="Times New Roman"/>
                <w:i/>
              </w:rPr>
            </m:ctrlPr>
          </m:sSubPr>
          <m:e>
            <m:r>
              <w:rPr>
                <w:rFonts w:ascii="Cambria Math" w:hAnsi="Cambria Math" w:cs="Times New Roman"/>
              </w:rPr>
              <m:t>Ex_r</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ε</m:t>
            </m:r>
          </m:e>
          <m:sub>
            <m:r>
              <w:rPr>
                <w:rFonts w:ascii="Cambria Math" w:hAnsi="Cambria Math" w:cs="Times New Roman"/>
              </w:rPr>
              <m:t>t</m:t>
            </m:r>
          </m:sub>
        </m:sSub>
      </m:oMath>
      <w:r w:rsidR="00937206">
        <w:rPr>
          <w:rFonts w:ascii="Times New Roman" w:hAnsi="Times New Roman" w:cs="Times New Roman"/>
        </w:rPr>
        <w:tab/>
      </w:r>
      <w:r w:rsidR="00937206">
        <w:rPr>
          <w:rFonts w:ascii="Times New Roman" w:hAnsi="Times New Roman" w:cs="Times New Roman"/>
        </w:rPr>
        <w:tab/>
        <w:t>(7</w:t>
      </w:r>
      <w:r w:rsidR="0005594A">
        <w:rPr>
          <w:rFonts w:ascii="Times New Roman" w:hAnsi="Times New Roman" w:cs="Times New Roman"/>
        </w:rPr>
        <w:t>)</w:t>
      </w:r>
    </w:p>
    <w:p w:rsidR="00FC2A7B" w:rsidRDefault="00FC2A7B" w:rsidP="0005594A">
      <w:pPr>
        <w:spacing w:after="0" w:line="360" w:lineRule="auto"/>
        <w:ind w:firstLine="720"/>
        <w:jc w:val="center"/>
        <w:rPr>
          <w:rFonts w:ascii="Times New Roman" w:hAnsi="Times New Roman" w:cs="Times New Roman"/>
        </w:rPr>
      </w:pPr>
    </w:p>
    <w:p w:rsidR="0005594A" w:rsidRDefault="0005594A" w:rsidP="0005594A">
      <w:pPr>
        <w:spacing w:after="0" w:line="360" w:lineRule="auto"/>
        <w:jc w:val="both"/>
        <w:rPr>
          <w:rFonts w:ascii="Times New Roman" w:hAnsi="Times New Roman" w:cs="Times New Roman"/>
        </w:rPr>
      </w:pPr>
      <w:r>
        <w:rPr>
          <w:rFonts w:ascii="Times New Roman" w:hAnsi="Times New Roman" w:cs="Times New Roman"/>
        </w:rPr>
        <w:t xml:space="preserve">where </w:t>
      </w:r>
      <m:oMath>
        <m:sSub>
          <m:sSubPr>
            <m:ctrlPr>
              <w:rPr>
                <w:rFonts w:ascii="Cambria Math" w:hAnsi="Cambria Math" w:cs="Times New Roman"/>
                <w:i/>
              </w:rPr>
            </m:ctrlPr>
          </m:sSubPr>
          <m:e>
            <m:r>
              <w:rPr>
                <w:rFonts w:ascii="Cambria Math" w:hAnsi="Cambria Math" w:cs="Times New Roman"/>
              </w:rPr>
              <m:t>Strat_Ex_r</m:t>
            </m:r>
          </m:e>
          <m:sub>
            <m:r>
              <w:rPr>
                <w:rFonts w:ascii="Cambria Math" w:hAnsi="Cambria Math" w:cs="Times New Roman"/>
              </w:rPr>
              <m:t>t</m:t>
            </m:r>
          </m:sub>
        </m:sSub>
      </m:oMath>
      <w:r>
        <w:rPr>
          <w:rFonts w:ascii="Times New Roman" w:hAnsi="Times New Roman" w:cs="Times New Roman"/>
        </w:rPr>
        <w:t xml:space="preserve"> is the excess return of the strategy which exploits the H1 H2 effect in month t and </w:t>
      </w:r>
      <m:oMath>
        <m:sSub>
          <m:sSubPr>
            <m:ctrlPr>
              <w:rPr>
                <w:rFonts w:ascii="Cambria Math" w:hAnsi="Cambria Math" w:cs="Times New Roman"/>
                <w:i/>
              </w:rPr>
            </m:ctrlPr>
          </m:sSubPr>
          <m:e>
            <m:r>
              <w:rPr>
                <w:rFonts w:ascii="Cambria Math" w:hAnsi="Cambria Math" w:cs="Times New Roman"/>
              </w:rPr>
              <m:t>Ex_r</m:t>
            </m:r>
          </m:e>
          <m:sub>
            <m:r>
              <w:rPr>
                <w:rFonts w:ascii="Cambria Math" w:hAnsi="Cambria Math" w:cs="Times New Roman"/>
              </w:rPr>
              <m:t>t</m:t>
            </m:r>
          </m:sub>
        </m:sSub>
      </m:oMath>
      <w:r>
        <w:rPr>
          <w:rFonts w:ascii="Times New Roman" w:hAnsi="Times New Roman" w:cs="Times New Roman"/>
        </w:rPr>
        <w:t xml:space="preserve"> is the excess return of the buy and hold strategy (benchmark), </w:t>
      </w:r>
    </w:p>
    <w:p w:rsidR="0005594A" w:rsidRDefault="0005594A" w:rsidP="0005594A">
      <w:pPr>
        <w:spacing w:after="0" w:line="360" w:lineRule="auto"/>
        <w:jc w:val="both"/>
        <w:rPr>
          <w:rFonts w:ascii="Times New Roman" w:hAnsi="Times New Roman" w:cs="Times New Roman"/>
        </w:rPr>
      </w:pPr>
      <w:r>
        <w:rPr>
          <w:rFonts w:ascii="Times New Roman" w:hAnsi="Times New Roman" w:cs="Times New Roman"/>
        </w:rPr>
        <w:tab/>
        <w:t xml:space="preserve">The defined strategy (Long-Short) outperforms the simple strategy of investing in the bond index of each country if the null hypothesis that </w:t>
      </w:r>
      <m:oMath>
        <m:r>
          <w:rPr>
            <w:rFonts w:ascii="Cambria Math" w:hAnsi="Cambria Math" w:cs="Times New Roman"/>
          </w:rPr>
          <m:t>α</m:t>
        </m:r>
      </m:oMath>
      <w:r>
        <w:rPr>
          <w:rFonts w:ascii="Times New Roman" w:hAnsi="Times New Roman" w:cs="Times New Roman"/>
        </w:rPr>
        <w:t xml:space="preserve"> coefficient (Jensen’s alpha) is zero is rejected</w:t>
      </w:r>
      <w:r w:rsidR="00937206">
        <w:rPr>
          <w:rFonts w:ascii="Times New Roman" w:hAnsi="Times New Roman" w:cs="Times New Roman"/>
        </w:rPr>
        <w:t xml:space="preserve"> and if </w:t>
      </w:r>
      <m:oMath>
        <m:r>
          <w:rPr>
            <w:rFonts w:ascii="Cambria Math" w:hAnsi="Cambria Math" w:cs="Times New Roman"/>
          </w:rPr>
          <m:t>α</m:t>
        </m:r>
      </m:oMath>
      <w:r w:rsidR="00937206">
        <w:rPr>
          <w:rFonts w:ascii="Times New Roman" w:hAnsi="Times New Roman" w:cs="Times New Roman"/>
        </w:rPr>
        <w:t xml:space="preserve"> is positive.</w:t>
      </w:r>
    </w:p>
    <w:p w:rsidR="0005594A" w:rsidRDefault="0005594A" w:rsidP="0005594A">
      <w:pPr>
        <w:spacing w:after="0" w:line="360" w:lineRule="auto"/>
        <w:jc w:val="both"/>
        <w:rPr>
          <w:rFonts w:ascii="Times New Roman" w:hAnsi="Times New Roman" w:cs="Times New Roman"/>
        </w:rPr>
      </w:pPr>
      <w:r>
        <w:rPr>
          <w:rFonts w:ascii="Times New Roman" w:hAnsi="Times New Roman" w:cs="Times New Roman"/>
        </w:rPr>
        <w:tab/>
        <w:t xml:space="preserve">The statistical significance and magnitude of </w:t>
      </w:r>
      <m:oMath>
        <m:r>
          <w:rPr>
            <w:rFonts w:ascii="Cambria Math" w:hAnsi="Cambria Math" w:cs="Times New Roman"/>
          </w:rPr>
          <m:t>β</m:t>
        </m:r>
      </m:oMath>
      <w:r>
        <w:rPr>
          <w:rFonts w:ascii="Times New Roman" w:hAnsi="Times New Roman" w:cs="Times New Roman"/>
        </w:rPr>
        <w:t xml:space="preserve"> is also important as </w:t>
      </w:r>
      <m:oMath>
        <m:r>
          <w:rPr>
            <w:rFonts w:ascii="Cambria Math" w:hAnsi="Cambria Math" w:cs="Times New Roman"/>
          </w:rPr>
          <m:t>β</m:t>
        </m:r>
      </m:oMath>
      <w:r>
        <w:rPr>
          <w:rFonts w:ascii="Times New Roman" w:hAnsi="Times New Roman" w:cs="Times New Roman"/>
        </w:rPr>
        <w:t xml:space="preserve"> measures the risks associated with the strategy compared to the risks when investing in the bond market. A </w:t>
      </w:r>
      <m:oMath>
        <m:r>
          <w:rPr>
            <w:rFonts w:ascii="Cambria Math" w:hAnsi="Cambria Math" w:cs="Times New Roman"/>
          </w:rPr>
          <m:t>β</m:t>
        </m:r>
      </m:oMath>
      <w:r>
        <w:rPr>
          <w:rFonts w:ascii="Times New Roman" w:hAnsi="Times New Roman" w:cs="Times New Roman"/>
        </w:rPr>
        <w:t xml:space="preserve"> equal to one hints that the strategy carries the same risks as when holding the government bonds of the country. In case the </w:t>
      </w:r>
      <m:oMath>
        <m:r>
          <w:rPr>
            <w:rFonts w:ascii="Cambria Math" w:hAnsi="Cambria Math" w:cs="Times New Roman"/>
          </w:rPr>
          <m:t>β</m:t>
        </m:r>
      </m:oMath>
      <w:r w:rsidR="00937206">
        <w:rPr>
          <w:rFonts w:ascii="Times New Roman" w:hAnsi="Times New Roman" w:cs="Times New Roman"/>
        </w:rPr>
        <w:t xml:space="preserve"> is smaller than 1</w:t>
      </w:r>
      <w:r>
        <w:rPr>
          <w:rFonts w:ascii="Times New Roman" w:hAnsi="Times New Roman" w:cs="Times New Roman"/>
        </w:rPr>
        <w:t xml:space="preserve">, </w:t>
      </w:r>
      <w:r w:rsidR="00937206">
        <w:rPr>
          <w:rFonts w:ascii="Times New Roman" w:hAnsi="Times New Roman" w:cs="Times New Roman"/>
        </w:rPr>
        <w:t xml:space="preserve">the correlation between the </w:t>
      </w:r>
      <w:r w:rsidRPr="000B3145">
        <w:rPr>
          <w:rFonts w:ascii="Times New Roman" w:hAnsi="Times New Roman" w:cs="Times New Roman"/>
        </w:rPr>
        <w:t>strateg</w:t>
      </w:r>
      <w:r>
        <w:rPr>
          <w:rFonts w:ascii="Times New Roman" w:hAnsi="Times New Roman" w:cs="Times New Roman"/>
        </w:rPr>
        <w:t xml:space="preserve">y </w:t>
      </w:r>
      <w:r w:rsidR="00937206">
        <w:rPr>
          <w:rFonts w:ascii="Times New Roman" w:hAnsi="Times New Roman" w:cs="Times New Roman"/>
        </w:rPr>
        <w:t xml:space="preserve">and the </w:t>
      </w:r>
      <w:r w:rsidRPr="000B3145">
        <w:rPr>
          <w:rFonts w:ascii="Times New Roman" w:hAnsi="Times New Roman" w:cs="Times New Roman"/>
        </w:rPr>
        <w:t>bond market portfolio</w:t>
      </w:r>
      <w:r w:rsidR="00937206">
        <w:rPr>
          <w:rFonts w:ascii="Times New Roman" w:hAnsi="Times New Roman" w:cs="Times New Roman"/>
        </w:rPr>
        <w:t xml:space="preserve"> is low</w:t>
      </w:r>
      <w:r>
        <w:rPr>
          <w:rFonts w:ascii="Times New Roman" w:hAnsi="Times New Roman" w:cs="Times New Roman"/>
        </w:rPr>
        <w:t xml:space="preserve">, therefore </w:t>
      </w:r>
      <w:r w:rsidRPr="000B3145">
        <w:rPr>
          <w:rFonts w:ascii="Times New Roman" w:hAnsi="Times New Roman" w:cs="Times New Roman"/>
        </w:rPr>
        <w:t>diversification benefits</w:t>
      </w:r>
      <w:r>
        <w:rPr>
          <w:rFonts w:ascii="Times New Roman" w:hAnsi="Times New Roman" w:cs="Times New Roman"/>
        </w:rPr>
        <w:t xml:space="preserve"> exist. </w:t>
      </w:r>
    </w:p>
    <w:p w:rsidR="00937206" w:rsidRDefault="00937206" w:rsidP="00153AC4"/>
    <w:p w:rsidR="00EE1A2A" w:rsidRDefault="00EE1A2A" w:rsidP="00737EEE">
      <w:pPr>
        <w:pStyle w:val="Heading1"/>
      </w:pPr>
      <w:bookmarkStart w:id="38" w:name="_Toc396762706"/>
      <w:r w:rsidRPr="00737EEE">
        <w:t>4.</w:t>
      </w:r>
      <w:r w:rsidRPr="00737EEE">
        <w:tab/>
        <w:t>Results</w:t>
      </w:r>
      <w:bookmarkEnd w:id="38"/>
    </w:p>
    <w:p w:rsidR="0005594A" w:rsidRDefault="0005594A" w:rsidP="0005594A"/>
    <w:p w:rsidR="00153AC4"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Chapter 4 tests for the seasonal patterns from the literature and documents a new pattern H1 H2 for bond returns</w:t>
      </w:r>
      <w:r>
        <w:rPr>
          <w:rStyle w:val="FootnoteReference"/>
          <w:rFonts w:ascii="Times New Roman" w:hAnsi="Times New Roman" w:cs="Times New Roman"/>
        </w:rPr>
        <w:footnoteReference w:id="42"/>
      </w:r>
      <w:r>
        <w:rPr>
          <w:rFonts w:ascii="Times New Roman" w:hAnsi="Times New Roman" w:cs="Times New Roman"/>
        </w:rPr>
        <w:t>. Accordingly, bond returns are higher during July-December compared to the ones recorded in January-June</w:t>
      </w:r>
      <w:r w:rsidR="00937206">
        <w:rPr>
          <w:rFonts w:ascii="Times New Roman" w:hAnsi="Times New Roman" w:cs="Times New Roman"/>
        </w:rPr>
        <w:t>, as documented in Section 4.1.1</w:t>
      </w:r>
      <w:r>
        <w:rPr>
          <w:rFonts w:ascii="Times New Roman" w:hAnsi="Times New Roman" w:cs="Times New Roman"/>
        </w:rPr>
        <w:t xml:space="preserve">. </w:t>
      </w:r>
      <w:r w:rsidR="00937206">
        <w:rPr>
          <w:rFonts w:ascii="Times New Roman" w:hAnsi="Times New Roman" w:cs="Times New Roman"/>
        </w:rPr>
        <w:t>Section 4.1.2 indicate</w:t>
      </w:r>
      <w:r w:rsidR="0067358F">
        <w:rPr>
          <w:rFonts w:ascii="Times New Roman" w:hAnsi="Times New Roman" w:cs="Times New Roman"/>
        </w:rPr>
        <w:t>s</w:t>
      </w:r>
      <w:r w:rsidR="00937206">
        <w:rPr>
          <w:rFonts w:ascii="Times New Roman" w:hAnsi="Times New Roman" w:cs="Times New Roman"/>
        </w:rPr>
        <w:t xml:space="preserve"> that the results are </w:t>
      </w:r>
      <w:r w:rsidR="0067358F">
        <w:rPr>
          <w:rFonts w:ascii="Times New Roman" w:hAnsi="Times New Roman" w:cs="Times New Roman"/>
        </w:rPr>
        <w:t>robust to outliers. According to the analysis from Section 4.2.1, t</w:t>
      </w:r>
      <w:r>
        <w:rPr>
          <w:rFonts w:ascii="Times New Roman" w:hAnsi="Times New Roman" w:cs="Times New Roman"/>
        </w:rPr>
        <w:t>he inflation rate displays the opposite pattern: higher inflation rates in the first half of the year compared to the second half. The seasonality in inflation rate explains the discovered H1 H2 effect of bond returns</w:t>
      </w:r>
      <w:r w:rsidR="0067358F">
        <w:rPr>
          <w:rFonts w:ascii="Times New Roman" w:hAnsi="Times New Roman" w:cs="Times New Roman"/>
        </w:rPr>
        <w:t>, as shown in Section 4.2.2</w:t>
      </w:r>
      <w:r>
        <w:rPr>
          <w:rFonts w:ascii="Times New Roman" w:hAnsi="Times New Roman" w:cs="Times New Roman"/>
        </w:rPr>
        <w:t xml:space="preserve">. </w:t>
      </w:r>
      <w:r w:rsidR="00153AC4">
        <w:rPr>
          <w:rFonts w:ascii="Times New Roman" w:hAnsi="Times New Roman" w:cs="Times New Roman"/>
        </w:rPr>
        <w:t>The finding from Section 4.3 that inflation-linked bond returns do not display seasonality support the inflation hypothesis.</w:t>
      </w:r>
    </w:p>
    <w:p w:rsidR="00153AC4" w:rsidRDefault="005A06CB" w:rsidP="00153AC4">
      <w:pPr>
        <w:spacing w:after="0" w:line="360" w:lineRule="auto"/>
        <w:ind w:firstLine="720"/>
        <w:jc w:val="both"/>
        <w:rPr>
          <w:rFonts w:ascii="Times New Roman" w:hAnsi="Times New Roman" w:cs="Times New Roman"/>
        </w:rPr>
      </w:pPr>
      <w:r>
        <w:rPr>
          <w:rFonts w:ascii="Times New Roman" w:hAnsi="Times New Roman" w:cs="Times New Roman"/>
        </w:rPr>
        <w:t>The SAD factor introduced by KKL</w:t>
      </w:r>
      <w:r w:rsidR="00786B69">
        <w:rPr>
          <w:rFonts w:ascii="Times New Roman" w:hAnsi="Times New Roman" w:cs="Times New Roman"/>
        </w:rPr>
        <w:t xml:space="preserve"> (2014)</w:t>
      </w:r>
      <w:r>
        <w:rPr>
          <w:rFonts w:ascii="Times New Roman" w:hAnsi="Times New Roman" w:cs="Times New Roman"/>
        </w:rPr>
        <w:t xml:space="preserve"> is important for the bond markets of the countries from which the data are gathered. </w:t>
      </w:r>
      <w:r w:rsidR="00153AC4">
        <w:rPr>
          <w:rFonts w:ascii="Times New Roman" w:hAnsi="Times New Roman" w:cs="Times New Roman"/>
        </w:rPr>
        <w:t>Section 4.4 indicates that the SAD variable</w:t>
      </w:r>
      <w:r>
        <w:rPr>
          <w:rFonts w:ascii="Times New Roman" w:hAnsi="Times New Roman" w:cs="Times New Roman"/>
        </w:rPr>
        <w:t xml:space="preserve"> </w:t>
      </w:r>
      <w:r w:rsidR="00153AC4">
        <w:rPr>
          <w:rFonts w:ascii="Times New Roman" w:hAnsi="Times New Roman" w:cs="Times New Roman"/>
        </w:rPr>
        <w:t>a</w:t>
      </w:r>
      <w:r>
        <w:rPr>
          <w:rFonts w:ascii="Times New Roman" w:hAnsi="Times New Roman" w:cs="Times New Roman"/>
        </w:rPr>
        <w:t xml:space="preserve">lso compensates for the noise in inflation and helps to remove the seasonality at monthly frequency, but fades away at quarterly frequency. </w:t>
      </w:r>
    </w:p>
    <w:p w:rsidR="005A06CB" w:rsidRDefault="005A06CB" w:rsidP="00153AC4">
      <w:pPr>
        <w:spacing w:after="0" w:line="360" w:lineRule="auto"/>
        <w:ind w:firstLine="720"/>
        <w:jc w:val="both"/>
        <w:rPr>
          <w:rFonts w:ascii="Times New Roman" w:hAnsi="Times New Roman" w:cs="Times New Roman"/>
        </w:rPr>
      </w:pPr>
      <w:r>
        <w:rPr>
          <w:rFonts w:ascii="Times New Roman" w:hAnsi="Times New Roman" w:cs="Times New Roman"/>
        </w:rPr>
        <w:t>Three hypotheses from the literature (an annual cycle of economic activity, time-varying optimism and macroe</w:t>
      </w:r>
      <w:r w:rsidR="00153AC4">
        <w:rPr>
          <w:rFonts w:ascii="Times New Roman" w:hAnsi="Times New Roman" w:cs="Times New Roman"/>
        </w:rPr>
        <w:t>conomic data surprises) are also</w:t>
      </w:r>
      <w:r>
        <w:rPr>
          <w:rFonts w:ascii="Times New Roman" w:hAnsi="Times New Roman" w:cs="Times New Roman"/>
        </w:rPr>
        <w:t xml:space="preserve"> analysed</w:t>
      </w:r>
      <w:r w:rsidR="00153AC4">
        <w:rPr>
          <w:rFonts w:ascii="Times New Roman" w:hAnsi="Times New Roman" w:cs="Times New Roman"/>
        </w:rPr>
        <w:t xml:space="preserve"> in Section 4.5</w:t>
      </w:r>
      <w:r>
        <w:rPr>
          <w:rFonts w:ascii="Times New Roman" w:hAnsi="Times New Roman" w:cs="Times New Roman"/>
        </w:rPr>
        <w:t>. The indicators used to capture the optimism of investors (Consumer Survey data and VIX) partly explain the seasonal variation in bond returns, while the other two are not valid for the considered bond markets.</w:t>
      </w:r>
    </w:p>
    <w:p w:rsidR="00153AC4" w:rsidRPr="008F6EDA" w:rsidRDefault="00153AC4" w:rsidP="00153AC4">
      <w:pPr>
        <w:spacing w:after="0" w:line="360" w:lineRule="auto"/>
        <w:ind w:firstLine="720"/>
        <w:jc w:val="both"/>
        <w:rPr>
          <w:rFonts w:ascii="Times New Roman" w:hAnsi="Times New Roman" w:cs="Times New Roman"/>
        </w:rPr>
      </w:pPr>
    </w:p>
    <w:p w:rsidR="005A06CB" w:rsidRDefault="005A06CB" w:rsidP="005A06CB">
      <w:pPr>
        <w:pStyle w:val="Heading2"/>
        <w:ind w:left="720" w:hanging="360"/>
        <w:rPr>
          <w:lang w:val="nl-NL"/>
        </w:rPr>
      </w:pPr>
      <w:bookmarkStart w:id="39" w:name="_Toc396762707"/>
      <w:r w:rsidRPr="00EB2E44">
        <w:rPr>
          <w:lang w:val="nl-NL"/>
        </w:rPr>
        <w:lastRenderedPageBreak/>
        <w:t>4.1</w:t>
      </w:r>
      <w:r w:rsidRPr="00A121AF">
        <w:t xml:space="preserve"> Seasonal</w:t>
      </w:r>
      <w:r w:rsidRPr="00CF1458">
        <w:t xml:space="preserve"> patterns</w:t>
      </w:r>
      <w:r>
        <w:rPr>
          <w:lang w:val="nl-NL"/>
        </w:rPr>
        <w:t xml:space="preserve"> in bond returns</w:t>
      </w:r>
      <w:bookmarkEnd w:id="39"/>
    </w:p>
    <w:p w:rsidR="00937206" w:rsidRPr="00937206" w:rsidRDefault="00937206" w:rsidP="00937206">
      <w:pPr>
        <w:rPr>
          <w:lang w:val="nl-NL"/>
        </w:rPr>
      </w:pPr>
    </w:p>
    <w:p w:rsidR="005A06CB" w:rsidRDefault="00937206" w:rsidP="00937206">
      <w:pPr>
        <w:pStyle w:val="Heading3"/>
        <w:rPr>
          <w:lang w:val="nl-NL"/>
        </w:rPr>
      </w:pPr>
      <w:bookmarkStart w:id="40" w:name="_Toc396762708"/>
      <w:r>
        <w:rPr>
          <w:lang w:val="nl-NL"/>
        </w:rPr>
        <w:t>4.1.1 Bond pattern dicovery</w:t>
      </w:r>
      <w:bookmarkEnd w:id="40"/>
    </w:p>
    <w:p w:rsidR="00937206" w:rsidRPr="00937206" w:rsidRDefault="00937206" w:rsidP="00937206">
      <w:pPr>
        <w:rPr>
          <w:lang w:val="nl-NL"/>
        </w:rPr>
      </w:pPr>
    </w:p>
    <w:p w:rsidR="005A06CB" w:rsidRPr="00786B69" w:rsidRDefault="005A06CB" w:rsidP="005A06CB">
      <w:pPr>
        <w:pStyle w:val="NoSpacing"/>
        <w:spacing w:line="360" w:lineRule="auto"/>
        <w:ind w:firstLine="720"/>
        <w:jc w:val="both"/>
        <w:rPr>
          <w:rFonts w:ascii="Times New Roman" w:hAnsi="Times New Roman" w:cs="Times New Roman"/>
        </w:rPr>
      </w:pPr>
      <w:r w:rsidRPr="00786B69">
        <w:rPr>
          <w:rFonts w:ascii="Times New Roman" w:hAnsi="Times New Roman" w:cs="Times New Roman"/>
        </w:rPr>
        <w:t xml:space="preserve">Figures 4.1 shows that </w:t>
      </w:r>
      <w:r w:rsidR="00786B69" w:rsidRPr="00786B69">
        <w:rPr>
          <w:rFonts w:ascii="Times New Roman" w:hAnsi="Times New Roman" w:cs="Times New Roman"/>
        </w:rPr>
        <w:t xml:space="preserve">the excess </w:t>
      </w:r>
      <w:r w:rsidRPr="00786B69">
        <w:rPr>
          <w:rFonts w:ascii="Times New Roman" w:hAnsi="Times New Roman" w:cs="Times New Roman"/>
        </w:rPr>
        <w:t>returns of government bonds from July-December generally outperform those recorded during January-June. In spite of the monthly noise, bond returns are higher in the second half of the year and lower in the first half of the year in all six co</w:t>
      </w:r>
      <w:r w:rsidR="00937206">
        <w:rPr>
          <w:rFonts w:ascii="Times New Roman" w:hAnsi="Times New Roman" w:cs="Times New Roman"/>
        </w:rPr>
        <w:t>untries. The difference is more pronounced</w:t>
      </w:r>
      <w:r w:rsidRPr="00786B69">
        <w:rPr>
          <w:rFonts w:ascii="Times New Roman" w:hAnsi="Times New Roman" w:cs="Times New Roman"/>
        </w:rPr>
        <w:t xml:space="preserve"> for the developed portfolio built as an equally weighted average of the existing countries</w:t>
      </w:r>
      <w:r w:rsidRPr="00786B69">
        <w:rPr>
          <w:rStyle w:val="FootnoteReference"/>
          <w:rFonts w:ascii="Times New Roman" w:hAnsi="Times New Roman" w:cs="Times New Roman"/>
        </w:rPr>
        <w:footnoteReference w:id="43"/>
      </w:r>
      <w:r w:rsidRPr="00786B69">
        <w:rPr>
          <w:rFonts w:ascii="Times New Roman" w:hAnsi="Times New Roman" w:cs="Times New Roman"/>
        </w:rPr>
        <w:t xml:space="preserve">. </w:t>
      </w:r>
    </w:p>
    <w:p w:rsidR="005A06CB" w:rsidRPr="008434EA" w:rsidRDefault="005A06CB" w:rsidP="008E191F">
      <w:pPr>
        <w:pStyle w:val="NoSpacing"/>
        <w:spacing w:after="120" w:line="360" w:lineRule="auto"/>
        <w:jc w:val="center"/>
        <w:rPr>
          <w:rFonts w:ascii="Times New Roman" w:hAnsi="Times New Roman" w:cs="Times New Roman"/>
        </w:rPr>
      </w:pPr>
      <w:r w:rsidRPr="008434EA">
        <w:rPr>
          <w:rFonts w:ascii="Times New Roman" w:hAnsi="Times New Roman" w:cs="Times New Roman"/>
        </w:rPr>
        <w:t xml:space="preserve">Figure </w:t>
      </w:r>
      <w:r>
        <w:rPr>
          <w:rFonts w:ascii="Times New Roman" w:hAnsi="Times New Roman" w:cs="Times New Roman"/>
        </w:rPr>
        <w:t>4.</w:t>
      </w:r>
      <w:r w:rsidRPr="008434EA">
        <w:rPr>
          <w:rFonts w:ascii="Times New Roman" w:hAnsi="Times New Roman" w:cs="Times New Roman"/>
        </w:rPr>
        <w:t>1: Monthly Average of Nominal Bond Excess Returns</w:t>
      </w:r>
    </w:p>
    <w:p w:rsidR="005A06CB" w:rsidRDefault="005A06CB" w:rsidP="005A06CB">
      <w:pPr>
        <w:rPr>
          <w:lang w:val="nl-NL"/>
        </w:rPr>
      </w:pPr>
      <w:r w:rsidRPr="009C0ABE">
        <w:rPr>
          <w:noProof/>
        </w:rPr>
        <w:drawing>
          <wp:inline distT="0" distB="0" distL="0" distR="0">
            <wp:extent cx="2962273" cy="2000243"/>
            <wp:effectExtent l="0" t="0" r="0" b="0"/>
            <wp:docPr id="30" name="Chart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sidRPr="009C0ABE">
        <w:rPr>
          <w:noProof/>
        </w:rPr>
        <w:drawing>
          <wp:inline distT="0" distB="0" distL="0" distR="0">
            <wp:extent cx="2962273" cy="2000243"/>
            <wp:effectExtent l="0" t="0" r="0"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5A06CB" w:rsidRDefault="005A06CB" w:rsidP="005A06CB">
      <w:pPr>
        <w:rPr>
          <w:lang w:val="nl-NL"/>
        </w:rPr>
      </w:pPr>
      <w:r w:rsidRPr="009C0ABE">
        <w:rPr>
          <w:noProof/>
        </w:rPr>
        <w:drawing>
          <wp:inline distT="0" distB="0" distL="0" distR="0">
            <wp:extent cx="2962273" cy="2000243"/>
            <wp:effectExtent l="0" t="0" r="0" b="0"/>
            <wp:docPr id="36" name="Chart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sidRPr="009C0ABE">
        <w:rPr>
          <w:noProof/>
        </w:rPr>
        <w:drawing>
          <wp:inline distT="0" distB="0" distL="0" distR="0">
            <wp:extent cx="2962273" cy="2000243"/>
            <wp:effectExtent l="0" t="0" r="0" b="0"/>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A06CB" w:rsidRDefault="005A06CB" w:rsidP="005A06CB">
      <w:pPr>
        <w:rPr>
          <w:lang w:val="nl-NL"/>
        </w:rPr>
      </w:pPr>
      <w:r w:rsidRPr="009C0ABE">
        <w:rPr>
          <w:noProof/>
        </w:rPr>
        <w:lastRenderedPageBreak/>
        <w:drawing>
          <wp:inline distT="0" distB="0" distL="0" distR="0">
            <wp:extent cx="2962273" cy="2000243"/>
            <wp:effectExtent l="0" t="0" r="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Pr="009C0ABE">
        <w:rPr>
          <w:noProof/>
        </w:rPr>
        <w:drawing>
          <wp:inline distT="0" distB="0" distL="0" distR="0">
            <wp:extent cx="2962273" cy="2000243"/>
            <wp:effectExtent l="0" t="0" r="0"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5A06CB" w:rsidRDefault="005A06CB" w:rsidP="005A06CB">
      <w:pPr>
        <w:jc w:val="center"/>
        <w:rPr>
          <w:lang w:val="nl-NL"/>
        </w:rPr>
      </w:pPr>
      <w:r w:rsidRPr="009C0ABE">
        <w:rPr>
          <w:noProof/>
        </w:rPr>
        <w:drawing>
          <wp:inline distT="0" distB="0" distL="0" distR="0">
            <wp:extent cx="2962273" cy="2000243"/>
            <wp:effectExtent l="0" t="0" r="0" b="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5A06CB" w:rsidRPr="00A44AC9" w:rsidRDefault="005A06CB" w:rsidP="005A06CB">
      <w:pPr>
        <w:pStyle w:val="NoSpacing"/>
        <w:jc w:val="both"/>
        <w:rPr>
          <w:rFonts w:ascii="Times New Roman" w:hAnsi="Times New Roman" w:cs="Times New Roman"/>
          <w:sz w:val="18"/>
          <w:szCs w:val="18"/>
        </w:rPr>
      </w:pPr>
      <w:r w:rsidRPr="00A44AC9">
        <w:rPr>
          <w:rFonts w:ascii="Times New Roman" w:hAnsi="Times New Roman" w:cs="Times New Roman"/>
          <w:i/>
          <w:sz w:val="18"/>
          <w:szCs w:val="18"/>
        </w:rPr>
        <w:t>Notes</w:t>
      </w:r>
      <w:r w:rsidRPr="00A44AC9">
        <w:rPr>
          <w:rFonts w:ascii="Times New Roman" w:hAnsi="Times New Roman" w:cs="Times New Roman"/>
          <w:sz w:val="18"/>
          <w:szCs w:val="18"/>
        </w:rPr>
        <w:t>: The graphs depict the average of nominal bond excess returns constructed from Datastream indices for each calendar month</w:t>
      </w:r>
      <w:r>
        <w:rPr>
          <w:rFonts w:ascii="Times New Roman" w:hAnsi="Times New Roman" w:cs="Times New Roman"/>
          <w:sz w:val="18"/>
          <w:szCs w:val="18"/>
        </w:rPr>
        <w:t xml:space="preserve"> for the considered countries and the Developed portfolio. </w:t>
      </w:r>
      <w:r w:rsidRPr="00A44AC9">
        <w:rPr>
          <w:rFonts w:ascii="Times New Roman" w:hAnsi="Times New Roman" w:cs="Times New Roman"/>
          <w:sz w:val="18"/>
          <w:szCs w:val="18"/>
        </w:rPr>
        <w:t xml:space="preserve">The sample period covered for each country is shown in Table </w:t>
      </w:r>
      <w:r w:rsidR="008E191F">
        <w:rPr>
          <w:rFonts w:ascii="Times New Roman" w:hAnsi="Times New Roman" w:cs="Times New Roman"/>
          <w:sz w:val="18"/>
          <w:szCs w:val="18"/>
        </w:rPr>
        <w:t>3.</w:t>
      </w:r>
      <w:r w:rsidRPr="00A44AC9">
        <w:rPr>
          <w:rFonts w:ascii="Times New Roman" w:hAnsi="Times New Roman" w:cs="Times New Roman"/>
          <w:sz w:val="18"/>
          <w:szCs w:val="18"/>
        </w:rPr>
        <w:t xml:space="preserve">1. The </w:t>
      </w:r>
      <w:r w:rsidR="008E5EC0">
        <w:rPr>
          <w:rFonts w:ascii="Times New Roman" w:hAnsi="Times New Roman" w:cs="Times New Roman"/>
          <w:sz w:val="18"/>
          <w:szCs w:val="18"/>
        </w:rPr>
        <w:t>Developed</w:t>
      </w:r>
      <w:r w:rsidRPr="00A44AC9">
        <w:rPr>
          <w:rFonts w:ascii="Times New Roman" w:hAnsi="Times New Roman" w:cs="Times New Roman"/>
          <w:sz w:val="18"/>
          <w:szCs w:val="18"/>
        </w:rPr>
        <w:t xml:space="preserve"> portfolio is based on equally weighting</w:t>
      </w:r>
      <w:r w:rsidR="00786B69">
        <w:rPr>
          <w:rFonts w:ascii="Times New Roman" w:hAnsi="Times New Roman" w:cs="Times New Roman"/>
          <w:sz w:val="18"/>
          <w:szCs w:val="18"/>
        </w:rPr>
        <w:t xml:space="preserve"> the six countries provided data are available</w:t>
      </w:r>
      <w:r w:rsidRPr="00A44AC9">
        <w:rPr>
          <w:rFonts w:ascii="Times New Roman" w:hAnsi="Times New Roman" w:cs="Times New Roman"/>
          <w:sz w:val="18"/>
          <w:szCs w:val="18"/>
        </w:rPr>
        <w:t xml:space="preserve">. </w:t>
      </w:r>
    </w:p>
    <w:p w:rsidR="005A06CB" w:rsidRDefault="005A06CB" w:rsidP="005A06CB">
      <w:pPr>
        <w:jc w:val="both"/>
        <w:rPr>
          <w:lang w:val="nl-NL"/>
        </w:rPr>
      </w:pPr>
    </w:p>
    <w:p w:rsidR="005A06CB" w:rsidRDefault="00F40DAA" w:rsidP="005A06CB">
      <w:pPr>
        <w:spacing w:after="0" w:line="360" w:lineRule="auto"/>
        <w:ind w:firstLine="720"/>
        <w:jc w:val="both"/>
        <w:rPr>
          <w:rFonts w:ascii="Times New Roman" w:hAnsi="Times New Roman" w:cs="Times New Roman"/>
        </w:rPr>
      </w:pPr>
      <w:r>
        <w:rPr>
          <w:rFonts w:ascii="Times New Roman" w:hAnsi="Times New Roman" w:cs="Times New Roman"/>
          <w:lang w:val="nl-NL"/>
        </w:rPr>
        <w:t>The calculations i</w:t>
      </w:r>
      <w:r w:rsidR="005A06CB">
        <w:rPr>
          <w:rFonts w:ascii="Times New Roman" w:hAnsi="Times New Roman" w:cs="Times New Roman"/>
          <w:lang w:val="nl-NL"/>
        </w:rPr>
        <w:t xml:space="preserve">n Table 4.1 confirm the pattern observed on the graphs. Nominal government bonds have higher returns in the second half of the year (H2) compared to the first one (H1) for all six markets. </w:t>
      </w:r>
      <w:r w:rsidR="005A06CB">
        <w:rPr>
          <w:rFonts w:ascii="Times New Roman" w:hAnsi="Times New Roman" w:cs="Times New Roman"/>
        </w:rPr>
        <w:t xml:space="preserve">With the exception of Japan, bond returns are </w:t>
      </w:r>
      <w:r>
        <w:rPr>
          <w:rFonts w:ascii="Times New Roman" w:hAnsi="Times New Roman" w:cs="Times New Roman"/>
        </w:rPr>
        <w:t>close to zero</w:t>
      </w:r>
      <w:r w:rsidR="005A06CB">
        <w:rPr>
          <w:rFonts w:ascii="Times New Roman" w:hAnsi="Times New Roman" w:cs="Times New Roman"/>
        </w:rPr>
        <w:t xml:space="preserve"> or slightly negative in the first half of the year (H1), while</w:t>
      </w:r>
      <w:r>
        <w:rPr>
          <w:rFonts w:ascii="Times New Roman" w:hAnsi="Times New Roman" w:cs="Times New Roman"/>
        </w:rPr>
        <w:t xml:space="preserve"> annualised</w:t>
      </w:r>
      <w:r w:rsidR="005A06CB">
        <w:rPr>
          <w:rFonts w:ascii="Times New Roman" w:hAnsi="Times New Roman" w:cs="Times New Roman"/>
        </w:rPr>
        <w:t xml:space="preserve"> returns during July-December range between 3.13% and 5.43%</w:t>
      </w:r>
      <w:r w:rsidR="00786B69">
        <w:rPr>
          <w:rFonts w:ascii="Times New Roman" w:hAnsi="Times New Roman" w:cs="Times New Roman"/>
        </w:rPr>
        <w:t xml:space="preserve"> </w:t>
      </w:r>
      <w:r w:rsidR="005A06CB">
        <w:rPr>
          <w:rFonts w:ascii="Times New Roman" w:hAnsi="Times New Roman" w:cs="Times New Roman"/>
        </w:rPr>
        <w:t>.</w:t>
      </w:r>
    </w:p>
    <w:p w:rsidR="005A06CB" w:rsidRDefault="005A06CB" w:rsidP="005A06CB">
      <w:pPr>
        <w:spacing w:after="0" w:line="360" w:lineRule="auto"/>
        <w:ind w:firstLine="720"/>
        <w:jc w:val="both"/>
        <w:rPr>
          <w:lang w:val="nl-NL"/>
        </w:rPr>
      </w:pPr>
    </w:p>
    <w:p w:rsidR="005A06CB" w:rsidRPr="008E191F" w:rsidRDefault="005A06CB" w:rsidP="008E191F">
      <w:pPr>
        <w:pStyle w:val="NoSpacing"/>
        <w:spacing w:after="120" w:line="360" w:lineRule="auto"/>
        <w:jc w:val="center"/>
        <w:rPr>
          <w:rFonts w:ascii="Times New Roman" w:hAnsi="Times New Roman" w:cs="Times New Roman"/>
        </w:rPr>
      </w:pPr>
      <w:r w:rsidRPr="008E191F">
        <w:rPr>
          <w:rFonts w:ascii="Times New Roman" w:hAnsi="Times New Roman" w:cs="Times New Roman"/>
        </w:rPr>
        <w:t>Table 4.1: Economic Importance</w:t>
      </w:r>
    </w:p>
    <w:tbl>
      <w:tblPr>
        <w:tblW w:w="5100" w:type="dxa"/>
        <w:jc w:val="center"/>
        <w:tblInd w:w="98" w:type="dxa"/>
        <w:tblLook w:val="04A0"/>
      </w:tblPr>
      <w:tblGrid>
        <w:gridCol w:w="2180"/>
        <w:gridCol w:w="1200"/>
        <w:gridCol w:w="1720"/>
      </w:tblGrid>
      <w:tr w:rsidR="005A06CB" w:rsidRPr="006C6E62" w:rsidTr="00D0485F">
        <w:trPr>
          <w:trHeight w:val="300"/>
          <w:jc w:val="center"/>
        </w:trPr>
        <w:tc>
          <w:tcPr>
            <w:tcW w:w="2180" w:type="dxa"/>
            <w:vMerge w:val="restart"/>
            <w:tcBorders>
              <w:top w:val="single" w:sz="4" w:space="0" w:color="auto"/>
              <w:left w:val="nil"/>
              <w:bottom w:val="single" w:sz="4" w:space="0" w:color="000000"/>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Country</w:t>
            </w:r>
          </w:p>
        </w:tc>
        <w:tc>
          <w:tcPr>
            <w:tcW w:w="2920" w:type="dxa"/>
            <w:gridSpan w:val="2"/>
            <w:tcBorders>
              <w:top w:val="single" w:sz="4" w:space="0" w:color="auto"/>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Nominal Bond Excess Returns</w:t>
            </w:r>
          </w:p>
        </w:tc>
      </w:tr>
      <w:tr w:rsidR="005A06CB" w:rsidRPr="006C6E62" w:rsidTr="00D0485F">
        <w:trPr>
          <w:trHeight w:val="300"/>
          <w:jc w:val="center"/>
        </w:trPr>
        <w:tc>
          <w:tcPr>
            <w:tcW w:w="2180" w:type="dxa"/>
            <w:vMerge/>
            <w:tcBorders>
              <w:top w:val="single" w:sz="4" w:space="0" w:color="auto"/>
              <w:left w:val="nil"/>
              <w:bottom w:val="single" w:sz="4" w:space="0" w:color="000000"/>
              <w:right w:val="nil"/>
            </w:tcBorders>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200" w:type="dxa"/>
            <w:tcBorders>
              <w:top w:val="nil"/>
              <w:left w:val="nil"/>
              <w:bottom w:val="single" w:sz="4" w:space="0" w:color="auto"/>
              <w:right w:val="nil"/>
            </w:tcBorders>
            <w:shd w:val="clear" w:color="auto" w:fill="auto"/>
            <w:noWrap/>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lang w:val="en-GB" w:eastAsia="en-GB"/>
              </w:rPr>
            </w:pPr>
            <w:r w:rsidRPr="006C6E62">
              <w:rPr>
                <w:rFonts w:ascii="Times New Roman" w:eastAsia="Times New Roman" w:hAnsi="Times New Roman" w:cs="Times New Roman"/>
                <w:color w:val="000000"/>
                <w:lang w:val="en-GB" w:eastAsia="en-GB"/>
              </w:rPr>
              <w:t>H1</w:t>
            </w:r>
          </w:p>
        </w:tc>
        <w:tc>
          <w:tcPr>
            <w:tcW w:w="1720" w:type="dxa"/>
            <w:tcBorders>
              <w:top w:val="nil"/>
              <w:left w:val="nil"/>
              <w:bottom w:val="single" w:sz="4" w:space="0" w:color="auto"/>
              <w:right w:val="nil"/>
            </w:tcBorders>
            <w:shd w:val="clear" w:color="auto" w:fill="auto"/>
            <w:noWrap/>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lang w:val="en-GB" w:eastAsia="en-GB"/>
              </w:rPr>
            </w:pPr>
            <w:r w:rsidRPr="006C6E62">
              <w:rPr>
                <w:rFonts w:ascii="Times New Roman" w:eastAsia="Times New Roman" w:hAnsi="Times New Roman" w:cs="Times New Roman"/>
                <w:color w:val="000000"/>
                <w:lang w:val="en-GB" w:eastAsia="en-GB"/>
              </w:rPr>
              <w:t>H2</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Australia</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0.26%</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3.83%</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Canada</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0.72%</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5.24%</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Germany</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-0.06%</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3.68%</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 xml:space="preserve">Japan </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1.15%</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3.44%</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United Kingdom</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-0.77%</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4.63%</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United States</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0.31%</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5.43%</w:t>
            </w:r>
          </w:p>
        </w:tc>
      </w:tr>
      <w:tr w:rsidR="005A06CB" w:rsidRPr="006C6E62"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lastRenderedPageBreak/>
              <w:t>Developed</w:t>
            </w:r>
            <w:r w:rsidR="00786B69">
              <w:rPr>
                <w:rFonts w:ascii="Times New Roman" w:eastAsia="Times New Roman" w:hAnsi="Times New Roman" w:cs="Times New Roman"/>
                <w:color w:val="000000"/>
                <w:sz w:val="20"/>
                <w:szCs w:val="20"/>
                <w:lang w:val="en-GB" w:eastAsia="en-GB"/>
              </w:rPr>
              <w:t xml:space="preserve"> (6)</w:t>
            </w:r>
            <w:r w:rsidRPr="006C6E62">
              <w:rPr>
                <w:rFonts w:ascii="Times New Roman" w:eastAsia="Times New Roman" w:hAnsi="Times New Roman" w:cs="Times New Roman"/>
                <w:color w:val="000000"/>
                <w:sz w:val="20"/>
                <w:szCs w:val="20"/>
                <w:lang w:val="en-GB" w:eastAsia="en-GB"/>
              </w:rPr>
              <w:t xml:space="preserve"> </w:t>
            </w:r>
          </w:p>
        </w:tc>
        <w:tc>
          <w:tcPr>
            <w:tcW w:w="120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0.14%</w:t>
            </w:r>
          </w:p>
        </w:tc>
        <w:tc>
          <w:tcPr>
            <w:tcW w:w="1720" w:type="dxa"/>
            <w:tcBorders>
              <w:top w:val="nil"/>
              <w:left w:val="nil"/>
              <w:bottom w:val="nil"/>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4.00%</w:t>
            </w:r>
          </w:p>
        </w:tc>
      </w:tr>
      <w:tr w:rsidR="005A06CB" w:rsidRPr="006C6E62" w:rsidTr="00D0485F">
        <w:trPr>
          <w:trHeight w:val="300"/>
          <w:jc w:val="center"/>
        </w:trPr>
        <w:tc>
          <w:tcPr>
            <w:tcW w:w="2180" w:type="dxa"/>
            <w:tcBorders>
              <w:top w:val="nil"/>
              <w:left w:val="nil"/>
              <w:bottom w:val="single" w:sz="4" w:space="0" w:color="auto"/>
              <w:right w:val="nil"/>
            </w:tcBorders>
            <w:shd w:val="clear" w:color="auto" w:fill="auto"/>
            <w:noWrap/>
            <w:vAlign w:val="center"/>
            <w:hideMark/>
          </w:tcPr>
          <w:p w:rsidR="005A06CB" w:rsidRPr="006C6E62" w:rsidRDefault="005A06CB" w:rsidP="00D0485F">
            <w:pPr>
              <w:spacing w:after="0" w:line="240" w:lineRule="auto"/>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US CRSP Universe</w:t>
            </w:r>
          </w:p>
        </w:tc>
        <w:tc>
          <w:tcPr>
            <w:tcW w:w="1200" w:type="dxa"/>
            <w:tcBorders>
              <w:top w:val="nil"/>
              <w:left w:val="nil"/>
              <w:bottom w:val="single" w:sz="4" w:space="0" w:color="auto"/>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0.13%</w:t>
            </w:r>
          </w:p>
        </w:tc>
        <w:tc>
          <w:tcPr>
            <w:tcW w:w="1720" w:type="dxa"/>
            <w:tcBorders>
              <w:top w:val="nil"/>
              <w:left w:val="nil"/>
              <w:bottom w:val="single" w:sz="4" w:space="0" w:color="auto"/>
              <w:right w:val="nil"/>
            </w:tcBorders>
            <w:shd w:val="clear" w:color="auto" w:fill="auto"/>
            <w:vAlign w:val="center"/>
            <w:hideMark/>
          </w:tcPr>
          <w:p w:rsidR="005A06CB" w:rsidRPr="006C6E62"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6C6E62">
              <w:rPr>
                <w:rFonts w:ascii="Times New Roman" w:eastAsia="Times New Roman" w:hAnsi="Times New Roman" w:cs="Times New Roman"/>
                <w:color w:val="000000"/>
                <w:sz w:val="20"/>
                <w:szCs w:val="20"/>
                <w:lang w:val="en-GB" w:eastAsia="en-GB"/>
              </w:rPr>
              <w:t>3.13%</w:t>
            </w:r>
          </w:p>
        </w:tc>
      </w:tr>
    </w:tbl>
    <w:p w:rsidR="005A06CB" w:rsidRDefault="005A06CB" w:rsidP="005A06CB">
      <w:pPr>
        <w:pStyle w:val="NoSpacing"/>
        <w:jc w:val="both"/>
        <w:rPr>
          <w:rFonts w:ascii="Times New Roman" w:hAnsi="Times New Roman" w:cs="Times New Roman"/>
          <w:sz w:val="18"/>
          <w:szCs w:val="18"/>
        </w:rPr>
      </w:pPr>
      <w:r w:rsidRPr="006C0856">
        <w:rPr>
          <w:rFonts w:ascii="Times New Roman" w:hAnsi="Times New Roman" w:cs="Times New Roman"/>
          <w:i/>
          <w:sz w:val="18"/>
          <w:szCs w:val="18"/>
          <w:lang w:val="en-GB"/>
        </w:rPr>
        <w:t>Notes</w:t>
      </w:r>
      <w:r w:rsidRPr="00A121AF">
        <w:rPr>
          <w:rFonts w:ascii="Times New Roman" w:hAnsi="Times New Roman" w:cs="Times New Roman"/>
          <w:sz w:val="18"/>
          <w:szCs w:val="18"/>
          <w:lang w:val="nl-NL"/>
        </w:rPr>
        <w:t>: The</w:t>
      </w:r>
      <w:r w:rsidRPr="00A121AF">
        <w:rPr>
          <w:rFonts w:ascii="Times New Roman" w:hAnsi="Times New Roman" w:cs="Times New Roman"/>
          <w:sz w:val="18"/>
          <w:szCs w:val="18"/>
        </w:rPr>
        <w:t xml:space="preserve"> table reports</w:t>
      </w:r>
      <w:r w:rsidRPr="00A121AF">
        <w:rPr>
          <w:rFonts w:ascii="Times New Roman" w:hAnsi="Times New Roman" w:cs="Times New Roman"/>
          <w:sz w:val="18"/>
          <w:szCs w:val="18"/>
          <w:lang w:val="nl-NL"/>
        </w:rPr>
        <w:t xml:space="preserve"> the</w:t>
      </w:r>
      <w:r w:rsidRPr="00A121AF">
        <w:rPr>
          <w:rFonts w:ascii="Times New Roman" w:hAnsi="Times New Roman" w:cs="Times New Roman"/>
          <w:sz w:val="18"/>
          <w:szCs w:val="18"/>
        </w:rPr>
        <w:t xml:space="preserve"> </w:t>
      </w:r>
      <w:r w:rsidR="00786B69">
        <w:rPr>
          <w:rFonts w:ascii="Times New Roman" w:hAnsi="Times New Roman" w:cs="Times New Roman"/>
          <w:sz w:val="18"/>
          <w:szCs w:val="18"/>
        </w:rPr>
        <w:t>annualis</w:t>
      </w:r>
      <w:r>
        <w:rPr>
          <w:rFonts w:ascii="Times New Roman" w:hAnsi="Times New Roman" w:cs="Times New Roman"/>
          <w:sz w:val="18"/>
          <w:szCs w:val="18"/>
        </w:rPr>
        <w:t xml:space="preserve">ed average bond excess returns January - June (H1) and July-December (H2) for the samples mentioned in Table 3.1. Average nominal bond excess returns are calculated based on Datastream Bond Indices with the exception of US CRSP Universe which represents the equally-weighted portfolio of US Treasuries with maturities of 1Y, 2Y, 5Y, 10Y, 20Y and 30Y downloaded from CRSP Database. </w:t>
      </w:r>
      <w:r w:rsidRPr="00BC58A3">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Pr="00BC58A3">
        <w:rPr>
          <w:rFonts w:ascii="Times New Roman" w:hAnsi="Times New Roman" w:cs="Times New Roman"/>
          <w:sz w:val="18"/>
          <w:szCs w:val="18"/>
        </w:rPr>
        <w:t xml:space="preserve"> portfolio is based on equally weighting the six countries </w:t>
      </w:r>
      <w:r w:rsidR="00786B69">
        <w:rPr>
          <w:rFonts w:ascii="Times New Roman" w:hAnsi="Times New Roman" w:cs="Times New Roman"/>
          <w:sz w:val="18"/>
          <w:szCs w:val="18"/>
        </w:rPr>
        <w:t xml:space="preserve">provided data are </w:t>
      </w:r>
      <w:r>
        <w:rPr>
          <w:rFonts w:ascii="Times New Roman" w:hAnsi="Times New Roman" w:cs="Times New Roman"/>
          <w:sz w:val="18"/>
          <w:szCs w:val="18"/>
        </w:rPr>
        <w:t>available</w:t>
      </w:r>
      <w:r w:rsidRPr="00BC58A3">
        <w:rPr>
          <w:rFonts w:ascii="Times New Roman" w:hAnsi="Times New Roman" w:cs="Times New Roman"/>
          <w:sz w:val="18"/>
          <w:szCs w:val="18"/>
        </w:rPr>
        <w:t>.</w:t>
      </w:r>
      <w:r>
        <w:rPr>
          <w:rFonts w:ascii="Times New Roman" w:hAnsi="Times New Roman" w:cs="Times New Roman"/>
          <w:sz w:val="18"/>
          <w:szCs w:val="18"/>
        </w:rPr>
        <w:t xml:space="preserve"> </w:t>
      </w:r>
    </w:p>
    <w:p w:rsidR="005A06CB" w:rsidRDefault="005A06CB" w:rsidP="005A06CB">
      <w:pPr>
        <w:jc w:val="both"/>
        <w:rPr>
          <w:rFonts w:ascii="Times New Roman" w:hAnsi="Times New Roman" w:cs="Times New Roman"/>
          <w:lang w:val="nl-NL"/>
        </w:rPr>
      </w:pPr>
    </w:p>
    <w:p w:rsidR="005A06CB" w:rsidRDefault="005A06CB" w:rsidP="00786B69">
      <w:pPr>
        <w:spacing w:after="0" w:line="360" w:lineRule="auto"/>
        <w:jc w:val="both"/>
        <w:rPr>
          <w:rFonts w:ascii="Times New Roman" w:hAnsi="Times New Roman" w:cs="Times New Roman"/>
          <w:lang w:val="nl-NL"/>
        </w:rPr>
      </w:pPr>
      <w:r>
        <w:rPr>
          <w:rFonts w:ascii="Times New Roman" w:hAnsi="Times New Roman" w:cs="Times New Roman"/>
          <w:lang w:val="nl-NL"/>
        </w:rPr>
        <w:tab/>
      </w:r>
      <w:r>
        <w:rPr>
          <w:rFonts w:ascii="Times New Roman" w:hAnsi="Times New Roman" w:cs="Times New Roman"/>
        </w:rPr>
        <w:t xml:space="preserve"> </w:t>
      </w:r>
      <w:r>
        <w:rPr>
          <w:rFonts w:ascii="Times New Roman" w:hAnsi="Times New Roman" w:cs="Times New Roman"/>
          <w:lang w:val="nl-NL"/>
        </w:rPr>
        <w:t xml:space="preserve">After the visual and computational evidence, I am going to investigate if the difference in bond returns between July-December and January-June is statistically signficant. I regress the bond returns on different dummy specifications inspired from the literature or observed from the graphs and the results are depicted in Table </w:t>
      </w:r>
      <w:r w:rsidR="008E191F">
        <w:rPr>
          <w:rFonts w:ascii="Times New Roman" w:hAnsi="Times New Roman" w:cs="Times New Roman"/>
          <w:lang w:val="nl-NL"/>
        </w:rPr>
        <w:t>4.2</w:t>
      </w:r>
      <w:r>
        <w:rPr>
          <w:rStyle w:val="FootnoteReference"/>
          <w:rFonts w:ascii="Times New Roman" w:hAnsi="Times New Roman" w:cs="Times New Roman"/>
          <w:lang w:val="nl-NL"/>
        </w:rPr>
        <w:footnoteReference w:id="44"/>
      </w:r>
      <w:r>
        <w:rPr>
          <w:rFonts w:ascii="Times New Roman" w:hAnsi="Times New Roman" w:cs="Times New Roman"/>
          <w:lang w:val="nl-NL"/>
        </w:rPr>
        <w:t>.</w:t>
      </w:r>
    </w:p>
    <w:p w:rsidR="005A06CB" w:rsidRDefault="005A06CB" w:rsidP="005A06CB">
      <w:pPr>
        <w:spacing w:after="0" w:line="240" w:lineRule="auto"/>
        <w:jc w:val="center"/>
        <w:rPr>
          <w:rFonts w:ascii="Times New Roman" w:hAnsi="Times New Roman" w:cs="Times New Roman"/>
        </w:rPr>
      </w:pPr>
    </w:p>
    <w:p w:rsidR="005A06CB" w:rsidRDefault="008E191F" w:rsidP="005A06CB">
      <w:pPr>
        <w:spacing w:after="0" w:line="240" w:lineRule="auto"/>
        <w:jc w:val="center"/>
        <w:rPr>
          <w:rFonts w:ascii="Times New Roman" w:hAnsi="Times New Roman" w:cs="Times New Roman"/>
        </w:rPr>
      </w:pPr>
      <w:r>
        <w:rPr>
          <w:rFonts w:ascii="Times New Roman" w:hAnsi="Times New Roman" w:cs="Times New Roman"/>
        </w:rPr>
        <w:t>Table 4.2</w:t>
      </w:r>
      <w:r w:rsidR="005A06CB" w:rsidRPr="008434EA">
        <w:rPr>
          <w:rFonts w:ascii="Times New Roman" w:hAnsi="Times New Roman" w:cs="Times New Roman"/>
        </w:rPr>
        <w:t>:</w:t>
      </w:r>
      <w:r w:rsidR="009551F2">
        <w:rPr>
          <w:rFonts w:ascii="Times New Roman" w:hAnsi="Times New Roman" w:cs="Times New Roman"/>
        </w:rPr>
        <w:t xml:space="preserve"> Seasonality tests for Nominal Bond R</w:t>
      </w:r>
      <w:r w:rsidR="005A06CB" w:rsidRPr="008434EA">
        <w:rPr>
          <w:rFonts w:ascii="Times New Roman" w:hAnsi="Times New Roman" w:cs="Times New Roman"/>
        </w:rPr>
        <w:t>eturns</w:t>
      </w:r>
    </w:p>
    <w:p w:rsidR="005A06CB" w:rsidRPr="008434EA" w:rsidRDefault="005A06CB" w:rsidP="005A06CB">
      <w:pPr>
        <w:spacing w:after="0" w:line="240" w:lineRule="auto"/>
        <w:jc w:val="center"/>
        <w:rPr>
          <w:rFonts w:ascii="Times New Roman" w:hAnsi="Times New Roman" w:cs="Times New Roman"/>
        </w:rPr>
      </w:pPr>
    </w:p>
    <w:tbl>
      <w:tblPr>
        <w:tblW w:w="6960" w:type="dxa"/>
        <w:jc w:val="center"/>
        <w:tblInd w:w="93" w:type="dxa"/>
        <w:tblLook w:val="04A0"/>
      </w:tblPr>
      <w:tblGrid>
        <w:gridCol w:w="1920"/>
        <w:gridCol w:w="1320"/>
        <w:gridCol w:w="1140"/>
        <w:gridCol w:w="1400"/>
        <w:gridCol w:w="1180"/>
      </w:tblGrid>
      <w:tr w:rsidR="005A06CB" w:rsidRPr="00D0262F" w:rsidTr="00D0485F">
        <w:trPr>
          <w:trHeight w:val="285"/>
          <w:jc w:val="center"/>
        </w:trPr>
        <w:tc>
          <w:tcPr>
            <w:tcW w:w="1920" w:type="dxa"/>
            <w:vMerge w:val="restart"/>
            <w:tcBorders>
              <w:top w:val="single" w:sz="4" w:space="0" w:color="auto"/>
              <w:left w:val="nil"/>
              <w:bottom w:val="single" w:sz="4" w:space="0" w:color="000000"/>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Nominal Bond Excess Returns</w:t>
            </w:r>
          </w:p>
        </w:tc>
        <w:tc>
          <w:tcPr>
            <w:tcW w:w="1320" w:type="dxa"/>
            <w:vMerge w:val="restart"/>
            <w:tcBorders>
              <w:top w:val="single" w:sz="4" w:space="0" w:color="auto"/>
              <w:left w:val="nil"/>
              <w:bottom w:val="single" w:sz="4" w:space="0" w:color="000000"/>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January</w:t>
            </w:r>
          </w:p>
        </w:tc>
        <w:tc>
          <w:tcPr>
            <w:tcW w:w="1140" w:type="dxa"/>
            <w:vMerge w:val="restart"/>
            <w:tcBorders>
              <w:top w:val="single" w:sz="4" w:space="0" w:color="auto"/>
              <w:left w:val="nil"/>
              <w:bottom w:val="single" w:sz="4" w:space="0" w:color="000000"/>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H1 H2</w:t>
            </w:r>
          </w:p>
        </w:tc>
        <w:tc>
          <w:tcPr>
            <w:tcW w:w="1400" w:type="dxa"/>
            <w:vMerge w:val="restart"/>
            <w:tcBorders>
              <w:top w:val="single" w:sz="4" w:space="0" w:color="auto"/>
              <w:left w:val="nil"/>
              <w:bottom w:val="single" w:sz="4" w:space="0" w:color="000000"/>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SAD</w:t>
            </w:r>
          </w:p>
        </w:tc>
        <w:tc>
          <w:tcPr>
            <w:tcW w:w="1180" w:type="dxa"/>
            <w:vMerge w:val="restart"/>
            <w:tcBorders>
              <w:top w:val="single" w:sz="4" w:space="0" w:color="auto"/>
              <w:left w:val="nil"/>
              <w:bottom w:val="single" w:sz="4" w:space="0" w:color="000000"/>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Inverted Halloween</w:t>
            </w:r>
          </w:p>
        </w:tc>
      </w:tr>
      <w:tr w:rsidR="005A06CB" w:rsidRPr="00D0262F" w:rsidTr="00D0485F">
        <w:trPr>
          <w:trHeight w:val="230"/>
          <w:jc w:val="center"/>
        </w:trPr>
        <w:tc>
          <w:tcPr>
            <w:tcW w:w="1920" w:type="dxa"/>
            <w:vMerge/>
            <w:tcBorders>
              <w:top w:val="single" w:sz="4" w:space="0" w:color="auto"/>
              <w:left w:val="nil"/>
              <w:bottom w:val="single" w:sz="4" w:space="0" w:color="000000"/>
              <w:right w:val="nil"/>
            </w:tcBorders>
            <w:vAlign w:val="center"/>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p>
        </w:tc>
        <w:tc>
          <w:tcPr>
            <w:tcW w:w="1320" w:type="dxa"/>
            <w:vMerge/>
            <w:tcBorders>
              <w:top w:val="single" w:sz="4" w:space="0" w:color="auto"/>
              <w:left w:val="nil"/>
              <w:bottom w:val="single" w:sz="4" w:space="0" w:color="000000"/>
              <w:right w:val="nil"/>
            </w:tcBorders>
            <w:vAlign w:val="center"/>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p>
        </w:tc>
        <w:tc>
          <w:tcPr>
            <w:tcW w:w="1140" w:type="dxa"/>
            <w:vMerge/>
            <w:tcBorders>
              <w:top w:val="single" w:sz="4" w:space="0" w:color="auto"/>
              <w:left w:val="nil"/>
              <w:bottom w:val="single" w:sz="4" w:space="0" w:color="000000"/>
              <w:right w:val="nil"/>
            </w:tcBorders>
            <w:vAlign w:val="center"/>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p>
        </w:tc>
        <w:tc>
          <w:tcPr>
            <w:tcW w:w="1400" w:type="dxa"/>
            <w:vMerge/>
            <w:tcBorders>
              <w:top w:val="single" w:sz="4" w:space="0" w:color="auto"/>
              <w:left w:val="nil"/>
              <w:bottom w:val="single" w:sz="4" w:space="0" w:color="000000"/>
              <w:right w:val="nil"/>
            </w:tcBorders>
            <w:vAlign w:val="center"/>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p>
        </w:tc>
        <w:tc>
          <w:tcPr>
            <w:tcW w:w="1180" w:type="dxa"/>
            <w:vMerge/>
            <w:tcBorders>
              <w:top w:val="single" w:sz="4" w:space="0" w:color="auto"/>
              <w:left w:val="nil"/>
              <w:bottom w:val="single" w:sz="4" w:space="0" w:color="000000"/>
              <w:right w:val="nil"/>
            </w:tcBorders>
            <w:vAlign w:val="center"/>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p>
        </w:tc>
      </w:tr>
      <w:tr w:rsidR="005A06CB" w:rsidRPr="00D0262F" w:rsidTr="00D0485F">
        <w:trPr>
          <w:trHeight w:val="270"/>
          <w:jc w:val="center"/>
        </w:trPr>
        <w:tc>
          <w:tcPr>
            <w:tcW w:w="1920" w:type="dxa"/>
            <w:tcBorders>
              <w:top w:val="nil"/>
              <w:left w:val="nil"/>
              <w:bottom w:val="single" w:sz="4" w:space="0" w:color="auto"/>
              <w:right w:val="nil"/>
            </w:tcBorders>
            <w:shd w:val="clear" w:color="auto" w:fill="auto"/>
            <w:vAlign w:val="center"/>
            <w:hideMark/>
          </w:tcPr>
          <w:p w:rsidR="005A06CB" w:rsidRPr="00D0262F" w:rsidRDefault="005A06CB" w:rsidP="00D0485F">
            <w:pPr>
              <w:spacing w:after="0" w:line="240" w:lineRule="auto"/>
              <w:rPr>
                <w:rFonts w:ascii="Times New Roman" w:eastAsia="Times New Roman" w:hAnsi="Times New Roman" w:cs="Times New Roman"/>
                <w:i/>
                <w:iCs/>
                <w:color w:val="000000"/>
                <w:sz w:val="20"/>
                <w:szCs w:val="20"/>
              </w:rPr>
            </w:pPr>
            <w:r w:rsidRPr="00D0262F">
              <w:rPr>
                <w:rFonts w:ascii="Times New Roman" w:eastAsia="Times New Roman" w:hAnsi="Times New Roman" w:cs="Times New Roman"/>
                <w:i/>
                <w:iCs/>
                <w:color w:val="000000"/>
                <w:sz w:val="20"/>
                <w:szCs w:val="20"/>
              </w:rPr>
              <w:t>Monthly frequency</w:t>
            </w:r>
          </w:p>
        </w:tc>
        <w:tc>
          <w:tcPr>
            <w:tcW w:w="1320" w:type="dxa"/>
            <w:tcBorders>
              <w:top w:val="nil"/>
              <w:left w:val="nil"/>
              <w:bottom w:val="single" w:sz="4" w:space="0" w:color="auto"/>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 </w:t>
            </w:r>
          </w:p>
        </w:tc>
        <w:tc>
          <w:tcPr>
            <w:tcW w:w="1140" w:type="dxa"/>
            <w:tcBorders>
              <w:top w:val="nil"/>
              <w:left w:val="nil"/>
              <w:bottom w:val="single" w:sz="4" w:space="0" w:color="auto"/>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 </w:t>
            </w:r>
          </w:p>
        </w:tc>
        <w:tc>
          <w:tcPr>
            <w:tcW w:w="1400" w:type="dxa"/>
            <w:tcBorders>
              <w:top w:val="nil"/>
              <w:left w:val="nil"/>
              <w:bottom w:val="single" w:sz="4" w:space="0" w:color="auto"/>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 </w:t>
            </w:r>
          </w:p>
        </w:tc>
        <w:tc>
          <w:tcPr>
            <w:tcW w:w="1180" w:type="dxa"/>
            <w:tcBorders>
              <w:top w:val="nil"/>
              <w:left w:val="nil"/>
              <w:bottom w:val="single" w:sz="4" w:space="0" w:color="auto"/>
              <w:right w:val="nil"/>
            </w:tcBorders>
            <w:shd w:val="clear" w:color="auto" w:fill="auto"/>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 </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Australia</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-0.63</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4F81BD"/>
                <w:sz w:val="20"/>
                <w:szCs w:val="20"/>
              </w:rPr>
            </w:pPr>
            <w:r w:rsidRPr="00D0262F">
              <w:rPr>
                <w:rFonts w:ascii="Times New Roman" w:eastAsia="Times New Roman" w:hAnsi="Times New Roman" w:cs="Times New Roman"/>
                <w:color w:val="4F81BD"/>
                <w:sz w:val="20"/>
                <w:szCs w:val="20"/>
              </w:rPr>
              <w:t>1.73</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0.84</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0.29</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Canada</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-0.42</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2.28</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2.58</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2.40</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Germany</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-0.51</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2.67</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4F81BD"/>
                <w:sz w:val="20"/>
                <w:szCs w:val="20"/>
              </w:rPr>
            </w:pPr>
            <w:r w:rsidRPr="00D0262F">
              <w:rPr>
                <w:rFonts w:ascii="Times New Roman" w:eastAsia="Times New Roman" w:hAnsi="Times New Roman" w:cs="Times New Roman"/>
                <w:color w:val="4F81BD"/>
                <w:sz w:val="20"/>
                <w:szCs w:val="20"/>
              </w:rPr>
              <w:t>1.75</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0.54</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Japan</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-1.25</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4F81BD"/>
                <w:sz w:val="20"/>
                <w:szCs w:val="20"/>
              </w:rPr>
            </w:pPr>
            <w:r w:rsidRPr="00D0262F">
              <w:rPr>
                <w:rFonts w:ascii="Times New Roman" w:eastAsia="Times New Roman" w:hAnsi="Times New Roman" w:cs="Times New Roman"/>
                <w:color w:val="4F81BD"/>
                <w:sz w:val="20"/>
                <w:szCs w:val="20"/>
              </w:rPr>
              <w:t>1.69</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0.42</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-0.50</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United Kingdom</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-0.69</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2.37</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1.45</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0.95</w:t>
            </w:r>
          </w:p>
        </w:tc>
      </w:tr>
      <w:tr w:rsidR="005A06CB" w:rsidRPr="00D0262F"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United States</w:t>
            </w:r>
          </w:p>
        </w:tc>
        <w:tc>
          <w:tcPr>
            <w:tcW w:w="132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-0.61</w:t>
            </w:r>
          </w:p>
        </w:tc>
        <w:tc>
          <w:tcPr>
            <w:tcW w:w="114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1.99</w:t>
            </w:r>
          </w:p>
        </w:tc>
        <w:tc>
          <w:tcPr>
            <w:tcW w:w="140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3.10</w:t>
            </w:r>
          </w:p>
        </w:tc>
        <w:tc>
          <w:tcPr>
            <w:tcW w:w="1180" w:type="dxa"/>
            <w:tcBorders>
              <w:top w:val="nil"/>
              <w:left w:val="nil"/>
              <w:bottom w:val="nil"/>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2.15</w:t>
            </w:r>
          </w:p>
        </w:tc>
      </w:tr>
      <w:tr w:rsidR="005A06CB" w:rsidRPr="00D0262F" w:rsidTr="00D0485F">
        <w:trPr>
          <w:trHeight w:val="240"/>
          <w:jc w:val="center"/>
        </w:trPr>
        <w:tc>
          <w:tcPr>
            <w:tcW w:w="1920" w:type="dxa"/>
            <w:tcBorders>
              <w:top w:val="nil"/>
              <w:left w:val="nil"/>
              <w:bottom w:val="single" w:sz="4" w:space="0" w:color="auto"/>
              <w:right w:val="nil"/>
            </w:tcBorders>
            <w:shd w:val="clear" w:color="auto" w:fill="auto"/>
            <w:noWrap/>
            <w:vAlign w:val="bottom"/>
            <w:hideMark/>
          </w:tcPr>
          <w:p w:rsidR="005A06CB" w:rsidRPr="00D0262F" w:rsidRDefault="005A06CB" w:rsidP="00D0485F">
            <w:pPr>
              <w:spacing w:after="0" w:line="240" w:lineRule="auto"/>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Developed (6)</w:t>
            </w:r>
          </w:p>
        </w:tc>
        <w:tc>
          <w:tcPr>
            <w:tcW w:w="1320" w:type="dxa"/>
            <w:tcBorders>
              <w:top w:val="nil"/>
              <w:left w:val="nil"/>
              <w:bottom w:val="single" w:sz="4" w:space="0" w:color="auto"/>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-1.11</w:t>
            </w:r>
          </w:p>
        </w:tc>
        <w:tc>
          <w:tcPr>
            <w:tcW w:w="1140" w:type="dxa"/>
            <w:tcBorders>
              <w:top w:val="nil"/>
              <w:left w:val="nil"/>
              <w:bottom w:val="single" w:sz="4" w:space="0" w:color="auto"/>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2.58</w:t>
            </w:r>
          </w:p>
        </w:tc>
        <w:tc>
          <w:tcPr>
            <w:tcW w:w="1400" w:type="dxa"/>
            <w:tcBorders>
              <w:top w:val="nil"/>
              <w:left w:val="nil"/>
              <w:bottom w:val="single" w:sz="4" w:space="0" w:color="auto"/>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b/>
                <w:bCs/>
                <w:color w:val="000000"/>
                <w:sz w:val="20"/>
                <w:szCs w:val="20"/>
              </w:rPr>
            </w:pPr>
            <w:r w:rsidRPr="00D0262F">
              <w:rPr>
                <w:rFonts w:ascii="Times New Roman" w:eastAsia="Times New Roman" w:hAnsi="Times New Roman" w:cs="Times New Roman"/>
                <w:b/>
                <w:bCs/>
                <w:color w:val="000000"/>
                <w:sz w:val="20"/>
                <w:szCs w:val="20"/>
              </w:rPr>
              <w:t>2.16</w:t>
            </w:r>
          </w:p>
        </w:tc>
        <w:tc>
          <w:tcPr>
            <w:tcW w:w="1180" w:type="dxa"/>
            <w:tcBorders>
              <w:top w:val="nil"/>
              <w:left w:val="nil"/>
              <w:bottom w:val="single" w:sz="4" w:space="0" w:color="auto"/>
              <w:right w:val="nil"/>
            </w:tcBorders>
            <w:shd w:val="clear" w:color="auto" w:fill="auto"/>
            <w:noWrap/>
            <w:vAlign w:val="center"/>
            <w:hideMark/>
          </w:tcPr>
          <w:p w:rsidR="005A06CB" w:rsidRPr="00D0262F" w:rsidRDefault="005A06CB" w:rsidP="00D0485F">
            <w:pPr>
              <w:spacing w:after="0" w:line="240" w:lineRule="auto"/>
              <w:jc w:val="center"/>
              <w:rPr>
                <w:rFonts w:ascii="Times New Roman" w:eastAsia="Times New Roman" w:hAnsi="Times New Roman" w:cs="Times New Roman"/>
                <w:color w:val="000000"/>
                <w:sz w:val="20"/>
                <w:szCs w:val="20"/>
              </w:rPr>
            </w:pPr>
            <w:r w:rsidRPr="00D0262F">
              <w:rPr>
                <w:rFonts w:ascii="Times New Roman" w:eastAsia="Times New Roman" w:hAnsi="Times New Roman" w:cs="Times New Roman"/>
                <w:color w:val="000000"/>
                <w:sz w:val="20"/>
                <w:szCs w:val="20"/>
              </w:rPr>
              <w:t>1.16</w:t>
            </w:r>
          </w:p>
        </w:tc>
      </w:tr>
    </w:tbl>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 t-values based on Newey-West standard errors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5A06CB" w:rsidRDefault="00E3703C"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nominal </w:t>
      </w:r>
      <w:r w:rsidR="005A06CB" w:rsidRPr="006C0856">
        <w:rPr>
          <w:rFonts w:ascii="Times New Roman" w:hAnsi="Times New Roman" w:cs="Times New Roman"/>
          <w:sz w:val="18"/>
          <w:szCs w:val="18"/>
        </w:rPr>
        <w:t>bond</w:t>
      </w:r>
      <w:r>
        <w:rPr>
          <w:rFonts w:ascii="Times New Roman" w:hAnsi="Times New Roman" w:cs="Times New Roman"/>
          <w:sz w:val="18"/>
          <w:szCs w:val="18"/>
        </w:rPr>
        <w:t xml:space="preserve"> excess</w:t>
      </w:r>
      <w:r w:rsidR="005A06CB" w:rsidRPr="006C0856">
        <w:rPr>
          <w:rFonts w:ascii="Times New Roman" w:hAnsi="Times New Roman" w:cs="Times New Roman"/>
          <w:sz w:val="18"/>
          <w:szCs w:val="18"/>
        </w:rPr>
        <w:t xml:space="preserve"> returns </w:t>
      </w:r>
      <w:r w:rsidR="005A06CB">
        <w:rPr>
          <w:rFonts w:ascii="Times New Roman" w:hAnsi="Times New Roman" w:cs="Times New Roman"/>
          <w:sz w:val="18"/>
          <w:szCs w:val="18"/>
        </w:rPr>
        <w:t>(calculated based on Datastream bond indices) at the monthly frequency</w:t>
      </w:r>
      <w:r w:rsidR="005A06CB" w:rsidRPr="006C0856">
        <w:rPr>
          <w:rFonts w:ascii="Times New Roman" w:hAnsi="Times New Roman" w:cs="Times New Roman"/>
          <w:sz w:val="18"/>
          <w:szCs w:val="18"/>
        </w:rPr>
        <w:t>. X depends on t</w:t>
      </w:r>
      <w:r w:rsidR="005A06CB">
        <w:rPr>
          <w:rFonts w:ascii="Times New Roman" w:hAnsi="Times New Roman" w:cs="Times New Roman"/>
          <w:sz w:val="18"/>
          <w:szCs w:val="18"/>
        </w:rPr>
        <w:t xml:space="preserve">he seasonal pattern tested. In case of January effect, </w:t>
      </w:r>
      <w:r w:rsidR="005A06CB" w:rsidRPr="006C0856">
        <w:rPr>
          <w:rFonts w:ascii="Times New Roman" w:hAnsi="Times New Roman" w:cs="Times New Roman"/>
          <w:sz w:val="18"/>
          <w:szCs w:val="18"/>
        </w:rPr>
        <w:t>X</w:t>
      </w:r>
      <w:r w:rsidR="005A06CB">
        <w:rPr>
          <w:rFonts w:ascii="Times New Roman" w:hAnsi="Times New Roman" w:cs="Times New Roman"/>
          <w:sz w:val="18"/>
          <w:szCs w:val="18"/>
          <w:vertAlign w:val="subscript"/>
        </w:rPr>
        <w:t xml:space="preserve"> </w:t>
      </w:r>
      <w:r w:rsidR="005A06CB">
        <w:rPr>
          <w:rFonts w:ascii="Times New Roman" w:hAnsi="Times New Roman" w:cs="Times New Roman"/>
          <w:sz w:val="18"/>
          <w:szCs w:val="18"/>
        </w:rPr>
        <w:t>is a dummy that takes the value of 1 for January and 0 otherwise. In case of H</w:t>
      </w:r>
      <w:r w:rsidR="005A06CB" w:rsidRPr="006C0856">
        <w:rPr>
          <w:rFonts w:ascii="Times New Roman" w:hAnsi="Times New Roman" w:cs="Times New Roman"/>
          <w:sz w:val="18"/>
          <w:szCs w:val="18"/>
        </w:rPr>
        <w:t>1 H2</w:t>
      </w:r>
      <w:r w:rsidR="005A06CB">
        <w:rPr>
          <w:rFonts w:ascii="Times New Roman" w:hAnsi="Times New Roman" w:cs="Times New Roman"/>
          <w:sz w:val="18"/>
          <w:szCs w:val="18"/>
        </w:rPr>
        <w:t>,</w:t>
      </w:r>
      <w:r w:rsidR="005A06CB" w:rsidRPr="006C0856">
        <w:rPr>
          <w:rFonts w:ascii="Times New Roman" w:hAnsi="Times New Roman" w:cs="Times New Roman"/>
          <w:sz w:val="18"/>
          <w:szCs w:val="18"/>
        </w:rPr>
        <w:t xml:space="preserve"> X is a dummy that takes on the value of 1 for July to December and 0 otherwise. For SAD</w:t>
      </w:r>
      <w:r w:rsidR="005A06CB">
        <w:rPr>
          <w:rFonts w:ascii="Times New Roman" w:hAnsi="Times New Roman" w:cs="Times New Roman"/>
          <w:sz w:val="18"/>
          <w:szCs w:val="18"/>
        </w:rPr>
        <w:t>, X</w:t>
      </w:r>
      <w:r w:rsidR="005A06CB" w:rsidRPr="006C0856">
        <w:rPr>
          <w:rFonts w:ascii="Times New Roman" w:hAnsi="Times New Roman" w:cs="Times New Roman"/>
          <w:sz w:val="18"/>
          <w:szCs w:val="18"/>
        </w:rPr>
        <w:t xml:space="preserve"> is set equal to the 12 monthly values from the Kamstra, Kramer, and Levi (2014) paper. </w:t>
      </w:r>
      <w:r w:rsidR="005A06CB">
        <w:rPr>
          <w:rFonts w:ascii="Times New Roman" w:hAnsi="Times New Roman" w:cs="Times New Roman"/>
          <w:sz w:val="18"/>
          <w:szCs w:val="18"/>
        </w:rPr>
        <w:t xml:space="preserve">Inverted </w:t>
      </w:r>
      <w:r w:rsidR="005A06CB" w:rsidRPr="006C0856">
        <w:rPr>
          <w:rFonts w:ascii="Times New Roman" w:hAnsi="Times New Roman" w:cs="Times New Roman"/>
          <w:sz w:val="18"/>
          <w:szCs w:val="18"/>
        </w:rPr>
        <w:t>Halloween</w:t>
      </w:r>
      <w:r w:rsidR="005A06CB">
        <w:rPr>
          <w:rFonts w:ascii="Times New Roman" w:hAnsi="Times New Roman" w:cs="Times New Roman"/>
          <w:sz w:val="18"/>
          <w:szCs w:val="18"/>
        </w:rPr>
        <w:t xml:space="preserve"> effect is the opposite of the one discovered by </w:t>
      </w:r>
      <w:r w:rsidR="005A06CB" w:rsidRPr="00CE74E3">
        <w:rPr>
          <w:rFonts w:ascii="Times New Roman" w:hAnsi="Times New Roman" w:cs="Times New Roman"/>
          <w:sz w:val="18"/>
          <w:szCs w:val="18"/>
        </w:rPr>
        <w:t>Bouman and Jacobsen (2002)</w:t>
      </w:r>
      <w:r w:rsidR="005A06CB">
        <w:rPr>
          <w:rFonts w:ascii="Times New Roman" w:hAnsi="Times New Roman" w:cs="Times New Roman"/>
          <w:sz w:val="18"/>
          <w:szCs w:val="18"/>
        </w:rPr>
        <w:t xml:space="preserve"> for the stock market. To capture the Inverted Halloween effect,</w:t>
      </w:r>
      <w:r w:rsidR="005A06CB" w:rsidRPr="006C0856">
        <w:rPr>
          <w:rFonts w:ascii="Times New Roman" w:hAnsi="Times New Roman" w:cs="Times New Roman"/>
          <w:sz w:val="18"/>
          <w:szCs w:val="18"/>
        </w:rPr>
        <w:t xml:space="preserve"> X is a dummy </w:t>
      </w:r>
      <w:r w:rsidR="005A06CB">
        <w:rPr>
          <w:rFonts w:ascii="Times New Roman" w:hAnsi="Times New Roman" w:cs="Times New Roman"/>
          <w:sz w:val="18"/>
          <w:szCs w:val="18"/>
        </w:rPr>
        <w:t>which</w:t>
      </w:r>
      <w:r w:rsidR="005A06CB" w:rsidRPr="006C0856">
        <w:rPr>
          <w:rFonts w:ascii="Times New Roman" w:hAnsi="Times New Roman" w:cs="Times New Roman"/>
          <w:sz w:val="18"/>
          <w:szCs w:val="18"/>
        </w:rPr>
        <w:t xml:space="preserve"> takes on the value of 1 for May to October and 0 otherwise. </w:t>
      </w:r>
      <w:r w:rsidRPr="00E3703C">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Pr="00E3703C">
        <w:rPr>
          <w:rFonts w:ascii="Times New Roman" w:hAnsi="Times New Roman" w:cs="Times New Roman"/>
          <w:sz w:val="18"/>
          <w:szCs w:val="18"/>
        </w:rPr>
        <w:t xml:space="preserve"> portfolio is based on equally weighting the six</w:t>
      </w:r>
      <w:r w:rsidRPr="00BC58A3">
        <w:rPr>
          <w:rFonts w:ascii="Times New Roman" w:hAnsi="Times New Roman" w:cs="Times New Roman"/>
          <w:sz w:val="18"/>
          <w:szCs w:val="18"/>
        </w:rPr>
        <w:t xml:space="preserve"> countries </w:t>
      </w:r>
      <w:r>
        <w:rPr>
          <w:rFonts w:ascii="Times New Roman" w:hAnsi="Times New Roman" w:cs="Times New Roman"/>
          <w:sz w:val="18"/>
          <w:szCs w:val="18"/>
        </w:rPr>
        <w:t>provided data are available</w:t>
      </w:r>
      <w:r w:rsidRPr="00BC58A3">
        <w:rPr>
          <w:rFonts w:ascii="Times New Roman" w:hAnsi="Times New Roman" w:cs="Times New Roman"/>
          <w:sz w:val="18"/>
          <w:szCs w:val="18"/>
        </w:rPr>
        <w:t>.</w:t>
      </w:r>
      <w:r>
        <w:rPr>
          <w:rFonts w:ascii="Times New Roman" w:hAnsi="Times New Roman" w:cs="Times New Roman"/>
          <w:sz w:val="18"/>
          <w:szCs w:val="18"/>
        </w:rPr>
        <w:t xml:space="preserve"> </w:t>
      </w:r>
      <w:r w:rsidR="005A06CB" w:rsidRPr="00D57A22">
        <w:rPr>
          <w:rFonts w:ascii="Times New Roman" w:hAnsi="Times New Roman" w:cs="Times New Roman"/>
          <w:sz w:val="18"/>
          <w:szCs w:val="18"/>
        </w:rPr>
        <w:t>The number in parenthesis next to Developed portfolio stand</w:t>
      </w:r>
      <w:r w:rsidR="005A06CB">
        <w:rPr>
          <w:rFonts w:ascii="Times New Roman" w:hAnsi="Times New Roman" w:cs="Times New Roman"/>
          <w:sz w:val="18"/>
          <w:szCs w:val="18"/>
        </w:rPr>
        <w:t>s</w:t>
      </w:r>
      <w:r w:rsidR="005A06CB" w:rsidRPr="00D57A22">
        <w:rPr>
          <w:rFonts w:ascii="Times New Roman" w:hAnsi="Times New Roman" w:cs="Times New Roman"/>
          <w:sz w:val="18"/>
          <w:szCs w:val="18"/>
        </w:rPr>
        <w:t xml:space="preserve"> for the number of </w:t>
      </w:r>
      <w:r w:rsidR="005A06CB">
        <w:rPr>
          <w:rFonts w:ascii="Times New Roman" w:hAnsi="Times New Roman" w:cs="Times New Roman"/>
          <w:sz w:val="18"/>
          <w:szCs w:val="18"/>
        </w:rPr>
        <w:t>countries</w:t>
      </w:r>
      <w:r w:rsidR="005A06CB" w:rsidRPr="00D57A22">
        <w:rPr>
          <w:rFonts w:ascii="Times New Roman" w:hAnsi="Times New Roman" w:cs="Times New Roman"/>
          <w:sz w:val="18"/>
          <w:szCs w:val="18"/>
        </w:rPr>
        <w:t xml:space="preserve"> from the portfolio</w:t>
      </w:r>
      <w:r w:rsidR="005A06CB">
        <w:rPr>
          <w:rFonts w:ascii="Times New Roman" w:hAnsi="Times New Roman" w:cs="Times New Roman"/>
          <w:sz w:val="18"/>
          <w:szCs w:val="18"/>
        </w:rPr>
        <w:t xml:space="preserve">. The numbers in </w:t>
      </w:r>
      <w:r w:rsidR="005A06CB" w:rsidRPr="00D0262F">
        <w:rPr>
          <w:rFonts w:ascii="Times New Roman" w:hAnsi="Times New Roman" w:cs="Times New Roman"/>
          <w:b/>
          <w:sz w:val="18"/>
          <w:szCs w:val="18"/>
        </w:rPr>
        <w:t>Bold</w:t>
      </w:r>
      <w:r w:rsidR="005A06CB">
        <w:rPr>
          <w:rFonts w:ascii="Times New Roman" w:hAnsi="Times New Roman" w:cs="Times New Roman"/>
          <w:sz w:val="18"/>
          <w:szCs w:val="18"/>
        </w:rPr>
        <w:t xml:space="preserve"> show statistical significance at</w:t>
      </w:r>
      <w:r w:rsidR="00F40DAA">
        <w:rPr>
          <w:rFonts w:ascii="Times New Roman" w:hAnsi="Times New Roman" w:cs="Times New Roman"/>
          <w:sz w:val="18"/>
          <w:szCs w:val="18"/>
        </w:rPr>
        <w:t xml:space="preserve"> least at</w:t>
      </w:r>
      <w:r w:rsidR="005A06CB">
        <w:rPr>
          <w:rFonts w:ascii="Times New Roman" w:hAnsi="Times New Roman" w:cs="Times New Roman"/>
          <w:sz w:val="18"/>
          <w:szCs w:val="18"/>
        </w:rPr>
        <w:t xml:space="preserve"> 5% significance level, while those in </w:t>
      </w:r>
      <w:r w:rsidR="005A06CB" w:rsidRPr="00E7620F">
        <w:rPr>
          <w:rFonts w:ascii="Times New Roman" w:eastAsia="Times New Roman" w:hAnsi="Times New Roman" w:cs="Times New Roman"/>
          <w:color w:val="4F81BD"/>
          <w:sz w:val="18"/>
          <w:szCs w:val="18"/>
        </w:rPr>
        <w:t>Blue</w:t>
      </w:r>
      <w:r w:rsidR="005A06CB">
        <w:rPr>
          <w:rFonts w:ascii="Times New Roman" w:hAnsi="Times New Roman" w:cs="Times New Roman"/>
          <w:sz w:val="18"/>
          <w:szCs w:val="18"/>
        </w:rPr>
        <w:t xml:space="preserve"> at 10% significance level.</w:t>
      </w: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Nominal bond excess returns do not display a January effect, in line with the conclusion from the literature. The coefficient of the dummy which captures higher returns in the second part of the year is statistically significant at</w:t>
      </w:r>
      <w:r w:rsidR="00A057DA">
        <w:rPr>
          <w:rFonts w:ascii="Times New Roman" w:hAnsi="Times New Roman" w:cs="Times New Roman"/>
        </w:rPr>
        <w:t xml:space="preserve"> the</w:t>
      </w:r>
      <w:r>
        <w:rPr>
          <w:rFonts w:ascii="Times New Roman" w:hAnsi="Times New Roman" w:cs="Times New Roman"/>
        </w:rPr>
        <w:t xml:space="preserve"> 10% significance level in all countries. </w:t>
      </w:r>
      <w:r w:rsidRPr="0005636D">
        <w:rPr>
          <w:rFonts w:ascii="Times New Roman" w:hAnsi="Times New Roman" w:cs="Times New Roman"/>
        </w:rPr>
        <w:t xml:space="preserve">The effect is statistically significant at </w:t>
      </w:r>
      <w:r w:rsidR="00A057DA">
        <w:rPr>
          <w:rFonts w:ascii="Times New Roman" w:hAnsi="Times New Roman" w:cs="Times New Roman"/>
        </w:rPr>
        <w:t xml:space="preserve">the </w:t>
      </w:r>
      <w:r w:rsidRPr="0005636D">
        <w:rPr>
          <w:rFonts w:ascii="Times New Roman" w:hAnsi="Times New Roman" w:cs="Times New Roman"/>
        </w:rPr>
        <w:t>1% level for Germany and Developed portfolio and at</w:t>
      </w:r>
      <w:r w:rsidR="00A057DA">
        <w:rPr>
          <w:rFonts w:ascii="Times New Roman" w:hAnsi="Times New Roman" w:cs="Times New Roman"/>
        </w:rPr>
        <w:t xml:space="preserve"> the</w:t>
      </w:r>
      <w:r w:rsidRPr="0005636D">
        <w:rPr>
          <w:rFonts w:ascii="Times New Roman" w:hAnsi="Times New Roman" w:cs="Times New Roman"/>
        </w:rPr>
        <w:t xml:space="preserve"> 5% significance level for Canada, </w:t>
      </w:r>
      <w:r>
        <w:rPr>
          <w:rFonts w:ascii="Times New Roman" w:hAnsi="Times New Roman" w:cs="Times New Roman"/>
        </w:rPr>
        <w:t xml:space="preserve">the </w:t>
      </w:r>
      <w:r w:rsidRPr="0005636D">
        <w:rPr>
          <w:rFonts w:ascii="Times New Roman" w:hAnsi="Times New Roman" w:cs="Times New Roman"/>
        </w:rPr>
        <w:t xml:space="preserve">United Kingdom and </w:t>
      </w:r>
      <w:r>
        <w:rPr>
          <w:rFonts w:ascii="Times New Roman" w:hAnsi="Times New Roman" w:cs="Times New Roman"/>
        </w:rPr>
        <w:t xml:space="preserve">the </w:t>
      </w:r>
      <w:r w:rsidRPr="0005636D">
        <w:rPr>
          <w:rFonts w:ascii="Times New Roman" w:hAnsi="Times New Roman" w:cs="Times New Roman"/>
        </w:rPr>
        <w:t xml:space="preserve">United States. </w:t>
      </w:r>
      <w:r>
        <w:rPr>
          <w:rFonts w:ascii="Times New Roman" w:hAnsi="Times New Roman" w:cs="Times New Roman"/>
        </w:rPr>
        <w:t xml:space="preserve">Moreover, the sign of the coefficient is positive and consistent across countries. </w:t>
      </w:r>
    </w:p>
    <w:p w:rsidR="005A06CB" w:rsidRDefault="005A06CB" w:rsidP="005A06CB">
      <w:pPr>
        <w:pStyle w:val="NoSpacing"/>
        <w:spacing w:line="360" w:lineRule="auto"/>
        <w:ind w:firstLine="720"/>
        <w:jc w:val="both"/>
        <w:rPr>
          <w:rFonts w:ascii="Times New Roman" w:hAnsi="Times New Roman" w:cs="Times New Roman"/>
          <w:noProof/>
        </w:rPr>
      </w:pPr>
      <w:r>
        <w:rPr>
          <w:rFonts w:ascii="Times New Roman" w:hAnsi="Times New Roman" w:cs="Times New Roman"/>
        </w:rPr>
        <w:lastRenderedPageBreak/>
        <w:t>The SAD factor which was first introduced by KKL for stock returns (2003) and then extended for bond returns (2014) is statistically significant for Canada and United States at 1% level and for Germany at 10% significance level. The relevance of SAD in Canada and United States is not surprising as the variable was built based on a proportion of the North American population that suffers from seasonal affective disorder. As KKL</w:t>
      </w:r>
      <w:r w:rsidR="00E3703C">
        <w:rPr>
          <w:rFonts w:ascii="Times New Roman" w:hAnsi="Times New Roman" w:cs="Times New Roman"/>
        </w:rPr>
        <w:t xml:space="preserve"> </w:t>
      </w:r>
      <w:r>
        <w:rPr>
          <w:rFonts w:ascii="Times New Roman" w:hAnsi="Times New Roman" w:cs="Times New Roman"/>
        </w:rPr>
        <w:t xml:space="preserve">(2014) mentions that the depression is related to the reduced daylight during the fall and the winter, the expectation is that countries from the Southern Hemisphere display the same effect with a six month lag. This is due to the fact the seasons are opposite to those from Northern countries and there is also a reversal in the change in the number of hours of daylight. This should result in an inverted sign of the dummy coefficient. However, </w:t>
      </w:r>
      <w:r>
        <w:rPr>
          <w:rFonts w:ascii="Times New Roman" w:hAnsi="Times New Roman" w:cs="Times New Roman"/>
          <w:noProof/>
        </w:rPr>
        <w:t xml:space="preserve">the SAD variable is not statistically significant for Australian bond returns and does not exhibits the opposite sign as expected. This result is </w:t>
      </w:r>
      <w:r>
        <w:rPr>
          <w:rFonts w:ascii="Times New Roman" w:hAnsi="Times New Roman" w:cs="Times New Roman"/>
        </w:rPr>
        <w:t xml:space="preserve">in line with </w:t>
      </w:r>
      <w:r w:rsidRPr="00DB60A9">
        <w:rPr>
          <w:rFonts w:ascii="Times New Roman" w:hAnsi="Times New Roman" w:cs="Times New Roman"/>
          <w:noProof/>
        </w:rPr>
        <w:t>Jacobsen and Marquering (2008)</w:t>
      </w:r>
      <w:r>
        <w:rPr>
          <w:rFonts w:ascii="Times New Roman" w:hAnsi="Times New Roman" w:cs="Times New Roman"/>
          <w:noProof/>
        </w:rPr>
        <w:t xml:space="preserve"> as they also do not observe the inverse</w:t>
      </w:r>
      <w:r w:rsidR="00E3703C">
        <w:rPr>
          <w:rFonts w:ascii="Times New Roman" w:hAnsi="Times New Roman" w:cs="Times New Roman"/>
          <w:noProof/>
        </w:rPr>
        <w:t xml:space="preserve"> SAD</w:t>
      </w:r>
      <w:r>
        <w:rPr>
          <w:rFonts w:ascii="Times New Roman" w:hAnsi="Times New Roman" w:cs="Times New Roman"/>
          <w:noProof/>
        </w:rPr>
        <w:t xml:space="preserve"> effect on the stock market of the Southern Hemisphere countries. </w:t>
      </w: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noProof/>
        </w:rPr>
        <w:t xml:space="preserve">The limited coverage across countries (three out of six) and relatively lower </w:t>
      </w:r>
      <w:r>
        <w:rPr>
          <w:rFonts w:ascii="Times New Roman" w:hAnsi="Times New Roman" w:cs="Times New Roman"/>
        </w:rPr>
        <w:t xml:space="preserve">t-values in absolute terms make the SAD effect weaker than the new H1 H2 effect. </w:t>
      </w: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The Inverted Halloween effect is also weaker than H1 H2 as its incidence is two (Canada and </w:t>
      </w:r>
      <w:r w:rsidR="00E3703C">
        <w:rPr>
          <w:rFonts w:ascii="Times New Roman" w:hAnsi="Times New Roman" w:cs="Times New Roman"/>
        </w:rPr>
        <w:t xml:space="preserve">the </w:t>
      </w:r>
      <w:r>
        <w:rPr>
          <w:rFonts w:ascii="Times New Roman" w:hAnsi="Times New Roman" w:cs="Times New Roman"/>
        </w:rPr>
        <w:t>United States) and the sign of the coefficient is not consistent across countries (negative for Japan and positive for the rest of the countries).</w:t>
      </w:r>
      <w:r>
        <w:rPr>
          <w:rStyle w:val="FootnoteReference"/>
          <w:rFonts w:ascii="Times New Roman" w:hAnsi="Times New Roman" w:cs="Times New Roman"/>
        </w:rPr>
        <w:footnoteReference w:id="45"/>
      </w:r>
    </w:p>
    <w:p w:rsidR="005A06CB" w:rsidRDefault="005A06CB" w:rsidP="005A06CB">
      <w:pPr>
        <w:pStyle w:val="NoSpacing"/>
        <w:spacing w:line="360" w:lineRule="auto"/>
        <w:ind w:firstLine="720"/>
        <w:jc w:val="both"/>
        <w:rPr>
          <w:rFonts w:ascii="Times New Roman" w:hAnsi="Times New Roman" w:cs="Times New Roman"/>
        </w:rPr>
      </w:pPr>
    </w:p>
    <w:p w:rsidR="00937206" w:rsidRPr="00937206" w:rsidRDefault="00937206" w:rsidP="00937206">
      <w:pPr>
        <w:pStyle w:val="Heading3"/>
        <w:rPr>
          <w:lang w:val="nl-NL"/>
        </w:rPr>
      </w:pPr>
      <w:bookmarkStart w:id="41" w:name="_Toc396762709"/>
      <w:r w:rsidRPr="00937206">
        <w:rPr>
          <w:lang w:val="nl-NL"/>
        </w:rPr>
        <w:t>4.1.2 Robustness to outliers</w:t>
      </w:r>
      <w:bookmarkEnd w:id="41"/>
    </w:p>
    <w:p w:rsidR="00937206" w:rsidRPr="000E31BB" w:rsidRDefault="00937206" w:rsidP="005A06CB">
      <w:pPr>
        <w:pStyle w:val="NoSpacing"/>
        <w:spacing w:line="360" w:lineRule="auto"/>
        <w:ind w:firstLine="720"/>
        <w:jc w:val="both"/>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As Maberly and Pierce (2004) point out</w:t>
      </w:r>
      <w:r w:rsidRPr="00126757">
        <w:rPr>
          <w:rFonts w:ascii="Times New Roman" w:hAnsi="Times New Roman" w:cs="Times New Roman"/>
        </w:rPr>
        <w:t xml:space="preserve"> that the “Halloween effect” does not hold when </w:t>
      </w:r>
      <w:r>
        <w:rPr>
          <w:rFonts w:ascii="Times New Roman" w:hAnsi="Times New Roman" w:cs="Times New Roman"/>
        </w:rPr>
        <w:t>controlling for the impact of</w:t>
      </w:r>
      <w:r w:rsidRPr="00126757">
        <w:rPr>
          <w:rFonts w:ascii="Times New Roman" w:hAnsi="Times New Roman" w:cs="Times New Roman"/>
        </w:rPr>
        <w:t xml:space="preserve"> outliers</w:t>
      </w:r>
      <w:r>
        <w:rPr>
          <w:rFonts w:ascii="Times New Roman" w:hAnsi="Times New Roman" w:cs="Times New Roman"/>
        </w:rPr>
        <w:t xml:space="preserve">, I check the robustness of the seasonal patterns. I apply the estimation techniques robust to outliers employed by Haggard and Witte (2010), given the subjective choice of outliers in case of removing them. </w:t>
      </w: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D</w:t>
      </w:r>
      <w:r w:rsidRPr="0045028B">
        <w:rPr>
          <w:rFonts w:ascii="Times New Roman" w:hAnsi="Times New Roman" w:cs="Times New Roman"/>
        </w:rPr>
        <w:t>ampen</w:t>
      </w:r>
      <w:r>
        <w:rPr>
          <w:rFonts w:ascii="Times New Roman" w:hAnsi="Times New Roman" w:cs="Times New Roman"/>
        </w:rPr>
        <w:t>ing the influence of extreme returns</w:t>
      </w:r>
      <w:r w:rsidRPr="0045028B">
        <w:rPr>
          <w:rFonts w:ascii="Times New Roman" w:hAnsi="Times New Roman" w:cs="Times New Roman"/>
        </w:rPr>
        <w:t xml:space="preserve"> by ap</w:t>
      </w:r>
      <w:r>
        <w:rPr>
          <w:rFonts w:ascii="Times New Roman" w:hAnsi="Times New Roman" w:cs="Times New Roman"/>
        </w:rPr>
        <w:t xml:space="preserve">plying reduced weights </w:t>
      </w:r>
      <w:r w:rsidRPr="0045028B">
        <w:rPr>
          <w:rFonts w:ascii="Times New Roman" w:hAnsi="Times New Roman" w:cs="Times New Roman"/>
        </w:rPr>
        <w:t>(</w:t>
      </w:r>
      <w:r>
        <w:rPr>
          <w:rFonts w:ascii="Times New Roman" w:hAnsi="Times New Roman" w:cs="Times New Roman"/>
        </w:rPr>
        <w:t>Huber</w:t>
      </w:r>
      <w:r w:rsidRPr="0045028B">
        <w:rPr>
          <w:rFonts w:ascii="Times New Roman" w:hAnsi="Times New Roman" w:cs="Times New Roman"/>
        </w:rPr>
        <w:t>)</w:t>
      </w:r>
      <w:r>
        <w:rPr>
          <w:rFonts w:ascii="Times New Roman" w:hAnsi="Times New Roman" w:cs="Times New Roman"/>
        </w:rPr>
        <w:t xml:space="preserve"> or zero weight (Tukey and Hampel) to the extremes does not alter the statistical significance of</w:t>
      </w:r>
      <w:r w:rsidR="00E3703C">
        <w:rPr>
          <w:rFonts w:ascii="Times New Roman" w:hAnsi="Times New Roman" w:cs="Times New Roman"/>
        </w:rPr>
        <w:t xml:space="preserve"> the effects as shown in Table 4.3</w:t>
      </w:r>
      <w:r>
        <w:rPr>
          <w:rFonts w:ascii="Times New Roman" w:hAnsi="Times New Roman" w:cs="Times New Roman"/>
        </w:rPr>
        <w:t xml:space="preserve">. Moreover, in some cases the statistical significance is improved: the t-statistic for H1 H2 effect increased from 1.73 to 2.00 when applying Huber’s M-estimation for Australia. The same holds for H1 H2 effect in other bond markets like Japan, </w:t>
      </w:r>
      <w:r w:rsidR="00E3703C">
        <w:rPr>
          <w:rFonts w:ascii="Times New Roman" w:hAnsi="Times New Roman" w:cs="Times New Roman"/>
        </w:rPr>
        <w:t xml:space="preserve">the </w:t>
      </w:r>
      <w:r>
        <w:rPr>
          <w:rFonts w:ascii="Times New Roman" w:hAnsi="Times New Roman" w:cs="Times New Roman"/>
        </w:rPr>
        <w:t xml:space="preserve">United Kingdom, </w:t>
      </w:r>
      <w:r w:rsidR="00E3703C">
        <w:rPr>
          <w:rFonts w:ascii="Times New Roman" w:hAnsi="Times New Roman" w:cs="Times New Roman"/>
        </w:rPr>
        <w:t xml:space="preserve">the </w:t>
      </w:r>
      <w:r>
        <w:rPr>
          <w:rFonts w:ascii="Times New Roman" w:hAnsi="Times New Roman" w:cs="Times New Roman"/>
        </w:rPr>
        <w:t xml:space="preserve">United States or Developed portfolio.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lastRenderedPageBreak/>
        <w:t>In what concerns the SAD effect, it not visible in Australian or Japanese nominal bond excess returns, while it gained statistical significance at 5% level in case of United Kingdom (t-statistic increased from 1.45 to 2.06).</w:t>
      </w:r>
    </w:p>
    <w:p w:rsidR="005A06CB" w:rsidRDefault="005A06CB" w:rsidP="005A06CB">
      <w:pPr>
        <w:spacing w:after="0" w:line="360" w:lineRule="auto"/>
        <w:ind w:firstLine="720"/>
        <w:jc w:val="both"/>
        <w:rPr>
          <w:rFonts w:ascii="Times New Roman" w:hAnsi="Times New Roman" w:cs="Times New Roman"/>
          <w:lang w:val="en-GB"/>
        </w:rPr>
      </w:pPr>
      <w:r>
        <w:rPr>
          <w:rFonts w:ascii="Times New Roman" w:hAnsi="Times New Roman" w:cs="Times New Roman"/>
        </w:rPr>
        <w:t xml:space="preserve">Table </w:t>
      </w:r>
      <w:r w:rsidR="00E3703C">
        <w:rPr>
          <w:rFonts w:ascii="Times New Roman" w:hAnsi="Times New Roman" w:cs="Times New Roman"/>
        </w:rPr>
        <w:t>4.3</w:t>
      </w:r>
      <w:r>
        <w:rPr>
          <w:rFonts w:ascii="Times New Roman" w:hAnsi="Times New Roman" w:cs="Times New Roman"/>
        </w:rPr>
        <w:t xml:space="preserve"> also comprises t-statistic values for simple OLS regressions. These values are higher in absolute terms compared to the Newey-West t-stats. This proves that by using Newey-West techniques, it is more difficult to reject the null hypothesis that the coefficient of the dummy is zero, making it conservative, as argued</w:t>
      </w:r>
      <w:r w:rsidR="004819C8">
        <w:rPr>
          <w:rFonts w:ascii="Times New Roman" w:hAnsi="Times New Roman" w:cs="Times New Roman"/>
        </w:rPr>
        <w:t xml:space="preserve"> at the end of </w:t>
      </w:r>
      <w:r>
        <w:rPr>
          <w:rFonts w:ascii="Times New Roman" w:hAnsi="Times New Roman" w:cs="Times New Roman"/>
        </w:rPr>
        <w:t>Section 3.1.</w:t>
      </w:r>
    </w:p>
    <w:p w:rsidR="005A06CB" w:rsidRDefault="005A06CB" w:rsidP="005A06CB">
      <w:pPr>
        <w:spacing w:after="0" w:line="360" w:lineRule="auto"/>
        <w:jc w:val="both"/>
        <w:rPr>
          <w:rFonts w:ascii="Times New Roman" w:hAnsi="Times New Roman" w:cs="Times New Roman"/>
          <w:lang w:val="en-GB"/>
        </w:rPr>
      </w:pPr>
      <w:r>
        <w:rPr>
          <w:rFonts w:ascii="Times New Roman" w:hAnsi="Times New Roman" w:cs="Times New Roman"/>
          <w:lang w:val="en-GB"/>
        </w:rPr>
        <w:tab/>
      </w:r>
      <w:r w:rsidR="00A057DA">
        <w:rPr>
          <w:rFonts w:ascii="Times New Roman" w:hAnsi="Times New Roman" w:cs="Times New Roman"/>
          <w:lang w:val="en-GB"/>
        </w:rPr>
        <w:t>The full table with the estimates and t-statistics can be found in the Table A.4</w:t>
      </w:r>
      <w:r w:rsidR="007B5C6E">
        <w:rPr>
          <w:rFonts w:ascii="Times New Roman" w:hAnsi="Times New Roman" w:cs="Times New Roman"/>
          <w:lang w:val="en-GB"/>
        </w:rPr>
        <w:t xml:space="preserve"> from</w:t>
      </w:r>
      <w:r w:rsidR="00A057DA">
        <w:rPr>
          <w:rFonts w:ascii="Times New Roman" w:hAnsi="Times New Roman" w:cs="Times New Roman"/>
          <w:lang w:val="en-GB"/>
        </w:rPr>
        <w:t xml:space="preserve"> Appendix A. </w:t>
      </w:r>
      <w:r>
        <w:rPr>
          <w:rFonts w:ascii="Times New Roman" w:hAnsi="Times New Roman" w:cs="Times New Roman"/>
          <w:lang w:val="en-GB"/>
        </w:rPr>
        <w:t>The magnitude of the effect</w:t>
      </w:r>
      <w:r w:rsidR="004819C8">
        <w:rPr>
          <w:rFonts w:ascii="Times New Roman" w:hAnsi="Times New Roman" w:cs="Times New Roman"/>
          <w:lang w:val="en-GB"/>
        </w:rPr>
        <w:t>s (H1 H2 and SAD) also does</w:t>
      </w:r>
      <w:r>
        <w:rPr>
          <w:rFonts w:ascii="Times New Roman" w:hAnsi="Times New Roman" w:cs="Times New Roman"/>
          <w:lang w:val="en-GB"/>
        </w:rPr>
        <w:t xml:space="preserve"> not seem to be altered with the exception of Canada and Germany. In other bond markets, the effect is even stronger.</w:t>
      </w:r>
      <w:r>
        <w:rPr>
          <w:rFonts w:ascii="Times New Roman" w:hAnsi="Times New Roman" w:cs="Times New Roman"/>
          <w:lang w:val="en-GB"/>
        </w:rPr>
        <w:tab/>
      </w:r>
    </w:p>
    <w:p w:rsidR="00BC7F37" w:rsidRDefault="00BC7F37" w:rsidP="005A06CB">
      <w:pPr>
        <w:spacing w:after="0" w:line="360" w:lineRule="auto"/>
        <w:jc w:val="both"/>
        <w:rPr>
          <w:rFonts w:ascii="Times New Roman" w:hAnsi="Times New Roman" w:cs="Times New Roman"/>
          <w:lang w:val="en-GB"/>
        </w:rPr>
      </w:pPr>
    </w:p>
    <w:p w:rsidR="005A06CB" w:rsidRPr="008E191F" w:rsidRDefault="005A06CB" w:rsidP="008E191F">
      <w:pPr>
        <w:spacing w:after="120" w:line="360" w:lineRule="auto"/>
        <w:jc w:val="center"/>
        <w:rPr>
          <w:rFonts w:ascii="Times New Roman" w:hAnsi="Times New Roman" w:cs="Times New Roman"/>
        </w:rPr>
      </w:pPr>
      <w:r w:rsidRPr="008434EA">
        <w:rPr>
          <w:rFonts w:ascii="Times New Roman" w:hAnsi="Times New Roman" w:cs="Times New Roman"/>
        </w:rPr>
        <w:t xml:space="preserve">Table </w:t>
      </w:r>
      <w:r w:rsidR="008E191F">
        <w:rPr>
          <w:rFonts w:ascii="Times New Roman" w:hAnsi="Times New Roman" w:cs="Times New Roman"/>
        </w:rPr>
        <w:t>4.3</w:t>
      </w:r>
      <w:r w:rsidRPr="008434EA">
        <w:rPr>
          <w:rFonts w:ascii="Times New Roman" w:hAnsi="Times New Roman" w:cs="Times New Roman"/>
        </w:rPr>
        <w:t>: Robust Regressions of Monthly Nominal Bond Returns</w:t>
      </w:r>
    </w:p>
    <w:tbl>
      <w:tblPr>
        <w:tblW w:w="8500" w:type="dxa"/>
        <w:jc w:val="center"/>
        <w:tblInd w:w="98" w:type="dxa"/>
        <w:tblLook w:val="04A0"/>
      </w:tblPr>
      <w:tblGrid>
        <w:gridCol w:w="1800"/>
        <w:gridCol w:w="1360"/>
        <w:gridCol w:w="1120"/>
        <w:gridCol w:w="1340"/>
        <w:gridCol w:w="960"/>
        <w:gridCol w:w="960"/>
        <w:gridCol w:w="960"/>
      </w:tblGrid>
      <w:tr w:rsidR="005A06CB" w:rsidRPr="005949F8" w:rsidTr="00D0485F">
        <w:trPr>
          <w:trHeight w:val="510"/>
          <w:jc w:val="center"/>
        </w:trPr>
        <w:tc>
          <w:tcPr>
            <w:tcW w:w="1800" w:type="dxa"/>
            <w:tcBorders>
              <w:top w:val="single" w:sz="4" w:space="0" w:color="auto"/>
              <w:left w:val="nil"/>
              <w:bottom w:val="single" w:sz="4" w:space="0" w:color="auto"/>
              <w:right w:val="nil"/>
            </w:tcBorders>
            <w:shd w:val="clear" w:color="auto" w:fill="auto"/>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Nominal Bond Excess Returns</w:t>
            </w:r>
          </w:p>
        </w:tc>
        <w:tc>
          <w:tcPr>
            <w:tcW w:w="136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Dummy</w:t>
            </w:r>
          </w:p>
        </w:tc>
        <w:tc>
          <w:tcPr>
            <w:tcW w:w="112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OLS</w:t>
            </w:r>
          </w:p>
        </w:tc>
        <w:tc>
          <w:tcPr>
            <w:tcW w:w="134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Newey-West</w:t>
            </w:r>
          </w:p>
        </w:tc>
        <w:tc>
          <w:tcPr>
            <w:tcW w:w="96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Huber</w:t>
            </w:r>
          </w:p>
        </w:tc>
        <w:tc>
          <w:tcPr>
            <w:tcW w:w="96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Tukey</w:t>
            </w:r>
          </w:p>
        </w:tc>
        <w:tc>
          <w:tcPr>
            <w:tcW w:w="960" w:type="dxa"/>
            <w:tcBorders>
              <w:top w:val="single" w:sz="4" w:space="0" w:color="auto"/>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Hampel</w:t>
            </w:r>
          </w:p>
        </w:tc>
      </w:tr>
      <w:tr w:rsidR="005A06CB" w:rsidRPr="005949F8" w:rsidTr="00D0485F">
        <w:trPr>
          <w:trHeight w:val="285"/>
          <w:jc w:val="center"/>
        </w:trPr>
        <w:tc>
          <w:tcPr>
            <w:tcW w:w="3160" w:type="dxa"/>
            <w:gridSpan w:val="2"/>
            <w:tcBorders>
              <w:top w:val="single" w:sz="4" w:space="0" w:color="auto"/>
              <w:left w:val="nil"/>
              <w:bottom w:val="single" w:sz="4" w:space="0" w:color="auto"/>
              <w:right w:val="nil"/>
            </w:tcBorders>
            <w:shd w:val="clear" w:color="auto" w:fill="auto"/>
            <w:vAlign w:val="center"/>
            <w:hideMark/>
          </w:tcPr>
          <w:p w:rsidR="005A06CB" w:rsidRPr="005949F8" w:rsidRDefault="005A06CB" w:rsidP="00D0485F">
            <w:pPr>
              <w:spacing w:after="0" w:line="240" w:lineRule="auto"/>
              <w:rPr>
                <w:rFonts w:ascii="Times New Roman" w:eastAsia="Times New Roman" w:hAnsi="Times New Roman" w:cs="Times New Roman"/>
                <w:i/>
                <w:iCs/>
                <w:color w:val="000000"/>
                <w:sz w:val="20"/>
                <w:szCs w:val="20"/>
                <w:lang w:val="en-GB" w:eastAsia="en-GB"/>
              </w:rPr>
            </w:pPr>
            <w:r w:rsidRPr="005949F8">
              <w:rPr>
                <w:rFonts w:ascii="Times New Roman" w:eastAsia="Times New Roman" w:hAnsi="Times New Roman" w:cs="Times New Roman"/>
                <w:i/>
                <w:iCs/>
                <w:color w:val="000000"/>
                <w:sz w:val="20"/>
                <w:szCs w:val="20"/>
                <w:lang w:val="en-GB" w:eastAsia="en-GB"/>
              </w:rPr>
              <w:t>Monthly frequency</w:t>
            </w:r>
          </w:p>
        </w:tc>
        <w:tc>
          <w:tcPr>
            <w:tcW w:w="112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 </w:t>
            </w:r>
          </w:p>
        </w:tc>
        <w:tc>
          <w:tcPr>
            <w:tcW w:w="134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 </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 </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 </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 </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Australia</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1.86</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1.73</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2.00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2.10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2.02</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0.94</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0.84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1.25</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1.44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1.28</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Canada</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2.28</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2.28</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2.00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1.79</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1.96</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2.68</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2.58</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1.95</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2.20</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Germany</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2.78</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2.67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2.04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2.28</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1.78</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1.75</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1.24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0.97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1.22</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Japan</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1.76</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1.69</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2.31</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0.46</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0.42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0.92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1.17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1.05</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United Kingdom</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2.47</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2.72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2.82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2.75</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5949F8">
              <w:rPr>
                <w:rFonts w:ascii="Times New Roman" w:eastAsia="Times New Roman" w:hAnsi="Times New Roman" w:cs="Times New Roman"/>
                <w:color w:val="4F81BD"/>
                <w:sz w:val="20"/>
                <w:szCs w:val="20"/>
                <w:lang w:val="en-GB" w:eastAsia="en-GB"/>
              </w:rPr>
              <w:t>1.66</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1.45</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2.06</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2.17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2.11</w:t>
            </w:r>
          </w:p>
        </w:tc>
      </w:tr>
      <w:tr w:rsidR="005A06CB" w:rsidRPr="005949F8" w:rsidTr="00D0485F">
        <w:trPr>
          <w:trHeight w:val="255"/>
          <w:jc w:val="center"/>
        </w:trPr>
        <w:tc>
          <w:tcPr>
            <w:tcW w:w="1800" w:type="dxa"/>
            <w:vMerge w:val="restart"/>
            <w:tcBorders>
              <w:top w:val="nil"/>
              <w:left w:val="nil"/>
              <w:bottom w:val="nil"/>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United States</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2.17</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1.99</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2.37</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2.38</w:t>
            </w:r>
          </w:p>
        </w:tc>
      </w:tr>
      <w:tr w:rsidR="005A06CB" w:rsidRPr="005949F8" w:rsidTr="00D0485F">
        <w:trPr>
          <w:trHeight w:val="255"/>
          <w:jc w:val="center"/>
        </w:trPr>
        <w:tc>
          <w:tcPr>
            <w:tcW w:w="1800" w:type="dxa"/>
            <w:vMerge/>
            <w:tcBorders>
              <w:top w:val="nil"/>
              <w:left w:val="nil"/>
              <w:bottom w:val="nil"/>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2.86</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3.10</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3.14</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3.12</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3.16</w:t>
            </w:r>
          </w:p>
        </w:tc>
      </w:tr>
      <w:tr w:rsidR="005A06CB" w:rsidRPr="005949F8" w:rsidTr="00D0485F">
        <w:trPr>
          <w:trHeight w:val="255"/>
          <w:jc w:val="center"/>
        </w:trPr>
        <w:tc>
          <w:tcPr>
            <w:tcW w:w="1800" w:type="dxa"/>
            <w:vMerge w:val="restart"/>
            <w:tcBorders>
              <w:top w:val="nil"/>
              <w:left w:val="nil"/>
              <w:bottom w:val="single" w:sz="4" w:space="0" w:color="000000"/>
              <w:right w:val="nil"/>
            </w:tcBorders>
            <w:shd w:val="clear" w:color="auto" w:fill="auto"/>
            <w:noWrap/>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Developed (6)</w:t>
            </w:r>
          </w:p>
        </w:tc>
        <w:tc>
          <w:tcPr>
            <w:tcW w:w="13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H1 H2</w:t>
            </w:r>
          </w:p>
        </w:tc>
        <w:tc>
          <w:tcPr>
            <w:tcW w:w="112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2.83</w:t>
            </w:r>
          </w:p>
        </w:tc>
        <w:tc>
          <w:tcPr>
            <w:tcW w:w="134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2.58</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2.98</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2.89</w:t>
            </w:r>
          </w:p>
        </w:tc>
        <w:tc>
          <w:tcPr>
            <w:tcW w:w="960" w:type="dxa"/>
            <w:tcBorders>
              <w:top w:val="nil"/>
              <w:left w:val="nil"/>
              <w:bottom w:val="nil"/>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2.99</w:t>
            </w:r>
          </w:p>
        </w:tc>
      </w:tr>
      <w:tr w:rsidR="005A06CB" w:rsidRPr="005949F8" w:rsidTr="00D0485F">
        <w:trPr>
          <w:trHeight w:val="255"/>
          <w:jc w:val="center"/>
        </w:trPr>
        <w:tc>
          <w:tcPr>
            <w:tcW w:w="1800" w:type="dxa"/>
            <w:vMerge/>
            <w:tcBorders>
              <w:top w:val="nil"/>
              <w:left w:val="nil"/>
              <w:bottom w:val="single" w:sz="4" w:space="0" w:color="000000"/>
              <w:right w:val="nil"/>
            </w:tcBorders>
            <w:vAlign w:val="center"/>
            <w:hideMark/>
          </w:tcPr>
          <w:p w:rsidR="005A06CB" w:rsidRPr="005949F8"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5949F8">
              <w:rPr>
                <w:rFonts w:ascii="Times New Roman" w:eastAsia="Times New Roman" w:hAnsi="Times New Roman" w:cs="Times New Roman"/>
                <w:color w:val="000000"/>
                <w:sz w:val="20"/>
                <w:szCs w:val="20"/>
                <w:lang w:val="en-GB" w:eastAsia="en-GB"/>
              </w:rPr>
              <w:t>SAD</w:t>
            </w:r>
          </w:p>
        </w:tc>
        <w:tc>
          <w:tcPr>
            <w:tcW w:w="112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2.26</w:t>
            </w:r>
          </w:p>
        </w:tc>
        <w:tc>
          <w:tcPr>
            <w:tcW w:w="134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2.16</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2.33</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2.31</w:t>
            </w:r>
          </w:p>
        </w:tc>
        <w:tc>
          <w:tcPr>
            <w:tcW w:w="960" w:type="dxa"/>
            <w:tcBorders>
              <w:top w:val="nil"/>
              <w:left w:val="nil"/>
              <w:bottom w:val="single" w:sz="4" w:space="0" w:color="auto"/>
              <w:right w:val="nil"/>
            </w:tcBorders>
            <w:shd w:val="clear" w:color="auto" w:fill="auto"/>
            <w:noWrap/>
            <w:vAlign w:val="center"/>
            <w:hideMark/>
          </w:tcPr>
          <w:p w:rsidR="005A06CB" w:rsidRPr="005949F8"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5949F8">
              <w:rPr>
                <w:rFonts w:ascii="Times New Roman" w:eastAsia="Times New Roman" w:hAnsi="Times New Roman" w:cs="Times New Roman"/>
                <w:b/>
                <w:bCs/>
                <w:color w:val="000000"/>
                <w:sz w:val="20"/>
                <w:szCs w:val="20"/>
                <w:lang w:val="en-GB" w:eastAsia="en-GB"/>
              </w:rPr>
              <w:t>2.33</w:t>
            </w:r>
          </w:p>
        </w:tc>
      </w:tr>
    </w:tbl>
    <w:p w:rsidR="005A06CB" w:rsidRPr="006C0856" w:rsidRDefault="005A06CB" w:rsidP="004819C8">
      <w:pPr>
        <w:pStyle w:val="NoSpacing"/>
        <w:jc w:val="both"/>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t-values based on </w:t>
      </w:r>
      <w:r>
        <w:rPr>
          <w:rFonts w:ascii="Times New Roman" w:hAnsi="Times New Roman" w:cs="Times New Roman"/>
          <w:sz w:val="18"/>
          <w:szCs w:val="18"/>
        </w:rPr>
        <w:t xml:space="preserve">different estimation techniques: OLS, </w:t>
      </w:r>
      <w:r w:rsidRPr="006C0856">
        <w:rPr>
          <w:rFonts w:ascii="Times New Roman" w:hAnsi="Times New Roman" w:cs="Times New Roman"/>
          <w:sz w:val="18"/>
          <w:szCs w:val="18"/>
        </w:rPr>
        <w:t>Newey-West standard errors</w:t>
      </w:r>
      <w:r>
        <w:rPr>
          <w:rFonts w:ascii="Times New Roman" w:hAnsi="Times New Roman" w:cs="Times New Roman"/>
          <w:sz w:val="18"/>
          <w:szCs w:val="18"/>
        </w:rPr>
        <w:t xml:space="preserve">, M-estimation based on the proposal of Huber, Tukey and Hampel respectively </w:t>
      </w:r>
      <w:r w:rsidRPr="006C0856">
        <w:rPr>
          <w:rFonts w:ascii="Times New Roman" w:hAnsi="Times New Roman" w:cs="Times New Roman"/>
          <w:sz w:val="18"/>
          <w:szCs w:val="18"/>
        </w:rPr>
        <w:t>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5A06CB" w:rsidRDefault="004819C8"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w:t>
      </w:r>
      <w:r w:rsidR="005A06CB" w:rsidRPr="006C0856">
        <w:rPr>
          <w:rFonts w:ascii="Times New Roman" w:hAnsi="Times New Roman" w:cs="Times New Roman"/>
          <w:sz w:val="18"/>
          <w:szCs w:val="18"/>
        </w:rPr>
        <w:t>bond</w:t>
      </w:r>
      <w:r>
        <w:rPr>
          <w:rFonts w:ascii="Times New Roman" w:hAnsi="Times New Roman" w:cs="Times New Roman"/>
          <w:sz w:val="18"/>
          <w:szCs w:val="18"/>
        </w:rPr>
        <w:t xml:space="preserve"> excess</w:t>
      </w:r>
      <w:r w:rsidR="005A06CB" w:rsidRPr="006C0856">
        <w:rPr>
          <w:rFonts w:ascii="Times New Roman" w:hAnsi="Times New Roman" w:cs="Times New Roman"/>
          <w:sz w:val="18"/>
          <w:szCs w:val="18"/>
        </w:rPr>
        <w:t xml:space="preserve"> returns </w:t>
      </w:r>
      <w:r w:rsidR="005A06CB">
        <w:rPr>
          <w:rFonts w:ascii="Times New Roman" w:hAnsi="Times New Roman" w:cs="Times New Roman"/>
          <w:sz w:val="18"/>
          <w:szCs w:val="18"/>
        </w:rPr>
        <w:t>(calculated based on Datastream bond indices) at the monthly frequency</w:t>
      </w:r>
      <w:r w:rsidR="005A06CB" w:rsidRPr="006C0856">
        <w:rPr>
          <w:rFonts w:ascii="Times New Roman" w:hAnsi="Times New Roman" w:cs="Times New Roman"/>
          <w:sz w:val="18"/>
          <w:szCs w:val="18"/>
        </w:rPr>
        <w:t>. X depends on t</w:t>
      </w:r>
      <w:r w:rsidR="005A06CB">
        <w:rPr>
          <w:rFonts w:ascii="Times New Roman" w:hAnsi="Times New Roman" w:cs="Times New Roman"/>
          <w:sz w:val="18"/>
          <w:szCs w:val="18"/>
        </w:rPr>
        <w:t>he seasonal pattern tested. In case of H</w:t>
      </w:r>
      <w:r w:rsidR="005A06CB" w:rsidRPr="006C0856">
        <w:rPr>
          <w:rFonts w:ascii="Times New Roman" w:hAnsi="Times New Roman" w:cs="Times New Roman"/>
          <w:sz w:val="18"/>
          <w:szCs w:val="18"/>
        </w:rPr>
        <w:t>1 H2</w:t>
      </w:r>
      <w:r w:rsidR="005A06CB">
        <w:rPr>
          <w:rFonts w:ascii="Times New Roman" w:hAnsi="Times New Roman" w:cs="Times New Roman"/>
          <w:sz w:val="18"/>
          <w:szCs w:val="18"/>
        </w:rPr>
        <w:t>,</w:t>
      </w:r>
      <w:r w:rsidR="005A06CB" w:rsidRPr="006C0856">
        <w:rPr>
          <w:rFonts w:ascii="Times New Roman" w:hAnsi="Times New Roman" w:cs="Times New Roman"/>
          <w:sz w:val="18"/>
          <w:szCs w:val="18"/>
        </w:rPr>
        <w:t xml:space="preserve"> X is a dummy that takes on the value of 1 for July to December and 0 otherwise. For SAD</w:t>
      </w:r>
      <w:r w:rsidR="005A06CB">
        <w:rPr>
          <w:rFonts w:ascii="Times New Roman" w:hAnsi="Times New Roman" w:cs="Times New Roman"/>
          <w:sz w:val="18"/>
          <w:szCs w:val="18"/>
        </w:rPr>
        <w:t>, X</w:t>
      </w:r>
      <w:r w:rsidR="005A06CB" w:rsidRPr="006C0856">
        <w:rPr>
          <w:rFonts w:ascii="Times New Roman" w:hAnsi="Times New Roman" w:cs="Times New Roman"/>
          <w:sz w:val="18"/>
          <w:szCs w:val="18"/>
        </w:rPr>
        <w:t xml:space="preserve"> is set equal to the 12 monthly values from the Kamstra, Kramer, and Levi (2014) paper. </w:t>
      </w:r>
      <w:r w:rsidR="005A06CB" w:rsidRPr="00D57A22">
        <w:rPr>
          <w:rFonts w:ascii="Times New Roman" w:hAnsi="Times New Roman" w:cs="Times New Roman"/>
          <w:sz w:val="18"/>
          <w:szCs w:val="18"/>
        </w:rPr>
        <w:t>The number in parenthesis next to Developed portfolio stand</w:t>
      </w:r>
      <w:r w:rsidR="005A06CB">
        <w:rPr>
          <w:rFonts w:ascii="Times New Roman" w:hAnsi="Times New Roman" w:cs="Times New Roman"/>
          <w:sz w:val="18"/>
          <w:szCs w:val="18"/>
        </w:rPr>
        <w:t>s</w:t>
      </w:r>
      <w:r w:rsidR="005A06CB" w:rsidRPr="00D57A22">
        <w:rPr>
          <w:rFonts w:ascii="Times New Roman" w:hAnsi="Times New Roman" w:cs="Times New Roman"/>
          <w:sz w:val="18"/>
          <w:szCs w:val="18"/>
        </w:rPr>
        <w:t xml:space="preserve"> for the number of </w:t>
      </w:r>
      <w:r w:rsidR="005A06CB">
        <w:rPr>
          <w:rFonts w:ascii="Times New Roman" w:hAnsi="Times New Roman" w:cs="Times New Roman"/>
          <w:sz w:val="18"/>
          <w:szCs w:val="18"/>
        </w:rPr>
        <w:t>countries</w:t>
      </w:r>
      <w:r w:rsidR="005A06CB" w:rsidRPr="00D57A22">
        <w:rPr>
          <w:rFonts w:ascii="Times New Roman" w:hAnsi="Times New Roman" w:cs="Times New Roman"/>
          <w:sz w:val="18"/>
          <w:szCs w:val="18"/>
        </w:rPr>
        <w:t xml:space="preserve"> from the portfolio</w:t>
      </w:r>
      <w:r w:rsidR="005A06CB">
        <w:rPr>
          <w:rFonts w:ascii="Times New Roman" w:hAnsi="Times New Roman" w:cs="Times New Roman"/>
          <w:sz w:val="18"/>
          <w:szCs w:val="18"/>
        </w:rPr>
        <w:t>. Huber M-est</w:t>
      </w:r>
      <w:r>
        <w:rPr>
          <w:rFonts w:ascii="Times New Roman" w:hAnsi="Times New Roman" w:cs="Times New Roman"/>
          <w:sz w:val="18"/>
          <w:szCs w:val="18"/>
        </w:rPr>
        <w:t xml:space="preserve">imation is performed with k=1.500 and Tukey’s estimation with </w:t>
      </w:r>
      <w:r w:rsidRPr="004819C8">
        <w:rPr>
          <w:rFonts w:ascii="Times New Roman" w:hAnsi="Times New Roman" w:cs="Times New Roman"/>
          <w:sz w:val="18"/>
          <w:szCs w:val="18"/>
        </w:rPr>
        <w:t>k=4.685</w:t>
      </w:r>
      <w:r>
        <w:rPr>
          <w:rFonts w:ascii="Times New Roman" w:hAnsi="Times New Roman" w:cs="Times New Roman"/>
          <w:sz w:val="18"/>
          <w:szCs w:val="18"/>
        </w:rPr>
        <w:t xml:space="preserve">. </w:t>
      </w:r>
      <w:r w:rsidR="005A06CB">
        <w:rPr>
          <w:rFonts w:ascii="Times New Roman" w:hAnsi="Times New Roman" w:cs="Times New Roman"/>
          <w:sz w:val="18"/>
          <w:szCs w:val="18"/>
        </w:rPr>
        <w:t xml:space="preserve">Hampel estimation is performed with a=1.5, b=3.6 and c=8. The numbers in </w:t>
      </w:r>
      <w:r w:rsidR="005A06CB" w:rsidRPr="00D0262F">
        <w:rPr>
          <w:rFonts w:ascii="Times New Roman" w:hAnsi="Times New Roman" w:cs="Times New Roman"/>
          <w:b/>
          <w:sz w:val="18"/>
          <w:szCs w:val="18"/>
        </w:rPr>
        <w:t>Bold</w:t>
      </w:r>
      <w:r w:rsidR="005A06CB">
        <w:rPr>
          <w:rFonts w:ascii="Times New Roman" w:hAnsi="Times New Roman" w:cs="Times New Roman"/>
          <w:sz w:val="18"/>
          <w:szCs w:val="18"/>
        </w:rPr>
        <w:t xml:space="preserve"> show statistical significance at 5% significance level, while those in </w:t>
      </w:r>
      <w:r w:rsidR="005A06CB" w:rsidRPr="00E7620F">
        <w:rPr>
          <w:rFonts w:ascii="Times New Roman" w:eastAsia="Times New Roman" w:hAnsi="Times New Roman" w:cs="Times New Roman"/>
          <w:color w:val="4F81BD"/>
          <w:sz w:val="18"/>
          <w:szCs w:val="18"/>
          <w:lang w:val="en-GB" w:eastAsia="en-GB"/>
        </w:rPr>
        <w:t xml:space="preserve">Blue </w:t>
      </w:r>
      <w:r w:rsidR="005A06CB">
        <w:rPr>
          <w:rFonts w:ascii="Times New Roman" w:hAnsi="Times New Roman" w:cs="Times New Roman"/>
          <w:sz w:val="18"/>
          <w:szCs w:val="18"/>
        </w:rPr>
        <w:t>at 10% significance level.</w:t>
      </w:r>
    </w:p>
    <w:p w:rsidR="005A06CB" w:rsidRPr="00A27BAC" w:rsidRDefault="005A06CB" w:rsidP="005A06CB">
      <w:pPr>
        <w:rPr>
          <w:lang w:val="en-GB"/>
        </w:rPr>
      </w:pPr>
    </w:p>
    <w:p w:rsidR="005A06CB" w:rsidRDefault="005A06CB" w:rsidP="005A06CB">
      <w:pPr>
        <w:spacing w:after="0" w:line="240" w:lineRule="auto"/>
        <w:jc w:val="both"/>
        <w:rPr>
          <w:rFonts w:ascii="Times New Roman" w:hAnsi="Times New Roman" w:cs="Times New Roman"/>
          <w:lang w:val="en-GB"/>
        </w:rPr>
      </w:pPr>
    </w:p>
    <w:p w:rsidR="007B5C6E" w:rsidRDefault="007B5C6E" w:rsidP="005A06CB">
      <w:pPr>
        <w:spacing w:after="0" w:line="240" w:lineRule="auto"/>
        <w:jc w:val="both"/>
        <w:rPr>
          <w:rFonts w:ascii="Times New Roman" w:hAnsi="Times New Roman" w:cs="Times New Roman"/>
          <w:lang w:val="en-GB"/>
        </w:rPr>
      </w:pPr>
    </w:p>
    <w:p w:rsidR="007B5C6E" w:rsidRDefault="007B5C6E" w:rsidP="005A06CB">
      <w:pPr>
        <w:spacing w:after="0" w:line="240" w:lineRule="auto"/>
        <w:jc w:val="both"/>
        <w:rPr>
          <w:rFonts w:ascii="Times New Roman" w:hAnsi="Times New Roman" w:cs="Times New Roman"/>
          <w:lang w:val="en-GB"/>
        </w:rPr>
      </w:pPr>
    </w:p>
    <w:p w:rsidR="007B5C6E" w:rsidRDefault="007B5C6E" w:rsidP="005A06CB">
      <w:pPr>
        <w:spacing w:after="0" w:line="240" w:lineRule="auto"/>
        <w:jc w:val="both"/>
        <w:rPr>
          <w:rFonts w:ascii="Times New Roman" w:hAnsi="Times New Roman" w:cs="Times New Roman"/>
          <w:lang w:val="en-GB"/>
        </w:rPr>
      </w:pPr>
    </w:p>
    <w:p w:rsidR="005A06CB" w:rsidRPr="00EA480F" w:rsidRDefault="005A06CB" w:rsidP="005A06CB">
      <w:pPr>
        <w:pStyle w:val="Heading2"/>
        <w:ind w:left="360"/>
        <w:rPr>
          <w:lang w:val="nl-NL"/>
        </w:rPr>
      </w:pPr>
      <w:bookmarkStart w:id="42" w:name="_Toc394500061"/>
      <w:bookmarkStart w:id="43" w:name="_Toc396762710"/>
      <w:r>
        <w:rPr>
          <w:lang w:val="nl-NL"/>
        </w:rPr>
        <w:lastRenderedPageBreak/>
        <w:t>4.2 Inflation explanation</w:t>
      </w:r>
      <w:bookmarkEnd w:id="42"/>
      <w:bookmarkEnd w:id="43"/>
    </w:p>
    <w:p w:rsidR="005A06CB" w:rsidRDefault="005A06CB" w:rsidP="005A06CB">
      <w:pPr>
        <w:spacing w:after="0" w:line="240" w:lineRule="auto"/>
        <w:jc w:val="both"/>
        <w:rPr>
          <w:rFonts w:ascii="Times New Roman" w:hAnsi="Times New Roman" w:cs="Times New Roman"/>
          <w:lang w:val="en-GB"/>
        </w:rPr>
      </w:pPr>
    </w:p>
    <w:p w:rsidR="005A06CB" w:rsidRDefault="00BC7F37" w:rsidP="00BC7F37">
      <w:pPr>
        <w:pStyle w:val="Heading2"/>
        <w:ind w:left="360"/>
        <w:rPr>
          <w:sz w:val="24"/>
          <w:szCs w:val="24"/>
          <w:lang w:val="nl-NL"/>
        </w:rPr>
      </w:pPr>
      <w:bookmarkStart w:id="44" w:name="_Toc396762711"/>
      <w:r>
        <w:rPr>
          <w:sz w:val="24"/>
          <w:szCs w:val="24"/>
          <w:lang w:val="nl-NL"/>
        </w:rPr>
        <w:t xml:space="preserve">4.2.1 </w:t>
      </w:r>
      <w:r w:rsidR="005A06CB" w:rsidRPr="00974169">
        <w:rPr>
          <w:sz w:val="24"/>
          <w:szCs w:val="24"/>
          <w:lang w:val="nl-NL"/>
        </w:rPr>
        <w:t>Seasonality of inflation rate</w:t>
      </w:r>
      <w:bookmarkEnd w:id="44"/>
    </w:p>
    <w:p w:rsidR="005A06CB" w:rsidRDefault="005A06CB" w:rsidP="005A06CB">
      <w:pPr>
        <w:rPr>
          <w:lang w:val="nl-NL"/>
        </w:rPr>
      </w:pPr>
    </w:p>
    <w:p w:rsidR="005A06CB" w:rsidRPr="005949F8" w:rsidRDefault="008E191F" w:rsidP="005A06CB">
      <w:pPr>
        <w:spacing w:after="0" w:line="360" w:lineRule="auto"/>
        <w:ind w:firstLine="720"/>
        <w:jc w:val="both"/>
        <w:rPr>
          <w:rFonts w:ascii="Times New Roman" w:hAnsi="Times New Roman" w:cs="Times New Roman"/>
          <w:lang w:val="nl-NL"/>
        </w:rPr>
      </w:pPr>
      <w:r>
        <w:rPr>
          <w:rFonts w:ascii="Times New Roman" w:hAnsi="Times New Roman" w:cs="Times New Roman"/>
          <w:lang w:val="en-GB"/>
        </w:rPr>
        <w:t xml:space="preserve">As discussed in Section </w:t>
      </w:r>
      <w:r w:rsidR="00E7620F">
        <w:rPr>
          <w:rFonts w:ascii="Times New Roman" w:hAnsi="Times New Roman" w:cs="Times New Roman"/>
          <w:lang w:val="en-GB"/>
        </w:rPr>
        <w:t>2.3</w:t>
      </w:r>
      <w:r w:rsidR="005A06CB">
        <w:rPr>
          <w:rFonts w:ascii="Times New Roman" w:hAnsi="Times New Roman" w:cs="Times New Roman"/>
          <w:lang w:val="en-GB"/>
        </w:rPr>
        <w:t xml:space="preserve">, the dynamics of inflation rate also seem to be repeated across the calendar year by a similar magnitude. This is due to the seasonality of its components. In the section 4.2.1 I investigate this empirically by following the same steps as in case of nominal bond returns. </w:t>
      </w:r>
    </w:p>
    <w:p w:rsidR="005A06CB" w:rsidRPr="00BC3FC0" w:rsidRDefault="005A06CB" w:rsidP="005A06CB">
      <w:pPr>
        <w:pStyle w:val="NoSpacing"/>
        <w:spacing w:line="360" w:lineRule="auto"/>
        <w:jc w:val="both"/>
        <w:rPr>
          <w:rFonts w:ascii="Times New Roman" w:hAnsi="Times New Roman" w:cs="Times New Roman"/>
        </w:rPr>
      </w:pPr>
      <w:r>
        <w:rPr>
          <w:lang w:val="nl-NL"/>
        </w:rPr>
        <w:tab/>
      </w:r>
      <w:r w:rsidRPr="001F1FCA">
        <w:rPr>
          <w:rFonts w:ascii="Times New Roman" w:hAnsi="Times New Roman" w:cs="Times New Roman"/>
          <w:lang w:val="nl-NL"/>
        </w:rPr>
        <w:t xml:space="preserve">First, </w:t>
      </w:r>
      <w:r>
        <w:rPr>
          <w:rFonts w:ascii="Times New Roman" w:hAnsi="Times New Roman" w:cs="Times New Roman"/>
          <w:lang w:val="nl-NL"/>
        </w:rPr>
        <w:t xml:space="preserve">I look at the monthly average of inflation rate across the calendar year. Figure </w:t>
      </w:r>
      <w:r w:rsidR="008E191F">
        <w:rPr>
          <w:rFonts w:ascii="Times New Roman" w:hAnsi="Times New Roman" w:cs="Times New Roman"/>
          <w:lang w:val="nl-NL"/>
        </w:rPr>
        <w:t>4.</w:t>
      </w:r>
      <w:r>
        <w:rPr>
          <w:rFonts w:ascii="Times New Roman" w:hAnsi="Times New Roman" w:cs="Times New Roman"/>
          <w:lang w:val="nl-NL"/>
        </w:rPr>
        <w:t xml:space="preserve">2 shows that </w:t>
      </w:r>
      <w:r w:rsidRPr="001F1FCA">
        <w:rPr>
          <w:rFonts w:ascii="Times New Roman" w:hAnsi="Times New Roman" w:cs="Times New Roman"/>
        </w:rPr>
        <w:t xml:space="preserve"> non-seasonally adjusted inflation</w:t>
      </w:r>
      <w:r>
        <w:rPr>
          <w:rFonts w:ascii="Times New Roman" w:hAnsi="Times New Roman" w:cs="Times New Roman"/>
        </w:rPr>
        <w:t xml:space="preserve"> displays the opposite pattern compared to that observed on government bond returns. With the exception of Japan, the inflation rate is higher </w:t>
      </w:r>
      <w:r w:rsidRPr="001F1FCA">
        <w:rPr>
          <w:rFonts w:ascii="Times New Roman" w:hAnsi="Times New Roman" w:cs="Times New Roman"/>
        </w:rPr>
        <w:t>in the first half of the year</w:t>
      </w:r>
      <w:r>
        <w:rPr>
          <w:rFonts w:ascii="Times New Roman" w:hAnsi="Times New Roman" w:cs="Times New Roman"/>
        </w:rPr>
        <w:t>. I</w:t>
      </w:r>
      <w:r w:rsidRPr="001F1FCA">
        <w:rPr>
          <w:rFonts w:ascii="Times New Roman" w:hAnsi="Times New Roman" w:cs="Times New Roman"/>
        </w:rPr>
        <w:t xml:space="preserve"> proceed with formally testing for seasonality</w:t>
      </w:r>
      <w:r>
        <w:rPr>
          <w:rFonts w:ascii="Times New Roman" w:hAnsi="Times New Roman" w:cs="Times New Roman"/>
        </w:rPr>
        <w:t xml:space="preserve"> in inflation rate.</w:t>
      </w:r>
    </w:p>
    <w:p w:rsidR="005A06CB" w:rsidRDefault="005A06CB" w:rsidP="005A06CB">
      <w:pPr>
        <w:rPr>
          <w:lang w:val="nl-NL"/>
        </w:rPr>
      </w:pPr>
    </w:p>
    <w:p w:rsidR="00BC7F37" w:rsidRDefault="00BC7F37" w:rsidP="005A06CB">
      <w:pPr>
        <w:rPr>
          <w:lang w:val="nl-NL"/>
        </w:rPr>
      </w:pPr>
    </w:p>
    <w:p w:rsidR="005A06CB" w:rsidRPr="008434EA" w:rsidRDefault="005A06CB" w:rsidP="008E191F">
      <w:pPr>
        <w:spacing w:after="120" w:line="360" w:lineRule="auto"/>
        <w:jc w:val="center"/>
        <w:rPr>
          <w:rFonts w:ascii="Times New Roman" w:hAnsi="Times New Roman" w:cs="Times New Roman"/>
        </w:rPr>
      </w:pPr>
      <w:r w:rsidRPr="008434EA">
        <w:rPr>
          <w:rFonts w:ascii="Times New Roman" w:hAnsi="Times New Roman" w:cs="Times New Roman"/>
        </w:rPr>
        <w:t xml:space="preserve">Figure </w:t>
      </w:r>
      <w:r w:rsidR="008E191F">
        <w:rPr>
          <w:rFonts w:ascii="Times New Roman" w:hAnsi="Times New Roman" w:cs="Times New Roman"/>
        </w:rPr>
        <w:t>4.</w:t>
      </w:r>
      <w:r w:rsidRPr="008434EA">
        <w:rPr>
          <w:rFonts w:ascii="Times New Roman" w:hAnsi="Times New Roman" w:cs="Times New Roman"/>
        </w:rPr>
        <w:t>2: Monthly Average of Inflation Rate</w:t>
      </w:r>
    </w:p>
    <w:p w:rsidR="005A06CB" w:rsidRDefault="005A06CB" w:rsidP="005A06CB">
      <w:pPr>
        <w:rPr>
          <w:lang w:val="nl-NL"/>
        </w:rPr>
      </w:pPr>
      <w:r w:rsidRPr="00783344">
        <w:rPr>
          <w:noProof/>
        </w:rPr>
        <w:drawing>
          <wp:inline distT="0" distB="0" distL="0" distR="0">
            <wp:extent cx="2962273" cy="2000243"/>
            <wp:effectExtent l="0" t="0" r="0" b="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sidRPr="00946479">
        <w:rPr>
          <w:noProof/>
        </w:rPr>
        <w:drawing>
          <wp:inline distT="0" distB="0" distL="0" distR="0">
            <wp:extent cx="2962273" cy="2000243"/>
            <wp:effectExtent l="0" t="0" r="0" b="0"/>
            <wp:docPr id="53" name="Chart 53"/>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5A06CB" w:rsidRDefault="005A06CB" w:rsidP="005A06CB">
      <w:pPr>
        <w:rPr>
          <w:lang w:val="nl-NL"/>
        </w:rPr>
      </w:pPr>
      <w:r w:rsidRPr="00783344">
        <w:rPr>
          <w:noProof/>
        </w:rPr>
        <w:drawing>
          <wp:inline distT="0" distB="0" distL="0" distR="0">
            <wp:extent cx="2962273" cy="2000243"/>
            <wp:effectExtent l="0" t="0" r="0" b="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sidRPr="00783344">
        <w:rPr>
          <w:noProof/>
        </w:rPr>
        <w:drawing>
          <wp:inline distT="0" distB="0" distL="0" distR="0">
            <wp:extent cx="2962273" cy="2000243"/>
            <wp:effectExtent l="0" t="0" r="0" b="0"/>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5A06CB" w:rsidRDefault="005A06CB" w:rsidP="005A06CB">
      <w:pPr>
        <w:rPr>
          <w:lang w:val="nl-NL"/>
        </w:rPr>
      </w:pPr>
      <w:r w:rsidRPr="00783344">
        <w:rPr>
          <w:noProof/>
        </w:rPr>
        <w:lastRenderedPageBreak/>
        <w:drawing>
          <wp:inline distT="0" distB="0" distL="0" distR="0">
            <wp:extent cx="2962273" cy="2000243"/>
            <wp:effectExtent l="0" t="0" r="0" b="0"/>
            <wp:docPr id="51" name="Chart 5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r w:rsidRPr="00783344">
        <w:rPr>
          <w:noProof/>
        </w:rPr>
        <w:drawing>
          <wp:inline distT="0" distB="0" distL="0" distR="0">
            <wp:extent cx="2962273" cy="2000243"/>
            <wp:effectExtent l="0" t="0" r="0" b="0"/>
            <wp:docPr id="52" name="Chart 52"/>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5A06CB" w:rsidRPr="00A44AC9" w:rsidRDefault="005A06CB" w:rsidP="005A06CB">
      <w:pPr>
        <w:pStyle w:val="NoSpacing"/>
        <w:jc w:val="both"/>
        <w:rPr>
          <w:rFonts w:ascii="Times New Roman" w:hAnsi="Times New Roman" w:cs="Times New Roman"/>
          <w:sz w:val="18"/>
          <w:szCs w:val="18"/>
        </w:rPr>
      </w:pPr>
      <w:r w:rsidRPr="00A44AC9">
        <w:rPr>
          <w:rFonts w:ascii="Times New Roman" w:hAnsi="Times New Roman" w:cs="Times New Roman"/>
          <w:i/>
          <w:sz w:val="18"/>
          <w:szCs w:val="18"/>
        </w:rPr>
        <w:t>Notes</w:t>
      </w:r>
      <w:r w:rsidRPr="00A44AC9">
        <w:rPr>
          <w:rFonts w:ascii="Times New Roman" w:hAnsi="Times New Roman" w:cs="Times New Roman"/>
          <w:sz w:val="18"/>
          <w:szCs w:val="18"/>
        </w:rPr>
        <w:t xml:space="preserve">: The graphs depict the average of </w:t>
      </w:r>
      <w:r>
        <w:rPr>
          <w:rFonts w:ascii="Times New Roman" w:hAnsi="Times New Roman" w:cs="Times New Roman"/>
          <w:sz w:val="18"/>
          <w:szCs w:val="18"/>
        </w:rPr>
        <w:t xml:space="preserve">non-seasonally adjusted inflation rate </w:t>
      </w:r>
      <w:r w:rsidRPr="00A44AC9">
        <w:rPr>
          <w:rFonts w:ascii="Times New Roman" w:hAnsi="Times New Roman" w:cs="Times New Roman"/>
          <w:sz w:val="18"/>
          <w:szCs w:val="18"/>
        </w:rPr>
        <w:t>for each calendar month</w:t>
      </w:r>
      <w:r>
        <w:rPr>
          <w:rFonts w:ascii="Times New Roman" w:hAnsi="Times New Roman" w:cs="Times New Roman"/>
          <w:sz w:val="18"/>
          <w:szCs w:val="18"/>
        </w:rPr>
        <w:t xml:space="preserve"> for five of the six considered countries and the Developed portfolio. Australia inflation rate is not displayed as the frequency of the inflation data is quarterly. Details about the indices considered to measure i</w:t>
      </w:r>
      <w:r w:rsidR="005C29A7">
        <w:rPr>
          <w:rFonts w:ascii="Times New Roman" w:hAnsi="Times New Roman" w:cs="Times New Roman"/>
          <w:sz w:val="18"/>
          <w:szCs w:val="18"/>
        </w:rPr>
        <w:t>nflation can be found in Table A.1</w:t>
      </w:r>
      <w:r>
        <w:rPr>
          <w:rFonts w:ascii="Times New Roman" w:hAnsi="Times New Roman" w:cs="Times New Roman"/>
          <w:sz w:val="18"/>
          <w:szCs w:val="18"/>
        </w:rPr>
        <w:t xml:space="preserve"> from the Appendix</w:t>
      </w:r>
      <w:r w:rsidR="005C29A7">
        <w:rPr>
          <w:rFonts w:ascii="Times New Roman" w:hAnsi="Times New Roman" w:cs="Times New Roman"/>
          <w:sz w:val="18"/>
          <w:szCs w:val="18"/>
        </w:rPr>
        <w:t xml:space="preserve"> A</w:t>
      </w:r>
      <w:r>
        <w:rPr>
          <w:rFonts w:ascii="Times New Roman" w:hAnsi="Times New Roman" w:cs="Times New Roman"/>
          <w:sz w:val="18"/>
          <w:szCs w:val="18"/>
        </w:rPr>
        <w:t xml:space="preserve">. </w:t>
      </w:r>
      <w:r w:rsidRPr="00A44AC9">
        <w:rPr>
          <w:rFonts w:ascii="Times New Roman" w:hAnsi="Times New Roman" w:cs="Times New Roman"/>
          <w:sz w:val="18"/>
          <w:szCs w:val="18"/>
        </w:rPr>
        <w:t xml:space="preserve">The sample period covered for each country is </w:t>
      </w:r>
      <w:r>
        <w:rPr>
          <w:rFonts w:ascii="Times New Roman" w:hAnsi="Times New Roman" w:cs="Times New Roman"/>
          <w:sz w:val="18"/>
          <w:szCs w:val="18"/>
        </w:rPr>
        <w:t>the same as in case of nominal bond excess returns</w:t>
      </w:r>
      <w:r w:rsidR="005C29A7">
        <w:rPr>
          <w:rFonts w:ascii="Times New Roman" w:hAnsi="Times New Roman" w:cs="Times New Roman"/>
          <w:sz w:val="18"/>
          <w:szCs w:val="18"/>
        </w:rPr>
        <w:t xml:space="preserve"> (shown in Table 3.1)</w:t>
      </w:r>
      <w:r>
        <w:rPr>
          <w:rFonts w:ascii="Times New Roman" w:hAnsi="Times New Roman" w:cs="Times New Roman"/>
          <w:sz w:val="18"/>
          <w:szCs w:val="18"/>
        </w:rPr>
        <w:t xml:space="preserve">. </w:t>
      </w:r>
      <w:r w:rsidRPr="00A44AC9">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Pr="00A44AC9">
        <w:rPr>
          <w:rFonts w:ascii="Times New Roman" w:hAnsi="Times New Roman" w:cs="Times New Roman"/>
          <w:sz w:val="18"/>
          <w:szCs w:val="18"/>
        </w:rPr>
        <w:t xml:space="preserve"> portfolio is ba</w:t>
      </w:r>
      <w:r w:rsidR="005C29A7">
        <w:rPr>
          <w:rFonts w:ascii="Times New Roman" w:hAnsi="Times New Roman" w:cs="Times New Roman"/>
          <w:sz w:val="18"/>
          <w:szCs w:val="18"/>
        </w:rPr>
        <w:t>sed on equally-</w:t>
      </w:r>
      <w:r>
        <w:rPr>
          <w:rFonts w:ascii="Times New Roman" w:hAnsi="Times New Roman" w:cs="Times New Roman"/>
          <w:sz w:val="18"/>
          <w:szCs w:val="18"/>
        </w:rPr>
        <w:t>weighting the five</w:t>
      </w:r>
      <w:r w:rsidRPr="00A44AC9">
        <w:rPr>
          <w:rFonts w:ascii="Times New Roman" w:hAnsi="Times New Roman" w:cs="Times New Roman"/>
          <w:sz w:val="18"/>
          <w:szCs w:val="18"/>
        </w:rPr>
        <w:t xml:space="preserve"> countries</w:t>
      </w:r>
      <w:r>
        <w:rPr>
          <w:rFonts w:ascii="Times New Roman" w:hAnsi="Times New Roman" w:cs="Times New Roman"/>
          <w:sz w:val="18"/>
          <w:szCs w:val="18"/>
        </w:rPr>
        <w:t xml:space="preserve"> with monthly inflation rates (with the exception of Australia)</w:t>
      </w:r>
      <w:r w:rsidRPr="00A44AC9">
        <w:rPr>
          <w:rFonts w:ascii="Times New Roman" w:hAnsi="Times New Roman" w:cs="Times New Roman"/>
          <w:sz w:val="18"/>
          <w:szCs w:val="18"/>
        </w:rPr>
        <w:t xml:space="preserve">. </w:t>
      </w:r>
    </w:p>
    <w:p w:rsidR="005A06CB" w:rsidRDefault="005A06CB" w:rsidP="005A06CB">
      <w:pPr>
        <w:rPr>
          <w:lang w:val="nl-NL"/>
        </w:rPr>
      </w:pPr>
    </w:p>
    <w:p w:rsidR="005A06CB" w:rsidRDefault="00E7620F" w:rsidP="005A06CB">
      <w:pPr>
        <w:spacing w:after="0" w:line="360" w:lineRule="auto"/>
        <w:ind w:firstLine="720"/>
        <w:jc w:val="both"/>
        <w:rPr>
          <w:rFonts w:ascii="Times New Roman" w:hAnsi="Times New Roman" w:cs="Times New Roman"/>
        </w:rPr>
      </w:pPr>
      <w:r>
        <w:rPr>
          <w:rFonts w:ascii="Times New Roman" w:hAnsi="Times New Roman" w:cs="Times New Roman"/>
        </w:rPr>
        <w:t>Based on Table 4.4</w:t>
      </w:r>
      <w:r w:rsidR="005A06CB">
        <w:rPr>
          <w:rFonts w:ascii="Times New Roman" w:hAnsi="Times New Roman" w:cs="Times New Roman"/>
        </w:rPr>
        <w:t xml:space="preserve">, relatively higher inflation rates are observed in the first part of the year compared to the latter. The exception is Australia where the annual inflation rate hovers around a 3% level for the whole year. In Germany, the United Kingdom, Developed portfolio and the US CRSP Universe, the average inflation rate for January-June is twice the one recorded during July-December. A larger relative difference is seen in Canada, Japan and </w:t>
      </w:r>
      <w:r w:rsidR="005C29A7">
        <w:rPr>
          <w:rFonts w:ascii="Times New Roman" w:hAnsi="Times New Roman" w:cs="Times New Roman"/>
        </w:rPr>
        <w:t xml:space="preserve">the </w:t>
      </w:r>
      <w:r w:rsidR="005A06CB">
        <w:rPr>
          <w:rFonts w:ascii="Times New Roman" w:hAnsi="Times New Roman" w:cs="Times New Roman"/>
        </w:rPr>
        <w:t>United States. It is also noticed that the magnitude of the difference between first half (H1) and second half (H2) is smaller compared to the one of bond returns</w:t>
      </w:r>
      <w:r w:rsidR="005C29A7">
        <w:rPr>
          <w:rFonts w:ascii="Times New Roman" w:hAnsi="Times New Roman" w:cs="Times New Roman"/>
        </w:rPr>
        <w:t xml:space="preserve"> (Table 4.1)</w:t>
      </w:r>
      <w:r w:rsidR="005A06CB">
        <w:rPr>
          <w:rFonts w:ascii="Times New Roman" w:hAnsi="Times New Roman" w:cs="Times New Roman"/>
        </w:rPr>
        <w:t xml:space="preserve">. </w:t>
      </w:r>
    </w:p>
    <w:p w:rsidR="005A06CB" w:rsidRDefault="005A06CB" w:rsidP="005A06CB">
      <w:pPr>
        <w:rPr>
          <w:lang w:val="nl-NL"/>
        </w:rPr>
      </w:pPr>
    </w:p>
    <w:p w:rsidR="005A06CB" w:rsidRPr="00ED5D5F" w:rsidRDefault="005A06CB" w:rsidP="00E7620F">
      <w:pPr>
        <w:spacing w:after="120" w:line="360" w:lineRule="auto"/>
        <w:jc w:val="center"/>
        <w:rPr>
          <w:rFonts w:ascii="Times New Roman" w:hAnsi="Times New Roman" w:cs="Times New Roman"/>
          <w:lang w:val="nl-NL"/>
        </w:rPr>
      </w:pPr>
      <w:r w:rsidRPr="00ED5D5F">
        <w:rPr>
          <w:rFonts w:ascii="Times New Roman" w:hAnsi="Times New Roman" w:cs="Times New Roman"/>
          <w:lang w:val="nl-NL"/>
        </w:rPr>
        <w:t>Table</w:t>
      </w:r>
      <w:r w:rsidR="00E7620F">
        <w:rPr>
          <w:rFonts w:ascii="Times New Roman" w:hAnsi="Times New Roman" w:cs="Times New Roman"/>
          <w:lang w:val="nl-NL"/>
        </w:rPr>
        <w:t xml:space="preserve"> 4.4</w:t>
      </w:r>
      <w:r>
        <w:rPr>
          <w:rFonts w:ascii="Times New Roman" w:hAnsi="Times New Roman" w:cs="Times New Roman"/>
          <w:lang w:val="nl-NL"/>
        </w:rPr>
        <w:t>: Economic importance</w:t>
      </w:r>
    </w:p>
    <w:tbl>
      <w:tblPr>
        <w:tblW w:w="5100" w:type="dxa"/>
        <w:jc w:val="center"/>
        <w:tblInd w:w="98" w:type="dxa"/>
        <w:tblLook w:val="04A0"/>
      </w:tblPr>
      <w:tblGrid>
        <w:gridCol w:w="2180"/>
        <w:gridCol w:w="1200"/>
        <w:gridCol w:w="1720"/>
      </w:tblGrid>
      <w:tr w:rsidR="005A06CB" w:rsidRPr="00ED5D5F" w:rsidTr="00D0485F">
        <w:trPr>
          <w:trHeight w:val="300"/>
          <w:jc w:val="center"/>
        </w:trPr>
        <w:tc>
          <w:tcPr>
            <w:tcW w:w="2180" w:type="dxa"/>
            <w:vMerge w:val="restart"/>
            <w:tcBorders>
              <w:top w:val="single" w:sz="4" w:space="0" w:color="auto"/>
              <w:left w:val="nil"/>
              <w:bottom w:val="single" w:sz="4" w:space="0" w:color="000000"/>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Country</w:t>
            </w:r>
          </w:p>
        </w:tc>
        <w:tc>
          <w:tcPr>
            <w:tcW w:w="2920" w:type="dxa"/>
            <w:gridSpan w:val="2"/>
            <w:tcBorders>
              <w:top w:val="single" w:sz="4" w:space="0" w:color="auto"/>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Inflation Rate</w:t>
            </w:r>
          </w:p>
        </w:tc>
      </w:tr>
      <w:tr w:rsidR="005A06CB" w:rsidRPr="00ED5D5F" w:rsidTr="00D0485F">
        <w:trPr>
          <w:trHeight w:val="300"/>
          <w:jc w:val="center"/>
        </w:trPr>
        <w:tc>
          <w:tcPr>
            <w:tcW w:w="2180" w:type="dxa"/>
            <w:vMerge/>
            <w:tcBorders>
              <w:top w:val="single" w:sz="4" w:space="0" w:color="auto"/>
              <w:left w:val="nil"/>
              <w:bottom w:val="single" w:sz="4" w:space="0" w:color="000000"/>
              <w:right w:val="nil"/>
            </w:tcBorders>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200" w:type="dxa"/>
            <w:tcBorders>
              <w:top w:val="nil"/>
              <w:left w:val="nil"/>
              <w:bottom w:val="single" w:sz="4" w:space="0" w:color="auto"/>
              <w:right w:val="nil"/>
            </w:tcBorders>
            <w:shd w:val="clear" w:color="auto" w:fill="auto"/>
            <w:noWrap/>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lang w:val="en-GB" w:eastAsia="en-GB"/>
              </w:rPr>
            </w:pPr>
            <w:r w:rsidRPr="00ED5D5F">
              <w:rPr>
                <w:rFonts w:ascii="Times New Roman" w:eastAsia="Times New Roman" w:hAnsi="Times New Roman" w:cs="Times New Roman"/>
                <w:color w:val="000000"/>
                <w:lang w:val="en-GB" w:eastAsia="en-GB"/>
              </w:rPr>
              <w:t>H1</w:t>
            </w:r>
          </w:p>
        </w:tc>
        <w:tc>
          <w:tcPr>
            <w:tcW w:w="1720" w:type="dxa"/>
            <w:tcBorders>
              <w:top w:val="nil"/>
              <w:left w:val="nil"/>
              <w:bottom w:val="single" w:sz="4" w:space="0" w:color="auto"/>
              <w:right w:val="nil"/>
            </w:tcBorders>
            <w:shd w:val="clear" w:color="auto" w:fill="auto"/>
            <w:noWrap/>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lang w:val="en-GB" w:eastAsia="en-GB"/>
              </w:rPr>
            </w:pPr>
            <w:r w:rsidRPr="00ED5D5F">
              <w:rPr>
                <w:rFonts w:ascii="Times New Roman" w:eastAsia="Times New Roman" w:hAnsi="Times New Roman" w:cs="Times New Roman"/>
                <w:color w:val="000000"/>
                <w:lang w:val="en-GB" w:eastAsia="en-GB"/>
              </w:rPr>
              <w:t>H2</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Australia</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3.17%</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3.24%</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Canada</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3.67%</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1.12%</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Germany</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2.68%</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1.74%</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 xml:space="preserve">Japan </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1.12%</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0.19%</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United Kingdom</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5.52%</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2.93%</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United States</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4.73%</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1.83%</w:t>
            </w:r>
          </w:p>
        </w:tc>
      </w:tr>
      <w:tr w:rsidR="005A06CB" w:rsidRPr="00ED5D5F" w:rsidTr="00D0485F">
        <w:trPr>
          <w:trHeight w:val="300"/>
          <w:jc w:val="center"/>
        </w:trPr>
        <w:tc>
          <w:tcPr>
            <w:tcW w:w="2180" w:type="dxa"/>
            <w:tcBorders>
              <w:top w:val="nil"/>
              <w:left w:val="nil"/>
              <w:bottom w:val="nil"/>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Developed (5)</w:t>
            </w:r>
          </w:p>
        </w:tc>
        <w:tc>
          <w:tcPr>
            <w:tcW w:w="120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3.80%</w:t>
            </w:r>
          </w:p>
        </w:tc>
        <w:tc>
          <w:tcPr>
            <w:tcW w:w="1720" w:type="dxa"/>
            <w:tcBorders>
              <w:top w:val="nil"/>
              <w:left w:val="nil"/>
              <w:bottom w:val="nil"/>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1.74%</w:t>
            </w:r>
          </w:p>
        </w:tc>
      </w:tr>
      <w:tr w:rsidR="005A06CB" w:rsidRPr="00ED5D5F" w:rsidTr="00D0485F">
        <w:trPr>
          <w:trHeight w:val="300"/>
          <w:jc w:val="center"/>
        </w:trPr>
        <w:tc>
          <w:tcPr>
            <w:tcW w:w="2180" w:type="dxa"/>
            <w:tcBorders>
              <w:top w:val="nil"/>
              <w:left w:val="nil"/>
              <w:bottom w:val="single" w:sz="4" w:space="0" w:color="auto"/>
              <w:right w:val="nil"/>
            </w:tcBorders>
            <w:shd w:val="clear" w:color="auto" w:fill="auto"/>
            <w:noWrap/>
            <w:vAlign w:val="center"/>
            <w:hideMark/>
          </w:tcPr>
          <w:p w:rsidR="005A06CB" w:rsidRPr="00ED5D5F" w:rsidRDefault="005A06CB" w:rsidP="00D0485F">
            <w:pPr>
              <w:spacing w:after="0" w:line="240" w:lineRule="auto"/>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US CRSP Universe</w:t>
            </w:r>
          </w:p>
        </w:tc>
        <w:tc>
          <w:tcPr>
            <w:tcW w:w="1200" w:type="dxa"/>
            <w:tcBorders>
              <w:top w:val="nil"/>
              <w:left w:val="nil"/>
              <w:bottom w:val="single" w:sz="4" w:space="0" w:color="auto"/>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4.39%</w:t>
            </w:r>
          </w:p>
        </w:tc>
        <w:tc>
          <w:tcPr>
            <w:tcW w:w="1720" w:type="dxa"/>
            <w:tcBorders>
              <w:top w:val="nil"/>
              <w:left w:val="nil"/>
              <w:bottom w:val="single" w:sz="4" w:space="0" w:color="auto"/>
              <w:right w:val="nil"/>
            </w:tcBorders>
            <w:shd w:val="clear" w:color="auto" w:fill="auto"/>
            <w:vAlign w:val="center"/>
            <w:hideMark/>
          </w:tcPr>
          <w:p w:rsidR="005A06CB" w:rsidRPr="00ED5D5F"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ED5D5F">
              <w:rPr>
                <w:rFonts w:ascii="Times New Roman" w:eastAsia="Times New Roman" w:hAnsi="Times New Roman" w:cs="Times New Roman"/>
                <w:color w:val="000000"/>
                <w:sz w:val="20"/>
                <w:szCs w:val="20"/>
                <w:lang w:val="en-GB" w:eastAsia="en-GB"/>
              </w:rPr>
              <w:t>2.65%</w:t>
            </w:r>
          </w:p>
        </w:tc>
      </w:tr>
    </w:tbl>
    <w:p w:rsidR="005A06CB" w:rsidRDefault="005A06CB" w:rsidP="005A06CB">
      <w:pPr>
        <w:pStyle w:val="NoSpacing"/>
        <w:jc w:val="both"/>
        <w:rPr>
          <w:rFonts w:ascii="Times New Roman" w:hAnsi="Times New Roman" w:cs="Times New Roman"/>
          <w:sz w:val="18"/>
          <w:szCs w:val="18"/>
        </w:rPr>
      </w:pPr>
      <w:r w:rsidRPr="006C0856">
        <w:rPr>
          <w:rFonts w:ascii="Times New Roman" w:hAnsi="Times New Roman" w:cs="Times New Roman"/>
          <w:i/>
          <w:sz w:val="18"/>
          <w:szCs w:val="18"/>
          <w:lang w:val="en-GB"/>
        </w:rPr>
        <w:t>Notes</w:t>
      </w:r>
      <w:r w:rsidRPr="00A121AF">
        <w:rPr>
          <w:rFonts w:ascii="Times New Roman" w:hAnsi="Times New Roman" w:cs="Times New Roman"/>
          <w:sz w:val="18"/>
          <w:szCs w:val="18"/>
          <w:lang w:val="nl-NL"/>
        </w:rPr>
        <w:t>: The</w:t>
      </w:r>
      <w:r w:rsidRPr="00A121AF">
        <w:rPr>
          <w:rFonts w:ascii="Times New Roman" w:hAnsi="Times New Roman" w:cs="Times New Roman"/>
          <w:sz w:val="18"/>
          <w:szCs w:val="18"/>
        </w:rPr>
        <w:t xml:space="preserve"> table reports</w:t>
      </w:r>
      <w:r w:rsidRPr="00A121AF">
        <w:rPr>
          <w:rFonts w:ascii="Times New Roman" w:hAnsi="Times New Roman" w:cs="Times New Roman"/>
          <w:sz w:val="18"/>
          <w:szCs w:val="18"/>
          <w:lang w:val="nl-NL"/>
        </w:rPr>
        <w:t xml:space="preserve"> the</w:t>
      </w:r>
      <w:r w:rsidRPr="00A121AF">
        <w:rPr>
          <w:rFonts w:ascii="Times New Roman" w:hAnsi="Times New Roman" w:cs="Times New Roman"/>
          <w:sz w:val="18"/>
          <w:szCs w:val="18"/>
        </w:rPr>
        <w:t xml:space="preserve"> </w:t>
      </w:r>
      <w:r w:rsidR="005C29A7">
        <w:rPr>
          <w:rFonts w:ascii="Times New Roman" w:hAnsi="Times New Roman" w:cs="Times New Roman"/>
          <w:sz w:val="18"/>
          <w:szCs w:val="18"/>
        </w:rPr>
        <w:t>annualis</w:t>
      </w:r>
      <w:r>
        <w:rPr>
          <w:rFonts w:ascii="Times New Roman" w:hAnsi="Times New Roman" w:cs="Times New Roman"/>
          <w:sz w:val="18"/>
          <w:szCs w:val="18"/>
        </w:rPr>
        <w:t>ed average inflation rate for the period January - June (H1) and July-December (H2) of the year for the samples mentioned in Table 3.1. The inflation rate is non-seasonally adjusted. More details about the indices used to calculate inflation rate can be found in Table A.1 in the Appendix</w:t>
      </w:r>
      <w:r w:rsidR="005C29A7">
        <w:rPr>
          <w:rFonts w:ascii="Times New Roman" w:hAnsi="Times New Roman" w:cs="Times New Roman"/>
          <w:sz w:val="18"/>
          <w:szCs w:val="18"/>
        </w:rPr>
        <w:t xml:space="preserve"> A</w:t>
      </w:r>
      <w:r>
        <w:rPr>
          <w:rFonts w:ascii="Times New Roman" w:hAnsi="Times New Roman" w:cs="Times New Roman"/>
          <w:sz w:val="18"/>
          <w:szCs w:val="18"/>
        </w:rPr>
        <w:t xml:space="preserve">. The numbers in parenthesis next to Developed portfolio stand for the number of countries in the portfolio. </w:t>
      </w:r>
      <w:r w:rsidRPr="00BC58A3">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005C29A7">
        <w:rPr>
          <w:rFonts w:ascii="Times New Roman" w:hAnsi="Times New Roman" w:cs="Times New Roman"/>
          <w:sz w:val="18"/>
          <w:szCs w:val="18"/>
        </w:rPr>
        <w:t xml:space="preserve"> portfolio is based on equally-</w:t>
      </w:r>
      <w:r w:rsidRPr="00BC58A3">
        <w:rPr>
          <w:rFonts w:ascii="Times New Roman" w:hAnsi="Times New Roman" w:cs="Times New Roman"/>
          <w:sz w:val="18"/>
          <w:szCs w:val="18"/>
        </w:rPr>
        <w:t>wei</w:t>
      </w:r>
      <w:r>
        <w:rPr>
          <w:rFonts w:ascii="Times New Roman" w:hAnsi="Times New Roman" w:cs="Times New Roman"/>
          <w:sz w:val="18"/>
          <w:szCs w:val="18"/>
        </w:rPr>
        <w:t>ghting five countries (Canada, Germany, Japan, United Kingdom and United States)</w:t>
      </w:r>
      <w:r w:rsidRPr="00BC58A3">
        <w:rPr>
          <w:rFonts w:ascii="Times New Roman" w:hAnsi="Times New Roman" w:cs="Times New Roman"/>
          <w:sz w:val="18"/>
          <w:szCs w:val="18"/>
        </w:rPr>
        <w:t>.</w:t>
      </w:r>
      <w:r>
        <w:rPr>
          <w:rFonts w:ascii="Times New Roman" w:hAnsi="Times New Roman" w:cs="Times New Roman"/>
          <w:sz w:val="18"/>
          <w:szCs w:val="18"/>
        </w:rPr>
        <w:t xml:space="preserve"> Australian data is not included as the frequency of inflation data for Australia is </w:t>
      </w:r>
      <w:r w:rsidRPr="00BC58A3">
        <w:rPr>
          <w:rFonts w:ascii="Times New Roman" w:hAnsi="Times New Roman" w:cs="Times New Roman"/>
          <w:sz w:val="18"/>
          <w:szCs w:val="18"/>
        </w:rPr>
        <w:t>quarterly</w:t>
      </w:r>
      <w:r w:rsidR="00E7620F">
        <w:rPr>
          <w:rFonts w:ascii="Times New Roman" w:hAnsi="Times New Roman" w:cs="Times New Roman"/>
          <w:sz w:val="18"/>
          <w:szCs w:val="18"/>
        </w:rPr>
        <w:t>.</w:t>
      </w:r>
    </w:p>
    <w:p w:rsidR="005A06CB" w:rsidRDefault="005A06CB" w:rsidP="005A06CB">
      <w:pPr>
        <w:rPr>
          <w:lang w:val="nl-NL"/>
        </w:rPr>
      </w:pPr>
    </w:p>
    <w:p w:rsidR="005A06CB" w:rsidRDefault="005A06CB" w:rsidP="005A06CB">
      <w:pPr>
        <w:spacing w:after="0" w:line="360" w:lineRule="auto"/>
        <w:jc w:val="both"/>
        <w:rPr>
          <w:lang w:val="nl-NL"/>
        </w:rPr>
      </w:pPr>
      <w:r>
        <w:rPr>
          <w:lang w:val="nl-NL"/>
        </w:rPr>
        <w:tab/>
      </w:r>
      <w:r>
        <w:rPr>
          <w:rFonts w:ascii="Times New Roman" w:hAnsi="Times New Roman" w:cs="Times New Roman"/>
        </w:rPr>
        <w:t>According to dummy regress</w:t>
      </w:r>
      <w:r w:rsidR="00E7620F">
        <w:rPr>
          <w:rFonts w:ascii="Times New Roman" w:hAnsi="Times New Roman" w:cs="Times New Roman"/>
        </w:rPr>
        <w:t>ion results displayed in Table 4.5</w:t>
      </w:r>
      <w:r>
        <w:rPr>
          <w:rFonts w:ascii="Times New Roman" w:hAnsi="Times New Roman" w:cs="Times New Roman"/>
        </w:rPr>
        <w:t>, the H1 H2 effect is more pronounced in case of inflation rate compared to government bond returns. The effect is statistically significant at 1% level for all countries with the exception of Germany (which is significant at 5% level). The signs of the coefficients are negative and consistent across countries, indicating lower inflation rates in the second part of the year.</w:t>
      </w:r>
    </w:p>
    <w:p w:rsidR="005A06CB" w:rsidRDefault="005A06CB" w:rsidP="005A06CB">
      <w:pPr>
        <w:rPr>
          <w:lang w:val="nl-NL"/>
        </w:rPr>
      </w:pPr>
    </w:p>
    <w:p w:rsidR="005A06CB" w:rsidRPr="00E7620F" w:rsidRDefault="005A06CB" w:rsidP="00E7620F">
      <w:pPr>
        <w:spacing w:after="120" w:line="360" w:lineRule="auto"/>
        <w:jc w:val="center"/>
        <w:rPr>
          <w:rFonts w:ascii="Times New Roman" w:hAnsi="Times New Roman" w:cs="Times New Roman"/>
        </w:rPr>
      </w:pPr>
      <w:r>
        <w:rPr>
          <w:rFonts w:ascii="Times New Roman" w:hAnsi="Times New Roman" w:cs="Times New Roman"/>
        </w:rPr>
        <w:t>T</w:t>
      </w:r>
      <w:r w:rsidR="00E7620F">
        <w:rPr>
          <w:rFonts w:ascii="Times New Roman" w:hAnsi="Times New Roman" w:cs="Times New Roman"/>
        </w:rPr>
        <w:t>able 4.5</w:t>
      </w:r>
      <w:r w:rsidRPr="00135DA9">
        <w:rPr>
          <w:rFonts w:ascii="Times New Roman" w:hAnsi="Times New Roman" w:cs="Times New Roman"/>
        </w:rPr>
        <w:t>: Seasonality tests for Inflation Rate</w:t>
      </w:r>
    </w:p>
    <w:tbl>
      <w:tblPr>
        <w:tblW w:w="6480" w:type="dxa"/>
        <w:jc w:val="center"/>
        <w:tblInd w:w="98" w:type="dxa"/>
        <w:tblLook w:val="04A0"/>
      </w:tblPr>
      <w:tblGrid>
        <w:gridCol w:w="1860"/>
        <w:gridCol w:w="1180"/>
        <w:gridCol w:w="1060"/>
        <w:gridCol w:w="1160"/>
        <w:gridCol w:w="1220"/>
      </w:tblGrid>
      <w:tr w:rsidR="005A06CB" w:rsidRPr="001F1FCA" w:rsidTr="00D0485F">
        <w:trPr>
          <w:trHeight w:val="285"/>
          <w:jc w:val="center"/>
        </w:trPr>
        <w:tc>
          <w:tcPr>
            <w:tcW w:w="1860" w:type="dxa"/>
            <w:vMerge w:val="restart"/>
            <w:tcBorders>
              <w:top w:val="single" w:sz="4" w:space="0" w:color="auto"/>
              <w:left w:val="nil"/>
              <w:bottom w:val="single" w:sz="4" w:space="0" w:color="000000"/>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Inflation Rate</w:t>
            </w:r>
          </w:p>
        </w:tc>
        <w:tc>
          <w:tcPr>
            <w:tcW w:w="1180" w:type="dxa"/>
            <w:vMerge w:val="restart"/>
            <w:tcBorders>
              <w:top w:val="single" w:sz="4" w:space="0" w:color="auto"/>
              <w:left w:val="nil"/>
              <w:bottom w:val="single" w:sz="4" w:space="0" w:color="000000"/>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January</w:t>
            </w:r>
          </w:p>
        </w:tc>
        <w:tc>
          <w:tcPr>
            <w:tcW w:w="1060" w:type="dxa"/>
            <w:vMerge w:val="restart"/>
            <w:tcBorders>
              <w:top w:val="single" w:sz="4" w:space="0" w:color="auto"/>
              <w:left w:val="nil"/>
              <w:bottom w:val="single" w:sz="4" w:space="0" w:color="000000"/>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H1 H2</w:t>
            </w:r>
          </w:p>
        </w:tc>
        <w:tc>
          <w:tcPr>
            <w:tcW w:w="1160" w:type="dxa"/>
            <w:vMerge w:val="restart"/>
            <w:tcBorders>
              <w:top w:val="single" w:sz="4" w:space="0" w:color="auto"/>
              <w:left w:val="nil"/>
              <w:bottom w:val="single" w:sz="4" w:space="0" w:color="000000"/>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SAD</w:t>
            </w:r>
          </w:p>
        </w:tc>
        <w:tc>
          <w:tcPr>
            <w:tcW w:w="1220" w:type="dxa"/>
            <w:vMerge w:val="restart"/>
            <w:tcBorders>
              <w:top w:val="single" w:sz="4" w:space="0" w:color="auto"/>
              <w:left w:val="nil"/>
              <w:bottom w:val="single" w:sz="4" w:space="0" w:color="000000"/>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Inverted Halloween</w:t>
            </w:r>
          </w:p>
        </w:tc>
      </w:tr>
      <w:tr w:rsidR="005A06CB" w:rsidRPr="001F1FCA" w:rsidTr="00D0485F">
        <w:trPr>
          <w:trHeight w:val="230"/>
          <w:jc w:val="center"/>
        </w:trPr>
        <w:tc>
          <w:tcPr>
            <w:tcW w:w="1860" w:type="dxa"/>
            <w:vMerge/>
            <w:tcBorders>
              <w:top w:val="single" w:sz="4" w:space="0" w:color="auto"/>
              <w:left w:val="nil"/>
              <w:bottom w:val="single" w:sz="4" w:space="0" w:color="000000"/>
              <w:right w:val="nil"/>
            </w:tcBorders>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180" w:type="dxa"/>
            <w:vMerge/>
            <w:tcBorders>
              <w:top w:val="single" w:sz="4" w:space="0" w:color="auto"/>
              <w:left w:val="nil"/>
              <w:bottom w:val="single" w:sz="4" w:space="0" w:color="000000"/>
              <w:right w:val="nil"/>
            </w:tcBorders>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060" w:type="dxa"/>
            <w:vMerge/>
            <w:tcBorders>
              <w:top w:val="single" w:sz="4" w:space="0" w:color="auto"/>
              <w:left w:val="nil"/>
              <w:bottom w:val="single" w:sz="4" w:space="0" w:color="000000"/>
              <w:right w:val="nil"/>
            </w:tcBorders>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160" w:type="dxa"/>
            <w:vMerge/>
            <w:tcBorders>
              <w:top w:val="single" w:sz="4" w:space="0" w:color="auto"/>
              <w:left w:val="nil"/>
              <w:bottom w:val="single" w:sz="4" w:space="0" w:color="000000"/>
              <w:right w:val="nil"/>
            </w:tcBorders>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220" w:type="dxa"/>
            <w:vMerge/>
            <w:tcBorders>
              <w:top w:val="single" w:sz="4" w:space="0" w:color="auto"/>
              <w:left w:val="nil"/>
              <w:bottom w:val="single" w:sz="4" w:space="0" w:color="000000"/>
              <w:right w:val="nil"/>
            </w:tcBorders>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p>
        </w:tc>
      </w:tr>
      <w:tr w:rsidR="005A06CB" w:rsidRPr="001F1FCA" w:rsidTr="00D0485F">
        <w:trPr>
          <w:trHeight w:val="225"/>
          <w:jc w:val="center"/>
        </w:trPr>
        <w:tc>
          <w:tcPr>
            <w:tcW w:w="1860" w:type="dxa"/>
            <w:tcBorders>
              <w:top w:val="nil"/>
              <w:left w:val="nil"/>
              <w:bottom w:val="single" w:sz="4" w:space="0" w:color="auto"/>
              <w:right w:val="nil"/>
            </w:tcBorders>
            <w:shd w:val="clear" w:color="auto" w:fill="auto"/>
            <w:vAlign w:val="center"/>
            <w:hideMark/>
          </w:tcPr>
          <w:p w:rsidR="005A06CB" w:rsidRPr="001F1FCA" w:rsidRDefault="005A06CB" w:rsidP="00D0485F">
            <w:pPr>
              <w:spacing w:after="0" w:line="240" w:lineRule="auto"/>
              <w:rPr>
                <w:rFonts w:ascii="Times New Roman" w:eastAsia="Times New Roman" w:hAnsi="Times New Roman" w:cs="Times New Roman"/>
                <w:i/>
                <w:iCs/>
                <w:color w:val="000000"/>
                <w:sz w:val="20"/>
                <w:szCs w:val="20"/>
                <w:lang w:val="en-GB" w:eastAsia="en-GB"/>
              </w:rPr>
            </w:pPr>
            <w:r w:rsidRPr="001F1FCA">
              <w:rPr>
                <w:rFonts w:ascii="Times New Roman" w:eastAsia="Times New Roman" w:hAnsi="Times New Roman" w:cs="Times New Roman"/>
                <w:i/>
                <w:iCs/>
                <w:color w:val="000000"/>
                <w:sz w:val="20"/>
                <w:szCs w:val="20"/>
                <w:lang w:val="en-GB" w:eastAsia="en-GB"/>
              </w:rPr>
              <w:t>Monthly frequency</w:t>
            </w:r>
          </w:p>
        </w:tc>
        <w:tc>
          <w:tcPr>
            <w:tcW w:w="1180" w:type="dxa"/>
            <w:tcBorders>
              <w:top w:val="nil"/>
              <w:left w:val="nil"/>
              <w:bottom w:val="single" w:sz="4" w:space="0" w:color="auto"/>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 </w:t>
            </w:r>
          </w:p>
        </w:tc>
        <w:tc>
          <w:tcPr>
            <w:tcW w:w="1060" w:type="dxa"/>
            <w:tcBorders>
              <w:top w:val="nil"/>
              <w:left w:val="nil"/>
              <w:bottom w:val="single" w:sz="4" w:space="0" w:color="auto"/>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 </w:t>
            </w:r>
          </w:p>
        </w:tc>
        <w:tc>
          <w:tcPr>
            <w:tcW w:w="1160" w:type="dxa"/>
            <w:tcBorders>
              <w:top w:val="nil"/>
              <w:left w:val="nil"/>
              <w:bottom w:val="single" w:sz="4" w:space="0" w:color="auto"/>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 </w:t>
            </w:r>
          </w:p>
        </w:tc>
        <w:tc>
          <w:tcPr>
            <w:tcW w:w="1220" w:type="dxa"/>
            <w:tcBorders>
              <w:top w:val="nil"/>
              <w:left w:val="nil"/>
              <w:bottom w:val="single" w:sz="4" w:space="0" w:color="auto"/>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 </w:t>
            </w:r>
          </w:p>
        </w:tc>
      </w:tr>
      <w:tr w:rsidR="005A06CB" w:rsidRPr="001F1FCA" w:rsidTr="00D0485F">
        <w:trPr>
          <w:trHeight w:val="225"/>
          <w:jc w:val="center"/>
        </w:trPr>
        <w:tc>
          <w:tcPr>
            <w:tcW w:w="1860" w:type="dxa"/>
            <w:tcBorders>
              <w:top w:val="nil"/>
              <w:left w:val="nil"/>
              <w:bottom w:val="nil"/>
              <w:right w:val="nil"/>
            </w:tcBorders>
            <w:shd w:val="clear" w:color="auto" w:fill="auto"/>
            <w:vAlign w:val="center"/>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Australia</w:t>
            </w:r>
          </w:p>
        </w:tc>
        <w:tc>
          <w:tcPr>
            <w:tcW w:w="1180" w:type="dxa"/>
            <w:tcBorders>
              <w:top w:val="nil"/>
              <w:left w:val="nil"/>
              <w:bottom w:val="nil"/>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p>
        </w:tc>
        <w:tc>
          <w:tcPr>
            <w:tcW w:w="1160" w:type="dxa"/>
            <w:tcBorders>
              <w:top w:val="nil"/>
              <w:left w:val="nil"/>
              <w:bottom w:val="nil"/>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p>
        </w:tc>
        <w:tc>
          <w:tcPr>
            <w:tcW w:w="1220" w:type="dxa"/>
            <w:tcBorders>
              <w:top w:val="nil"/>
              <w:left w:val="nil"/>
              <w:bottom w:val="nil"/>
              <w:right w:val="nil"/>
            </w:tcBorders>
            <w:shd w:val="clear" w:color="auto" w:fill="auto"/>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p>
        </w:tc>
      </w:tr>
      <w:tr w:rsidR="005A06CB" w:rsidRPr="001F1FCA" w:rsidTr="00D0485F">
        <w:trPr>
          <w:trHeight w:val="240"/>
          <w:jc w:val="center"/>
        </w:trPr>
        <w:tc>
          <w:tcPr>
            <w:tcW w:w="1860" w:type="dxa"/>
            <w:tcBorders>
              <w:top w:val="nil"/>
              <w:left w:val="nil"/>
              <w:bottom w:val="nil"/>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Canada</w:t>
            </w:r>
          </w:p>
        </w:tc>
        <w:tc>
          <w:tcPr>
            <w:tcW w:w="118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1.24</w:t>
            </w: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-5.17</w:t>
            </w:r>
          </w:p>
        </w:tc>
        <w:tc>
          <w:tcPr>
            <w:tcW w:w="11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-4.27</w:t>
            </w:r>
          </w:p>
        </w:tc>
        <w:tc>
          <w:tcPr>
            <w:tcW w:w="122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-0.99</w:t>
            </w:r>
          </w:p>
        </w:tc>
      </w:tr>
      <w:tr w:rsidR="005A06CB" w:rsidRPr="001F1FCA" w:rsidTr="00D0485F">
        <w:trPr>
          <w:trHeight w:val="240"/>
          <w:jc w:val="center"/>
        </w:trPr>
        <w:tc>
          <w:tcPr>
            <w:tcW w:w="1860" w:type="dxa"/>
            <w:tcBorders>
              <w:top w:val="nil"/>
              <w:left w:val="nil"/>
              <w:bottom w:val="nil"/>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Germany</w:t>
            </w:r>
          </w:p>
        </w:tc>
        <w:tc>
          <w:tcPr>
            <w:tcW w:w="118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0.76</w:t>
            </w: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-2.54</w:t>
            </w:r>
          </w:p>
        </w:tc>
        <w:tc>
          <w:tcPr>
            <w:tcW w:w="11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-4.30</w:t>
            </w:r>
          </w:p>
        </w:tc>
        <w:tc>
          <w:tcPr>
            <w:tcW w:w="122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-4.12</w:t>
            </w:r>
          </w:p>
        </w:tc>
      </w:tr>
      <w:tr w:rsidR="005A06CB" w:rsidRPr="001F1FCA" w:rsidTr="00D0485F">
        <w:trPr>
          <w:trHeight w:val="240"/>
          <w:jc w:val="center"/>
        </w:trPr>
        <w:tc>
          <w:tcPr>
            <w:tcW w:w="1860" w:type="dxa"/>
            <w:tcBorders>
              <w:top w:val="nil"/>
              <w:left w:val="nil"/>
              <w:bottom w:val="nil"/>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Japan</w:t>
            </w:r>
          </w:p>
        </w:tc>
        <w:tc>
          <w:tcPr>
            <w:tcW w:w="118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-1.02</w:t>
            </w: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-2.69</w:t>
            </w:r>
          </w:p>
        </w:tc>
        <w:tc>
          <w:tcPr>
            <w:tcW w:w="11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0.53</w:t>
            </w:r>
          </w:p>
        </w:tc>
        <w:tc>
          <w:tcPr>
            <w:tcW w:w="122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1F1FCA">
              <w:rPr>
                <w:rFonts w:ascii="Times New Roman" w:eastAsia="Times New Roman" w:hAnsi="Times New Roman" w:cs="Times New Roman"/>
                <w:color w:val="4F81BD"/>
                <w:sz w:val="20"/>
                <w:szCs w:val="20"/>
                <w:lang w:val="en-GB" w:eastAsia="en-GB"/>
              </w:rPr>
              <w:t>1.92</w:t>
            </w:r>
          </w:p>
        </w:tc>
      </w:tr>
      <w:tr w:rsidR="005A06CB" w:rsidRPr="001F1FCA" w:rsidTr="00D0485F">
        <w:trPr>
          <w:trHeight w:val="240"/>
          <w:jc w:val="center"/>
        </w:trPr>
        <w:tc>
          <w:tcPr>
            <w:tcW w:w="1860" w:type="dxa"/>
            <w:tcBorders>
              <w:top w:val="nil"/>
              <w:left w:val="nil"/>
              <w:bottom w:val="nil"/>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United Kingdom</w:t>
            </w:r>
          </w:p>
        </w:tc>
        <w:tc>
          <w:tcPr>
            <w:tcW w:w="118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-4.66</w:t>
            </w: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-3.97</w:t>
            </w:r>
          </w:p>
        </w:tc>
        <w:tc>
          <w:tcPr>
            <w:tcW w:w="11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-4.01</w:t>
            </w:r>
          </w:p>
        </w:tc>
        <w:tc>
          <w:tcPr>
            <w:tcW w:w="122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-2.85</w:t>
            </w:r>
          </w:p>
        </w:tc>
      </w:tr>
      <w:tr w:rsidR="005A06CB" w:rsidRPr="001F1FCA" w:rsidTr="00D0485F">
        <w:trPr>
          <w:trHeight w:val="240"/>
          <w:jc w:val="center"/>
        </w:trPr>
        <w:tc>
          <w:tcPr>
            <w:tcW w:w="1860" w:type="dxa"/>
            <w:tcBorders>
              <w:top w:val="nil"/>
              <w:left w:val="nil"/>
              <w:bottom w:val="nil"/>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United States</w:t>
            </w:r>
          </w:p>
        </w:tc>
        <w:tc>
          <w:tcPr>
            <w:tcW w:w="118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4.33</w:t>
            </w:r>
          </w:p>
        </w:tc>
        <w:tc>
          <w:tcPr>
            <w:tcW w:w="10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-5.14</w:t>
            </w:r>
          </w:p>
        </w:tc>
        <w:tc>
          <w:tcPr>
            <w:tcW w:w="116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-3.08</w:t>
            </w:r>
          </w:p>
        </w:tc>
        <w:tc>
          <w:tcPr>
            <w:tcW w:w="1220" w:type="dxa"/>
            <w:tcBorders>
              <w:top w:val="nil"/>
              <w:left w:val="nil"/>
              <w:bottom w:val="nil"/>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-0.18</w:t>
            </w:r>
          </w:p>
        </w:tc>
      </w:tr>
      <w:tr w:rsidR="005A06CB" w:rsidRPr="001F1FCA" w:rsidTr="00D0485F">
        <w:trPr>
          <w:trHeight w:val="240"/>
          <w:jc w:val="center"/>
        </w:trPr>
        <w:tc>
          <w:tcPr>
            <w:tcW w:w="1860" w:type="dxa"/>
            <w:tcBorders>
              <w:top w:val="nil"/>
              <w:left w:val="nil"/>
              <w:bottom w:val="single" w:sz="4" w:space="0" w:color="auto"/>
              <w:right w:val="nil"/>
            </w:tcBorders>
            <w:shd w:val="clear" w:color="auto" w:fill="auto"/>
            <w:noWrap/>
            <w:vAlign w:val="bottom"/>
            <w:hideMark/>
          </w:tcPr>
          <w:p w:rsidR="005A06CB" w:rsidRPr="001F1FCA" w:rsidRDefault="005A06CB" w:rsidP="00D0485F">
            <w:pPr>
              <w:spacing w:after="0" w:line="240" w:lineRule="auto"/>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Developed (5)</w:t>
            </w:r>
          </w:p>
        </w:tc>
        <w:tc>
          <w:tcPr>
            <w:tcW w:w="1180" w:type="dxa"/>
            <w:tcBorders>
              <w:top w:val="nil"/>
              <w:left w:val="nil"/>
              <w:bottom w:val="single" w:sz="4" w:space="0" w:color="auto"/>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-0.50</w:t>
            </w:r>
          </w:p>
        </w:tc>
        <w:tc>
          <w:tcPr>
            <w:tcW w:w="1060" w:type="dxa"/>
            <w:tcBorders>
              <w:top w:val="nil"/>
              <w:left w:val="nil"/>
              <w:bottom w:val="single" w:sz="4" w:space="0" w:color="auto"/>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-5.28</w:t>
            </w:r>
          </w:p>
        </w:tc>
        <w:tc>
          <w:tcPr>
            <w:tcW w:w="1160" w:type="dxa"/>
            <w:tcBorders>
              <w:top w:val="nil"/>
              <w:left w:val="nil"/>
              <w:bottom w:val="single" w:sz="4" w:space="0" w:color="auto"/>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1F1FCA">
              <w:rPr>
                <w:rFonts w:ascii="Times New Roman" w:eastAsia="Times New Roman" w:hAnsi="Times New Roman" w:cs="Times New Roman"/>
                <w:b/>
                <w:bCs/>
                <w:color w:val="000000"/>
                <w:sz w:val="20"/>
                <w:szCs w:val="20"/>
                <w:lang w:val="en-GB" w:eastAsia="en-GB"/>
              </w:rPr>
              <w:t>-3.82</w:t>
            </w:r>
          </w:p>
        </w:tc>
        <w:tc>
          <w:tcPr>
            <w:tcW w:w="1220" w:type="dxa"/>
            <w:tcBorders>
              <w:top w:val="nil"/>
              <w:left w:val="nil"/>
              <w:bottom w:val="single" w:sz="4" w:space="0" w:color="auto"/>
              <w:right w:val="nil"/>
            </w:tcBorders>
            <w:shd w:val="clear" w:color="auto" w:fill="auto"/>
            <w:noWrap/>
            <w:vAlign w:val="center"/>
            <w:hideMark/>
          </w:tcPr>
          <w:p w:rsidR="005A06CB" w:rsidRPr="001F1FCA"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1F1FCA">
              <w:rPr>
                <w:rFonts w:ascii="Times New Roman" w:eastAsia="Times New Roman" w:hAnsi="Times New Roman" w:cs="Times New Roman"/>
                <w:color w:val="000000"/>
                <w:sz w:val="20"/>
                <w:szCs w:val="20"/>
                <w:lang w:val="en-GB" w:eastAsia="en-GB"/>
              </w:rPr>
              <w:t>-1.58</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where Y are inflation rate for sample Jan 1980 – Dec 2013 at the monthly frequency. X depends on the seasonal pattern tested. In case of January effect, X</w:t>
      </w:r>
      <w:r w:rsidRPr="001221C6">
        <w:rPr>
          <w:rFonts w:ascii="Times New Roman" w:hAnsi="Times New Roman" w:cs="Times New Roman"/>
          <w:sz w:val="18"/>
          <w:szCs w:val="18"/>
          <w:vertAlign w:val="subscript"/>
        </w:rPr>
        <w:t xml:space="preserve"> </w:t>
      </w:r>
      <w:r w:rsidRPr="001221C6">
        <w:rPr>
          <w:rFonts w:ascii="Times New Roman" w:hAnsi="Times New Roman" w:cs="Times New Roman"/>
          <w:sz w:val="18"/>
          <w:szCs w:val="18"/>
        </w:rPr>
        <w:t xml:space="preserve">is a dummy that takes the value of 1 for January and 0 otherwise. In case of H1 H2, X is a dummy that takes on the value of 1 for July to December and 0 otherwise. For SAD, X is set equal to the 12 monthly values from the Kamstra, Kramer, and Levi (2014) paper. And for </w:t>
      </w:r>
      <w:r w:rsidR="005C29A7">
        <w:rPr>
          <w:rFonts w:ascii="Times New Roman" w:hAnsi="Times New Roman" w:cs="Times New Roman"/>
          <w:sz w:val="18"/>
          <w:szCs w:val="18"/>
        </w:rPr>
        <w:t xml:space="preserve">Inverted </w:t>
      </w:r>
      <w:r w:rsidRPr="001221C6">
        <w:rPr>
          <w:rFonts w:ascii="Times New Roman" w:hAnsi="Times New Roman" w:cs="Times New Roman"/>
          <w:sz w:val="18"/>
          <w:szCs w:val="18"/>
        </w:rPr>
        <w:t>Halloween</w:t>
      </w:r>
      <w:r w:rsidR="005C29A7">
        <w:rPr>
          <w:rFonts w:ascii="Times New Roman" w:hAnsi="Times New Roman" w:cs="Times New Roman"/>
          <w:sz w:val="18"/>
          <w:szCs w:val="18"/>
        </w:rPr>
        <w:t>,</w:t>
      </w:r>
      <w:r w:rsidRPr="001221C6">
        <w:rPr>
          <w:rFonts w:ascii="Times New Roman" w:hAnsi="Times New Roman" w:cs="Times New Roman"/>
          <w:sz w:val="18"/>
          <w:szCs w:val="18"/>
        </w:rPr>
        <w:t xml:space="preserve"> X is a dummy that takes on the value of 1 for May to October and 0 otherwise. </w:t>
      </w:r>
      <w:r w:rsidR="005C29A7" w:rsidRPr="00BC58A3">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005C29A7">
        <w:rPr>
          <w:rFonts w:ascii="Times New Roman" w:hAnsi="Times New Roman" w:cs="Times New Roman"/>
          <w:sz w:val="18"/>
          <w:szCs w:val="18"/>
        </w:rPr>
        <w:t xml:space="preserve"> portfolio is based on equally-</w:t>
      </w:r>
      <w:r w:rsidR="005C29A7" w:rsidRPr="00BC58A3">
        <w:rPr>
          <w:rFonts w:ascii="Times New Roman" w:hAnsi="Times New Roman" w:cs="Times New Roman"/>
          <w:sz w:val="18"/>
          <w:szCs w:val="18"/>
        </w:rPr>
        <w:t>wei</w:t>
      </w:r>
      <w:r w:rsidR="005C29A7">
        <w:rPr>
          <w:rFonts w:ascii="Times New Roman" w:hAnsi="Times New Roman" w:cs="Times New Roman"/>
          <w:sz w:val="18"/>
          <w:szCs w:val="18"/>
        </w:rPr>
        <w:t>ghting five countries (Canada, Germany, Japan, United Kingdom and United States)</w:t>
      </w:r>
      <w:r w:rsidR="005C29A7" w:rsidRPr="00BC58A3">
        <w:rPr>
          <w:rFonts w:ascii="Times New Roman" w:hAnsi="Times New Roman" w:cs="Times New Roman"/>
          <w:sz w:val="18"/>
          <w:szCs w:val="18"/>
        </w:rPr>
        <w:t>.</w:t>
      </w:r>
      <w:r w:rsidR="005C29A7">
        <w:rPr>
          <w:rFonts w:ascii="Times New Roman" w:hAnsi="Times New Roman" w:cs="Times New Roman"/>
          <w:sz w:val="18"/>
          <w:szCs w:val="18"/>
        </w:rPr>
        <w:t xml:space="preserve"> Australian data is not included as the frequency of inflation data for Australia is </w:t>
      </w:r>
      <w:r w:rsidR="005C29A7" w:rsidRPr="00BC58A3">
        <w:rPr>
          <w:rFonts w:ascii="Times New Roman" w:hAnsi="Times New Roman" w:cs="Times New Roman"/>
          <w:sz w:val="18"/>
          <w:szCs w:val="18"/>
        </w:rPr>
        <w:t>quarterly</w:t>
      </w:r>
      <w:r w:rsidR="005C29A7">
        <w:rPr>
          <w:rFonts w:ascii="Times New Roman" w:hAnsi="Times New Roman" w:cs="Times New Roman"/>
          <w:sz w:val="18"/>
          <w:szCs w:val="18"/>
        </w:rPr>
        <w:t xml:space="preserve">.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E7620F">
        <w:rPr>
          <w:rFonts w:ascii="Times New Roman" w:eastAsia="Times New Roman" w:hAnsi="Times New Roman" w:cs="Times New Roman"/>
          <w:color w:val="4F81BD"/>
          <w:sz w:val="18"/>
          <w:szCs w:val="18"/>
          <w:lang w:val="en-GB" w:eastAsia="en-GB"/>
        </w:rPr>
        <w:t xml:space="preserve">Blue </w:t>
      </w:r>
      <w:r w:rsidRPr="00E7620F">
        <w:rPr>
          <w:rFonts w:ascii="Times New Roman" w:eastAsia="Times New Roman" w:hAnsi="Times New Roman" w:cs="Times New Roman"/>
          <w:sz w:val="18"/>
          <w:szCs w:val="18"/>
          <w:lang w:val="en-GB" w:eastAsia="en-GB"/>
        </w:rPr>
        <w:t>a</w:t>
      </w:r>
      <w:r w:rsidRPr="00E7620F">
        <w:rPr>
          <w:rFonts w:ascii="Times New Roman" w:hAnsi="Times New Roman" w:cs="Times New Roman"/>
          <w:sz w:val="18"/>
          <w:szCs w:val="18"/>
        </w:rPr>
        <w:t>t</w:t>
      </w:r>
      <w:r w:rsidRPr="001221C6">
        <w:rPr>
          <w:rFonts w:ascii="Times New Roman" w:hAnsi="Times New Roman" w:cs="Times New Roman"/>
          <w:sz w:val="18"/>
          <w:szCs w:val="18"/>
        </w:rPr>
        <w:t xml:space="preserve"> 10% significance level.</w:t>
      </w:r>
    </w:p>
    <w:p w:rsidR="005A06CB" w:rsidRPr="001221C6" w:rsidRDefault="005A06CB" w:rsidP="005A06CB">
      <w:pPr>
        <w:pStyle w:val="NoSpacing"/>
        <w:jc w:val="both"/>
        <w:rPr>
          <w:rFonts w:ascii="Times New Roman" w:hAnsi="Times New Roman" w:cs="Times New Roman"/>
          <w:sz w:val="18"/>
          <w:szCs w:val="18"/>
        </w:rPr>
      </w:pPr>
    </w:p>
    <w:p w:rsidR="005A06CB" w:rsidRDefault="005A06CB" w:rsidP="005A06CB">
      <w:pPr>
        <w:rPr>
          <w:rFonts w:ascii="Times New Roman" w:hAnsi="Times New Roman" w:cs="Times New Roman"/>
        </w:rPr>
      </w:pPr>
      <w:r>
        <w:rPr>
          <w:rFonts w:ascii="Times New Roman" w:hAnsi="Times New Roman" w:cs="Times New Roman"/>
        </w:rPr>
        <w:tab/>
      </w:r>
    </w:p>
    <w:p w:rsidR="005A06CB" w:rsidRDefault="00E2264E" w:rsidP="005A06CB">
      <w:pPr>
        <w:spacing w:after="0" w:line="360" w:lineRule="auto"/>
        <w:ind w:firstLine="720"/>
        <w:jc w:val="both"/>
        <w:rPr>
          <w:rFonts w:ascii="Times New Roman" w:hAnsi="Times New Roman" w:cs="Times New Roman"/>
        </w:rPr>
      </w:pPr>
      <w:r>
        <w:rPr>
          <w:rFonts w:ascii="Times New Roman" w:hAnsi="Times New Roman" w:cs="Times New Roman"/>
        </w:rPr>
        <w:t>The SAD variable records</w:t>
      </w:r>
      <w:r w:rsidR="005A06CB">
        <w:rPr>
          <w:rFonts w:ascii="Times New Roman" w:hAnsi="Times New Roman" w:cs="Times New Roman"/>
        </w:rPr>
        <w:t xml:space="preserve"> statistical significance for four countries out of the five countries</w:t>
      </w:r>
      <w:r>
        <w:rPr>
          <w:rFonts w:ascii="Times New Roman" w:hAnsi="Times New Roman" w:cs="Times New Roman"/>
        </w:rPr>
        <w:t xml:space="preserve"> for monthly inflation rates (Japan is the exception)</w:t>
      </w:r>
      <w:r w:rsidR="005A06CB">
        <w:rPr>
          <w:rFonts w:ascii="Times New Roman" w:hAnsi="Times New Roman" w:cs="Times New Roman"/>
        </w:rPr>
        <w:t xml:space="preserve">. As in the case of nominal bond excess returns, the January and Inverted Halloween effect do not explain the difference in the inflation rates across the year and countries. </w:t>
      </w:r>
    </w:p>
    <w:p w:rsidR="005A06C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 xml:space="preserve">From the dummy regression results we can conclude that H1 H2 effect is present in </w:t>
      </w:r>
      <w:r w:rsidR="00E2264E">
        <w:rPr>
          <w:rFonts w:ascii="Times New Roman" w:hAnsi="Times New Roman" w:cs="Times New Roman"/>
        </w:rPr>
        <w:t xml:space="preserve">both </w:t>
      </w:r>
      <w:r>
        <w:rPr>
          <w:rFonts w:ascii="Times New Roman" w:hAnsi="Times New Roman" w:cs="Times New Roman"/>
        </w:rPr>
        <w:t>nominal bond excess returns and inflation rate with opposite signs for all analyzed countries. In case of bond returns, the SAD factor loads in case of a limited number of countries (US, Canada and Germany). I will further investigate the interaction between inflation rate and SAD in Section 4</w:t>
      </w:r>
      <w:r w:rsidR="00E2264E">
        <w:rPr>
          <w:rFonts w:ascii="Times New Roman" w:hAnsi="Times New Roman" w:cs="Times New Roman"/>
        </w:rPr>
        <w:t>.</w:t>
      </w:r>
      <w:r>
        <w:rPr>
          <w:rFonts w:ascii="Times New Roman" w:hAnsi="Times New Roman" w:cs="Times New Roman"/>
        </w:rPr>
        <w:t>4.</w:t>
      </w:r>
    </w:p>
    <w:p w:rsidR="005A06CB" w:rsidRDefault="005A06CB" w:rsidP="005A06CB">
      <w:pPr>
        <w:spacing w:line="360" w:lineRule="auto"/>
        <w:ind w:firstLine="720"/>
        <w:jc w:val="both"/>
        <w:rPr>
          <w:rFonts w:ascii="Times New Roman" w:hAnsi="Times New Roman" w:cs="Times New Roman"/>
        </w:rPr>
      </w:pPr>
    </w:p>
    <w:p w:rsidR="005A06CB" w:rsidRDefault="00BC7F37" w:rsidP="00BC7F37">
      <w:pPr>
        <w:pStyle w:val="Heading2"/>
        <w:ind w:left="360"/>
        <w:rPr>
          <w:sz w:val="24"/>
          <w:szCs w:val="24"/>
          <w:lang w:val="nl-NL"/>
        </w:rPr>
      </w:pPr>
      <w:bookmarkStart w:id="45" w:name="_Toc396762712"/>
      <w:r>
        <w:rPr>
          <w:sz w:val="24"/>
          <w:szCs w:val="24"/>
          <w:lang w:val="nl-NL"/>
        </w:rPr>
        <w:t xml:space="preserve">4.2.2 </w:t>
      </w:r>
      <w:r w:rsidR="005A06CB">
        <w:rPr>
          <w:sz w:val="24"/>
          <w:szCs w:val="24"/>
          <w:lang w:val="nl-NL"/>
        </w:rPr>
        <w:t>The link between bond returns and inflation rate</w:t>
      </w:r>
      <w:bookmarkEnd w:id="45"/>
    </w:p>
    <w:p w:rsidR="005A06CB" w:rsidRDefault="005A06CB" w:rsidP="005A06CB">
      <w:pPr>
        <w:spacing w:line="360" w:lineRule="auto"/>
        <w:ind w:firstLine="720"/>
        <w:jc w:val="both"/>
        <w:rPr>
          <w:rFonts w:ascii="Times New Roman" w:hAnsi="Times New Roman" w:cs="Times New Roman"/>
        </w:rPr>
      </w:pPr>
    </w:p>
    <w:p w:rsidR="005A06CB" w:rsidRDefault="005A06CB" w:rsidP="005A06CB">
      <w:pPr>
        <w:pStyle w:val="Heading3"/>
      </w:pPr>
      <w:bookmarkStart w:id="46" w:name="_Toc396762713"/>
      <w:r>
        <w:lastRenderedPageBreak/>
        <w:t>4.2.2.1 Monthly analysis</w:t>
      </w:r>
      <w:bookmarkEnd w:id="46"/>
    </w:p>
    <w:p w:rsidR="005A06CB" w:rsidRDefault="005A06CB" w:rsidP="005A06CB">
      <w:pPr>
        <w:spacing w:line="360" w:lineRule="auto"/>
        <w:ind w:firstLine="720"/>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As shown in Section 2.3, the </w:t>
      </w:r>
      <w:r w:rsidRPr="008D0A79">
        <w:rPr>
          <w:rFonts w:ascii="Times New Roman" w:hAnsi="Times New Roman" w:cs="Times New Roman"/>
        </w:rPr>
        <w:t>inflation rate is relevant for nominal bond returns dynamics</w:t>
      </w:r>
      <w:r>
        <w:rPr>
          <w:rFonts w:ascii="Times New Roman" w:hAnsi="Times New Roman" w:cs="Times New Roman"/>
        </w:rPr>
        <w:t xml:space="preserve"> and the relationship is negative. </w:t>
      </w:r>
    </w:p>
    <w:p w:rsidR="005A06CB" w:rsidRDefault="005A06CB" w:rsidP="005A06CB">
      <w:pPr>
        <w:spacing w:line="360" w:lineRule="auto"/>
        <w:jc w:val="both"/>
        <w:rPr>
          <w:rFonts w:ascii="Times New Roman" w:hAnsi="Times New Roman" w:cs="Times New Roman"/>
        </w:rPr>
      </w:pPr>
      <w:r>
        <w:rPr>
          <w:rFonts w:ascii="Times New Roman" w:hAnsi="Times New Roman" w:cs="Times New Roman"/>
        </w:rPr>
        <w:tab/>
        <w:t>We have seen evidence of a complementary effect in nominal bond returns and inflation rate (the first half of the year is characterized by lower bond returns and higher inflation rates compared to the second half). The next step is to test if there is a contemporaneous time-series correlation between the two variables. I use contemporaneous inflation rate: the increase in prices which takes places in the same month when bond returns are recorded. Usually, the inflation rate of month n is published in the first half of the month n+1. In line with evidence from TIPS market (</w:t>
      </w:r>
      <w:r w:rsidRPr="009F76DE">
        <w:rPr>
          <w:rFonts w:ascii="Times New Roman" w:hAnsi="Times New Roman" w:cs="Times New Roman"/>
        </w:rPr>
        <w:t>Huberman and Schwert (1985)</w:t>
      </w:r>
      <w:r w:rsidR="003929EA">
        <w:rPr>
          <w:rFonts w:ascii="Times New Roman" w:hAnsi="Times New Roman" w:cs="Times New Roman"/>
        </w:rPr>
        <w:t>, Chu, Pittman and Yu (2011</w:t>
      </w:r>
      <w:r>
        <w:rPr>
          <w:rFonts w:ascii="Times New Roman" w:hAnsi="Times New Roman" w:cs="Times New Roman"/>
        </w:rPr>
        <w:t>)) I assume that bond prices incorporate most of the consumer price dynamics rate before the official release and that there is a marginal adjustment in bond prices when inflation data are actually released.</w:t>
      </w:r>
    </w:p>
    <w:p w:rsidR="005A06CB" w:rsidRDefault="005A06CB" w:rsidP="005A06CB">
      <w:pPr>
        <w:ind w:left="360"/>
        <w:jc w:val="center"/>
        <w:rPr>
          <w:rFonts w:ascii="Times New Roman" w:hAnsi="Times New Roman" w:cs="Times New Roman"/>
          <w:noProof/>
        </w:rPr>
      </w:pPr>
      <w:r w:rsidRPr="002920B9">
        <w:rPr>
          <w:rFonts w:ascii="Times New Roman" w:hAnsi="Times New Roman" w:cs="Times New Roman"/>
          <w:noProof/>
        </w:rPr>
        <w:t>Ta</w:t>
      </w:r>
      <w:r w:rsidR="00E7620F">
        <w:rPr>
          <w:rFonts w:ascii="Times New Roman" w:hAnsi="Times New Roman" w:cs="Times New Roman"/>
          <w:noProof/>
        </w:rPr>
        <w:t>ble 4.6</w:t>
      </w:r>
      <w:r w:rsidRPr="002920B9">
        <w:rPr>
          <w:rFonts w:ascii="Times New Roman" w:hAnsi="Times New Roman" w:cs="Times New Roman"/>
          <w:noProof/>
        </w:rPr>
        <w:t>: T</w:t>
      </w:r>
      <w:r w:rsidR="00E2264E">
        <w:rPr>
          <w:rFonts w:ascii="Times New Roman" w:hAnsi="Times New Roman" w:cs="Times New Roman"/>
          <w:noProof/>
        </w:rPr>
        <w:t>he relationship between Bond Returns and National Inflation R</w:t>
      </w:r>
      <w:r w:rsidRPr="002920B9">
        <w:rPr>
          <w:rFonts w:ascii="Times New Roman" w:hAnsi="Times New Roman" w:cs="Times New Roman"/>
          <w:noProof/>
        </w:rPr>
        <w:t>ate</w:t>
      </w:r>
    </w:p>
    <w:tbl>
      <w:tblPr>
        <w:tblW w:w="5480" w:type="dxa"/>
        <w:jc w:val="center"/>
        <w:tblInd w:w="93" w:type="dxa"/>
        <w:tblLook w:val="04A0"/>
      </w:tblPr>
      <w:tblGrid>
        <w:gridCol w:w="2600"/>
        <w:gridCol w:w="1090"/>
        <w:gridCol w:w="890"/>
        <w:gridCol w:w="900"/>
      </w:tblGrid>
      <w:tr w:rsidR="005A06CB" w:rsidRPr="003509FF" w:rsidTr="00D0485F">
        <w:trPr>
          <w:trHeight w:val="330"/>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Nominal Bond Excess Returns</w:t>
            </w:r>
          </w:p>
        </w:tc>
        <w:tc>
          <w:tcPr>
            <w:tcW w:w="1980" w:type="dxa"/>
            <w:gridSpan w:val="2"/>
            <w:tcBorders>
              <w:top w:val="single" w:sz="4" w:space="0" w:color="auto"/>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National Inflation Rate</w:t>
            </w:r>
          </w:p>
        </w:tc>
        <w:tc>
          <w:tcPr>
            <w:tcW w:w="900" w:type="dxa"/>
            <w:vMerge w:val="restart"/>
            <w:tcBorders>
              <w:top w:val="single" w:sz="4" w:space="0" w:color="auto"/>
              <w:left w:val="nil"/>
              <w:bottom w:val="single" w:sz="4" w:space="0" w:color="000000"/>
              <w:right w:val="nil"/>
            </w:tcBorders>
            <w:shd w:val="clear" w:color="auto" w:fill="auto"/>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R</w:t>
            </w:r>
            <w:r w:rsidRPr="003509FF">
              <w:rPr>
                <w:rFonts w:ascii="Times New Roman" w:eastAsia="Times New Roman" w:hAnsi="Times New Roman" w:cs="Times New Roman"/>
                <w:color w:val="000000"/>
                <w:sz w:val="20"/>
                <w:szCs w:val="20"/>
                <w:vertAlign w:val="superscript"/>
              </w:rPr>
              <w:t>2</w:t>
            </w:r>
          </w:p>
        </w:tc>
      </w:tr>
      <w:tr w:rsidR="005A06CB" w:rsidRPr="003509FF" w:rsidTr="00D0485F">
        <w:trPr>
          <w:trHeight w:val="285"/>
          <w:jc w:val="center"/>
        </w:trPr>
        <w:tc>
          <w:tcPr>
            <w:tcW w:w="2600" w:type="dxa"/>
            <w:vMerge/>
            <w:tcBorders>
              <w:top w:val="single" w:sz="4" w:space="0" w:color="auto"/>
              <w:left w:val="nil"/>
              <w:bottom w:val="single" w:sz="4" w:space="0" w:color="000000"/>
              <w:right w:val="nil"/>
            </w:tcBorders>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p>
        </w:tc>
        <w:tc>
          <w:tcPr>
            <w:tcW w:w="10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β</w:t>
            </w:r>
          </w:p>
        </w:tc>
        <w:tc>
          <w:tcPr>
            <w:tcW w:w="8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t-stat</w:t>
            </w:r>
          </w:p>
        </w:tc>
        <w:tc>
          <w:tcPr>
            <w:tcW w:w="900" w:type="dxa"/>
            <w:vMerge/>
            <w:tcBorders>
              <w:top w:val="single" w:sz="4" w:space="0" w:color="auto"/>
              <w:left w:val="nil"/>
              <w:bottom w:val="single" w:sz="4" w:space="0" w:color="000000"/>
              <w:right w:val="nil"/>
            </w:tcBorders>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p>
        </w:tc>
      </w:tr>
      <w:tr w:rsidR="005A06CB" w:rsidRPr="003509FF" w:rsidTr="00D0485F">
        <w:trPr>
          <w:trHeight w:val="255"/>
          <w:jc w:val="center"/>
        </w:trPr>
        <w:tc>
          <w:tcPr>
            <w:tcW w:w="2600" w:type="dxa"/>
            <w:tcBorders>
              <w:top w:val="nil"/>
              <w:left w:val="nil"/>
              <w:bottom w:val="single" w:sz="4" w:space="0" w:color="auto"/>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i/>
                <w:iCs/>
                <w:color w:val="000000"/>
                <w:sz w:val="20"/>
                <w:szCs w:val="20"/>
              </w:rPr>
            </w:pPr>
            <w:r w:rsidRPr="003509FF">
              <w:rPr>
                <w:rFonts w:ascii="Times New Roman" w:eastAsia="Times New Roman" w:hAnsi="Times New Roman" w:cs="Times New Roman"/>
                <w:i/>
                <w:iCs/>
                <w:color w:val="000000"/>
                <w:sz w:val="20"/>
                <w:szCs w:val="20"/>
              </w:rPr>
              <w:t>Monthly frequency</w:t>
            </w:r>
          </w:p>
        </w:tc>
        <w:tc>
          <w:tcPr>
            <w:tcW w:w="10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 </w:t>
            </w:r>
          </w:p>
        </w:tc>
        <w:tc>
          <w:tcPr>
            <w:tcW w:w="8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 </w:t>
            </w:r>
          </w:p>
        </w:tc>
        <w:tc>
          <w:tcPr>
            <w:tcW w:w="900" w:type="dxa"/>
            <w:tcBorders>
              <w:top w:val="nil"/>
              <w:left w:val="nil"/>
              <w:bottom w:val="single" w:sz="4" w:space="0" w:color="auto"/>
              <w:right w:val="nil"/>
            </w:tcBorders>
            <w:shd w:val="clear" w:color="auto" w:fill="auto"/>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 </w:t>
            </w:r>
          </w:p>
        </w:tc>
      </w:tr>
      <w:tr w:rsidR="005A06CB" w:rsidRPr="003509FF" w:rsidTr="00D0485F">
        <w:trPr>
          <w:trHeight w:val="255"/>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Australia</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p>
        </w:tc>
        <w:tc>
          <w:tcPr>
            <w:tcW w:w="9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p>
        </w:tc>
      </w:tr>
      <w:tr w:rsidR="005A06CB" w:rsidRPr="003509FF" w:rsidTr="00D0485F">
        <w:trPr>
          <w:trHeight w:val="240"/>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Canada</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-0.261</w:t>
            </w: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-1.06</w:t>
            </w:r>
          </w:p>
        </w:tc>
        <w:tc>
          <w:tcPr>
            <w:tcW w:w="90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0.004</w:t>
            </w:r>
          </w:p>
        </w:tc>
      </w:tr>
      <w:tr w:rsidR="005A06CB" w:rsidRPr="003509FF" w:rsidTr="00D0485F">
        <w:trPr>
          <w:trHeight w:val="240"/>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Germany</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-0.630</w:t>
            </w: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b/>
                <w:bCs/>
                <w:color w:val="000000"/>
                <w:sz w:val="20"/>
                <w:szCs w:val="20"/>
              </w:rPr>
            </w:pPr>
            <w:r w:rsidRPr="003509FF">
              <w:rPr>
                <w:rFonts w:ascii="Times New Roman" w:eastAsia="Times New Roman" w:hAnsi="Times New Roman" w:cs="Times New Roman"/>
                <w:b/>
                <w:bCs/>
                <w:color w:val="000000"/>
                <w:sz w:val="20"/>
                <w:szCs w:val="20"/>
              </w:rPr>
              <w:t>-2.85</w:t>
            </w:r>
          </w:p>
        </w:tc>
        <w:tc>
          <w:tcPr>
            <w:tcW w:w="90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0.031</w:t>
            </w:r>
          </w:p>
        </w:tc>
      </w:tr>
      <w:tr w:rsidR="005A06CB" w:rsidRPr="003509FF" w:rsidTr="00D0485F">
        <w:trPr>
          <w:trHeight w:val="240"/>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Japan</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-0.162</w:t>
            </w: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-1.08</w:t>
            </w:r>
          </w:p>
        </w:tc>
        <w:tc>
          <w:tcPr>
            <w:tcW w:w="90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0.004</w:t>
            </w:r>
          </w:p>
        </w:tc>
      </w:tr>
      <w:tr w:rsidR="005A06CB" w:rsidRPr="003509FF" w:rsidTr="00D0485F">
        <w:trPr>
          <w:trHeight w:val="240"/>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United Kingdom</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-0.212</w:t>
            </w: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-1.05</w:t>
            </w:r>
          </w:p>
        </w:tc>
        <w:tc>
          <w:tcPr>
            <w:tcW w:w="90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0.003</w:t>
            </w:r>
          </w:p>
        </w:tc>
      </w:tr>
      <w:tr w:rsidR="005A06CB" w:rsidRPr="003509FF" w:rsidTr="00D0485F">
        <w:trPr>
          <w:trHeight w:val="240"/>
          <w:jc w:val="center"/>
        </w:trPr>
        <w:tc>
          <w:tcPr>
            <w:tcW w:w="2600" w:type="dxa"/>
            <w:tcBorders>
              <w:top w:val="nil"/>
              <w:left w:val="nil"/>
              <w:bottom w:val="nil"/>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United States</w:t>
            </w:r>
          </w:p>
        </w:tc>
        <w:tc>
          <w:tcPr>
            <w:tcW w:w="10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-0.978</w:t>
            </w:r>
          </w:p>
        </w:tc>
        <w:tc>
          <w:tcPr>
            <w:tcW w:w="89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b/>
                <w:bCs/>
                <w:color w:val="000000"/>
                <w:sz w:val="20"/>
                <w:szCs w:val="20"/>
              </w:rPr>
            </w:pPr>
            <w:r w:rsidRPr="003509FF">
              <w:rPr>
                <w:rFonts w:ascii="Times New Roman" w:eastAsia="Times New Roman" w:hAnsi="Times New Roman" w:cs="Times New Roman"/>
                <w:b/>
                <w:bCs/>
                <w:color w:val="000000"/>
                <w:sz w:val="20"/>
                <w:szCs w:val="20"/>
              </w:rPr>
              <w:t>-3.69</w:t>
            </w:r>
          </w:p>
        </w:tc>
        <w:tc>
          <w:tcPr>
            <w:tcW w:w="900" w:type="dxa"/>
            <w:tcBorders>
              <w:top w:val="nil"/>
              <w:left w:val="nil"/>
              <w:bottom w:val="nil"/>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0.048</w:t>
            </w:r>
          </w:p>
        </w:tc>
      </w:tr>
      <w:tr w:rsidR="005A06CB" w:rsidRPr="003509FF"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3509FF" w:rsidRDefault="005A06CB" w:rsidP="00D0485F">
            <w:pPr>
              <w:spacing w:after="0" w:line="240" w:lineRule="auto"/>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Developed (5)</w:t>
            </w:r>
          </w:p>
        </w:tc>
        <w:tc>
          <w:tcPr>
            <w:tcW w:w="10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-0.676</w:t>
            </w:r>
          </w:p>
        </w:tc>
        <w:tc>
          <w:tcPr>
            <w:tcW w:w="89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b/>
                <w:bCs/>
                <w:color w:val="000000"/>
                <w:sz w:val="20"/>
                <w:szCs w:val="20"/>
              </w:rPr>
            </w:pPr>
            <w:r w:rsidRPr="003509FF">
              <w:rPr>
                <w:rFonts w:ascii="Times New Roman" w:eastAsia="Times New Roman" w:hAnsi="Times New Roman" w:cs="Times New Roman"/>
                <w:b/>
                <w:bCs/>
                <w:color w:val="000000"/>
                <w:sz w:val="20"/>
                <w:szCs w:val="20"/>
              </w:rPr>
              <w:t>-2.29</w:t>
            </w:r>
          </w:p>
        </w:tc>
        <w:tc>
          <w:tcPr>
            <w:tcW w:w="900" w:type="dxa"/>
            <w:tcBorders>
              <w:top w:val="nil"/>
              <w:left w:val="nil"/>
              <w:bottom w:val="single" w:sz="4" w:space="0" w:color="auto"/>
              <w:right w:val="nil"/>
            </w:tcBorders>
            <w:shd w:val="clear" w:color="auto" w:fill="auto"/>
            <w:noWrap/>
            <w:vAlign w:val="center"/>
            <w:hideMark/>
          </w:tcPr>
          <w:p w:rsidR="005A06CB" w:rsidRPr="003509FF" w:rsidRDefault="005A06CB" w:rsidP="00D0485F">
            <w:pPr>
              <w:spacing w:after="0" w:line="240" w:lineRule="auto"/>
              <w:jc w:val="center"/>
              <w:rPr>
                <w:rFonts w:ascii="Times New Roman" w:eastAsia="Times New Roman" w:hAnsi="Times New Roman" w:cs="Times New Roman"/>
                <w:color w:val="000000"/>
                <w:sz w:val="20"/>
                <w:szCs w:val="20"/>
              </w:rPr>
            </w:pPr>
            <w:r w:rsidRPr="003509FF">
              <w:rPr>
                <w:rFonts w:ascii="Times New Roman" w:eastAsia="Times New Roman" w:hAnsi="Times New Roman" w:cs="Times New Roman"/>
                <w:color w:val="000000"/>
                <w:sz w:val="20"/>
                <w:szCs w:val="20"/>
              </w:rPr>
              <w:t>0.024</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coefficients and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E2264E"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nominal </w:t>
      </w:r>
      <w:r w:rsidR="005A06CB" w:rsidRPr="001221C6">
        <w:rPr>
          <w:rFonts w:ascii="Times New Roman" w:hAnsi="Times New Roman" w:cs="Times New Roman"/>
          <w:sz w:val="18"/>
          <w:szCs w:val="18"/>
        </w:rPr>
        <w:t>bond</w:t>
      </w:r>
      <w:r>
        <w:rPr>
          <w:rFonts w:ascii="Times New Roman" w:hAnsi="Times New Roman" w:cs="Times New Roman"/>
          <w:sz w:val="18"/>
          <w:szCs w:val="18"/>
        </w:rPr>
        <w:t xml:space="preserve"> excess</w:t>
      </w:r>
      <w:r w:rsidR="005A06CB" w:rsidRPr="001221C6">
        <w:rPr>
          <w:rFonts w:ascii="Times New Roman" w:hAnsi="Times New Roman" w:cs="Times New Roman"/>
          <w:sz w:val="18"/>
          <w:szCs w:val="18"/>
        </w:rPr>
        <w:t xml:space="preserve"> returns</w:t>
      </w:r>
      <w:r>
        <w:rPr>
          <w:rFonts w:ascii="Times New Roman" w:hAnsi="Times New Roman" w:cs="Times New Roman"/>
          <w:sz w:val="18"/>
          <w:szCs w:val="18"/>
        </w:rPr>
        <w:t xml:space="preserve"> (based on Datastream Indices)</w:t>
      </w:r>
      <w:r w:rsidR="005A06CB" w:rsidRPr="001221C6">
        <w:rPr>
          <w:rFonts w:ascii="Times New Roman" w:hAnsi="Times New Roman" w:cs="Times New Roman"/>
          <w:sz w:val="18"/>
          <w:szCs w:val="18"/>
        </w:rPr>
        <w:t xml:space="preserve"> at the monthly</w:t>
      </w:r>
      <w:r w:rsidR="005A06CB">
        <w:rPr>
          <w:rFonts w:ascii="Times New Roman" w:hAnsi="Times New Roman" w:cs="Times New Roman"/>
          <w:sz w:val="18"/>
          <w:szCs w:val="18"/>
        </w:rPr>
        <w:t xml:space="preserve"> frequency and </w:t>
      </w:r>
      <w:r w:rsidR="005A06CB" w:rsidRPr="001221C6">
        <w:rPr>
          <w:rFonts w:ascii="Times New Roman" w:hAnsi="Times New Roman" w:cs="Times New Roman"/>
          <w:sz w:val="18"/>
          <w:szCs w:val="18"/>
        </w:rPr>
        <w:t xml:space="preserve">X is the country’s own inflation (national inflation). Australia has only quarterly inflation and hence at the monthly frequency there are no national inflation results. The number in parenthesis next to Developed portfolio stands for the number of countries from the portfolio, five as inflation data for Australia is available at a quarterly frequency. </w:t>
      </w:r>
      <w:r w:rsidR="00803114">
        <w:rPr>
          <w:rFonts w:ascii="Times New Roman" w:hAnsi="Times New Roman" w:cs="Times New Roman"/>
          <w:sz w:val="18"/>
          <w:szCs w:val="18"/>
        </w:rPr>
        <w:t xml:space="preserve">The analysis is conducted on the samples of nominal bond excess returns depicted in Table 3.1. </w:t>
      </w:r>
      <w:r w:rsidR="005A06CB" w:rsidRPr="001221C6">
        <w:rPr>
          <w:rFonts w:ascii="Times New Roman" w:hAnsi="Times New Roman" w:cs="Times New Roman"/>
          <w:sz w:val="18"/>
          <w:szCs w:val="18"/>
        </w:rPr>
        <w:t xml:space="preserve">The numbers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w:t>
      </w:r>
      <w:r w:rsidR="005A06CB" w:rsidRPr="00E7620F">
        <w:rPr>
          <w:rFonts w:ascii="Times New Roman" w:hAnsi="Times New Roman" w:cs="Times New Roman"/>
          <w:sz w:val="18"/>
          <w:szCs w:val="18"/>
        </w:rPr>
        <w:t xml:space="preserve">in </w:t>
      </w:r>
      <w:r w:rsidR="005A06CB" w:rsidRPr="00E7620F">
        <w:rPr>
          <w:rFonts w:ascii="Times New Roman" w:eastAsia="Times New Roman" w:hAnsi="Times New Roman" w:cs="Times New Roman"/>
          <w:color w:val="4F81BD"/>
          <w:sz w:val="18"/>
          <w:szCs w:val="18"/>
          <w:lang w:val="en-GB" w:eastAsia="en-GB"/>
        </w:rPr>
        <w:t>Blue</w:t>
      </w:r>
      <w:r w:rsidR="005A06CB" w:rsidRPr="001221C6">
        <w:rPr>
          <w:rFonts w:ascii="Times New Roman" w:hAnsi="Times New Roman" w:cs="Times New Roman"/>
          <w:sz w:val="18"/>
          <w:szCs w:val="18"/>
        </w:rPr>
        <w:t xml:space="preserve"> at 10% significance level.</w:t>
      </w:r>
    </w:p>
    <w:p w:rsidR="005A06CB" w:rsidRDefault="005A06CB" w:rsidP="005A06CB">
      <w:pPr>
        <w:pStyle w:val="NoSpacing"/>
        <w:jc w:val="both"/>
        <w:rPr>
          <w:rFonts w:ascii="Times New Roman" w:hAnsi="Times New Roman" w:cs="Times New Roman"/>
          <w:sz w:val="20"/>
          <w:szCs w:val="20"/>
        </w:rPr>
      </w:pPr>
    </w:p>
    <w:p w:rsidR="005A06CB" w:rsidRDefault="005A06CB" w:rsidP="005A06CB">
      <w:pPr>
        <w:pStyle w:val="NoSpacing"/>
        <w:jc w:val="both"/>
        <w:rPr>
          <w:rFonts w:ascii="Times New Roman" w:hAnsi="Times New Roman" w:cs="Times New Roman"/>
          <w:sz w:val="20"/>
          <w:szCs w:val="20"/>
        </w:rPr>
      </w:pPr>
    </w:p>
    <w:p w:rsidR="00CD0C66"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From Table </w:t>
      </w:r>
      <w:r w:rsidR="00E7620F">
        <w:rPr>
          <w:rFonts w:ascii="Times New Roman" w:hAnsi="Times New Roman" w:cs="Times New Roman"/>
        </w:rPr>
        <w:t>4.6</w:t>
      </w:r>
      <w:r>
        <w:rPr>
          <w:rFonts w:ascii="Times New Roman" w:hAnsi="Times New Roman" w:cs="Times New Roman"/>
        </w:rPr>
        <w:t>, the negative sign of inflation coefficient is consistent with economic theory. Accordingly, an increase in inflation rate leads to lower bond returns as a higher inflation rate implies a higher discount factor and thus a lower price of the bond ceteris paribus. The relationship between bond returns and inflation is strong, especially in case of United States - at a monthly frequency,</w:t>
      </w:r>
      <w:r w:rsidRPr="008A3047">
        <w:rPr>
          <w:rFonts w:ascii="Times New Roman" w:hAnsi="Times New Roman" w:cs="Times New Roman"/>
        </w:rPr>
        <w:t xml:space="preserve"> the beta of -0.98 is highly significant with a t-statistic of -3.69 and an R-squared of 4.8</w:t>
      </w:r>
      <w:r w:rsidR="00E2264E">
        <w:rPr>
          <w:rFonts w:ascii="Times New Roman" w:hAnsi="Times New Roman" w:cs="Times New Roman"/>
        </w:rPr>
        <w:t>%</w:t>
      </w:r>
      <w:r w:rsidRPr="008A3047">
        <w:rPr>
          <w:rFonts w:ascii="Times New Roman" w:hAnsi="Times New Roman" w:cs="Times New Roman"/>
        </w:rPr>
        <w:t>.</w:t>
      </w:r>
      <w:r>
        <w:rPr>
          <w:rFonts w:ascii="Times New Roman" w:hAnsi="Times New Roman" w:cs="Times New Roman"/>
        </w:rPr>
        <w:t xml:space="preserve"> A significant coefficient at 5% level is also visible in case of Germany and the portfolio of five developed countries. However, the </w:t>
      </w:r>
      <w:r>
        <w:rPr>
          <w:rFonts w:ascii="Times New Roman" w:hAnsi="Times New Roman" w:cs="Times New Roman"/>
        </w:rPr>
        <w:lastRenderedPageBreak/>
        <w:t>results are not consistent across countries. One reason for this could be that investors do not pay attention to the local (national) inflation rate, but they are focusing on the dominant economy whose monetary policy decisions influence other countries. U</w:t>
      </w:r>
      <w:r w:rsidR="00E2264E">
        <w:rPr>
          <w:rFonts w:ascii="Times New Roman" w:hAnsi="Times New Roman" w:cs="Times New Roman"/>
        </w:rPr>
        <w:t>.</w:t>
      </w:r>
      <w:r>
        <w:rPr>
          <w:rFonts w:ascii="Times New Roman" w:hAnsi="Times New Roman" w:cs="Times New Roman"/>
        </w:rPr>
        <w:t>S</w:t>
      </w:r>
      <w:r w:rsidR="00E2264E">
        <w:rPr>
          <w:rFonts w:ascii="Times New Roman" w:hAnsi="Times New Roman" w:cs="Times New Roman"/>
        </w:rPr>
        <w:t>.</w:t>
      </w:r>
      <w:r>
        <w:rPr>
          <w:rFonts w:ascii="Times New Roman" w:hAnsi="Times New Roman" w:cs="Times New Roman"/>
        </w:rPr>
        <w:t xml:space="preserve"> economy is dominant since Second World War. Therefore, the worldwide financial markets are under the influence of the actions of United States. </w:t>
      </w:r>
    </w:p>
    <w:p w:rsidR="00CD0C66" w:rsidRDefault="00CD0C66"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Several papers indicate the importance of U.S. macroeconomic data releases for other bond markets. </w:t>
      </w:r>
      <w:r w:rsidRPr="00CD0C66">
        <w:rPr>
          <w:rFonts w:ascii="Times New Roman" w:hAnsi="Times New Roman" w:cs="Times New Roman"/>
        </w:rPr>
        <w:t>Goldberg and Leonard (2003)</w:t>
      </w:r>
      <w:r>
        <w:rPr>
          <w:rFonts w:ascii="Times New Roman" w:hAnsi="Times New Roman" w:cs="Times New Roman"/>
        </w:rPr>
        <w:t xml:space="preserve">, </w:t>
      </w:r>
      <w:r w:rsidRPr="00CD0C66">
        <w:rPr>
          <w:rFonts w:ascii="Times New Roman" w:hAnsi="Times New Roman" w:cs="Times New Roman"/>
        </w:rPr>
        <w:t>Ehrmann and Fratzscher (2005), Andersson, Overby and Sebestyen (2009) and Andersen, Bollerslev, Diebold and Vega (2007) find that Euro area bonds react significantly to U</w:t>
      </w:r>
      <w:r>
        <w:rPr>
          <w:rFonts w:ascii="Times New Roman" w:hAnsi="Times New Roman" w:cs="Times New Roman"/>
        </w:rPr>
        <w:t>.</w:t>
      </w:r>
      <w:r w:rsidRPr="00CD0C66">
        <w:rPr>
          <w:rFonts w:ascii="Times New Roman" w:hAnsi="Times New Roman" w:cs="Times New Roman"/>
        </w:rPr>
        <w:t>S</w:t>
      </w:r>
      <w:r>
        <w:rPr>
          <w:rFonts w:ascii="Times New Roman" w:hAnsi="Times New Roman" w:cs="Times New Roman"/>
        </w:rPr>
        <w:t>.</w:t>
      </w:r>
      <w:r w:rsidRPr="00CD0C66">
        <w:rPr>
          <w:rFonts w:ascii="Times New Roman" w:hAnsi="Times New Roman" w:cs="Times New Roman"/>
        </w:rPr>
        <w:t xml:space="preserve"> macro surprises, and that this effect is stronger than for the equivalent euro area surprises. As Ehrmann and Fratzscher (2005, p. 928) put it; “In recent years certain US macroeconomic news affect euro area money markets and have become good leading indicators for the euro area”. Similarly, Andersson et al. (2009) find that German government bond futures react more strongly to US macro surprises compared to German and euro area announcements. They find that the effect of US releases has become more important during the period considered (’99-’05).</w:t>
      </w:r>
      <w:r>
        <w:rPr>
          <w:rFonts w:ascii="Times New Roman" w:hAnsi="Times New Roman" w:cs="Times New Roman"/>
        </w:rPr>
        <w:t xml:space="preserve"> </w:t>
      </w:r>
      <w:r w:rsidR="005A06CB">
        <w:rPr>
          <w:rFonts w:ascii="Times New Roman" w:hAnsi="Times New Roman" w:cs="Times New Roman"/>
        </w:rPr>
        <w:t>Goldberg and</w:t>
      </w:r>
      <w:r w:rsidR="005A06CB" w:rsidRPr="003D6FD7">
        <w:rPr>
          <w:rFonts w:ascii="Times New Roman" w:hAnsi="Times New Roman" w:cs="Times New Roman"/>
        </w:rPr>
        <w:t xml:space="preserve"> Leonard (2003)</w:t>
      </w:r>
      <w:r w:rsidR="005A06CB">
        <w:rPr>
          <w:rFonts w:ascii="Times New Roman" w:hAnsi="Times New Roman" w:cs="Times New Roman"/>
        </w:rPr>
        <w:t xml:space="preserve"> </w:t>
      </w:r>
      <w:r>
        <w:rPr>
          <w:rFonts w:ascii="Times New Roman" w:hAnsi="Times New Roman" w:cs="Times New Roman"/>
        </w:rPr>
        <w:t xml:space="preserve">also find </w:t>
      </w:r>
      <w:r w:rsidR="005A06CB">
        <w:rPr>
          <w:rFonts w:ascii="Times New Roman" w:hAnsi="Times New Roman" w:cs="Times New Roman"/>
        </w:rPr>
        <w:t>that U</w:t>
      </w:r>
      <w:r w:rsidR="00E2264E">
        <w:rPr>
          <w:rFonts w:ascii="Times New Roman" w:hAnsi="Times New Roman" w:cs="Times New Roman"/>
        </w:rPr>
        <w:t>.</w:t>
      </w:r>
      <w:r w:rsidR="005A06CB">
        <w:rPr>
          <w:rFonts w:ascii="Times New Roman" w:hAnsi="Times New Roman" w:cs="Times New Roman"/>
        </w:rPr>
        <w:t>S</w:t>
      </w:r>
      <w:r w:rsidR="00E2264E">
        <w:rPr>
          <w:rFonts w:ascii="Times New Roman" w:hAnsi="Times New Roman" w:cs="Times New Roman"/>
        </w:rPr>
        <w:t>.</w:t>
      </w:r>
      <w:r w:rsidR="005A06CB">
        <w:rPr>
          <w:rFonts w:ascii="Times New Roman" w:hAnsi="Times New Roman" w:cs="Times New Roman"/>
        </w:rPr>
        <w:t xml:space="preserve"> economic data releases have a direct and influential effect on German bond market</w:t>
      </w:r>
      <w:r>
        <w:rPr>
          <w:rFonts w:ascii="Times New Roman" w:hAnsi="Times New Roman" w:cs="Times New Roman"/>
        </w:rPr>
        <w:t>.</w:t>
      </w: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In order to test this hypothesis I run the same regression as before using inflation rate recorded in </w:t>
      </w:r>
      <w:r w:rsidR="00E2264E">
        <w:rPr>
          <w:rFonts w:ascii="Times New Roman" w:hAnsi="Times New Roman" w:cs="Times New Roman"/>
        </w:rPr>
        <w:t xml:space="preserve">the </w:t>
      </w:r>
      <w:r>
        <w:rPr>
          <w:rFonts w:ascii="Times New Roman" w:hAnsi="Times New Roman" w:cs="Times New Roman"/>
        </w:rPr>
        <w:t xml:space="preserve">United States instead of the national inflation rate. </w:t>
      </w:r>
    </w:p>
    <w:p w:rsidR="005A06CB" w:rsidRDefault="005A06CB" w:rsidP="005A06CB">
      <w:pPr>
        <w:pStyle w:val="NoSpacing"/>
        <w:spacing w:line="360" w:lineRule="auto"/>
        <w:ind w:firstLine="720"/>
        <w:jc w:val="both"/>
        <w:rPr>
          <w:rFonts w:ascii="Times New Roman" w:hAnsi="Times New Roman" w:cs="Times New Roman"/>
        </w:rPr>
      </w:pPr>
    </w:p>
    <w:p w:rsidR="005A06CB" w:rsidRDefault="005A06CB" w:rsidP="005A06CB">
      <w:pPr>
        <w:ind w:left="360"/>
        <w:jc w:val="center"/>
        <w:rPr>
          <w:rFonts w:ascii="Times New Roman" w:hAnsi="Times New Roman" w:cs="Times New Roman"/>
          <w:noProof/>
        </w:rPr>
      </w:pPr>
      <w:r w:rsidRPr="002920B9">
        <w:rPr>
          <w:rFonts w:ascii="Times New Roman" w:hAnsi="Times New Roman" w:cs="Times New Roman"/>
          <w:noProof/>
        </w:rPr>
        <w:t>Ta</w:t>
      </w:r>
      <w:r w:rsidR="00E7620F">
        <w:rPr>
          <w:rFonts w:ascii="Times New Roman" w:hAnsi="Times New Roman" w:cs="Times New Roman"/>
          <w:noProof/>
        </w:rPr>
        <w:t>ble 4.7</w:t>
      </w:r>
      <w:r w:rsidRPr="002920B9">
        <w:rPr>
          <w:rFonts w:ascii="Times New Roman" w:hAnsi="Times New Roman" w:cs="Times New Roman"/>
          <w:noProof/>
        </w:rPr>
        <w:t xml:space="preserve">: </w:t>
      </w:r>
      <w:r w:rsidR="008E5EC0" w:rsidRPr="002920B9">
        <w:rPr>
          <w:rFonts w:ascii="Times New Roman" w:hAnsi="Times New Roman" w:cs="Times New Roman"/>
          <w:noProof/>
        </w:rPr>
        <w:t>T</w:t>
      </w:r>
      <w:r w:rsidR="008E5EC0">
        <w:rPr>
          <w:rFonts w:ascii="Times New Roman" w:hAnsi="Times New Roman" w:cs="Times New Roman"/>
          <w:noProof/>
        </w:rPr>
        <w:t>he relationship between Bond Returns and U.S. Inflation R</w:t>
      </w:r>
      <w:r w:rsidR="008E5EC0" w:rsidRPr="002920B9">
        <w:rPr>
          <w:rFonts w:ascii="Times New Roman" w:hAnsi="Times New Roman" w:cs="Times New Roman"/>
          <w:noProof/>
        </w:rPr>
        <w:t>ate</w:t>
      </w:r>
    </w:p>
    <w:tbl>
      <w:tblPr>
        <w:tblW w:w="5280" w:type="dxa"/>
        <w:jc w:val="center"/>
        <w:tblInd w:w="93" w:type="dxa"/>
        <w:tblLook w:val="04A0"/>
      </w:tblPr>
      <w:tblGrid>
        <w:gridCol w:w="2600"/>
        <w:gridCol w:w="980"/>
        <w:gridCol w:w="800"/>
        <w:gridCol w:w="900"/>
      </w:tblGrid>
      <w:tr w:rsidR="005A06CB" w:rsidRPr="001221C6" w:rsidTr="00D0485F">
        <w:trPr>
          <w:trHeight w:val="330"/>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Nominal Bond Excess Returns</w:t>
            </w:r>
          </w:p>
        </w:tc>
        <w:tc>
          <w:tcPr>
            <w:tcW w:w="1780" w:type="dxa"/>
            <w:gridSpan w:val="2"/>
            <w:tcBorders>
              <w:top w:val="single" w:sz="4" w:space="0" w:color="auto"/>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U</w:t>
            </w:r>
            <w:r w:rsidR="008E5EC0">
              <w:rPr>
                <w:rFonts w:ascii="Times New Roman" w:eastAsia="Times New Roman" w:hAnsi="Times New Roman" w:cs="Times New Roman"/>
                <w:color w:val="000000"/>
                <w:sz w:val="20"/>
                <w:szCs w:val="20"/>
              </w:rPr>
              <w:t>.</w:t>
            </w:r>
            <w:r w:rsidRPr="001221C6">
              <w:rPr>
                <w:rFonts w:ascii="Times New Roman" w:eastAsia="Times New Roman" w:hAnsi="Times New Roman" w:cs="Times New Roman"/>
                <w:color w:val="000000"/>
                <w:sz w:val="20"/>
                <w:szCs w:val="20"/>
              </w:rPr>
              <w:t>S</w:t>
            </w:r>
            <w:r w:rsidR="008E5EC0">
              <w:rPr>
                <w:rFonts w:ascii="Times New Roman" w:eastAsia="Times New Roman" w:hAnsi="Times New Roman" w:cs="Times New Roman"/>
                <w:color w:val="000000"/>
                <w:sz w:val="20"/>
                <w:szCs w:val="20"/>
              </w:rPr>
              <w:t>.</w:t>
            </w:r>
            <w:r w:rsidRPr="001221C6">
              <w:rPr>
                <w:rFonts w:ascii="Times New Roman" w:eastAsia="Times New Roman" w:hAnsi="Times New Roman" w:cs="Times New Roman"/>
                <w:color w:val="000000"/>
                <w:sz w:val="20"/>
                <w:szCs w:val="20"/>
              </w:rPr>
              <w:t xml:space="preserve"> Inflation Rate</w:t>
            </w:r>
          </w:p>
        </w:tc>
        <w:tc>
          <w:tcPr>
            <w:tcW w:w="900" w:type="dxa"/>
            <w:vMerge w:val="restart"/>
            <w:tcBorders>
              <w:top w:val="single" w:sz="4" w:space="0" w:color="auto"/>
              <w:left w:val="nil"/>
              <w:bottom w:val="single" w:sz="4" w:space="0" w:color="000000"/>
              <w:right w:val="nil"/>
            </w:tcBorders>
            <w:shd w:val="clear" w:color="auto" w:fill="auto"/>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R</w:t>
            </w:r>
            <w:r w:rsidRPr="001221C6">
              <w:rPr>
                <w:rFonts w:ascii="Times New Roman" w:eastAsia="Times New Roman" w:hAnsi="Times New Roman" w:cs="Times New Roman"/>
                <w:color w:val="000000"/>
                <w:sz w:val="20"/>
                <w:szCs w:val="20"/>
                <w:vertAlign w:val="superscript"/>
              </w:rPr>
              <w:t>2</w:t>
            </w:r>
          </w:p>
        </w:tc>
      </w:tr>
      <w:tr w:rsidR="005A06CB" w:rsidRPr="001221C6" w:rsidTr="00D0485F">
        <w:trPr>
          <w:trHeight w:val="285"/>
          <w:jc w:val="center"/>
        </w:trPr>
        <w:tc>
          <w:tcPr>
            <w:tcW w:w="2600" w:type="dxa"/>
            <w:vMerge/>
            <w:tcBorders>
              <w:top w:val="single" w:sz="4" w:space="0" w:color="auto"/>
              <w:left w:val="nil"/>
              <w:bottom w:val="single" w:sz="4" w:space="0" w:color="000000"/>
              <w:right w:val="nil"/>
            </w:tcBorders>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p>
        </w:tc>
        <w:tc>
          <w:tcPr>
            <w:tcW w:w="98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β</w:t>
            </w:r>
          </w:p>
        </w:tc>
        <w:tc>
          <w:tcPr>
            <w:tcW w:w="80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t-stat</w:t>
            </w:r>
          </w:p>
        </w:tc>
        <w:tc>
          <w:tcPr>
            <w:tcW w:w="900" w:type="dxa"/>
            <w:vMerge/>
            <w:tcBorders>
              <w:top w:val="single" w:sz="4" w:space="0" w:color="auto"/>
              <w:left w:val="nil"/>
              <w:bottom w:val="single" w:sz="4" w:space="0" w:color="000000"/>
              <w:right w:val="nil"/>
            </w:tcBorders>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p>
        </w:tc>
      </w:tr>
      <w:tr w:rsidR="005A06CB" w:rsidRPr="001221C6" w:rsidTr="00D0485F">
        <w:trPr>
          <w:trHeight w:val="255"/>
          <w:jc w:val="center"/>
        </w:trPr>
        <w:tc>
          <w:tcPr>
            <w:tcW w:w="2600" w:type="dxa"/>
            <w:tcBorders>
              <w:top w:val="nil"/>
              <w:left w:val="nil"/>
              <w:bottom w:val="single" w:sz="4" w:space="0" w:color="auto"/>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i/>
                <w:iCs/>
                <w:color w:val="000000"/>
                <w:sz w:val="20"/>
                <w:szCs w:val="20"/>
              </w:rPr>
            </w:pPr>
            <w:r w:rsidRPr="001221C6">
              <w:rPr>
                <w:rFonts w:ascii="Times New Roman" w:eastAsia="Times New Roman" w:hAnsi="Times New Roman" w:cs="Times New Roman"/>
                <w:i/>
                <w:iCs/>
                <w:color w:val="000000"/>
                <w:sz w:val="20"/>
                <w:szCs w:val="20"/>
              </w:rPr>
              <w:t>Monthly frequency</w:t>
            </w:r>
          </w:p>
        </w:tc>
        <w:tc>
          <w:tcPr>
            <w:tcW w:w="98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 </w:t>
            </w:r>
          </w:p>
        </w:tc>
        <w:tc>
          <w:tcPr>
            <w:tcW w:w="80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 </w:t>
            </w:r>
          </w:p>
        </w:tc>
        <w:tc>
          <w:tcPr>
            <w:tcW w:w="900" w:type="dxa"/>
            <w:tcBorders>
              <w:top w:val="nil"/>
              <w:left w:val="nil"/>
              <w:bottom w:val="single" w:sz="4" w:space="0" w:color="auto"/>
              <w:right w:val="nil"/>
            </w:tcBorders>
            <w:shd w:val="clear" w:color="auto" w:fill="auto"/>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 </w:t>
            </w:r>
          </w:p>
        </w:tc>
      </w:tr>
      <w:tr w:rsidR="005A06CB" w:rsidRPr="001221C6" w:rsidTr="00D0485F">
        <w:trPr>
          <w:trHeight w:val="255"/>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Australia</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-0.533</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4F81BD"/>
                <w:sz w:val="20"/>
                <w:szCs w:val="20"/>
              </w:rPr>
            </w:pPr>
            <w:r w:rsidRPr="001221C6">
              <w:rPr>
                <w:rFonts w:ascii="Times New Roman" w:eastAsia="Times New Roman" w:hAnsi="Times New Roman" w:cs="Times New Roman"/>
                <w:color w:val="4F81BD"/>
                <w:sz w:val="20"/>
                <w:szCs w:val="20"/>
              </w:rPr>
              <w:t>-1.92</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0.015</w:t>
            </w:r>
          </w:p>
        </w:tc>
      </w:tr>
      <w:tr w:rsidR="005A06CB" w:rsidRPr="001221C6" w:rsidTr="00D0485F">
        <w:trPr>
          <w:trHeight w:val="240"/>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Canada</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-0.827</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-3.93</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0.029</w:t>
            </w:r>
          </w:p>
        </w:tc>
      </w:tr>
      <w:tr w:rsidR="005A06CB" w:rsidRPr="001221C6" w:rsidTr="00D0485F">
        <w:trPr>
          <w:trHeight w:val="240"/>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Germany</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-0.937</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-5.04</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0.084</w:t>
            </w:r>
          </w:p>
        </w:tc>
      </w:tr>
      <w:tr w:rsidR="005A06CB" w:rsidRPr="001221C6" w:rsidTr="00D0485F">
        <w:trPr>
          <w:trHeight w:val="240"/>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Japan</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-0.496</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-2.59</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0.022</w:t>
            </w:r>
          </w:p>
        </w:tc>
      </w:tr>
      <w:tr w:rsidR="005A06CB" w:rsidRPr="001221C6" w:rsidTr="00D0485F">
        <w:trPr>
          <w:trHeight w:val="240"/>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United Kingdom</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-1.081</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-3.97</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0.042</w:t>
            </w:r>
          </w:p>
        </w:tc>
      </w:tr>
      <w:tr w:rsidR="005A06CB" w:rsidRPr="001221C6" w:rsidTr="00D0485F">
        <w:trPr>
          <w:trHeight w:val="240"/>
          <w:jc w:val="center"/>
        </w:trPr>
        <w:tc>
          <w:tcPr>
            <w:tcW w:w="2600" w:type="dxa"/>
            <w:tcBorders>
              <w:top w:val="nil"/>
              <w:left w:val="nil"/>
              <w:bottom w:val="nil"/>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United States</w:t>
            </w:r>
          </w:p>
        </w:tc>
        <w:tc>
          <w:tcPr>
            <w:tcW w:w="98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-0.978</w:t>
            </w:r>
          </w:p>
        </w:tc>
        <w:tc>
          <w:tcPr>
            <w:tcW w:w="8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-3.69</w:t>
            </w:r>
          </w:p>
        </w:tc>
        <w:tc>
          <w:tcPr>
            <w:tcW w:w="900" w:type="dxa"/>
            <w:tcBorders>
              <w:top w:val="nil"/>
              <w:left w:val="nil"/>
              <w:bottom w:val="nil"/>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0.048</w:t>
            </w:r>
          </w:p>
        </w:tc>
      </w:tr>
      <w:tr w:rsidR="005A06CB" w:rsidRPr="001221C6"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1221C6" w:rsidRDefault="005A06CB" w:rsidP="00D0485F">
            <w:pPr>
              <w:spacing w:after="0" w:line="240" w:lineRule="auto"/>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Developed (6)</w:t>
            </w:r>
          </w:p>
        </w:tc>
        <w:tc>
          <w:tcPr>
            <w:tcW w:w="98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-0.893</w:t>
            </w:r>
          </w:p>
        </w:tc>
        <w:tc>
          <w:tcPr>
            <w:tcW w:w="80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b/>
                <w:bCs/>
                <w:color w:val="000000"/>
                <w:sz w:val="20"/>
                <w:szCs w:val="20"/>
              </w:rPr>
            </w:pPr>
            <w:r w:rsidRPr="001221C6">
              <w:rPr>
                <w:rFonts w:ascii="Times New Roman" w:eastAsia="Times New Roman" w:hAnsi="Times New Roman" w:cs="Times New Roman"/>
                <w:b/>
                <w:bCs/>
                <w:color w:val="000000"/>
                <w:sz w:val="20"/>
                <w:szCs w:val="20"/>
              </w:rPr>
              <w:t>-4.95</w:t>
            </w:r>
          </w:p>
        </w:tc>
        <w:tc>
          <w:tcPr>
            <w:tcW w:w="900" w:type="dxa"/>
            <w:tcBorders>
              <w:top w:val="nil"/>
              <w:left w:val="nil"/>
              <w:bottom w:val="single" w:sz="4" w:space="0" w:color="auto"/>
              <w:right w:val="nil"/>
            </w:tcBorders>
            <w:shd w:val="clear" w:color="auto" w:fill="auto"/>
            <w:noWrap/>
            <w:vAlign w:val="center"/>
            <w:hideMark/>
          </w:tcPr>
          <w:p w:rsidR="005A06CB" w:rsidRPr="001221C6" w:rsidRDefault="005A06CB" w:rsidP="00D0485F">
            <w:pPr>
              <w:spacing w:after="0" w:line="240" w:lineRule="auto"/>
              <w:jc w:val="center"/>
              <w:rPr>
                <w:rFonts w:ascii="Times New Roman" w:eastAsia="Times New Roman" w:hAnsi="Times New Roman" w:cs="Times New Roman"/>
                <w:color w:val="000000"/>
                <w:sz w:val="20"/>
                <w:szCs w:val="20"/>
              </w:rPr>
            </w:pPr>
            <w:r w:rsidRPr="001221C6">
              <w:rPr>
                <w:rFonts w:ascii="Times New Roman" w:eastAsia="Times New Roman" w:hAnsi="Times New Roman" w:cs="Times New Roman"/>
                <w:color w:val="000000"/>
                <w:sz w:val="20"/>
                <w:szCs w:val="20"/>
              </w:rPr>
              <w:t>0.074</w:t>
            </w:r>
          </w:p>
        </w:tc>
      </w:tr>
    </w:tbl>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coefficients and t-values based on Newey-West standard errors for the β in the regression </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8E5EC0" w:rsidP="005A06CB">
      <w:pPr>
        <w:pStyle w:val="NoSpacing"/>
        <w:jc w:val="both"/>
        <w:rPr>
          <w:rFonts w:ascii="Times New Roman" w:hAnsi="Times New Roman" w:cs="Times New Roman"/>
          <w:sz w:val="18"/>
          <w:szCs w:val="18"/>
        </w:rPr>
      </w:pPr>
      <w:r>
        <w:rPr>
          <w:rFonts w:ascii="Times New Roman" w:hAnsi="Times New Roman" w:cs="Times New Roman"/>
          <w:sz w:val="18"/>
          <w:szCs w:val="18"/>
        </w:rPr>
        <w:t>where Y are nominal</w:t>
      </w:r>
      <w:r w:rsidR="005A06CB" w:rsidRPr="001221C6">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005A06CB" w:rsidRPr="001221C6">
        <w:rPr>
          <w:rFonts w:ascii="Times New Roman" w:hAnsi="Times New Roman" w:cs="Times New Roman"/>
          <w:sz w:val="18"/>
          <w:szCs w:val="18"/>
        </w:rPr>
        <w:t>returns</w:t>
      </w:r>
      <w:r>
        <w:rPr>
          <w:rFonts w:ascii="Times New Roman" w:hAnsi="Times New Roman" w:cs="Times New Roman"/>
          <w:sz w:val="18"/>
          <w:szCs w:val="18"/>
        </w:rPr>
        <w:t xml:space="preserve"> (based </w:t>
      </w:r>
      <w:r w:rsidR="00355ED8">
        <w:rPr>
          <w:rFonts w:ascii="Times New Roman" w:hAnsi="Times New Roman" w:cs="Times New Roman"/>
          <w:sz w:val="18"/>
          <w:szCs w:val="18"/>
        </w:rPr>
        <w:t>on</w:t>
      </w:r>
      <w:r>
        <w:rPr>
          <w:rFonts w:ascii="Times New Roman" w:hAnsi="Times New Roman" w:cs="Times New Roman"/>
          <w:sz w:val="18"/>
          <w:szCs w:val="18"/>
        </w:rPr>
        <w:t xml:space="preserve"> Datastream Indices)</w:t>
      </w:r>
      <w:r w:rsidR="005A06CB" w:rsidRPr="001221C6">
        <w:rPr>
          <w:rFonts w:ascii="Times New Roman" w:hAnsi="Times New Roman" w:cs="Times New Roman"/>
          <w:sz w:val="18"/>
          <w:szCs w:val="18"/>
        </w:rPr>
        <w:t xml:space="preserve"> at the monthly</w:t>
      </w:r>
      <w:r w:rsidR="005A06CB">
        <w:rPr>
          <w:rFonts w:ascii="Times New Roman" w:hAnsi="Times New Roman" w:cs="Times New Roman"/>
          <w:sz w:val="18"/>
          <w:szCs w:val="18"/>
        </w:rPr>
        <w:t xml:space="preserve"> frequency and </w:t>
      </w:r>
      <w:r w:rsidR="005A06CB" w:rsidRPr="001221C6">
        <w:rPr>
          <w:rFonts w:ascii="Times New Roman" w:hAnsi="Times New Roman" w:cs="Times New Roman"/>
          <w:sz w:val="18"/>
          <w:szCs w:val="18"/>
        </w:rPr>
        <w:t xml:space="preserve">X is the inflation rate recorded in </w:t>
      </w:r>
      <w:r>
        <w:rPr>
          <w:rFonts w:ascii="Times New Roman" w:hAnsi="Times New Roman" w:cs="Times New Roman"/>
          <w:sz w:val="18"/>
          <w:szCs w:val="18"/>
        </w:rPr>
        <w:t xml:space="preserve">the </w:t>
      </w:r>
      <w:r w:rsidR="005A06CB" w:rsidRPr="001221C6">
        <w:rPr>
          <w:rFonts w:ascii="Times New Roman" w:hAnsi="Times New Roman" w:cs="Times New Roman"/>
          <w:sz w:val="18"/>
          <w:szCs w:val="18"/>
        </w:rPr>
        <w:t xml:space="preserve">United States. </w:t>
      </w:r>
      <w:r w:rsidRPr="008E5EC0">
        <w:rPr>
          <w:rFonts w:ascii="Times New Roman" w:hAnsi="Times New Roman" w:cs="Times New Roman"/>
          <w:sz w:val="18"/>
          <w:szCs w:val="18"/>
        </w:rPr>
        <w:t>The Developed portfolio is</w:t>
      </w:r>
      <w:r>
        <w:rPr>
          <w:rFonts w:ascii="Times New Roman" w:hAnsi="Times New Roman" w:cs="Times New Roman"/>
          <w:sz w:val="18"/>
          <w:szCs w:val="18"/>
        </w:rPr>
        <w:t xml:space="preserve"> based on equally-weighting the six countries provided data are available</w:t>
      </w:r>
      <w:r w:rsidRPr="008E5EC0">
        <w:rPr>
          <w:rFonts w:ascii="Times New Roman" w:hAnsi="Times New Roman" w:cs="Times New Roman"/>
          <w:sz w:val="18"/>
          <w:szCs w:val="18"/>
        </w:rPr>
        <w:t>.</w:t>
      </w:r>
      <w:r w:rsidR="00803114">
        <w:rPr>
          <w:rFonts w:ascii="Times New Roman" w:hAnsi="Times New Roman" w:cs="Times New Roman"/>
          <w:sz w:val="18"/>
          <w:szCs w:val="18"/>
        </w:rPr>
        <w:t xml:space="preserve"> The analysis is conducted on the samples of nominal bond excess returns depicted in Table 3.1.</w:t>
      </w:r>
      <w:r w:rsidRPr="008E5EC0">
        <w:rPr>
          <w:rFonts w:ascii="Times New Roman" w:hAnsi="Times New Roman" w:cs="Times New Roman"/>
          <w:sz w:val="18"/>
          <w:szCs w:val="18"/>
        </w:rPr>
        <w:t xml:space="preserve"> </w:t>
      </w:r>
      <w:r w:rsidR="005A06CB" w:rsidRPr="001221C6">
        <w:rPr>
          <w:rFonts w:ascii="Times New Roman" w:hAnsi="Times New Roman" w:cs="Times New Roman"/>
          <w:sz w:val="18"/>
          <w:szCs w:val="18"/>
        </w:rPr>
        <w:t xml:space="preserve">The numbers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in </w:t>
      </w:r>
      <w:r w:rsidR="005A06CB" w:rsidRPr="00E7620F">
        <w:rPr>
          <w:rFonts w:ascii="Times New Roman" w:eastAsia="Times New Roman" w:hAnsi="Times New Roman" w:cs="Times New Roman"/>
          <w:color w:val="4F81BD"/>
          <w:sz w:val="18"/>
          <w:szCs w:val="18"/>
          <w:lang w:val="en-GB" w:eastAsia="en-GB"/>
        </w:rPr>
        <w:t>Blue</w:t>
      </w:r>
      <w:r w:rsidR="005A06CB" w:rsidRPr="00E7620F">
        <w:rPr>
          <w:rFonts w:ascii="Times New Roman" w:eastAsia="Times New Roman" w:hAnsi="Times New Roman" w:cs="Times New Roman"/>
          <w:color w:val="4F81BD"/>
          <w:sz w:val="20"/>
          <w:szCs w:val="20"/>
          <w:lang w:val="en-GB" w:eastAsia="en-GB"/>
        </w:rPr>
        <w:t xml:space="preserve"> </w:t>
      </w:r>
      <w:r w:rsidR="005A06CB" w:rsidRPr="001221C6">
        <w:rPr>
          <w:rFonts w:ascii="Times New Roman" w:hAnsi="Times New Roman" w:cs="Times New Roman"/>
          <w:sz w:val="18"/>
          <w:szCs w:val="18"/>
        </w:rPr>
        <w:t>at 10% significance level.</w:t>
      </w:r>
    </w:p>
    <w:p w:rsidR="005A06CB" w:rsidRPr="001221C6" w:rsidRDefault="005A06CB" w:rsidP="005A06CB">
      <w:pPr>
        <w:pStyle w:val="NoSpacing"/>
        <w:spacing w:line="360" w:lineRule="auto"/>
        <w:ind w:firstLine="720"/>
        <w:jc w:val="both"/>
        <w:rPr>
          <w:rFonts w:ascii="Times New Roman" w:hAnsi="Times New Roman" w:cs="Times New Roman"/>
          <w:sz w:val="18"/>
          <w:szCs w:val="18"/>
        </w:rPr>
      </w:pP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T</w:t>
      </w:r>
      <w:r w:rsidR="00E7620F">
        <w:rPr>
          <w:rFonts w:ascii="Times New Roman" w:hAnsi="Times New Roman" w:cs="Times New Roman"/>
        </w:rPr>
        <w:t>he results in Table 4.7</w:t>
      </w:r>
      <w:r>
        <w:rPr>
          <w:rFonts w:ascii="Times New Roman" w:hAnsi="Times New Roman" w:cs="Times New Roman"/>
        </w:rPr>
        <w:t xml:space="preserve"> improve significantly when using US inflation rate instead of </w:t>
      </w:r>
      <w:r w:rsidR="007D32A7">
        <w:rPr>
          <w:rFonts w:ascii="Times New Roman" w:hAnsi="Times New Roman" w:cs="Times New Roman"/>
        </w:rPr>
        <w:t xml:space="preserve">the </w:t>
      </w:r>
      <w:r>
        <w:rPr>
          <w:rFonts w:ascii="Times New Roman" w:hAnsi="Times New Roman" w:cs="Times New Roman"/>
        </w:rPr>
        <w:t>national inflation rate. With the exception of Australia (for which the coefficient is significant at 10% level), an increase in U</w:t>
      </w:r>
      <w:r w:rsidR="007D32A7">
        <w:rPr>
          <w:rFonts w:ascii="Times New Roman" w:hAnsi="Times New Roman" w:cs="Times New Roman"/>
        </w:rPr>
        <w:t>.</w:t>
      </w:r>
      <w:r>
        <w:rPr>
          <w:rFonts w:ascii="Times New Roman" w:hAnsi="Times New Roman" w:cs="Times New Roman"/>
        </w:rPr>
        <w:t>S</w:t>
      </w:r>
      <w:r w:rsidR="007D32A7">
        <w:rPr>
          <w:rFonts w:ascii="Times New Roman" w:hAnsi="Times New Roman" w:cs="Times New Roman"/>
        </w:rPr>
        <w:t>.</w:t>
      </w:r>
      <w:r>
        <w:rPr>
          <w:rFonts w:ascii="Times New Roman" w:hAnsi="Times New Roman" w:cs="Times New Roman"/>
        </w:rPr>
        <w:t xml:space="preserve"> inflation rate leads to lower nominal bond returns in all other five countries at 1% significance level. The signs are negative and consistent across all countries. The U</w:t>
      </w:r>
      <w:r w:rsidR="007D32A7">
        <w:rPr>
          <w:rFonts w:ascii="Times New Roman" w:hAnsi="Times New Roman" w:cs="Times New Roman"/>
        </w:rPr>
        <w:t>.</w:t>
      </w:r>
      <w:r>
        <w:rPr>
          <w:rFonts w:ascii="Times New Roman" w:hAnsi="Times New Roman" w:cs="Times New Roman"/>
        </w:rPr>
        <w:t>S</w:t>
      </w:r>
      <w:r w:rsidR="007D32A7">
        <w:rPr>
          <w:rFonts w:ascii="Times New Roman" w:hAnsi="Times New Roman" w:cs="Times New Roman"/>
        </w:rPr>
        <w:t>.</w:t>
      </w:r>
      <w:r>
        <w:rPr>
          <w:rFonts w:ascii="Times New Roman" w:hAnsi="Times New Roman" w:cs="Times New Roman"/>
        </w:rPr>
        <w:t xml:space="preserve"> economy is the </w:t>
      </w:r>
      <w:r>
        <w:rPr>
          <w:rFonts w:ascii="Times New Roman" w:hAnsi="Times New Roman" w:cs="Times New Roman"/>
        </w:rPr>
        <w:lastRenderedPageBreak/>
        <w:t>largest and Fed monetary policy decisions trigger reactions on bond markets all over the world. This could be behind the stronger results when using U</w:t>
      </w:r>
      <w:r w:rsidR="007D32A7">
        <w:rPr>
          <w:rFonts w:ascii="Times New Roman" w:hAnsi="Times New Roman" w:cs="Times New Roman"/>
        </w:rPr>
        <w:t>.</w:t>
      </w:r>
      <w:r>
        <w:rPr>
          <w:rFonts w:ascii="Times New Roman" w:hAnsi="Times New Roman" w:cs="Times New Roman"/>
        </w:rPr>
        <w:t>S</w:t>
      </w:r>
      <w:r w:rsidR="007D32A7">
        <w:rPr>
          <w:rFonts w:ascii="Times New Roman" w:hAnsi="Times New Roman" w:cs="Times New Roman"/>
        </w:rPr>
        <w:t>.</w:t>
      </w:r>
      <w:r>
        <w:rPr>
          <w:rFonts w:ascii="Times New Roman" w:hAnsi="Times New Roman" w:cs="Times New Roman"/>
        </w:rPr>
        <w:t xml:space="preserve"> data compared to national data. To get a better understanding on this, both inflation rates are considered in the equation, as displayed in Table </w:t>
      </w:r>
      <w:r w:rsidR="00E7620F">
        <w:rPr>
          <w:rFonts w:ascii="Times New Roman" w:hAnsi="Times New Roman" w:cs="Times New Roman"/>
        </w:rPr>
        <w:t>4.8</w:t>
      </w:r>
      <w:r>
        <w:rPr>
          <w:rStyle w:val="FootnoteReference"/>
          <w:rFonts w:ascii="Times New Roman" w:hAnsi="Times New Roman" w:cs="Times New Roman"/>
        </w:rPr>
        <w:footnoteReference w:id="46"/>
      </w:r>
      <w:r>
        <w:rPr>
          <w:rFonts w:ascii="Times New Roman" w:hAnsi="Times New Roman" w:cs="Times New Roman"/>
        </w:rPr>
        <w:t>:</w:t>
      </w:r>
    </w:p>
    <w:p w:rsidR="005A06CB" w:rsidRDefault="005A06CB" w:rsidP="005A06CB">
      <w:pPr>
        <w:pStyle w:val="NoSpacing"/>
        <w:spacing w:line="360" w:lineRule="auto"/>
        <w:ind w:firstLine="720"/>
        <w:jc w:val="both"/>
        <w:rPr>
          <w:rFonts w:ascii="Times New Roman" w:hAnsi="Times New Roman" w:cs="Times New Roman"/>
        </w:rPr>
      </w:pPr>
    </w:p>
    <w:p w:rsidR="005A06CB" w:rsidRDefault="005A06CB" w:rsidP="00E7620F">
      <w:pPr>
        <w:spacing w:after="120" w:line="360" w:lineRule="auto"/>
        <w:ind w:left="357"/>
        <w:jc w:val="center"/>
        <w:rPr>
          <w:rFonts w:ascii="Times New Roman" w:hAnsi="Times New Roman" w:cs="Times New Roman"/>
          <w:noProof/>
        </w:rPr>
      </w:pPr>
      <w:r w:rsidRPr="002920B9">
        <w:rPr>
          <w:rFonts w:ascii="Times New Roman" w:hAnsi="Times New Roman" w:cs="Times New Roman"/>
          <w:noProof/>
        </w:rPr>
        <w:t>Ta</w:t>
      </w:r>
      <w:r w:rsidR="00E7620F">
        <w:rPr>
          <w:rFonts w:ascii="Times New Roman" w:hAnsi="Times New Roman" w:cs="Times New Roman"/>
          <w:noProof/>
        </w:rPr>
        <w:t>ble 4.8</w:t>
      </w:r>
      <w:r w:rsidRPr="002920B9">
        <w:rPr>
          <w:rFonts w:ascii="Times New Roman" w:hAnsi="Times New Roman" w:cs="Times New Roman"/>
          <w:noProof/>
        </w:rPr>
        <w:t>: Time series regressions of</w:t>
      </w:r>
      <w:r w:rsidR="00803114">
        <w:rPr>
          <w:rFonts w:ascii="Times New Roman" w:hAnsi="Times New Roman" w:cs="Times New Roman"/>
          <w:noProof/>
        </w:rPr>
        <w:t xml:space="preserve"> B</w:t>
      </w:r>
      <w:r>
        <w:rPr>
          <w:rFonts w:ascii="Times New Roman" w:hAnsi="Times New Roman" w:cs="Times New Roman"/>
          <w:noProof/>
        </w:rPr>
        <w:t xml:space="preserve">ond </w:t>
      </w:r>
      <w:r w:rsidR="00803114">
        <w:rPr>
          <w:rFonts w:ascii="Times New Roman" w:hAnsi="Times New Roman" w:cs="Times New Roman"/>
          <w:noProof/>
        </w:rPr>
        <w:t>R</w:t>
      </w:r>
      <w:r>
        <w:rPr>
          <w:rFonts w:ascii="Times New Roman" w:hAnsi="Times New Roman" w:cs="Times New Roman"/>
          <w:noProof/>
        </w:rPr>
        <w:t>eturns on National and U</w:t>
      </w:r>
      <w:r w:rsidR="00803114">
        <w:rPr>
          <w:rFonts w:ascii="Times New Roman" w:hAnsi="Times New Roman" w:cs="Times New Roman"/>
          <w:noProof/>
        </w:rPr>
        <w:t>.</w:t>
      </w:r>
      <w:r>
        <w:rPr>
          <w:rFonts w:ascii="Times New Roman" w:hAnsi="Times New Roman" w:cs="Times New Roman"/>
          <w:noProof/>
        </w:rPr>
        <w:t>S</w:t>
      </w:r>
      <w:r w:rsidR="00803114">
        <w:rPr>
          <w:rFonts w:ascii="Times New Roman" w:hAnsi="Times New Roman" w:cs="Times New Roman"/>
          <w:noProof/>
        </w:rPr>
        <w:t>.</w:t>
      </w:r>
      <w:r w:rsidRPr="002920B9">
        <w:rPr>
          <w:rFonts w:ascii="Times New Roman" w:hAnsi="Times New Roman" w:cs="Times New Roman"/>
          <w:noProof/>
        </w:rPr>
        <w:t xml:space="preserve"> inflation rate</w:t>
      </w:r>
    </w:p>
    <w:tbl>
      <w:tblPr>
        <w:tblW w:w="7320" w:type="dxa"/>
        <w:jc w:val="center"/>
        <w:tblInd w:w="93" w:type="dxa"/>
        <w:tblLook w:val="04A0"/>
      </w:tblPr>
      <w:tblGrid>
        <w:gridCol w:w="2600"/>
        <w:gridCol w:w="1090"/>
        <w:gridCol w:w="890"/>
        <w:gridCol w:w="980"/>
        <w:gridCol w:w="800"/>
        <w:gridCol w:w="960"/>
      </w:tblGrid>
      <w:tr w:rsidR="005A06CB" w:rsidRPr="00336849" w:rsidTr="00D0485F">
        <w:trPr>
          <w:trHeight w:val="330"/>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Nominal Bond Excess Returns</w:t>
            </w:r>
          </w:p>
        </w:tc>
        <w:tc>
          <w:tcPr>
            <w:tcW w:w="1980" w:type="dxa"/>
            <w:gridSpan w:val="2"/>
            <w:tcBorders>
              <w:top w:val="single" w:sz="4" w:space="0" w:color="auto"/>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National Inflation Rate</w:t>
            </w:r>
          </w:p>
        </w:tc>
        <w:tc>
          <w:tcPr>
            <w:tcW w:w="1780" w:type="dxa"/>
            <w:gridSpan w:val="2"/>
            <w:tcBorders>
              <w:top w:val="single" w:sz="4" w:space="0" w:color="auto"/>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U</w:t>
            </w:r>
            <w:r w:rsidR="00803114">
              <w:rPr>
                <w:rFonts w:ascii="Times New Roman" w:eastAsia="Times New Roman" w:hAnsi="Times New Roman" w:cs="Times New Roman"/>
                <w:color w:val="000000"/>
                <w:sz w:val="20"/>
                <w:szCs w:val="20"/>
              </w:rPr>
              <w:t>.</w:t>
            </w:r>
            <w:r w:rsidRPr="00336849">
              <w:rPr>
                <w:rFonts w:ascii="Times New Roman" w:eastAsia="Times New Roman" w:hAnsi="Times New Roman" w:cs="Times New Roman"/>
                <w:color w:val="000000"/>
                <w:sz w:val="20"/>
                <w:szCs w:val="20"/>
              </w:rPr>
              <w:t>S</w:t>
            </w:r>
            <w:r w:rsidR="00803114">
              <w:rPr>
                <w:rFonts w:ascii="Times New Roman" w:eastAsia="Times New Roman" w:hAnsi="Times New Roman" w:cs="Times New Roman"/>
                <w:color w:val="000000"/>
                <w:sz w:val="20"/>
                <w:szCs w:val="20"/>
              </w:rPr>
              <w:t>.</w:t>
            </w:r>
            <w:r w:rsidRPr="00336849">
              <w:rPr>
                <w:rFonts w:ascii="Times New Roman" w:eastAsia="Times New Roman" w:hAnsi="Times New Roman" w:cs="Times New Roman"/>
                <w:color w:val="000000"/>
                <w:sz w:val="20"/>
                <w:szCs w:val="20"/>
              </w:rPr>
              <w:t xml:space="preserve"> Inflation Rate</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R</w:t>
            </w:r>
            <w:r w:rsidRPr="00336849">
              <w:rPr>
                <w:rFonts w:ascii="Times New Roman" w:eastAsia="Times New Roman" w:hAnsi="Times New Roman" w:cs="Times New Roman"/>
                <w:color w:val="000000"/>
                <w:sz w:val="20"/>
                <w:szCs w:val="20"/>
                <w:vertAlign w:val="superscript"/>
              </w:rPr>
              <w:t>2</w:t>
            </w:r>
          </w:p>
        </w:tc>
      </w:tr>
      <w:tr w:rsidR="005A06CB" w:rsidRPr="00336849" w:rsidTr="00D0485F">
        <w:trPr>
          <w:trHeight w:val="285"/>
          <w:jc w:val="center"/>
        </w:trPr>
        <w:tc>
          <w:tcPr>
            <w:tcW w:w="2600" w:type="dxa"/>
            <w:vMerge/>
            <w:tcBorders>
              <w:top w:val="single" w:sz="4" w:space="0" w:color="auto"/>
              <w:left w:val="nil"/>
              <w:bottom w:val="single" w:sz="4" w:space="0" w:color="000000"/>
              <w:right w:val="nil"/>
            </w:tcBorders>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p>
        </w:tc>
        <w:tc>
          <w:tcPr>
            <w:tcW w:w="10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β</w:t>
            </w:r>
            <w:r w:rsidRPr="00336849">
              <w:rPr>
                <w:rFonts w:ascii="Times New Roman" w:eastAsia="Times New Roman" w:hAnsi="Times New Roman" w:cs="Times New Roman"/>
                <w:color w:val="000000"/>
                <w:sz w:val="20"/>
                <w:szCs w:val="20"/>
                <w:vertAlign w:val="subscript"/>
              </w:rPr>
              <w:t>1</w:t>
            </w:r>
          </w:p>
        </w:tc>
        <w:tc>
          <w:tcPr>
            <w:tcW w:w="8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t-stat</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β</w:t>
            </w:r>
            <w:r w:rsidRPr="00336849">
              <w:rPr>
                <w:rFonts w:ascii="Times New Roman" w:eastAsia="Times New Roman" w:hAnsi="Times New Roman" w:cs="Times New Roman"/>
                <w:color w:val="000000"/>
                <w:sz w:val="20"/>
                <w:szCs w:val="20"/>
                <w:vertAlign w:val="subscript"/>
              </w:rPr>
              <w:t>2</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t-stat</w:t>
            </w:r>
          </w:p>
        </w:tc>
        <w:tc>
          <w:tcPr>
            <w:tcW w:w="960" w:type="dxa"/>
            <w:vMerge/>
            <w:tcBorders>
              <w:top w:val="single" w:sz="4" w:space="0" w:color="auto"/>
              <w:left w:val="nil"/>
              <w:bottom w:val="single" w:sz="4" w:space="0" w:color="000000"/>
              <w:right w:val="nil"/>
            </w:tcBorders>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p>
        </w:tc>
      </w:tr>
      <w:tr w:rsidR="005A06CB" w:rsidRPr="00336849" w:rsidTr="00D0485F">
        <w:trPr>
          <w:trHeight w:val="255"/>
          <w:jc w:val="center"/>
        </w:trPr>
        <w:tc>
          <w:tcPr>
            <w:tcW w:w="2600" w:type="dxa"/>
            <w:tcBorders>
              <w:top w:val="nil"/>
              <w:left w:val="nil"/>
              <w:bottom w:val="single" w:sz="4" w:space="0" w:color="auto"/>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i/>
                <w:iCs/>
                <w:color w:val="000000"/>
                <w:sz w:val="20"/>
                <w:szCs w:val="20"/>
              </w:rPr>
            </w:pPr>
            <w:r w:rsidRPr="00336849">
              <w:rPr>
                <w:rFonts w:ascii="Times New Roman" w:eastAsia="Times New Roman" w:hAnsi="Times New Roman" w:cs="Times New Roman"/>
                <w:i/>
                <w:iCs/>
                <w:color w:val="000000"/>
                <w:sz w:val="20"/>
                <w:szCs w:val="20"/>
              </w:rPr>
              <w:t>Monthly frequency</w:t>
            </w:r>
          </w:p>
        </w:tc>
        <w:tc>
          <w:tcPr>
            <w:tcW w:w="10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 </w:t>
            </w:r>
          </w:p>
        </w:tc>
        <w:tc>
          <w:tcPr>
            <w:tcW w:w="8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 </w:t>
            </w:r>
          </w:p>
        </w:tc>
        <w:tc>
          <w:tcPr>
            <w:tcW w:w="980" w:type="dxa"/>
            <w:tcBorders>
              <w:top w:val="single" w:sz="4" w:space="0" w:color="auto"/>
              <w:left w:val="nil"/>
              <w:bottom w:val="single" w:sz="4" w:space="0" w:color="auto"/>
              <w:right w:val="nil"/>
            </w:tcBorders>
            <w:shd w:val="clear" w:color="auto" w:fill="auto"/>
            <w:noWrap/>
            <w:vAlign w:val="bottom"/>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 </w:t>
            </w:r>
          </w:p>
        </w:tc>
        <w:tc>
          <w:tcPr>
            <w:tcW w:w="800" w:type="dxa"/>
            <w:tcBorders>
              <w:top w:val="single" w:sz="4" w:space="0" w:color="auto"/>
              <w:left w:val="nil"/>
              <w:bottom w:val="single" w:sz="4" w:space="0" w:color="auto"/>
              <w:right w:val="nil"/>
            </w:tcBorders>
            <w:shd w:val="clear" w:color="auto" w:fill="auto"/>
            <w:noWrap/>
            <w:vAlign w:val="bottom"/>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 </w:t>
            </w:r>
          </w:p>
        </w:tc>
      </w:tr>
      <w:tr w:rsidR="005A06CB" w:rsidRPr="00336849" w:rsidTr="00D0485F">
        <w:trPr>
          <w:trHeight w:val="255"/>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Australia</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p>
        </w:tc>
        <w:tc>
          <w:tcPr>
            <w:tcW w:w="980" w:type="dxa"/>
            <w:tcBorders>
              <w:top w:val="nil"/>
              <w:left w:val="nil"/>
              <w:bottom w:val="nil"/>
              <w:right w:val="nil"/>
            </w:tcBorders>
            <w:shd w:val="clear" w:color="auto" w:fill="auto"/>
            <w:noWrap/>
            <w:vAlign w:val="bottom"/>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p>
        </w:tc>
        <w:tc>
          <w:tcPr>
            <w:tcW w:w="800" w:type="dxa"/>
            <w:tcBorders>
              <w:top w:val="nil"/>
              <w:left w:val="nil"/>
              <w:bottom w:val="nil"/>
              <w:right w:val="nil"/>
            </w:tcBorders>
            <w:shd w:val="clear" w:color="auto" w:fill="auto"/>
            <w:noWrap/>
            <w:vAlign w:val="bottom"/>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p>
        </w:tc>
      </w:tr>
      <w:tr w:rsidR="005A06CB" w:rsidRPr="00336849" w:rsidTr="00D0485F">
        <w:trPr>
          <w:trHeight w:val="240"/>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Canada</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0.265</w:t>
            </w: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0.91</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-0.996</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-3.53</w:t>
            </w: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0.032</w:t>
            </w:r>
          </w:p>
        </w:tc>
      </w:tr>
      <w:tr w:rsidR="005A06CB" w:rsidRPr="00336849" w:rsidTr="00D0485F">
        <w:trPr>
          <w:trHeight w:val="240"/>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Germany</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-0.356</w:t>
            </w: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4F81BD"/>
                <w:sz w:val="20"/>
                <w:szCs w:val="20"/>
              </w:rPr>
            </w:pPr>
            <w:r w:rsidRPr="00336849">
              <w:rPr>
                <w:rFonts w:ascii="Times New Roman" w:eastAsia="Times New Roman" w:hAnsi="Times New Roman" w:cs="Times New Roman"/>
                <w:color w:val="4F81BD"/>
                <w:sz w:val="20"/>
                <w:szCs w:val="20"/>
              </w:rPr>
              <w:t>-1.85</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-0.843</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-4.75</w:t>
            </w: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0.093</w:t>
            </w:r>
          </w:p>
        </w:tc>
      </w:tr>
      <w:tr w:rsidR="005A06CB" w:rsidRPr="00336849" w:rsidTr="00D0485F">
        <w:trPr>
          <w:trHeight w:val="240"/>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Japan</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-0.048</w:t>
            </w: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-0.30</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-0.478</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-2.48</w:t>
            </w: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0.022</w:t>
            </w:r>
          </w:p>
        </w:tc>
      </w:tr>
      <w:tr w:rsidR="005A06CB" w:rsidRPr="00336849" w:rsidTr="00D0485F">
        <w:trPr>
          <w:trHeight w:val="240"/>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United Kingdom</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0.100</w:t>
            </w: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0.40</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-1.137</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-3.84</w:t>
            </w: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0.043</w:t>
            </w:r>
          </w:p>
        </w:tc>
      </w:tr>
      <w:tr w:rsidR="005A06CB" w:rsidRPr="00336849" w:rsidTr="00D0485F">
        <w:trPr>
          <w:trHeight w:val="240"/>
          <w:jc w:val="center"/>
        </w:trPr>
        <w:tc>
          <w:tcPr>
            <w:tcW w:w="2600" w:type="dxa"/>
            <w:tcBorders>
              <w:top w:val="nil"/>
              <w:left w:val="nil"/>
              <w:bottom w:val="nil"/>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United States</w:t>
            </w:r>
          </w:p>
        </w:tc>
        <w:tc>
          <w:tcPr>
            <w:tcW w:w="10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-0.978</w:t>
            </w:r>
          </w:p>
        </w:tc>
        <w:tc>
          <w:tcPr>
            <w:tcW w:w="89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-3.69</w:t>
            </w:r>
          </w:p>
        </w:tc>
        <w:tc>
          <w:tcPr>
            <w:tcW w:w="98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-0.978</w:t>
            </w:r>
          </w:p>
        </w:tc>
        <w:tc>
          <w:tcPr>
            <w:tcW w:w="80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-3.69</w:t>
            </w:r>
          </w:p>
        </w:tc>
        <w:tc>
          <w:tcPr>
            <w:tcW w:w="960" w:type="dxa"/>
            <w:tcBorders>
              <w:top w:val="nil"/>
              <w:left w:val="nil"/>
              <w:bottom w:val="nil"/>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0.048</w:t>
            </w:r>
          </w:p>
        </w:tc>
      </w:tr>
      <w:tr w:rsidR="005A06CB" w:rsidRPr="00336849"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336849" w:rsidRDefault="005A06CB" w:rsidP="00D0485F">
            <w:pPr>
              <w:spacing w:after="0" w:line="240" w:lineRule="auto"/>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Developed (5)</w:t>
            </w:r>
          </w:p>
        </w:tc>
        <w:tc>
          <w:tcPr>
            <w:tcW w:w="10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0.578</w:t>
            </w:r>
          </w:p>
        </w:tc>
        <w:tc>
          <w:tcPr>
            <w:tcW w:w="89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1.31</w:t>
            </w:r>
          </w:p>
        </w:tc>
        <w:tc>
          <w:tcPr>
            <w:tcW w:w="98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-1.258</w:t>
            </w:r>
          </w:p>
        </w:tc>
        <w:tc>
          <w:tcPr>
            <w:tcW w:w="80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b/>
                <w:bCs/>
                <w:color w:val="000000"/>
                <w:sz w:val="20"/>
                <w:szCs w:val="20"/>
              </w:rPr>
            </w:pPr>
            <w:r w:rsidRPr="00336849">
              <w:rPr>
                <w:rFonts w:ascii="Times New Roman" w:eastAsia="Times New Roman" w:hAnsi="Times New Roman" w:cs="Times New Roman"/>
                <w:b/>
                <w:bCs/>
                <w:color w:val="000000"/>
                <w:sz w:val="20"/>
                <w:szCs w:val="20"/>
              </w:rPr>
              <w:t>-4.58</w:t>
            </w:r>
          </w:p>
        </w:tc>
        <w:tc>
          <w:tcPr>
            <w:tcW w:w="960" w:type="dxa"/>
            <w:tcBorders>
              <w:top w:val="nil"/>
              <w:left w:val="nil"/>
              <w:bottom w:val="single" w:sz="4" w:space="0" w:color="auto"/>
              <w:right w:val="nil"/>
            </w:tcBorders>
            <w:shd w:val="clear" w:color="auto" w:fill="auto"/>
            <w:noWrap/>
            <w:vAlign w:val="center"/>
            <w:hideMark/>
          </w:tcPr>
          <w:p w:rsidR="005A06CB" w:rsidRPr="00336849" w:rsidRDefault="005A06CB" w:rsidP="00D0485F">
            <w:pPr>
              <w:spacing w:after="0" w:line="240" w:lineRule="auto"/>
              <w:jc w:val="center"/>
              <w:rPr>
                <w:rFonts w:ascii="Times New Roman" w:eastAsia="Times New Roman" w:hAnsi="Times New Roman" w:cs="Times New Roman"/>
                <w:color w:val="000000"/>
                <w:sz w:val="20"/>
                <w:szCs w:val="20"/>
              </w:rPr>
            </w:pPr>
            <w:r w:rsidRPr="00336849">
              <w:rPr>
                <w:rFonts w:ascii="Times New Roman" w:eastAsia="Times New Roman" w:hAnsi="Times New Roman" w:cs="Times New Roman"/>
                <w:color w:val="000000"/>
                <w:sz w:val="20"/>
                <w:szCs w:val="20"/>
              </w:rPr>
              <w:t>0.084</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and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sidRPr="00336849">
        <w:rPr>
          <w:rFonts w:ascii="Times New Roman" w:hAnsi="Times New Roman" w:cs="Times New Roman"/>
          <w:sz w:val="18"/>
          <w:szCs w:val="18"/>
        </w:rPr>
        <w:t xml:space="preserve">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Z</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Pr="001221C6" w:rsidRDefault="00803114"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nominal </w:t>
      </w:r>
      <w:r w:rsidR="005A06CB" w:rsidRPr="001221C6">
        <w:rPr>
          <w:rFonts w:ascii="Times New Roman" w:hAnsi="Times New Roman" w:cs="Times New Roman"/>
          <w:sz w:val="18"/>
          <w:szCs w:val="18"/>
        </w:rPr>
        <w:t>bond</w:t>
      </w:r>
      <w:r>
        <w:rPr>
          <w:rFonts w:ascii="Times New Roman" w:hAnsi="Times New Roman" w:cs="Times New Roman"/>
          <w:sz w:val="18"/>
          <w:szCs w:val="18"/>
        </w:rPr>
        <w:t xml:space="preserve"> excess</w:t>
      </w:r>
      <w:r w:rsidR="005A06CB" w:rsidRPr="001221C6">
        <w:rPr>
          <w:rFonts w:ascii="Times New Roman" w:hAnsi="Times New Roman" w:cs="Times New Roman"/>
          <w:sz w:val="18"/>
          <w:szCs w:val="18"/>
        </w:rPr>
        <w:t xml:space="preserve"> returns</w:t>
      </w:r>
      <w:r>
        <w:rPr>
          <w:rFonts w:ascii="Times New Roman" w:hAnsi="Times New Roman" w:cs="Times New Roman"/>
          <w:sz w:val="18"/>
          <w:szCs w:val="18"/>
        </w:rPr>
        <w:t xml:space="preserve"> (built </w:t>
      </w:r>
      <w:r w:rsidR="00355ED8">
        <w:rPr>
          <w:rFonts w:ascii="Times New Roman" w:hAnsi="Times New Roman" w:cs="Times New Roman"/>
          <w:sz w:val="18"/>
          <w:szCs w:val="18"/>
        </w:rPr>
        <w:t>from</w:t>
      </w:r>
      <w:r>
        <w:rPr>
          <w:rFonts w:ascii="Times New Roman" w:hAnsi="Times New Roman" w:cs="Times New Roman"/>
          <w:sz w:val="18"/>
          <w:szCs w:val="18"/>
        </w:rPr>
        <w:t xml:space="preserve"> Datastream Indices)</w:t>
      </w:r>
      <w:r w:rsidR="005A06CB" w:rsidRPr="001221C6">
        <w:rPr>
          <w:rFonts w:ascii="Times New Roman" w:hAnsi="Times New Roman" w:cs="Times New Roman"/>
          <w:sz w:val="18"/>
          <w:szCs w:val="18"/>
        </w:rPr>
        <w:t xml:space="preserve"> at the monthly</w:t>
      </w:r>
      <w:r w:rsidR="005A06CB">
        <w:rPr>
          <w:rFonts w:ascii="Times New Roman" w:hAnsi="Times New Roman" w:cs="Times New Roman"/>
          <w:sz w:val="18"/>
          <w:szCs w:val="18"/>
        </w:rPr>
        <w:t xml:space="preserve"> frequency, while</w:t>
      </w:r>
      <w:r w:rsidR="005A06CB" w:rsidRPr="001221C6">
        <w:rPr>
          <w:rFonts w:ascii="Times New Roman" w:hAnsi="Times New Roman" w:cs="Times New Roman"/>
          <w:sz w:val="18"/>
          <w:szCs w:val="18"/>
        </w:rPr>
        <w:t xml:space="preserve"> X is the</w:t>
      </w:r>
      <w:r w:rsidR="005A06CB">
        <w:rPr>
          <w:rFonts w:ascii="Times New Roman" w:hAnsi="Times New Roman" w:cs="Times New Roman"/>
          <w:sz w:val="18"/>
          <w:szCs w:val="18"/>
        </w:rPr>
        <w:t xml:space="preserve"> national</w:t>
      </w:r>
      <w:r w:rsidR="005A06CB" w:rsidRPr="001221C6">
        <w:rPr>
          <w:rFonts w:ascii="Times New Roman" w:hAnsi="Times New Roman" w:cs="Times New Roman"/>
          <w:sz w:val="18"/>
          <w:szCs w:val="18"/>
        </w:rPr>
        <w:t xml:space="preserve"> inflation </w:t>
      </w:r>
      <w:r w:rsidR="005A06CB">
        <w:rPr>
          <w:rFonts w:ascii="Times New Roman" w:hAnsi="Times New Roman" w:cs="Times New Roman"/>
          <w:sz w:val="18"/>
          <w:szCs w:val="18"/>
        </w:rPr>
        <w:t xml:space="preserve">and Z is the inflation </w:t>
      </w:r>
      <w:r w:rsidR="005A06CB" w:rsidRPr="001221C6">
        <w:rPr>
          <w:rFonts w:ascii="Times New Roman" w:hAnsi="Times New Roman" w:cs="Times New Roman"/>
          <w:sz w:val="18"/>
          <w:szCs w:val="18"/>
        </w:rPr>
        <w:t xml:space="preserve">rate recorded in </w:t>
      </w:r>
      <w:r>
        <w:rPr>
          <w:rFonts w:ascii="Times New Roman" w:hAnsi="Times New Roman" w:cs="Times New Roman"/>
          <w:sz w:val="18"/>
          <w:szCs w:val="18"/>
        </w:rPr>
        <w:t xml:space="preserve">the </w:t>
      </w:r>
      <w:r w:rsidR="005A06CB" w:rsidRPr="001221C6">
        <w:rPr>
          <w:rFonts w:ascii="Times New Roman" w:hAnsi="Times New Roman" w:cs="Times New Roman"/>
          <w:sz w:val="18"/>
          <w:szCs w:val="18"/>
        </w:rPr>
        <w:t xml:space="preserve">United States. </w:t>
      </w:r>
      <w:r w:rsidRPr="008E5EC0">
        <w:rPr>
          <w:rFonts w:ascii="Times New Roman" w:hAnsi="Times New Roman" w:cs="Times New Roman"/>
          <w:sz w:val="18"/>
          <w:szCs w:val="18"/>
        </w:rPr>
        <w:t>The Developed portfolio is</w:t>
      </w:r>
      <w:r>
        <w:rPr>
          <w:rFonts w:ascii="Times New Roman" w:hAnsi="Times New Roman" w:cs="Times New Roman"/>
          <w:sz w:val="18"/>
          <w:szCs w:val="18"/>
        </w:rPr>
        <w:t xml:space="preserve"> based on equally-weighting the five countries as A</w:t>
      </w:r>
      <w:r w:rsidR="005A06CB">
        <w:rPr>
          <w:rFonts w:ascii="Times New Roman" w:hAnsi="Times New Roman" w:cs="Times New Roman"/>
          <w:sz w:val="18"/>
          <w:szCs w:val="18"/>
        </w:rPr>
        <w:t xml:space="preserve">ustralia only has inflation data available at a quarterly frequency. </w:t>
      </w:r>
      <w:r>
        <w:rPr>
          <w:rFonts w:ascii="Times New Roman" w:hAnsi="Times New Roman" w:cs="Times New Roman"/>
          <w:sz w:val="18"/>
          <w:szCs w:val="18"/>
        </w:rPr>
        <w:t xml:space="preserve">The analysis is conducted on the samples of nominal bond excess returns depicted in Table 3.1. </w:t>
      </w:r>
      <w:r w:rsidR="005A06CB" w:rsidRPr="001221C6">
        <w:rPr>
          <w:rFonts w:ascii="Times New Roman" w:hAnsi="Times New Roman" w:cs="Times New Roman"/>
          <w:sz w:val="18"/>
          <w:szCs w:val="18"/>
        </w:rPr>
        <w:t xml:space="preserve">The numbers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in </w:t>
      </w:r>
      <w:r w:rsidR="005A06CB" w:rsidRPr="00E7620F">
        <w:rPr>
          <w:rFonts w:ascii="Times New Roman" w:eastAsia="Times New Roman" w:hAnsi="Times New Roman" w:cs="Times New Roman"/>
          <w:color w:val="4F81BD"/>
          <w:sz w:val="18"/>
          <w:szCs w:val="18"/>
          <w:lang w:val="en-GB" w:eastAsia="en-GB"/>
        </w:rPr>
        <w:t>Blue</w:t>
      </w:r>
      <w:r w:rsidR="005A06CB" w:rsidRPr="001221C6">
        <w:rPr>
          <w:rFonts w:ascii="Times New Roman" w:hAnsi="Times New Roman" w:cs="Times New Roman"/>
          <w:sz w:val="18"/>
          <w:szCs w:val="18"/>
        </w:rPr>
        <w:t xml:space="preserve"> at 10% significance level.</w:t>
      </w:r>
    </w:p>
    <w:p w:rsidR="005A06CB" w:rsidRDefault="005A06CB" w:rsidP="005A06CB">
      <w:pPr>
        <w:ind w:left="360"/>
        <w:jc w:val="center"/>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For all countries</w:t>
      </w:r>
      <w:r w:rsidR="00803114">
        <w:rPr>
          <w:rFonts w:ascii="Times New Roman" w:hAnsi="Times New Roman" w:cs="Times New Roman"/>
        </w:rPr>
        <w:t>, the</w:t>
      </w:r>
      <w:r>
        <w:rPr>
          <w:rFonts w:ascii="Times New Roman" w:hAnsi="Times New Roman" w:cs="Times New Roman"/>
        </w:rPr>
        <w:t xml:space="preserve"> U</w:t>
      </w:r>
      <w:r w:rsidR="00803114">
        <w:rPr>
          <w:rFonts w:ascii="Times New Roman" w:hAnsi="Times New Roman" w:cs="Times New Roman"/>
        </w:rPr>
        <w:t>.</w:t>
      </w:r>
      <w:r>
        <w:rPr>
          <w:rFonts w:ascii="Times New Roman" w:hAnsi="Times New Roman" w:cs="Times New Roman"/>
        </w:rPr>
        <w:t>S</w:t>
      </w:r>
      <w:r w:rsidR="00803114">
        <w:rPr>
          <w:rFonts w:ascii="Times New Roman" w:hAnsi="Times New Roman" w:cs="Times New Roman"/>
        </w:rPr>
        <w:t>.</w:t>
      </w:r>
      <w:r>
        <w:rPr>
          <w:rFonts w:ascii="Times New Roman" w:hAnsi="Times New Roman" w:cs="Times New Roman"/>
        </w:rPr>
        <w:t xml:space="preserve"> inflation rate negatively influences bond returns. Only in case of Germany, national inflation rate adds value in explaining the dynamics of nominal bond returns at 10% significance level. However, based on the corre</w:t>
      </w:r>
      <w:r w:rsidR="00355ED8">
        <w:rPr>
          <w:rFonts w:ascii="Times New Roman" w:hAnsi="Times New Roman" w:cs="Times New Roman"/>
        </w:rPr>
        <w:t>lation coefficients from Table A.5</w:t>
      </w:r>
      <w:r>
        <w:rPr>
          <w:rFonts w:ascii="Times New Roman" w:hAnsi="Times New Roman" w:cs="Times New Roman"/>
        </w:rPr>
        <w:t xml:space="preserve"> in the Appendix </w:t>
      </w:r>
      <w:r w:rsidR="00355ED8">
        <w:rPr>
          <w:rFonts w:ascii="Times New Roman" w:hAnsi="Times New Roman" w:cs="Times New Roman"/>
        </w:rPr>
        <w:t xml:space="preserve">A </w:t>
      </w:r>
      <w:r>
        <w:rPr>
          <w:rFonts w:ascii="Times New Roman" w:hAnsi="Times New Roman" w:cs="Times New Roman"/>
        </w:rPr>
        <w:t>the results for Canada should be seen with caution (correlation coefficient of 0.77). This also holds for the portfolio of five developed countries as U</w:t>
      </w:r>
      <w:r w:rsidR="00355ED8">
        <w:rPr>
          <w:rFonts w:ascii="Times New Roman" w:hAnsi="Times New Roman" w:cs="Times New Roman"/>
        </w:rPr>
        <w:t>.</w:t>
      </w:r>
      <w:r>
        <w:rPr>
          <w:rFonts w:ascii="Times New Roman" w:hAnsi="Times New Roman" w:cs="Times New Roman"/>
        </w:rPr>
        <w:t>S</w:t>
      </w:r>
      <w:r w:rsidR="00355ED8">
        <w:rPr>
          <w:rFonts w:ascii="Times New Roman" w:hAnsi="Times New Roman" w:cs="Times New Roman"/>
        </w:rPr>
        <w:t>.</w:t>
      </w:r>
      <w:r>
        <w:rPr>
          <w:rFonts w:ascii="Times New Roman" w:hAnsi="Times New Roman" w:cs="Times New Roman"/>
        </w:rPr>
        <w:t xml:space="preserve"> is one of the components. </w:t>
      </w:r>
    </w:p>
    <w:p w:rsidR="005A06C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The results of the two regressions show that the consumer price dynamics of United States are important for nominal bond excess returns. To analyse to what extent the seasonality in U</w:t>
      </w:r>
      <w:r w:rsidR="00355ED8">
        <w:rPr>
          <w:rFonts w:ascii="Times New Roman" w:hAnsi="Times New Roman" w:cs="Times New Roman"/>
        </w:rPr>
        <w:t>.</w:t>
      </w:r>
      <w:r>
        <w:rPr>
          <w:rFonts w:ascii="Times New Roman" w:hAnsi="Times New Roman" w:cs="Times New Roman"/>
        </w:rPr>
        <w:t>S</w:t>
      </w:r>
      <w:r w:rsidR="00355ED8">
        <w:rPr>
          <w:rFonts w:ascii="Times New Roman" w:hAnsi="Times New Roman" w:cs="Times New Roman"/>
        </w:rPr>
        <w:t>.</w:t>
      </w:r>
      <w:r>
        <w:rPr>
          <w:rFonts w:ascii="Times New Roman" w:hAnsi="Times New Roman" w:cs="Times New Roman"/>
        </w:rPr>
        <w:t xml:space="preserve"> inflation rate captures the seasonality o</w:t>
      </w:r>
      <w:r w:rsidR="00355ED8">
        <w:rPr>
          <w:rFonts w:ascii="Times New Roman" w:hAnsi="Times New Roman" w:cs="Times New Roman"/>
        </w:rPr>
        <w:t>f nominal bond excess returns I</w:t>
      </w:r>
      <w:r>
        <w:rPr>
          <w:rFonts w:ascii="Times New Roman" w:hAnsi="Times New Roman" w:cs="Times New Roman"/>
        </w:rPr>
        <w:t xml:space="preserve"> regres</w:t>
      </w:r>
      <w:r w:rsidR="007D230C">
        <w:rPr>
          <w:rFonts w:ascii="Times New Roman" w:hAnsi="Times New Roman" w:cs="Times New Roman"/>
        </w:rPr>
        <w:t>s the residuals of the equation from Table 4.7</w:t>
      </w:r>
      <w:r>
        <w:rPr>
          <w:rFonts w:ascii="Times New Roman" w:hAnsi="Times New Roman" w:cs="Times New Roman"/>
        </w:rPr>
        <w:t xml:space="preserve"> on the dummies. This approach is in line with KKL (2014).   </w:t>
      </w:r>
    </w:p>
    <w:p w:rsidR="005A06CB" w:rsidRPr="00E7620F" w:rsidRDefault="00E7620F" w:rsidP="00E7620F">
      <w:pPr>
        <w:spacing w:after="120" w:line="360" w:lineRule="auto"/>
        <w:jc w:val="center"/>
        <w:rPr>
          <w:rFonts w:ascii="Times New Roman" w:hAnsi="Times New Roman" w:cs="Times New Roman"/>
        </w:rPr>
      </w:pPr>
      <w:r>
        <w:rPr>
          <w:rFonts w:ascii="Times New Roman" w:hAnsi="Times New Roman" w:cs="Times New Roman"/>
        </w:rPr>
        <w:t>Table 4.9</w:t>
      </w:r>
      <w:r w:rsidR="005A06CB" w:rsidRPr="00135DA9">
        <w:rPr>
          <w:rFonts w:ascii="Times New Roman" w:hAnsi="Times New Roman" w:cs="Times New Roman"/>
        </w:rPr>
        <w:t>: Seasonality</w:t>
      </w:r>
      <w:r w:rsidR="007D230C">
        <w:rPr>
          <w:rFonts w:ascii="Times New Roman" w:hAnsi="Times New Roman" w:cs="Times New Roman"/>
        </w:rPr>
        <w:t xml:space="preserve"> in Inflation-corrected Bond Returns</w:t>
      </w:r>
    </w:p>
    <w:tbl>
      <w:tblPr>
        <w:tblW w:w="4440" w:type="dxa"/>
        <w:jc w:val="center"/>
        <w:tblInd w:w="93" w:type="dxa"/>
        <w:tblLook w:val="04A0"/>
      </w:tblPr>
      <w:tblGrid>
        <w:gridCol w:w="2320"/>
        <w:gridCol w:w="1000"/>
        <w:gridCol w:w="1120"/>
      </w:tblGrid>
      <w:tr w:rsidR="005A06CB" w:rsidRPr="00212253" w:rsidTr="00D0485F">
        <w:trPr>
          <w:trHeight w:val="270"/>
          <w:jc w:val="center"/>
        </w:trPr>
        <w:tc>
          <w:tcPr>
            <w:tcW w:w="2320" w:type="dxa"/>
            <w:vMerge w:val="restart"/>
            <w:tcBorders>
              <w:top w:val="single" w:sz="4" w:space="0" w:color="auto"/>
              <w:left w:val="nil"/>
              <w:bottom w:val="single" w:sz="4" w:space="0" w:color="000000"/>
              <w:right w:val="nil"/>
            </w:tcBorders>
            <w:shd w:val="clear" w:color="auto" w:fill="auto"/>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Inflation-corrected Bond Returns</w:t>
            </w:r>
          </w:p>
        </w:tc>
        <w:tc>
          <w:tcPr>
            <w:tcW w:w="1000" w:type="dxa"/>
            <w:vMerge w:val="restart"/>
            <w:tcBorders>
              <w:top w:val="single" w:sz="4" w:space="0" w:color="auto"/>
              <w:left w:val="nil"/>
              <w:bottom w:val="single" w:sz="4" w:space="0" w:color="000000"/>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H1 H2</w:t>
            </w:r>
          </w:p>
        </w:tc>
        <w:tc>
          <w:tcPr>
            <w:tcW w:w="1120" w:type="dxa"/>
            <w:vMerge w:val="restart"/>
            <w:tcBorders>
              <w:top w:val="single" w:sz="4" w:space="0" w:color="auto"/>
              <w:left w:val="nil"/>
              <w:bottom w:val="single" w:sz="4" w:space="0" w:color="000000"/>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SAD</w:t>
            </w:r>
          </w:p>
        </w:tc>
      </w:tr>
      <w:tr w:rsidR="005A06CB" w:rsidRPr="00212253" w:rsidTr="00D0485F">
        <w:trPr>
          <w:trHeight w:val="480"/>
          <w:jc w:val="center"/>
        </w:trPr>
        <w:tc>
          <w:tcPr>
            <w:tcW w:w="2320" w:type="dxa"/>
            <w:vMerge/>
            <w:tcBorders>
              <w:top w:val="single" w:sz="4" w:space="0" w:color="auto"/>
              <w:left w:val="nil"/>
              <w:bottom w:val="single" w:sz="4" w:space="0" w:color="000000"/>
              <w:right w:val="nil"/>
            </w:tcBorders>
            <w:vAlign w:val="center"/>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p>
        </w:tc>
        <w:tc>
          <w:tcPr>
            <w:tcW w:w="1000" w:type="dxa"/>
            <w:vMerge/>
            <w:tcBorders>
              <w:top w:val="single" w:sz="4" w:space="0" w:color="auto"/>
              <w:left w:val="nil"/>
              <w:bottom w:val="single" w:sz="4" w:space="0" w:color="000000"/>
              <w:right w:val="nil"/>
            </w:tcBorders>
            <w:vAlign w:val="center"/>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p>
        </w:tc>
        <w:tc>
          <w:tcPr>
            <w:tcW w:w="1120" w:type="dxa"/>
            <w:vMerge/>
            <w:tcBorders>
              <w:top w:val="single" w:sz="4" w:space="0" w:color="auto"/>
              <w:left w:val="nil"/>
              <w:bottom w:val="single" w:sz="4" w:space="0" w:color="000000"/>
              <w:right w:val="nil"/>
            </w:tcBorders>
            <w:vAlign w:val="center"/>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p>
        </w:tc>
      </w:tr>
      <w:tr w:rsidR="005A06CB" w:rsidRPr="00212253" w:rsidTr="00D0485F">
        <w:trPr>
          <w:trHeight w:val="225"/>
          <w:jc w:val="center"/>
        </w:trPr>
        <w:tc>
          <w:tcPr>
            <w:tcW w:w="2320" w:type="dxa"/>
            <w:tcBorders>
              <w:top w:val="nil"/>
              <w:left w:val="nil"/>
              <w:bottom w:val="single" w:sz="4" w:space="0" w:color="auto"/>
              <w:right w:val="nil"/>
            </w:tcBorders>
            <w:shd w:val="clear" w:color="auto" w:fill="auto"/>
            <w:vAlign w:val="center"/>
            <w:hideMark/>
          </w:tcPr>
          <w:p w:rsidR="005A06CB" w:rsidRPr="00212253" w:rsidRDefault="005A06CB" w:rsidP="00D0485F">
            <w:pPr>
              <w:spacing w:after="0" w:line="240" w:lineRule="auto"/>
              <w:rPr>
                <w:rFonts w:ascii="Times New Roman" w:eastAsia="Times New Roman" w:hAnsi="Times New Roman" w:cs="Times New Roman"/>
                <w:i/>
                <w:iCs/>
                <w:color w:val="000000"/>
                <w:sz w:val="20"/>
                <w:szCs w:val="20"/>
              </w:rPr>
            </w:pPr>
            <w:r w:rsidRPr="00212253">
              <w:rPr>
                <w:rFonts w:ascii="Times New Roman" w:eastAsia="Times New Roman" w:hAnsi="Times New Roman" w:cs="Times New Roman"/>
                <w:i/>
                <w:iCs/>
                <w:color w:val="000000"/>
                <w:sz w:val="20"/>
                <w:szCs w:val="20"/>
              </w:rPr>
              <w:t>National indicator</w:t>
            </w:r>
          </w:p>
        </w:tc>
        <w:tc>
          <w:tcPr>
            <w:tcW w:w="1000" w:type="dxa"/>
            <w:tcBorders>
              <w:top w:val="nil"/>
              <w:left w:val="nil"/>
              <w:bottom w:val="single" w:sz="4" w:space="0" w:color="auto"/>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 </w:t>
            </w:r>
          </w:p>
        </w:tc>
        <w:tc>
          <w:tcPr>
            <w:tcW w:w="1120" w:type="dxa"/>
            <w:tcBorders>
              <w:top w:val="nil"/>
              <w:left w:val="nil"/>
              <w:bottom w:val="single" w:sz="4" w:space="0" w:color="auto"/>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 </w:t>
            </w:r>
          </w:p>
        </w:tc>
      </w:tr>
      <w:tr w:rsidR="005A06CB" w:rsidRPr="00212253"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Australia</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0.97</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0.33</w:t>
            </w:r>
          </w:p>
        </w:tc>
      </w:tr>
      <w:tr w:rsidR="005A06CB" w:rsidRPr="00212253"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lastRenderedPageBreak/>
              <w:t>Canada</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1.12</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4F81BD"/>
                <w:sz w:val="20"/>
                <w:szCs w:val="20"/>
              </w:rPr>
            </w:pPr>
            <w:r w:rsidRPr="00212253">
              <w:rPr>
                <w:rFonts w:ascii="Times New Roman" w:eastAsia="Times New Roman" w:hAnsi="Times New Roman" w:cs="Times New Roman"/>
                <w:color w:val="4F81BD"/>
                <w:sz w:val="20"/>
                <w:szCs w:val="20"/>
              </w:rPr>
              <w:t>1.87</w:t>
            </w:r>
          </w:p>
        </w:tc>
      </w:tr>
      <w:tr w:rsidR="005A06CB" w:rsidRPr="00212253"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Germany</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0.80</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0.68</w:t>
            </w:r>
          </w:p>
        </w:tc>
      </w:tr>
      <w:tr w:rsidR="005A06CB" w:rsidRPr="00212253"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Japan</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0.67</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-0.13</w:t>
            </w:r>
          </w:p>
        </w:tc>
      </w:tr>
      <w:tr w:rsidR="005A06CB" w:rsidRPr="00212253"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United Kingdom</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1.05</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0.75</w:t>
            </w:r>
          </w:p>
        </w:tc>
      </w:tr>
      <w:tr w:rsidR="005A06CB" w:rsidRPr="00212253"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United States</w:t>
            </w:r>
          </w:p>
        </w:tc>
        <w:tc>
          <w:tcPr>
            <w:tcW w:w="100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0.62</w:t>
            </w:r>
          </w:p>
        </w:tc>
        <w:tc>
          <w:tcPr>
            <w:tcW w:w="1120" w:type="dxa"/>
            <w:tcBorders>
              <w:top w:val="nil"/>
              <w:left w:val="nil"/>
              <w:bottom w:val="nil"/>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b/>
                <w:bCs/>
                <w:color w:val="000000"/>
                <w:sz w:val="20"/>
                <w:szCs w:val="20"/>
              </w:rPr>
            </w:pPr>
            <w:r w:rsidRPr="00212253">
              <w:rPr>
                <w:rFonts w:ascii="Times New Roman" w:eastAsia="Times New Roman" w:hAnsi="Times New Roman" w:cs="Times New Roman"/>
                <w:b/>
                <w:bCs/>
                <w:color w:val="000000"/>
                <w:sz w:val="20"/>
                <w:szCs w:val="20"/>
              </w:rPr>
              <w:t>2.20</w:t>
            </w:r>
          </w:p>
        </w:tc>
      </w:tr>
      <w:tr w:rsidR="005A06CB" w:rsidRPr="00212253" w:rsidTr="00D0485F">
        <w:trPr>
          <w:trHeight w:val="225"/>
          <w:jc w:val="center"/>
        </w:trPr>
        <w:tc>
          <w:tcPr>
            <w:tcW w:w="2320" w:type="dxa"/>
            <w:tcBorders>
              <w:top w:val="nil"/>
              <w:left w:val="nil"/>
              <w:bottom w:val="single" w:sz="4" w:space="0" w:color="auto"/>
              <w:right w:val="nil"/>
            </w:tcBorders>
            <w:shd w:val="clear" w:color="auto" w:fill="auto"/>
            <w:noWrap/>
            <w:vAlign w:val="bottom"/>
            <w:hideMark/>
          </w:tcPr>
          <w:p w:rsidR="005A06CB" w:rsidRPr="00212253" w:rsidRDefault="005A06CB" w:rsidP="00D0485F">
            <w:pPr>
              <w:spacing w:after="0" w:line="240" w:lineRule="auto"/>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Developed (6)</w:t>
            </w:r>
          </w:p>
        </w:tc>
        <w:tc>
          <w:tcPr>
            <w:tcW w:w="1000" w:type="dxa"/>
            <w:tcBorders>
              <w:top w:val="nil"/>
              <w:left w:val="nil"/>
              <w:bottom w:val="single" w:sz="4" w:space="0" w:color="auto"/>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0.90</w:t>
            </w:r>
          </w:p>
        </w:tc>
        <w:tc>
          <w:tcPr>
            <w:tcW w:w="1120" w:type="dxa"/>
            <w:tcBorders>
              <w:top w:val="nil"/>
              <w:left w:val="nil"/>
              <w:bottom w:val="single" w:sz="4" w:space="0" w:color="auto"/>
              <w:right w:val="nil"/>
            </w:tcBorders>
            <w:shd w:val="clear" w:color="auto" w:fill="auto"/>
            <w:noWrap/>
            <w:vAlign w:val="center"/>
            <w:hideMark/>
          </w:tcPr>
          <w:p w:rsidR="005A06CB" w:rsidRPr="00212253" w:rsidRDefault="005A06CB" w:rsidP="00D0485F">
            <w:pPr>
              <w:spacing w:after="0" w:line="240" w:lineRule="auto"/>
              <w:jc w:val="center"/>
              <w:rPr>
                <w:rFonts w:ascii="Times New Roman" w:eastAsia="Times New Roman" w:hAnsi="Times New Roman" w:cs="Times New Roman"/>
                <w:color w:val="000000"/>
                <w:sz w:val="20"/>
                <w:szCs w:val="20"/>
              </w:rPr>
            </w:pPr>
            <w:r w:rsidRPr="00212253">
              <w:rPr>
                <w:rFonts w:ascii="Times New Roman" w:eastAsia="Times New Roman" w:hAnsi="Times New Roman" w:cs="Times New Roman"/>
                <w:color w:val="000000"/>
                <w:sz w:val="20"/>
                <w:szCs w:val="20"/>
              </w:rPr>
              <w:t>1.18</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coefficients and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are </w:t>
      </w:r>
      <w:r w:rsidR="007D230C">
        <w:rPr>
          <w:rFonts w:ascii="Times New Roman" w:hAnsi="Times New Roman" w:cs="Times New Roman"/>
          <w:sz w:val="18"/>
          <w:szCs w:val="18"/>
        </w:rPr>
        <w:t>residuals of</w:t>
      </w:r>
      <w:r>
        <w:rPr>
          <w:rFonts w:ascii="Times New Roman" w:hAnsi="Times New Roman" w:cs="Times New Roman"/>
          <w:sz w:val="18"/>
          <w:szCs w:val="18"/>
        </w:rPr>
        <w:t xml:space="preserve"> the equation </w:t>
      </w:r>
      <w:r w:rsidR="007D230C">
        <w:rPr>
          <w:rFonts w:ascii="Times New Roman" w:hAnsi="Times New Roman" w:cs="Times New Roman"/>
          <w:sz w:val="18"/>
          <w:szCs w:val="18"/>
        </w:rPr>
        <w:t>from</w:t>
      </w:r>
      <w:r>
        <w:rPr>
          <w:rFonts w:ascii="Times New Roman" w:hAnsi="Times New Roman" w:cs="Times New Roman"/>
          <w:sz w:val="18"/>
          <w:szCs w:val="18"/>
        </w:rPr>
        <w:t xml:space="preserve"> </w:t>
      </w:r>
      <w:r w:rsidRPr="00E7620F">
        <w:rPr>
          <w:rFonts w:ascii="Times New Roman" w:hAnsi="Times New Roman" w:cs="Times New Roman"/>
          <w:sz w:val="18"/>
          <w:szCs w:val="18"/>
        </w:rPr>
        <w:t xml:space="preserve">Table </w:t>
      </w:r>
      <w:r w:rsidR="00E7620F" w:rsidRPr="00E7620F">
        <w:rPr>
          <w:rFonts w:ascii="Times New Roman" w:hAnsi="Times New Roman" w:cs="Times New Roman"/>
          <w:sz w:val="18"/>
          <w:szCs w:val="18"/>
        </w:rPr>
        <w:t>4.7</w:t>
      </w:r>
      <w:r>
        <w:rPr>
          <w:rFonts w:ascii="Times New Roman" w:hAnsi="Times New Roman" w:cs="Times New Roman"/>
          <w:sz w:val="18"/>
          <w:szCs w:val="18"/>
        </w:rPr>
        <w:t xml:space="preserve"> (nominal</w:t>
      </w:r>
      <w:r w:rsidRPr="001221C6">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Pr="001221C6">
        <w:rPr>
          <w:rFonts w:ascii="Times New Roman" w:hAnsi="Times New Roman" w:cs="Times New Roman"/>
          <w:sz w:val="18"/>
          <w:szCs w:val="18"/>
        </w:rPr>
        <w:t xml:space="preserve">returns </w:t>
      </w:r>
      <w:r>
        <w:rPr>
          <w:rFonts w:ascii="Times New Roman" w:hAnsi="Times New Roman" w:cs="Times New Roman"/>
          <w:sz w:val="18"/>
          <w:szCs w:val="18"/>
        </w:rPr>
        <w:t>regressed on U</w:t>
      </w:r>
      <w:r w:rsidR="007A001C">
        <w:rPr>
          <w:rFonts w:ascii="Times New Roman" w:hAnsi="Times New Roman" w:cs="Times New Roman"/>
          <w:sz w:val="18"/>
          <w:szCs w:val="18"/>
        </w:rPr>
        <w:t>.</w:t>
      </w:r>
      <w:r>
        <w:rPr>
          <w:rFonts w:ascii="Times New Roman" w:hAnsi="Times New Roman" w:cs="Times New Roman"/>
          <w:sz w:val="18"/>
          <w:szCs w:val="18"/>
        </w:rPr>
        <w:t>S</w:t>
      </w:r>
      <w:r w:rsidR="007A001C">
        <w:rPr>
          <w:rFonts w:ascii="Times New Roman" w:hAnsi="Times New Roman" w:cs="Times New Roman"/>
          <w:sz w:val="18"/>
          <w:szCs w:val="18"/>
        </w:rPr>
        <w:t>.</w:t>
      </w:r>
      <w:r>
        <w:rPr>
          <w:rFonts w:ascii="Times New Roman" w:hAnsi="Times New Roman" w:cs="Times New Roman"/>
          <w:sz w:val="18"/>
          <w:szCs w:val="18"/>
        </w:rPr>
        <w:t xml:space="preserve"> inflation rate) </w:t>
      </w:r>
      <w:r w:rsidRPr="001221C6">
        <w:rPr>
          <w:rFonts w:ascii="Times New Roman" w:hAnsi="Times New Roman" w:cs="Times New Roman"/>
          <w:sz w:val="18"/>
          <w:szCs w:val="18"/>
        </w:rPr>
        <w:t>at the monthly</w:t>
      </w:r>
      <w:r>
        <w:rPr>
          <w:rFonts w:ascii="Times New Roman" w:hAnsi="Times New Roman" w:cs="Times New Roman"/>
          <w:sz w:val="18"/>
          <w:szCs w:val="18"/>
        </w:rPr>
        <w:t xml:space="preserve"> frequency and </w:t>
      </w:r>
      <w:r w:rsidRPr="001221C6">
        <w:rPr>
          <w:rFonts w:ascii="Times New Roman" w:hAnsi="Times New Roman" w:cs="Times New Roman"/>
          <w:sz w:val="18"/>
          <w:szCs w:val="18"/>
        </w:rPr>
        <w:t xml:space="preserve">X depends on the seasonal pattern tested. </w:t>
      </w:r>
      <w:r>
        <w:rPr>
          <w:rFonts w:ascii="Times New Roman" w:hAnsi="Times New Roman" w:cs="Times New Roman"/>
          <w:sz w:val="18"/>
          <w:szCs w:val="18"/>
        </w:rPr>
        <w:t>In</w:t>
      </w:r>
      <w:r w:rsidRPr="001221C6">
        <w:rPr>
          <w:rFonts w:ascii="Times New Roman" w:hAnsi="Times New Roman" w:cs="Times New Roman"/>
          <w:sz w:val="18"/>
          <w:szCs w:val="18"/>
        </w:rPr>
        <w:t xml:space="preserve"> case of H1 H2, X is a dummy that takes on the value of 1 for July to December and 0 otherwise. For SAD, X is set equal to the 12 monthly values from the Kamstra, Kramer, and Levi (2014) paper.</w:t>
      </w:r>
      <w:r>
        <w:rPr>
          <w:rFonts w:ascii="Times New Roman" w:hAnsi="Times New Roman" w:cs="Times New Roman"/>
          <w:sz w:val="18"/>
          <w:szCs w:val="18"/>
        </w:rPr>
        <w:t xml:space="preserve"> </w:t>
      </w:r>
      <w:r w:rsidR="00803114" w:rsidRPr="008E5EC0">
        <w:rPr>
          <w:rFonts w:ascii="Times New Roman" w:hAnsi="Times New Roman" w:cs="Times New Roman"/>
          <w:sz w:val="18"/>
          <w:szCs w:val="18"/>
        </w:rPr>
        <w:t>The Developed portfolio is</w:t>
      </w:r>
      <w:r w:rsidR="00803114">
        <w:rPr>
          <w:rFonts w:ascii="Times New Roman" w:hAnsi="Times New Roman" w:cs="Times New Roman"/>
          <w:sz w:val="18"/>
          <w:szCs w:val="18"/>
        </w:rPr>
        <w:t xml:space="preserve"> based on equally-weighting the </w:t>
      </w:r>
      <w:r w:rsidR="007D230C">
        <w:rPr>
          <w:rFonts w:ascii="Times New Roman" w:hAnsi="Times New Roman" w:cs="Times New Roman"/>
          <w:sz w:val="18"/>
          <w:szCs w:val="18"/>
        </w:rPr>
        <w:t>six countries provided data are available.</w:t>
      </w:r>
      <w:r w:rsidR="00803114">
        <w:rPr>
          <w:rFonts w:ascii="Times New Roman" w:hAnsi="Times New Roman" w:cs="Times New Roman"/>
          <w:sz w:val="18"/>
          <w:szCs w:val="18"/>
        </w:rPr>
        <w:t xml:space="preserve"> The n</w:t>
      </w:r>
      <w:r w:rsidR="007D230C">
        <w:rPr>
          <w:rFonts w:ascii="Times New Roman" w:hAnsi="Times New Roman" w:cs="Times New Roman"/>
          <w:sz w:val="18"/>
          <w:szCs w:val="18"/>
        </w:rPr>
        <w:t>u</w:t>
      </w:r>
      <w:r w:rsidRPr="001221C6">
        <w:rPr>
          <w:rFonts w:ascii="Times New Roman" w:hAnsi="Times New Roman" w:cs="Times New Roman"/>
          <w:sz w:val="18"/>
          <w:szCs w:val="18"/>
        </w:rPr>
        <w:t xml:space="preserve">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E7620F">
        <w:rPr>
          <w:rFonts w:ascii="Times New Roman" w:eastAsia="Times New Roman" w:hAnsi="Times New Roman" w:cs="Times New Roman"/>
          <w:color w:val="4F81BD"/>
          <w:sz w:val="18"/>
          <w:szCs w:val="18"/>
          <w:lang w:val="en-GB" w:eastAsia="en-GB"/>
        </w:rPr>
        <w:t>Blue</w:t>
      </w:r>
      <w:r w:rsidRPr="001221C6">
        <w:rPr>
          <w:rFonts w:ascii="Times New Roman" w:hAnsi="Times New Roman" w:cs="Times New Roman"/>
          <w:sz w:val="18"/>
          <w:szCs w:val="18"/>
        </w:rPr>
        <w:t xml:space="preserve"> at 10% significance level.</w:t>
      </w:r>
    </w:p>
    <w:p w:rsidR="005A06CB" w:rsidRDefault="005A06CB" w:rsidP="005A06CB">
      <w:pPr>
        <w:spacing w:after="0" w:line="360" w:lineRule="auto"/>
        <w:ind w:firstLine="720"/>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results </w:t>
      </w:r>
      <w:r w:rsidR="007D230C">
        <w:rPr>
          <w:rFonts w:ascii="Times New Roman" w:hAnsi="Times New Roman" w:cs="Times New Roman"/>
        </w:rPr>
        <w:t xml:space="preserve">from Table 4.9 </w:t>
      </w:r>
      <w:r>
        <w:rPr>
          <w:rFonts w:ascii="Times New Roman" w:hAnsi="Times New Roman" w:cs="Times New Roman"/>
        </w:rPr>
        <w:t>show that the seasona</w:t>
      </w:r>
      <w:r w:rsidR="007D230C">
        <w:rPr>
          <w:rFonts w:ascii="Times New Roman" w:hAnsi="Times New Roman" w:cs="Times New Roman"/>
        </w:rPr>
        <w:t xml:space="preserve">lity of US inflation rate </w:t>
      </w:r>
      <w:r>
        <w:rPr>
          <w:rFonts w:ascii="Times New Roman" w:hAnsi="Times New Roman" w:cs="Times New Roman"/>
        </w:rPr>
        <w:t>captures the patterns which were visible on nominal bond excess returns (H1 H2 and SAD)</w:t>
      </w:r>
      <w:r>
        <w:rPr>
          <w:rStyle w:val="FootnoteReference"/>
          <w:rFonts w:ascii="Times New Roman" w:hAnsi="Times New Roman" w:cs="Times New Roman"/>
        </w:rPr>
        <w:footnoteReference w:id="47"/>
      </w:r>
      <w:r>
        <w:rPr>
          <w:rFonts w:ascii="Times New Roman" w:hAnsi="Times New Roman" w:cs="Times New Roman"/>
        </w:rPr>
        <w:t xml:space="preserve">. For </w:t>
      </w:r>
      <w:r w:rsidR="007D230C">
        <w:rPr>
          <w:rFonts w:ascii="Times New Roman" w:hAnsi="Times New Roman" w:cs="Times New Roman"/>
        </w:rPr>
        <w:t xml:space="preserve">the </w:t>
      </w:r>
      <w:r>
        <w:rPr>
          <w:rFonts w:ascii="Times New Roman" w:hAnsi="Times New Roman" w:cs="Times New Roman"/>
        </w:rPr>
        <w:t xml:space="preserve">United States and Canada, SAD seasonal effect holds </w:t>
      </w:r>
      <w:r w:rsidRPr="00943737">
        <w:rPr>
          <w:rFonts w:ascii="Times New Roman" w:hAnsi="Times New Roman" w:cs="Times New Roman"/>
        </w:rPr>
        <w:t>after taking into account inflation</w:t>
      </w:r>
      <w:r>
        <w:rPr>
          <w:rFonts w:ascii="Times New Roman" w:hAnsi="Times New Roman" w:cs="Times New Roman"/>
        </w:rPr>
        <w:t xml:space="preserve"> with a t-statistic of 2.20 and 1.87 respectively. In case of Germany, where the SAD factor was statistically significant at 10% level, the effect disappears.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reminiscent SAD effect in case of </w:t>
      </w:r>
      <w:r w:rsidR="007D230C">
        <w:rPr>
          <w:rFonts w:ascii="Times New Roman" w:hAnsi="Times New Roman" w:cs="Times New Roman"/>
        </w:rPr>
        <w:t xml:space="preserve">the </w:t>
      </w:r>
      <w:r>
        <w:rPr>
          <w:rFonts w:ascii="Times New Roman" w:hAnsi="Times New Roman" w:cs="Times New Roman"/>
        </w:rPr>
        <w:t>United States and Canada is not surprising as the nominal bond excess returns of these two countries displayed strong SAD effects when testing the returns (</w:t>
      </w:r>
      <w:r w:rsidR="00E7620F" w:rsidRPr="00E7620F">
        <w:rPr>
          <w:rFonts w:ascii="Times New Roman" w:hAnsi="Times New Roman" w:cs="Times New Roman"/>
        </w:rPr>
        <w:t xml:space="preserve">Table </w:t>
      </w:r>
      <w:r w:rsidR="00E7620F">
        <w:rPr>
          <w:rFonts w:ascii="Times New Roman" w:hAnsi="Times New Roman" w:cs="Times New Roman"/>
        </w:rPr>
        <w:t>4.2</w:t>
      </w:r>
      <w:r>
        <w:rPr>
          <w:rFonts w:ascii="Times New Roman" w:hAnsi="Times New Roman" w:cs="Times New Roman"/>
        </w:rPr>
        <w:t>). Moreover, th</w:t>
      </w:r>
      <w:r w:rsidR="00E7620F">
        <w:rPr>
          <w:rFonts w:ascii="Times New Roman" w:hAnsi="Times New Roman" w:cs="Times New Roman"/>
        </w:rPr>
        <w:t>e correlation matrix from Table 3.2</w:t>
      </w:r>
      <w:r>
        <w:rPr>
          <w:rFonts w:ascii="Times New Roman" w:hAnsi="Times New Roman" w:cs="Times New Roman"/>
        </w:rPr>
        <w:t xml:space="preserve"> shows the highest correlation between bond markets for these two countries (correlation coefficient of 0.77). The presence of SAD in the residuals in </w:t>
      </w:r>
      <w:r w:rsidR="007D230C">
        <w:rPr>
          <w:rFonts w:ascii="Times New Roman" w:hAnsi="Times New Roman" w:cs="Times New Roman"/>
        </w:rPr>
        <w:t xml:space="preserve">the </w:t>
      </w:r>
      <w:r>
        <w:rPr>
          <w:rFonts w:ascii="Times New Roman" w:hAnsi="Times New Roman" w:cs="Times New Roman"/>
        </w:rPr>
        <w:t xml:space="preserve">United States after taking into account macroeconomic data </w:t>
      </w:r>
      <w:r w:rsidRPr="00135DA9">
        <w:rPr>
          <w:rFonts w:ascii="Times New Roman" w:hAnsi="Times New Roman" w:cs="Times New Roman"/>
        </w:rPr>
        <w:t xml:space="preserve">is </w:t>
      </w:r>
      <w:r>
        <w:rPr>
          <w:rFonts w:ascii="Times New Roman" w:hAnsi="Times New Roman" w:cs="Times New Roman"/>
        </w:rPr>
        <w:t xml:space="preserve">in line with the </w:t>
      </w:r>
      <w:r w:rsidRPr="00135DA9">
        <w:rPr>
          <w:rFonts w:ascii="Times New Roman" w:hAnsi="Times New Roman" w:cs="Times New Roman"/>
        </w:rPr>
        <w:t>conclusion of Kamstra, Kramer and Levi (2014)</w:t>
      </w:r>
      <w:r>
        <w:rPr>
          <w:rFonts w:ascii="Times New Roman" w:hAnsi="Times New Roman" w:cs="Times New Roman"/>
        </w:rPr>
        <w:t>. The SAD factor is significant after taking into account several macroeconomic variables. One of the</w:t>
      </w:r>
      <w:r w:rsidRPr="00135DA9">
        <w:rPr>
          <w:rFonts w:ascii="Times New Roman" w:hAnsi="Times New Roman" w:cs="Times New Roman"/>
        </w:rPr>
        <w:t xml:space="preserve"> models </w:t>
      </w:r>
      <w:r>
        <w:rPr>
          <w:rFonts w:ascii="Times New Roman" w:hAnsi="Times New Roman" w:cs="Times New Roman"/>
        </w:rPr>
        <w:t xml:space="preserve">also </w:t>
      </w:r>
      <w:r w:rsidRPr="00135DA9">
        <w:rPr>
          <w:rFonts w:ascii="Times New Roman" w:hAnsi="Times New Roman" w:cs="Times New Roman"/>
        </w:rPr>
        <w:t xml:space="preserve">includes </w:t>
      </w:r>
      <w:r>
        <w:rPr>
          <w:rFonts w:ascii="Times New Roman" w:hAnsi="Times New Roman" w:cs="Times New Roman"/>
        </w:rPr>
        <w:t>U</w:t>
      </w:r>
      <w:r w:rsidR="007D230C">
        <w:rPr>
          <w:rFonts w:ascii="Times New Roman" w:hAnsi="Times New Roman" w:cs="Times New Roman"/>
        </w:rPr>
        <w:t>.</w:t>
      </w:r>
      <w:r>
        <w:rPr>
          <w:rFonts w:ascii="Times New Roman" w:hAnsi="Times New Roman" w:cs="Times New Roman"/>
        </w:rPr>
        <w:t>S</w:t>
      </w:r>
      <w:r w:rsidR="007D230C">
        <w:rPr>
          <w:rFonts w:ascii="Times New Roman" w:hAnsi="Times New Roman" w:cs="Times New Roman"/>
        </w:rPr>
        <w:t>.</w:t>
      </w:r>
      <w:r>
        <w:rPr>
          <w:rFonts w:ascii="Times New Roman" w:hAnsi="Times New Roman" w:cs="Times New Roman"/>
        </w:rPr>
        <w:t xml:space="preserve"> </w:t>
      </w:r>
      <w:r w:rsidRPr="00135DA9">
        <w:rPr>
          <w:rFonts w:ascii="Times New Roman" w:hAnsi="Times New Roman" w:cs="Times New Roman"/>
        </w:rPr>
        <w:t>non-seasonally adjusted inflatio</w:t>
      </w:r>
      <w:r>
        <w:rPr>
          <w:rFonts w:ascii="Times New Roman" w:hAnsi="Times New Roman" w:cs="Times New Roman"/>
        </w:rPr>
        <w:t>n which is</w:t>
      </w:r>
      <w:r w:rsidRPr="00135DA9">
        <w:rPr>
          <w:rFonts w:ascii="Times New Roman" w:hAnsi="Times New Roman" w:cs="Times New Roman"/>
        </w:rPr>
        <w:t xml:space="preserve"> </w:t>
      </w:r>
      <w:r>
        <w:rPr>
          <w:rFonts w:ascii="Times New Roman" w:hAnsi="Times New Roman" w:cs="Times New Roman"/>
        </w:rPr>
        <w:t xml:space="preserve">also </w:t>
      </w:r>
      <w:r w:rsidRPr="00135DA9">
        <w:rPr>
          <w:rFonts w:ascii="Times New Roman" w:hAnsi="Times New Roman" w:cs="Times New Roman"/>
        </w:rPr>
        <w:t>use</w:t>
      </w:r>
      <w:r>
        <w:rPr>
          <w:rFonts w:ascii="Times New Roman" w:hAnsi="Times New Roman" w:cs="Times New Roman"/>
        </w:rPr>
        <w:t>d</w:t>
      </w:r>
      <w:r w:rsidRPr="00135DA9">
        <w:rPr>
          <w:rFonts w:ascii="Times New Roman" w:hAnsi="Times New Roman" w:cs="Times New Roman"/>
        </w:rPr>
        <w:t xml:space="preserve"> here.</w:t>
      </w:r>
    </w:p>
    <w:p w:rsidR="007D230C" w:rsidRDefault="007D230C" w:rsidP="005A06CB">
      <w:pPr>
        <w:spacing w:after="0" w:line="360" w:lineRule="auto"/>
        <w:ind w:firstLine="720"/>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Another explanation for the lack of consistence of results concerning the influence of national inflation rates on nominal bond excess returns could be the existence of noise in nominal bond returns and inflation rates. The noise in inflation rate could be related to different starting points of the fiscal year across countries</w:t>
      </w:r>
      <w:r>
        <w:rPr>
          <w:rStyle w:val="FootnoteReference"/>
          <w:rFonts w:ascii="Times New Roman" w:hAnsi="Times New Roman" w:cs="Times New Roman"/>
        </w:rPr>
        <w:footnoteReference w:id="48"/>
      </w:r>
      <w:r>
        <w:rPr>
          <w:rFonts w:ascii="Times New Roman" w:hAnsi="Times New Roman" w:cs="Times New Roman"/>
        </w:rPr>
        <w:t xml:space="preserve"> which is usually associated to changes in administrated prices, specific events such as a spike in oil prices or noise related to the CP</w:t>
      </w:r>
      <w:r w:rsidR="007D230C">
        <w:rPr>
          <w:rFonts w:ascii="Times New Roman" w:hAnsi="Times New Roman" w:cs="Times New Roman"/>
        </w:rPr>
        <w:t>I definition which might result</w:t>
      </w:r>
      <w:r>
        <w:rPr>
          <w:rFonts w:ascii="Times New Roman" w:hAnsi="Times New Roman" w:cs="Times New Roman"/>
        </w:rPr>
        <w:t xml:space="preserve"> into larger weights for volatile prices. </w:t>
      </w:r>
    </w:p>
    <w:p w:rsidR="005A06CB" w:rsidRPr="00DC64D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B</w:t>
      </w:r>
      <w:r w:rsidRPr="001F3410">
        <w:rPr>
          <w:rFonts w:ascii="Times New Roman" w:hAnsi="Times New Roman" w:cs="Times New Roman"/>
        </w:rPr>
        <w:t xml:space="preserve">ond prices </w:t>
      </w:r>
      <w:r>
        <w:rPr>
          <w:rFonts w:ascii="Times New Roman" w:hAnsi="Times New Roman" w:cs="Times New Roman"/>
        </w:rPr>
        <w:t xml:space="preserve">could also </w:t>
      </w:r>
      <w:r w:rsidRPr="001F3410">
        <w:rPr>
          <w:rFonts w:ascii="Times New Roman" w:hAnsi="Times New Roman" w:cs="Times New Roman"/>
        </w:rPr>
        <w:t xml:space="preserve">react to inflation at different speed. </w:t>
      </w:r>
      <w:r w:rsidR="00BE7A7A">
        <w:rPr>
          <w:rFonts w:ascii="Times New Roman" w:hAnsi="Times New Roman" w:cs="Times New Roman"/>
        </w:rPr>
        <w:t>Smirlock (1985</w:t>
      </w:r>
      <w:r>
        <w:rPr>
          <w:rFonts w:ascii="Times New Roman" w:hAnsi="Times New Roman" w:cs="Times New Roman"/>
        </w:rPr>
        <w:t xml:space="preserve">) finds that the response of the US Treasuries to unexpected inflation took place by the end of the announcement day during 1979-1983, while there was no effect until 1979. </w:t>
      </w:r>
      <w:r w:rsidRPr="001F3410">
        <w:rPr>
          <w:rFonts w:ascii="Times New Roman" w:hAnsi="Times New Roman" w:cs="Times New Roman"/>
        </w:rPr>
        <w:t>The</w:t>
      </w:r>
      <w:r>
        <w:rPr>
          <w:rFonts w:ascii="Times New Roman" w:hAnsi="Times New Roman" w:cs="Times New Roman"/>
        </w:rPr>
        <w:t xml:space="preserve"> applied</w:t>
      </w:r>
      <w:r w:rsidRPr="001F3410">
        <w:rPr>
          <w:rFonts w:ascii="Times New Roman" w:hAnsi="Times New Roman" w:cs="Times New Roman"/>
        </w:rPr>
        <w:t xml:space="preserve"> regression assumes that bond prices react to contemporaneous inflation</w:t>
      </w:r>
      <w:r>
        <w:rPr>
          <w:rFonts w:ascii="Times New Roman" w:hAnsi="Times New Roman" w:cs="Times New Roman"/>
        </w:rPr>
        <w:t xml:space="preserve"> (bond returns and price dynamics take place in the same month). But, </w:t>
      </w:r>
      <w:r>
        <w:rPr>
          <w:rFonts w:ascii="Times New Roman" w:hAnsi="Times New Roman" w:cs="Times New Roman"/>
        </w:rPr>
        <w:lastRenderedPageBreak/>
        <w:t>forward-looking investors could anticipate the consumer price dynamics and in this case, the</w:t>
      </w:r>
      <w:r w:rsidRPr="001F3410">
        <w:rPr>
          <w:rFonts w:ascii="Times New Roman" w:hAnsi="Times New Roman" w:cs="Times New Roman"/>
        </w:rPr>
        <w:t xml:space="preserve"> bond return in month t is related to inflation in month t+1</w:t>
      </w:r>
      <w:r>
        <w:rPr>
          <w:rFonts w:ascii="Times New Roman" w:hAnsi="Times New Roman" w:cs="Times New Roman"/>
        </w:rPr>
        <w:t xml:space="preserve"> (lead measure of inflation)</w:t>
      </w:r>
      <w:r w:rsidRPr="001F3410">
        <w:rPr>
          <w:rFonts w:ascii="Times New Roman" w:hAnsi="Times New Roman" w:cs="Times New Roman"/>
        </w:rPr>
        <w:t>. A proof</w:t>
      </w:r>
      <w:r>
        <w:rPr>
          <w:rFonts w:ascii="Times New Roman" w:hAnsi="Times New Roman" w:cs="Times New Roman"/>
        </w:rPr>
        <w:t xml:space="preserve"> of this is the simultaneous regression of nominal bond excess returns (recorded at time t) on contemporaneous (the inflation rate recorded at time t) and lead inflation measures (at time t bond prices incorporate inflation at time t+1). As captured by Table </w:t>
      </w:r>
      <w:r w:rsidR="00E7620F">
        <w:rPr>
          <w:rFonts w:ascii="Times New Roman" w:hAnsi="Times New Roman" w:cs="Times New Roman"/>
        </w:rPr>
        <w:t>4.10</w:t>
      </w:r>
      <w:r>
        <w:rPr>
          <w:rFonts w:ascii="Times New Roman" w:hAnsi="Times New Roman" w:cs="Times New Roman"/>
        </w:rPr>
        <w:t xml:space="preserve">, </w:t>
      </w:r>
      <w:r w:rsidRPr="00DC64DB">
        <w:rPr>
          <w:rFonts w:ascii="Times New Roman" w:hAnsi="Times New Roman" w:cs="Times New Roman"/>
        </w:rPr>
        <w:t>a significant loading on both</w:t>
      </w:r>
      <w:r>
        <w:rPr>
          <w:rFonts w:ascii="Times New Roman" w:hAnsi="Times New Roman" w:cs="Times New Roman"/>
        </w:rPr>
        <w:t xml:space="preserve"> </w:t>
      </w:r>
      <w:r w:rsidRPr="00DC64DB">
        <w:rPr>
          <w:rFonts w:ascii="Times New Roman" w:hAnsi="Times New Roman" w:cs="Times New Roman"/>
        </w:rPr>
        <w:t>contemporaneous and lead inflation</w:t>
      </w:r>
      <w:r>
        <w:rPr>
          <w:rFonts w:ascii="Times New Roman" w:hAnsi="Times New Roman" w:cs="Times New Roman"/>
        </w:rPr>
        <w:t xml:space="preserve"> is found in case of Germany and </w:t>
      </w:r>
      <w:r w:rsidR="007D230C">
        <w:rPr>
          <w:rFonts w:ascii="Times New Roman" w:hAnsi="Times New Roman" w:cs="Times New Roman"/>
        </w:rPr>
        <w:t xml:space="preserve">the </w:t>
      </w:r>
      <w:r>
        <w:rPr>
          <w:rFonts w:ascii="Times New Roman" w:hAnsi="Times New Roman" w:cs="Times New Roman"/>
        </w:rPr>
        <w:t>United States.</w:t>
      </w:r>
    </w:p>
    <w:p w:rsidR="005A06CB" w:rsidRDefault="005A06CB" w:rsidP="00E7620F">
      <w:pPr>
        <w:spacing w:after="120" w:line="360" w:lineRule="auto"/>
        <w:rPr>
          <w:rFonts w:ascii="Times New Roman" w:hAnsi="Times New Roman" w:cs="Times New Roman"/>
          <w:noProof/>
        </w:rPr>
      </w:pPr>
      <w:r w:rsidRPr="002920B9">
        <w:rPr>
          <w:rFonts w:ascii="Times New Roman" w:hAnsi="Times New Roman" w:cs="Times New Roman"/>
          <w:noProof/>
        </w:rPr>
        <w:t>Ta</w:t>
      </w:r>
      <w:r w:rsidR="00E7620F">
        <w:rPr>
          <w:rFonts w:ascii="Times New Roman" w:hAnsi="Times New Roman" w:cs="Times New Roman"/>
          <w:noProof/>
        </w:rPr>
        <w:t>ble 4.10</w:t>
      </w:r>
      <w:r w:rsidRPr="002920B9">
        <w:rPr>
          <w:rFonts w:ascii="Times New Roman" w:hAnsi="Times New Roman" w:cs="Times New Roman"/>
          <w:noProof/>
        </w:rPr>
        <w:t>: Time series regressions of</w:t>
      </w:r>
      <w:r w:rsidR="007D230C">
        <w:rPr>
          <w:rFonts w:ascii="Times New Roman" w:hAnsi="Times New Roman" w:cs="Times New Roman"/>
          <w:noProof/>
        </w:rPr>
        <w:t xml:space="preserve"> B</w:t>
      </w:r>
      <w:r>
        <w:rPr>
          <w:rFonts w:ascii="Times New Roman" w:hAnsi="Times New Roman" w:cs="Times New Roman"/>
          <w:noProof/>
        </w:rPr>
        <w:t xml:space="preserve">ond </w:t>
      </w:r>
      <w:r w:rsidR="007D230C">
        <w:rPr>
          <w:rFonts w:ascii="Times New Roman" w:hAnsi="Times New Roman" w:cs="Times New Roman"/>
          <w:noProof/>
        </w:rPr>
        <w:t>R</w:t>
      </w:r>
      <w:r>
        <w:rPr>
          <w:rFonts w:ascii="Times New Roman" w:hAnsi="Times New Roman" w:cs="Times New Roman"/>
          <w:noProof/>
        </w:rPr>
        <w:t>eturns on Contemporaneous and Lead Inflation Rate</w:t>
      </w:r>
    </w:p>
    <w:tbl>
      <w:tblPr>
        <w:tblW w:w="7580" w:type="dxa"/>
        <w:jc w:val="center"/>
        <w:tblInd w:w="93" w:type="dxa"/>
        <w:tblLook w:val="04A0"/>
      </w:tblPr>
      <w:tblGrid>
        <w:gridCol w:w="2600"/>
        <w:gridCol w:w="1233"/>
        <w:gridCol w:w="1007"/>
        <w:gridCol w:w="980"/>
        <w:gridCol w:w="800"/>
        <w:gridCol w:w="960"/>
      </w:tblGrid>
      <w:tr w:rsidR="005A06CB" w:rsidRPr="007B268B" w:rsidTr="00D0485F">
        <w:trPr>
          <w:trHeight w:val="525"/>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Nominal Bond Excess Returns</w:t>
            </w:r>
          </w:p>
        </w:tc>
        <w:tc>
          <w:tcPr>
            <w:tcW w:w="2240" w:type="dxa"/>
            <w:gridSpan w:val="2"/>
            <w:tcBorders>
              <w:top w:val="single" w:sz="4" w:space="0" w:color="auto"/>
              <w:left w:val="nil"/>
              <w:bottom w:val="nil"/>
              <w:right w:val="nil"/>
            </w:tcBorders>
            <w:shd w:val="clear" w:color="auto" w:fill="auto"/>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Contemporaneous Inflation Rate</w:t>
            </w:r>
          </w:p>
        </w:tc>
        <w:tc>
          <w:tcPr>
            <w:tcW w:w="1780" w:type="dxa"/>
            <w:gridSpan w:val="2"/>
            <w:tcBorders>
              <w:top w:val="single" w:sz="4" w:space="0" w:color="auto"/>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Lead Inflation Rate</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R</w:t>
            </w:r>
            <w:r w:rsidRPr="007B268B">
              <w:rPr>
                <w:rFonts w:ascii="Times New Roman" w:eastAsia="Times New Roman" w:hAnsi="Times New Roman" w:cs="Times New Roman"/>
                <w:color w:val="000000"/>
                <w:sz w:val="20"/>
                <w:szCs w:val="20"/>
                <w:vertAlign w:val="superscript"/>
              </w:rPr>
              <w:t>2</w:t>
            </w:r>
          </w:p>
        </w:tc>
      </w:tr>
      <w:tr w:rsidR="005A06CB" w:rsidRPr="007B268B" w:rsidTr="00D0485F">
        <w:trPr>
          <w:trHeight w:val="330"/>
          <w:jc w:val="center"/>
        </w:trPr>
        <w:tc>
          <w:tcPr>
            <w:tcW w:w="2600" w:type="dxa"/>
            <w:vMerge/>
            <w:tcBorders>
              <w:top w:val="single" w:sz="4" w:space="0" w:color="auto"/>
              <w:left w:val="nil"/>
              <w:bottom w:val="single" w:sz="4" w:space="0" w:color="000000"/>
              <w:right w:val="nil"/>
            </w:tcBorders>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c>
          <w:tcPr>
            <w:tcW w:w="1233"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β</w:t>
            </w:r>
            <w:r w:rsidRPr="007B268B">
              <w:rPr>
                <w:rFonts w:ascii="Times New Roman" w:eastAsia="Times New Roman" w:hAnsi="Times New Roman" w:cs="Times New Roman"/>
                <w:color w:val="000000"/>
                <w:sz w:val="20"/>
                <w:szCs w:val="20"/>
                <w:vertAlign w:val="subscript"/>
              </w:rPr>
              <w:t>1</w:t>
            </w:r>
          </w:p>
        </w:tc>
        <w:tc>
          <w:tcPr>
            <w:tcW w:w="1007"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t-stat</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β</w:t>
            </w:r>
            <w:r w:rsidRPr="007B268B">
              <w:rPr>
                <w:rFonts w:ascii="Times New Roman" w:eastAsia="Times New Roman" w:hAnsi="Times New Roman" w:cs="Times New Roman"/>
                <w:color w:val="000000"/>
                <w:sz w:val="20"/>
                <w:szCs w:val="20"/>
                <w:vertAlign w:val="subscript"/>
              </w:rPr>
              <w:t>2</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t-stat</w:t>
            </w:r>
          </w:p>
        </w:tc>
        <w:tc>
          <w:tcPr>
            <w:tcW w:w="960" w:type="dxa"/>
            <w:vMerge/>
            <w:tcBorders>
              <w:top w:val="single" w:sz="4" w:space="0" w:color="auto"/>
              <w:left w:val="nil"/>
              <w:bottom w:val="single" w:sz="4" w:space="0" w:color="000000"/>
              <w:right w:val="nil"/>
            </w:tcBorders>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r>
      <w:tr w:rsidR="005A06CB" w:rsidRPr="007B268B" w:rsidTr="00D0485F">
        <w:trPr>
          <w:trHeight w:val="285"/>
          <w:jc w:val="center"/>
        </w:trPr>
        <w:tc>
          <w:tcPr>
            <w:tcW w:w="2600" w:type="dxa"/>
            <w:tcBorders>
              <w:top w:val="nil"/>
              <w:left w:val="nil"/>
              <w:bottom w:val="single" w:sz="4" w:space="0" w:color="auto"/>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i/>
                <w:iCs/>
                <w:color w:val="000000"/>
                <w:sz w:val="20"/>
                <w:szCs w:val="20"/>
              </w:rPr>
            </w:pPr>
            <w:r w:rsidRPr="007B268B">
              <w:rPr>
                <w:rFonts w:ascii="Times New Roman" w:eastAsia="Times New Roman" w:hAnsi="Times New Roman" w:cs="Times New Roman"/>
                <w:i/>
                <w:iCs/>
                <w:color w:val="000000"/>
                <w:sz w:val="20"/>
                <w:szCs w:val="20"/>
              </w:rPr>
              <w:t>Monthly frequency</w:t>
            </w:r>
          </w:p>
        </w:tc>
        <w:tc>
          <w:tcPr>
            <w:tcW w:w="1233"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 </w:t>
            </w:r>
          </w:p>
        </w:tc>
        <w:tc>
          <w:tcPr>
            <w:tcW w:w="1007"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 </w:t>
            </w:r>
          </w:p>
        </w:tc>
        <w:tc>
          <w:tcPr>
            <w:tcW w:w="980" w:type="dxa"/>
            <w:tcBorders>
              <w:top w:val="single" w:sz="4" w:space="0" w:color="auto"/>
              <w:left w:val="nil"/>
              <w:bottom w:val="single" w:sz="4" w:space="0" w:color="auto"/>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 </w:t>
            </w:r>
          </w:p>
        </w:tc>
        <w:tc>
          <w:tcPr>
            <w:tcW w:w="800" w:type="dxa"/>
            <w:tcBorders>
              <w:top w:val="single" w:sz="4" w:space="0" w:color="auto"/>
              <w:left w:val="nil"/>
              <w:bottom w:val="single" w:sz="4" w:space="0" w:color="auto"/>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 </w:t>
            </w:r>
          </w:p>
        </w:tc>
      </w:tr>
      <w:tr w:rsidR="005A06CB" w:rsidRPr="007B268B" w:rsidTr="00D0485F">
        <w:trPr>
          <w:trHeight w:val="255"/>
          <w:jc w:val="center"/>
        </w:trPr>
        <w:tc>
          <w:tcPr>
            <w:tcW w:w="2600"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Australia</w:t>
            </w:r>
          </w:p>
        </w:tc>
        <w:tc>
          <w:tcPr>
            <w:tcW w:w="1233"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c>
          <w:tcPr>
            <w:tcW w:w="1007"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c>
          <w:tcPr>
            <w:tcW w:w="980"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c>
          <w:tcPr>
            <w:tcW w:w="800"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c>
          <w:tcPr>
            <w:tcW w:w="960" w:type="dxa"/>
            <w:tcBorders>
              <w:top w:val="nil"/>
              <w:left w:val="nil"/>
              <w:bottom w:val="nil"/>
              <w:right w:val="nil"/>
            </w:tcBorders>
            <w:shd w:val="clear" w:color="auto" w:fill="auto"/>
            <w:noWrap/>
            <w:vAlign w:val="bottom"/>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p>
        </w:tc>
      </w:tr>
      <w:tr w:rsidR="005A06CB" w:rsidRPr="007B268B" w:rsidTr="00D0485F">
        <w:trPr>
          <w:trHeight w:val="240"/>
          <w:jc w:val="center"/>
        </w:trPr>
        <w:tc>
          <w:tcPr>
            <w:tcW w:w="2600" w:type="dxa"/>
            <w:tcBorders>
              <w:top w:val="nil"/>
              <w:left w:val="nil"/>
              <w:bottom w:val="nil"/>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Canada</w:t>
            </w:r>
          </w:p>
        </w:tc>
        <w:tc>
          <w:tcPr>
            <w:tcW w:w="1233"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-0.261</w:t>
            </w:r>
          </w:p>
        </w:tc>
        <w:tc>
          <w:tcPr>
            <w:tcW w:w="1007"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-1.07</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-0.211</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-1.04</w:t>
            </w:r>
          </w:p>
        </w:tc>
        <w:tc>
          <w:tcPr>
            <w:tcW w:w="96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0.007</w:t>
            </w:r>
          </w:p>
        </w:tc>
      </w:tr>
      <w:tr w:rsidR="005A06CB" w:rsidRPr="007B268B" w:rsidTr="00D0485F">
        <w:trPr>
          <w:trHeight w:val="240"/>
          <w:jc w:val="center"/>
        </w:trPr>
        <w:tc>
          <w:tcPr>
            <w:tcW w:w="2600" w:type="dxa"/>
            <w:tcBorders>
              <w:top w:val="nil"/>
              <w:left w:val="nil"/>
              <w:bottom w:val="nil"/>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Germany</w:t>
            </w:r>
          </w:p>
        </w:tc>
        <w:tc>
          <w:tcPr>
            <w:tcW w:w="1233"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-0.595</w:t>
            </w:r>
          </w:p>
        </w:tc>
        <w:tc>
          <w:tcPr>
            <w:tcW w:w="1007"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b/>
                <w:bCs/>
                <w:color w:val="000000"/>
                <w:sz w:val="20"/>
                <w:szCs w:val="20"/>
              </w:rPr>
            </w:pPr>
            <w:r w:rsidRPr="007B268B">
              <w:rPr>
                <w:rFonts w:ascii="Times New Roman" w:eastAsia="Times New Roman" w:hAnsi="Times New Roman" w:cs="Times New Roman"/>
                <w:b/>
                <w:bCs/>
                <w:color w:val="000000"/>
                <w:sz w:val="20"/>
                <w:szCs w:val="20"/>
              </w:rPr>
              <w:t>-2.86</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-0.405</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b/>
                <w:bCs/>
                <w:color w:val="000000"/>
                <w:sz w:val="20"/>
                <w:szCs w:val="20"/>
              </w:rPr>
            </w:pPr>
            <w:r w:rsidRPr="007B268B">
              <w:rPr>
                <w:rFonts w:ascii="Times New Roman" w:eastAsia="Times New Roman" w:hAnsi="Times New Roman" w:cs="Times New Roman"/>
                <w:b/>
                <w:bCs/>
                <w:color w:val="000000"/>
                <w:sz w:val="20"/>
                <w:szCs w:val="20"/>
              </w:rPr>
              <w:t>-2.19</w:t>
            </w:r>
          </w:p>
        </w:tc>
        <w:tc>
          <w:tcPr>
            <w:tcW w:w="96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0.042</w:t>
            </w:r>
          </w:p>
        </w:tc>
      </w:tr>
      <w:tr w:rsidR="005A06CB" w:rsidRPr="007B268B" w:rsidTr="00D0485F">
        <w:trPr>
          <w:trHeight w:val="240"/>
          <w:jc w:val="center"/>
        </w:trPr>
        <w:tc>
          <w:tcPr>
            <w:tcW w:w="2600" w:type="dxa"/>
            <w:tcBorders>
              <w:top w:val="nil"/>
              <w:left w:val="nil"/>
              <w:bottom w:val="nil"/>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Japan</w:t>
            </w:r>
          </w:p>
        </w:tc>
        <w:tc>
          <w:tcPr>
            <w:tcW w:w="1233"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-0.186</w:t>
            </w:r>
          </w:p>
        </w:tc>
        <w:tc>
          <w:tcPr>
            <w:tcW w:w="1007"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-1.22</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0.163</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0.92</w:t>
            </w:r>
          </w:p>
        </w:tc>
        <w:tc>
          <w:tcPr>
            <w:tcW w:w="96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0.007</w:t>
            </w:r>
          </w:p>
        </w:tc>
      </w:tr>
      <w:tr w:rsidR="005A06CB" w:rsidRPr="007B268B" w:rsidTr="00D0485F">
        <w:trPr>
          <w:trHeight w:val="240"/>
          <w:jc w:val="center"/>
        </w:trPr>
        <w:tc>
          <w:tcPr>
            <w:tcW w:w="2600" w:type="dxa"/>
            <w:tcBorders>
              <w:top w:val="nil"/>
              <w:left w:val="nil"/>
              <w:bottom w:val="nil"/>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United Kingdom</w:t>
            </w:r>
          </w:p>
        </w:tc>
        <w:tc>
          <w:tcPr>
            <w:tcW w:w="1233"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-0.165</w:t>
            </w:r>
          </w:p>
        </w:tc>
        <w:tc>
          <w:tcPr>
            <w:tcW w:w="1007"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-0.83</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-0.337</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-1.48</w:t>
            </w:r>
          </w:p>
        </w:tc>
        <w:tc>
          <w:tcPr>
            <w:tcW w:w="96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0.012</w:t>
            </w:r>
          </w:p>
        </w:tc>
      </w:tr>
      <w:tr w:rsidR="005A06CB" w:rsidRPr="007B268B" w:rsidTr="00D0485F">
        <w:trPr>
          <w:trHeight w:val="240"/>
          <w:jc w:val="center"/>
        </w:trPr>
        <w:tc>
          <w:tcPr>
            <w:tcW w:w="26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United States</w:t>
            </w:r>
          </w:p>
        </w:tc>
        <w:tc>
          <w:tcPr>
            <w:tcW w:w="1233"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-0.617</w:t>
            </w:r>
          </w:p>
        </w:tc>
        <w:tc>
          <w:tcPr>
            <w:tcW w:w="1007"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4F81BD"/>
                <w:sz w:val="20"/>
                <w:szCs w:val="20"/>
              </w:rPr>
            </w:pPr>
            <w:r w:rsidRPr="007B268B">
              <w:rPr>
                <w:rFonts w:ascii="Times New Roman" w:eastAsia="Times New Roman" w:hAnsi="Times New Roman" w:cs="Times New Roman"/>
                <w:color w:val="4F81BD"/>
                <w:sz w:val="20"/>
                <w:szCs w:val="20"/>
              </w:rPr>
              <w:t>-1.94</w:t>
            </w:r>
          </w:p>
        </w:tc>
        <w:tc>
          <w:tcPr>
            <w:tcW w:w="98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-0.603</w:t>
            </w:r>
          </w:p>
        </w:tc>
        <w:tc>
          <w:tcPr>
            <w:tcW w:w="80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b/>
                <w:bCs/>
                <w:color w:val="000000"/>
                <w:sz w:val="20"/>
                <w:szCs w:val="20"/>
              </w:rPr>
            </w:pPr>
            <w:r w:rsidRPr="007B268B">
              <w:rPr>
                <w:rFonts w:ascii="Times New Roman" w:eastAsia="Times New Roman" w:hAnsi="Times New Roman" w:cs="Times New Roman"/>
                <w:b/>
                <w:bCs/>
                <w:color w:val="000000"/>
                <w:sz w:val="20"/>
                <w:szCs w:val="20"/>
              </w:rPr>
              <w:t>-2.13</w:t>
            </w:r>
          </w:p>
        </w:tc>
        <w:tc>
          <w:tcPr>
            <w:tcW w:w="960" w:type="dxa"/>
            <w:tcBorders>
              <w:top w:val="nil"/>
              <w:left w:val="nil"/>
              <w:bottom w:val="nil"/>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0.055</w:t>
            </w:r>
          </w:p>
        </w:tc>
      </w:tr>
      <w:tr w:rsidR="005A06CB" w:rsidRPr="007B268B"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7B268B" w:rsidRDefault="005A06CB" w:rsidP="00D0485F">
            <w:pPr>
              <w:spacing w:after="0" w:line="240" w:lineRule="auto"/>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Developed (5)</w:t>
            </w:r>
          </w:p>
        </w:tc>
        <w:tc>
          <w:tcPr>
            <w:tcW w:w="1233"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-0.219</w:t>
            </w:r>
          </w:p>
        </w:tc>
        <w:tc>
          <w:tcPr>
            <w:tcW w:w="1007"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-0.65</w:t>
            </w:r>
          </w:p>
        </w:tc>
        <w:tc>
          <w:tcPr>
            <w:tcW w:w="980"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-0.842</w:t>
            </w:r>
          </w:p>
        </w:tc>
        <w:tc>
          <w:tcPr>
            <w:tcW w:w="800"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b/>
                <w:bCs/>
                <w:color w:val="000000"/>
                <w:sz w:val="20"/>
                <w:szCs w:val="20"/>
              </w:rPr>
            </w:pPr>
            <w:r w:rsidRPr="007B268B">
              <w:rPr>
                <w:rFonts w:ascii="Times New Roman" w:eastAsia="Times New Roman" w:hAnsi="Times New Roman" w:cs="Times New Roman"/>
                <w:b/>
                <w:bCs/>
                <w:color w:val="000000"/>
                <w:sz w:val="20"/>
                <w:szCs w:val="20"/>
              </w:rPr>
              <w:t>-3.16</w:t>
            </w:r>
          </w:p>
        </w:tc>
        <w:tc>
          <w:tcPr>
            <w:tcW w:w="960" w:type="dxa"/>
            <w:tcBorders>
              <w:top w:val="nil"/>
              <w:left w:val="nil"/>
              <w:bottom w:val="single" w:sz="4" w:space="0" w:color="auto"/>
              <w:right w:val="nil"/>
            </w:tcBorders>
            <w:shd w:val="clear" w:color="auto" w:fill="auto"/>
            <w:noWrap/>
            <w:vAlign w:val="center"/>
            <w:hideMark/>
          </w:tcPr>
          <w:p w:rsidR="005A06CB" w:rsidRPr="007B268B" w:rsidRDefault="005A06CB" w:rsidP="00D0485F">
            <w:pPr>
              <w:spacing w:after="0" w:line="240" w:lineRule="auto"/>
              <w:jc w:val="center"/>
              <w:rPr>
                <w:rFonts w:ascii="Times New Roman" w:eastAsia="Times New Roman" w:hAnsi="Times New Roman" w:cs="Times New Roman"/>
                <w:color w:val="000000"/>
                <w:sz w:val="20"/>
                <w:szCs w:val="20"/>
              </w:rPr>
            </w:pPr>
            <w:r w:rsidRPr="007B268B">
              <w:rPr>
                <w:rFonts w:ascii="Times New Roman" w:eastAsia="Times New Roman" w:hAnsi="Times New Roman" w:cs="Times New Roman"/>
                <w:color w:val="000000"/>
                <w:sz w:val="20"/>
                <w:szCs w:val="20"/>
              </w:rPr>
              <w:t>0.048</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and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sidRPr="00336849">
        <w:rPr>
          <w:rFonts w:ascii="Times New Roman" w:hAnsi="Times New Roman" w:cs="Times New Roman"/>
          <w:sz w:val="18"/>
          <w:szCs w:val="18"/>
        </w:rPr>
        <w:t xml:space="preserve">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Z</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Default="007D230C"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nominal </w:t>
      </w:r>
      <w:r w:rsidR="005A06CB" w:rsidRPr="001221C6">
        <w:rPr>
          <w:rFonts w:ascii="Times New Roman" w:hAnsi="Times New Roman" w:cs="Times New Roman"/>
          <w:sz w:val="18"/>
          <w:szCs w:val="18"/>
        </w:rPr>
        <w:t xml:space="preserve">bond </w:t>
      </w:r>
      <w:r>
        <w:rPr>
          <w:rFonts w:ascii="Times New Roman" w:hAnsi="Times New Roman" w:cs="Times New Roman"/>
          <w:sz w:val="18"/>
          <w:szCs w:val="18"/>
        </w:rPr>
        <w:t xml:space="preserve">excess </w:t>
      </w:r>
      <w:r w:rsidR="005A06CB" w:rsidRPr="001221C6">
        <w:rPr>
          <w:rFonts w:ascii="Times New Roman" w:hAnsi="Times New Roman" w:cs="Times New Roman"/>
          <w:sz w:val="18"/>
          <w:szCs w:val="18"/>
        </w:rPr>
        <w:t>returns at the monthly</w:t>
      </w:r>
      <w:r w:rsidR="005A06CB">
        <w:rPr>
          <w:rFonts w:ascii="Times New Roman" w:hAnsi="Times New Roman" w:cs="Times New Roman"/>
          <w:sz w:val="18"/>
          <w:szCs w:val="18"/>
        </w:rPr>
        <w:t xml:space="preserve"> frequency, while</w:t>
      </w:r>
      <w:r w:rsidR="005A06CB" w:rsidRPr="001221C6">
        <w:rPr>
          <w:rFonts w:ascii="Times New Roman" w:hAnsi="Times New Roman" w:cs="Times New Roman"/>
          <w:sz w:val="18"/>
          <w:szCs w:val="18"/>
        </w:rPr>
        <w:t xml:space="preserve"> X is the</w:t>
      </w:r>
      <w:r w:rsidR="005A06CB">
        <w:rPr>
          <w:rFonts w:ascii="Times New Roman" w:hAnsi="Times New Roman" w:cs="Times New Roman"/>
          <w:sz w:val="18"/>
          <w:szCs w:val="18"/>
        </w:rPr>
        <w:t xml:space="preserve"> contemporaneous </w:t>
      </w:r>
      <w:r w:rsidR="005A06CB" w:rsidRPr="001221C6">
        <w:rPr>
          <w:rFonts w:ascii="Times New Roman" w:hAnsi="Times New Roman" w:cs="Times New Roman"/>
          <w:sz w:val="18"/>
          <w:szCs w:val="18"/>
        </w:rPr>
        <w:t xml:space="preserve">inflation </w:t>
      </w:r>
      <w:r w:rsidR="005A06CB">
        <w:rPr>
          <w:rFonts w:ascii="Times New Roman" w:hAnsi="Times New Roman" w:cs="Times New Roman"/>
          <w:sz w:val="18"/>
          <w:szCs w:val="18"/>
        </w:rPr>
        <w:t xml:space="preserve">rate (inflation rate recorded at time t) and Z is the lead inflation measure (inflation rate recorded at time t+1 is anticipated by investors at time t). </w:t>
      </w:r>
      <w:r w:rsidRPr="008E5EC0">
        <w:rPr>
          <w:rFonts w:ascii="Times New Roman" w:hAnsi="Times New Roman" w:cs="Times New Roman"/>
          <w:sz w:val="18"/>
          <w:szCs w:val="18"/>
        </w:rPr>
        <w:t>The Developed portfolio is</w:t>
      </w:r>
      <w:r>
        <w:rPr>
          <w:rFonts w:ascii="Times New Roman" w:hAnsi="Times New Roman" w:cs="Times New Roman"/>
          <w:sz w:val="18"/>
          <w:szCs w:val="18"/>
        </w:rPr>
        <w:t xml:space="preserve"> based on equally-weighting the five countries as</w:t>
      </w:r>
      <w:r w:rsidR="005A06CB">
        <w:rPr>
          <w:rFonts w:ascii="Times New Roman" w:hAnsi="Times New Roman" w:cs="Times New Roman"/>
          <w:sz w:val="18"/>
          <w:szCs w:val="18"/>
        </w:rPr>
        <w:t xml:space="preserve"> Australia only has inflation data available at a quarterly frequency. </w:t>
      </w:r>
      <w:r>
        <w:rPr>
          <w:rFonts w:ascii="Times New Roman" w:hAnsi="Times New Roman" w:cs="Times New Roman"/>
          <w:sz w:val="18"/>
          <w:szCs w:val="18"/>
        </w:rPr>
        <w:t xml:space="preserve">The analysis is conducted on the samples of nominal bond excess returns depicted in Table 3.1. </w:t>
      </w:r>
      <w:r w:rsidR="005A06CB" w:rsidRPr="001221C6">
        <w:rPr>
          <w:rFonts w:ascii="Times New Roman" w:hAnsi="Times New Roman" w:cs="Times New Roman"/>
          <w:sz w:val="18"/>
          <w:szCs w:val="18"/>
        </w:rPr>
        <w:t xml:space="preserve">The numbers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in </w:t>
      </w:r>
      <w:r w:rsidR="005A06CB" w:rsidRPr="00E7620F">
        <w:rPr>
          <w:rFonts w:ascii="Times New Roman" w:eastAsia="Times New Roman" w:hAnsi="Times New Roman" w:cs="Times New Roman"/>
          <w:color w:val="4F81BD"/>
          <w:sz w:val="18"/>
          <w:szCs w:val="18"/>
        </w:rPr>
        <w:t>Blue</w:t>
      </w:r>
      <w:r w:rsidR="005A06CB" w:rsidRPr="001221C6">
        <w:rPr>
          <w:rFonts w:ascii="Times New Roman" w:hAnsi="Times New Roman" w:cs="Times New Roman"/>
          <w:sz w:val="18"/>
          <w:szCs w:val="18"/>
        </w:rPr>
        <w:t xml:space="preserve"> at 10% significance level.</w:t>
      </w:r>
    </w:p>
    <w:p w:rsidR="005A06CB" w:rsidRPr="001221C6" w:rsidRDefault="005A06CB" w:rsidP="005A06CB">
      <w:pPr>
        <w:pStyle w:val="NoSpacing"/>
        <w:jc w:val="both"/>
        <w:rPr>
          <w:rFonts w:ascii="Times New Roman" w:hAnsi="Times New Roman" w:cs="Times New Roman"/>
          <w:sz w:val="18"/>
          <w:szCs w:val="18"/>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 xml:space="preserve">In order to reduce the noise in bond returns and inflation rates and to capture the uncertain timing when nominal bond prices incorporate inflation rate, the analysis at a lower frequency (quarterly data) is considered. The use of quarterly data also facilitates the inclusion of results for Australia as inflation data are published on a quarterly basis. Australia is important for our analysis as it is situated in the Southern Hemisphere and it is considered a robustness check for SAD hypothesis as the reverse seasons should result into a different sign of the SAD variable. </w:t>
      </w:r>
      <w:r w:rsidR="004A6411" w:rsidRPr="004A6411">
        <w:rPr>
          <w:rFonts w:ascii="Times New Roman" w:hAnsi="Times New Roman" w:cs="Times New Roman"/>
        </w:rPr>
        <w:t>Similar</w:t>
      </w:r>
      <w:r w:rsidR="004A6411">
        <w:rPr>
          <w:rFonts w:ascii="Times New Roman" w:hAnsi="Times New Roman" w:cs="Times New Roman"/>
        </w:rPr>
        <w:t xml:space="preserve">ly, </w:t>
      </w:r>
      <w:r w:rsidR="00A64243">
        <w:rPr>
          <w:rFonts w:ascii="Times New Roman" w:hAnsi="Times New Roman" w:cs="Times New Roman"/>
        </w:rPr>
        <w:t xml:space="preserve">in his analysis </w:t>
      </w:r>
      <w:r w:rsidR="004A6411">
        <w:rPr>
          <w:rFonts w:ascii="Times New Roman" w:hAnsi="Times New Roman" w:cs="Times New Roman"/>
        </w:rPr>
        <w:t>Ogd</w:t>
      </w:r>
      <w:r w:rsidR="004A6411" w:rsidRPr="004A6411">
        <w:rPr>
          <w:rFonts w:ascii="Times New Roman" w:hAnsi="Times New Roman" w:cs="Times New Roman"/>
        </w:rPr>
        <w:t xml:space="preserve">en (2003) </w:t>
      </w:r>
      <w:r w:rsidR="004A6411">
        <w:rPr>
          <w:rFonts w:ascii="Times New Roman" w:hAnsi="Times New Roman" w:cs="Times New Roman"/>
        </w:rPr>
        <w:t xml:space="preserve">also </w:t>
      </w:r>
      <w:r w:rsidR="004A6411" w:rsidRPr="004A6411">
        <w:rPr>
          <w:rFonts w:ascii="Times New Roman" w:hAnsi="Times New Roman" w:cs="Times New Roman"/>
        </w:rPr>
        <w:t>considers lower frequency data (quarterly, semi-annual, annual).</w:t>
      </w:r>
    </w:p>
    <w:p w:rsidR="005A06CB" w:rsidRDefault="005A06CB" w:rsidP="005A06CB">
      <w:pPr>
        <w:spacing w:line="360" w:lineRule="auto"/>
        <w:jc w:val="both"/>
        <w:rPr>
          <w:rFonts w:ascii="Times New Roman" w:hAnsi="Times New Roman" w:cs="Times New Roman"/>
        </w:rPr>
      </w:pPr>
      <w:r>
        <w:rPr>
          <w:rFonts w:ascii="Times New Roman" w:hAnsi="Times New Roman" w:cs="Times New Roman"/>
        </w:rPr>
        <w:tab/>
        <w:t xml:space="preserve">The results at the monthly frequency hint that inflation rate drives the seasonality of nominal bond excess returns. However, the inflation measure of a large and diversified economy such as </w:t>
      </w:r>
      <w:r w:rsidR="007D230C">
        <w:rPr>
          <w:rFonts w:ascii="Times New Roman" w:hAnsi="Times New Roman" w:cs="Times New Roman"/>
        </w:rPr>
        <w:t xml:space="preserve">the </w:t>
      </w:r>
      <w:r>
        <w:rPr>
          <w:rFonts w:ascii="Times New Roman" w:hAnsi="Times New Roman" w:cs="Times New Roman"/>
        </w:rPr>
        <w:t>United States seems to capture the seasonality better than the national inflation rates. The conclusion is confirmed by the regress</w:t>
      </w:r>
      <w:r w:rsidR="00702174">
        <w:rPr>
          <w:rFonts w:ascii="Times New Roman" w:hAnsi="Times New Roman" w:cs="Times New Roman"/>
        </w:rPr>
        <w:t>ion results displayed in Table A.6</w:t>
      </w:r>
      <w:r>
        <w:rPr>
          <w:rFonts w:ascii="Times New Roman" w:hAnsi="Times New Roman" w:cs="Times New Roman"/>
        </w:rPr>
        <w:t xml:space="preserve"> from the Appendix </w:t>
      </w:r>
      <w:r w:rsidR="00702174">
        <w:rPr>
          <w:rFonts w:ascii="Times New Roman" w:hAnsi="Times New Roman" w:cs="Times New Roman"/>
        </w:rPr>
        <w:t xml:space="preserve">A </w:t>
      </w:r>
      <w:r>
        <w:rPr>
          <w:rFonts w:ascii="Times New Roman" w:hAnsi="Times New Roman" w:cs="Times New Roman"/>
        </w:rPr>
        <w:t>when including US inflation rate as a control variable in the regression of nominal bond excess returns on H1 H2 dummy. The coefficient of H1 H2 dummy becomes insignificant, U</w:t>
      </w:r>
      <w:r w:rsidR="009551F2">
        <w:rPr>
          <w:rFonts w:ascii="Times New Roman" w:hAnsi="Times New Roman" w:cs="Times New Roman"/>
        </w:rPr>
        <w:t>.</w:t>
      </w:r>
      <w:r>
        <w:rPr>
          <w:rFonts w:ascii="Times New Roman" w:hAnsi="Times New Roman" w:cs="Times New Roman"/>
        </w:rPr>
        <w:t>S</w:t>
      </w:r>
      <w:r w:rsidR="009551F2">
        <w:rPr>
          <w:rFonts w:ascii="Times New Roman" w:hAnsi="Times New Roman" w:cs="Times New Roman"/>
        </w:rPr>
        <w:t>.</w:t>
      </w:r>
      <w:r>
        <w:rPr>
          <w:rFonts w:ascii="Times New Roman" w:hAnsi="Times New Roman" w:cs="Times New Roman"/>
        </w:rPr>
        <w:t xml:space="preserve"> inflation rate explaining the dynamics of </w:t>
      </w:r>
      <w:r>
        <w:rPr>
          <w:rFonts w:ascii="Times New Roman" w:hAnsi="Times New Roman" w:cs="Times New Roman"/>
        </w:rPr>
        <w:lastRenderedPageBreak/>
        <w:t>nominal bond excess returns. This confirms that inflation takes out the seasonal pattern of nominal bond returns.</w:t>
      </w:r>
    </w:p>
    <w:p w:rsidR="005A06CB" w:rsidRDefault="005A06CB" w:rsidP="005A06CB">
      <w:pPr>
        <w:ind w:left="360"/>
        <w:rPr>
          <w:rFonts w:ascii="Times New Roman" w:hAnsi="Times New Roman" w:cs="Times New Roman"/>
        </w:rPr>
      </w:pPr>
    </w:p>
    <w:p w:rsidR="005A06CB" w:rsidRDefault="005A06CB" w:rsidP="005A06CB">
      <w:pPr>
        <w:pStyle w:val="Heading3"/>
      </w:pPr>
      <w:bookmarkStart w:id="47" w:name="_Toc396762714"/>
      <w:r>
        <w:t>4.2.2.2 Quarterly analysis</w:t>
      </w:r>
      <w:bookmarkEnd w:id="47"/>
    </w:p>
    <w:p w:rsidR="005A06CB" w:rsidRDefault="005A06CB" w:rsidP="005A06CB">
      <w:pPr>
        <w:ind w:left="360"/>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 xml:space="preserve">An inspection of the graphs of the quarterly average of bond returns and inflation rate </w:t>
      </w:r>
      <w:r w:rsidR="009551F2">
        <w:rPr>
          <w:rFonts w:ascii="Times New Roman" w:hAnsi="Times New Roman" w:cs="Times New Roman"/>
        </w:rPr>
        <w:t xml:space="preserve">from  Figure 4.3 </w:t>
      </w:r>
      <w:r>
        <w:rPr>
          <w:rFonts w:ascii="Times New Roman" w:hAnsi="Times New Roman" w:cs="Times New Roman"/>
        </w:rPr>
        <w:t xml:space="preserve">confirm the findings from the monthly frequency. A complementary pattern exists in case of bond returns and inflation rate. The first two quarters are characterized by poorer performance of fixed-income instruments (null or negative returns) and higher inflation rates compared to the last two. Japan is the exception in case of bond returns and Australia for inflation rate.  </w:t>
      </w:r>
    </w:p>
    <w:p w:rsidR="005A06CB" w:rsidRDefault="005A06CB" w:rsidP="005A06CB">
      <w:pPr>
        <w:spacing w:after="0" w:line="360" w:lineRule="auto"/>
        <w:jc w:val="both"/>
        <w:rPr>
          <w:rFonts w:ascii="Times New Roman" w:hAnsi="Times New Roman" w:cs="Times New Roman"/>
        </w:rPr>
      </w:pPr>
    </w:p>
    <w:p w:rsidR="00BC7F37" w:rsidRDefault="00BC7F37" w:rsidP="005A06CB">
      <w:pPr>
        <w:spacing w:after="0" w:line="360" w:lineRule="auto"/>
        <w:jc w:val="both"/>
        <w:rPr>
          <w:rFonts w:ascii="Times New Roman" w:hAnsi="Times New Roman" w:cs="Times New Roman"/>
        </w:rPr>
      </w:pPr>
    </w:p>
    <w:p w:rsidR="00BC7F37" w:rsidRDefault="00BC7F37" w:rsidP="005A06CB">
      <w:pPr>
        <w:spacing w:after="0" w:line="360" w:lineRule="auto"/>
        <w:jc w:val="both"/>
        <w:rPr>
          <w:rFonts w:ascii="Times New Roman" w:hAnsi="Times New Roman" w:cs="Times New Roman"/>
        </w:rPr>
      </w:pPr>
    </w:p>
    <w:p w:rsidR="005A06CB" w:rsidRPr="008434EA" w:rsidRDefault="005A06CB" w:rsidP="005A06CB">
      <w:pPr>
        <w:pStyle w:val="NoSpacing"/>
        <w:jc w:val="center"/>
        <w:rPr>
          <w:rFonts w:ascii="Times New Roman" w:hAnsi="Times New Roman" w:cs="Times New Roman"/>
        </w:rPr>
      </w:pPr>
      <w:r w:rsidRPr="008434EA">
        <w:rPr>
          <w:rFonts w:ascii="Times New Roman" w:hAnsi="Times New Roman" w:cs="Times New Roman"/>
        </w:rPr>
        <w:t xml:space="preserve">Figure </w:t>
      </w:r>
      <w:r w:rsidR="00702174">
        <w:rPr>
          <w:rFonts w:ascii="Times New Roman" w:hAnsi="Times New Roman" w:cs="Times New Roman"/>
        </w:rPr>
        <w:t>4.</w:t>
      </w:r>
      <w:r w:rsidRPr="008434EA">
        <w:rPr>
          <w:rFonts w:ascii="Times New Roman" w:hAnsi="Times New Roman" w:cs="Times New Roman"/>
        </w:rPr>
        <w:t>3: Quarterly Average of Nominal Bond Returns (left panel) and Inflation Rate (right panel)</w:t>
      </w:r>
    </w:p>
    <w:p w:rsidR="005A06CB" w:rsidRDefault="005A06CB" w:rsidP="005A06CB">
      <w:pPr>
        <w:spacing w:after="0" w:line="360" w:lineRule="auto"/>
        <w:jc w:val="both"/>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sidRPr="00A50E37">
        <w:rPr>
          <w:rFonts w:ascii="Times New Roman" w:hAnsi="Times New Roman" w:cs="Times New Roman"/>
          <w:noProof/>
        </w:rPr>
        <w:drawing>
          <wp:inline distT="0" distB="0" distL="0" distR="0">
            <wp:extent cx="2457449" cy="1638300"/>
            <wp:effectExtent l="0" t="0" r="0" b="0"/>
            <wp:docPr id="63" name="Chart 6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0" name="Chart 70"/>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5A06CB" w:rsidRDefault="005A06CB" w:rsidP="005A06CB">
      <w:pPr>
        <w:spacing w:after="0" w:line="360" w:lineRule="auto"/>
        <w:jc w:val="both"/>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 xml:space="preserve">  </w:t>
      </w:r>
      <w:r w:rsidRPr="00A50E37">
        <w:rPr>
          <w:rFonts w:ascii="Times New Roman" w:hAnsi="Times New Roman" w:cs="Times New Roman"/>
          <w:noProof/>
        </w:rPr>
        <w:drawing>
          <wp:inline distT="0" distB="0" distL="0" distR="0">
            <wp:extent cx="2457449" cy="1638300"/>
            <wp:effectExtent l="0" t="0" r="0" b="0"/>
            <wp:docPr id="64" name="Chart 64"/>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1" name="Chart 71"/>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5A06CB" w:rsidRDefault="005A06CB" w:rsidP="005A06CB">
      <w:pPr>
        <w:spacing w:after="0" w:line="360" w:lineRule="auto"/>
        <w:jc w:val="both"/>
        <w:rPr>
          <w:rFonts w:ascii="Times New Roman" w:hAnsi="Times New Roman" w:cs="Times New Roman"/>
        </w:rPr>
      </w:pPr>
      <w:r w:rsidRPr="00302479">
        <w:rPr>
          <w:rFonts w:ascii="Times New Roman" w:hAnsi="Times New Roman" w:cs="Times New Roman"/>
          <w:noProof/>
        </w:rPr>
        <w:lastRenderedPageBreak/>
        <w:drawing>
          <wp:inline distT="0" distB="0" distL="0" distR="0">
            <wp:extent cx="2457449" cy="1638300"/>
            <wp:effectExtent l="0" t="0" r="0" b="0"/>
            <wp:docPr id="66" name="Chart 66"/>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2" name="Chart 72"/>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5A06CB" w:rsidRDefault="005A06CB" w:rsidP="005A06CB">
      <w:pPr>
        <w:spacing w:after="0" w:line="360" w:lineRule="auto"/>
        <w:jc w:val="both"/>
        <w:rPr>
          <w:rFonts w:ascii="Times New Roman" w:hAnsi="Times New Roman" w:cs="Times New Roman"/>
        </w:rPr>
      </w:pPr>
      <w:r w:rsidRPr="00302479">
        <w:rPr>
          <w:rFonts w:ascii="Times New Roman" w:hAnsi="Times New Roman" w:cs="Times New Roman"/>
          <w:noProof/>
        </w:rPr>
        <w:drawing>
          <wp:inline distT="0" distB="0" distL="0" distR="0">
            <wp:extent cx="2457449" cy="1638300"/>
            <wp:effectExtent l="0" t="0" r="0" b="0"/>
            <wp:docPr id="69" name="Chart 69"/>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3" name="Chart 73"/>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A06CB" w:rsidRDefault="005A06CB" w:rsidP="005A06CB">
      <w:pPr>
        <w:spacing w:after="0" w:line="360" w:lineRule="auto"/>
        <w:jc w:val="both"/>
        <w:rPr>
          <w:rFonts w:ascii="Times New Roman" w:hAnsi="Times New Roman" w:cs="Times New Roman"/>
        </w:rPr>
      </w:pPr>
      <w:r w:rsidRPr="00302479">
        <w:rPr>
          <w:rFonts w:ascii="Times New Roman" w:hAnsi="Times New Roman" w:cs="Times New Roman"/>
          <w:noProof/>
        </w:rPr>
        <w:drawing>
          <wp:inline distT="0" distB="0" distL="0" distR="0">
            <wp:extent cx="2457449" cy="1638300"/>
            <wp:effectExtent l="0" t="0" r="0" b="0"/>
            <wp:docPr id="67" name="Chart 67"/>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4" name="Chart 74"/>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5A06CB" w:rsidRDefault="005A06CB" w:rsidP="005A06CB">
      <w:pPr>
        <w:spacing w:after="0" w:line="360" w:lineRule="auto"/>
        <w:jc w:val="both"/>
        <w:rPr>
          <w:rFonts w:ascii="Times New Roman" w:hAnsi="Times New Roman" w:cs="Times New Roman"/>
        </w:rPr>
      </w:pPr>
      <w:r w:rsidRPr="00302479">
        <w:rPr>
          <w:rFonts w:ascii="Times New Roman" w:hAnsi="Times New Roman" w:cs="Times New Roman"/>
          <w:noProof/>
        </w:rPr>
        <w:drawing>
          <wp:inline distT="0" distB="0" distL="0" distR="0">
            <wp:extent cx="2457449" cy="1638300"/>
            <wp:effectExtent l="0" t="0" r="0" b="0"/>
            <wp:docPr id="68" name="Chart 68"/>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5" name="Chart 75"/>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5A06CB" w:rsidRDefault="005A06CB" w:rsidP="005A06CB">
      <w:pPr>
        <w:spacing w:after="0" w:line="360" w:lineRule="auto"/>
        <w:jc w:val="both"/>
        <w:rPr>
          <w:rFonts w:ascii="Times New Roman" w:hAnsi="Times New Roman" w:cs="Times New Roman"/>
        </w:rPr>
      </w:pPr>
      <w:r w:rsidRPr="00ED42A7">
        <w:rPr>
          <w:rFonts w:ascii="Times New Roman" w:hAnsi="Times New Roman" w:cs="Times New Roman"/>
          <w:noProof/>
        </w:rPr>
        <w:lastRenderedPageBreak/>
        <w:drawing>
          <wp:inline distT="0" distB="0" distL="0" distR="0">
            <wp:extent cx="2228849" cy="1638300"/>
            <wp:effectExtent l="0" t="0" r="0" b="0"/>
            <wp:docPr id="76" name="Chart 76"/>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ED42A7">
        <w:rPr>
          <w:rFonts w:ascii="Times New Roman" w:hAnsi="Times New Roman" w:cs="Times New Roman"/>
          <w:noProof/>
        </w:rPr>
        <w:drawing>
          <wp:inline distT="0" distB="0" distL="0" distR="0">
            <wp:extent cx="2228849" cy="1638300"/>
            <wp:effectExtent l="0" t="0" r="0" b="0"/>
            <wp:docPr id="77" name="Chart 77"/>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rsidR="005A06CB" w:rsidRPr="00A44AC9" w:rsidRDefault="005A06CB" w:rsidP="005A06CB">
      <w:pPr>
        <w:pStyle w:val="NoSpacing"/>
        <w:jc w:val="both"/>
        <w:rPr>
          <w:rFonts w:ascii="Times New Roman" w:hAnsi="Times New Roman" w:cs="Times New Roman"/>
          <w:sz w:val="18"/>
          <w:szCs w:val="18"/>
        </w:rPr>
      </w:pPr>
      <w:r w:rsidRPr="00A50E37">
        <w:rPr>
          <w:noProof/>
          <w:lang w:val="en-GB" w:eastAsia="en-GB"/>
        </w:rPr>
        <w:t xml:space="preserve"> </w:t>
      </w:r>
      <w:r w:rsidRPr="00A44AC9">
        <w:rPr>
          <w:rFonts w:ascii="Times New Roman" w:hAnsi="Times New Roman" w:cs="Times New Roman"/>
          <w:i/>
          <w:sz w:val="18"/>
          <w:szCs w:val="18"/>
        </w:rPr>
        <w:t>Notes</w:t>
      </w:r>
      <w:r w:rsidRPr="00A44AC9">
        <w:rPr>
          <w:rFonts w:ascii="Times New Roman" w:hAnsi="Times New Roman" w:cs="Times New Roman"/>
          <w:sz w:val="18"/>
          <w:szCs w:val="18"/>
        </w:rPr>
        <w:t>: The graphs depict the average of</w:t>
      </w:r>
      <w:r>
        <w:rPr>
          <w:rFonts w:ascii="Times New Roman" w:hAnsi="Times New Roman" w:cs="Times New Roman"/>
          <w:sz w:val="18"/>
          <w:szCs w:val="18"/>
        </w:rPr>
        <w:t xml:space="preserve"> nominal bond excess returns and</w:t>
      </w:r>
      <w:r w:rsidRPr="00A44AC9">
        <w:rPr>
          <w:rFonts w:ascii="Times New Roman" w:hAnsi="Times New Roman" w:cs="Times New Roman"/>
          <w:sz w:val="18"/>
          <w:szCs w:val="18"/>
        </w:rPr>
        <w:t xml:space="preserve"> </w:t>
      </w:r>
      <w:r>
        <w:rPr>
          <w:rFonts w:ascii="Times New Roman" w:hAnsi="Times New Roman" w:cs="Times New Roman"/>
          <w:sz w:val="18"/>
          <w:szCs w:val="18"/>
        </w:rPr>
        <w:t>non-seasonally adjusted inflation rate for each quarter for the six considered countries and the Developed portfolio. The sample period for the two indicators is the same for comparison purposes (the same as in case of Nomi</w:t>
      </w:r>
      <w:r w:rsidR="00702174">
        <w:rPr>
          <w:rFonts w:ascii="Times New Roman" w:hAnsi="Times New Roman" w:cs="Times New Roman"/>
          <w:sz w:val="18"/>
          <w:szCs w:val="18"/>
        </w:rPr>
        <w:t>nal Bonds as depicted in Table 3.1</w:t>
      </w:r>
      <w:r>
        <w:rPr>
          <w:rFonts w:ascii="Times New Roman" w:hAnsi="Times New Roman" w:cs="Times New Roman"/>
          <w:sz w:val="18"/>
          <w:szCs w:val="18"/>
        </w:rPr>
        <w:t xml:space="preserve">). Details about the indices considered to measure inflation can be found in Table </w:t>
      </w:r>
      <w:r w:rsidR="009551F2">
        <w:rPr>
          <w:rFonts w:ascii="Times New Roman" w:hAnsi="Times New Roman" w:cs="Times New Roman"/>
          <w:sz w:val="18"/>
          <w:szCs w:val="18"/>
        </w:rPr>
        <w:t>A.1</w:t>
      </w:r>
      <w:r>
        <w:rPr>
          <w:rFonts w:ascii="Times New Roman" w:hAnsi="Times New Roman" w:cs="Times New Roman"/>
          <w:sz w:val="18"/>
          <w:szCs w:val="18"/>
        </w:rPr>
        <w:t xml:space="preserve"> from the Appendix</w:t>
      </w:r>
      <w:r w:rsidR="009551F2">
        <w:rPr>
          <w:rFonts w:ascii="Times New Roman" w:hAnsi="Times New Roman" w:cs="Times New Roman"/>
          <w:sz w:val="18"/>
          <w:szCs w:val="18"/>
        </w:rPr>
        <w:t xml:space="preserve"> A</w:t>
      </w:r>
      <w:r>
        <w:rPr>
          <w:rFonts w:ascii="Times New Roman" w:hAnsi="Times New Roman" w:cs="Times New Roman"/>
          <w:sz w:val="18"/>
          <w:szCs w:val="18"/>
        </w:rPr>
        <w:t xml:space="preserve">. </w:t>
      </w:r>
      <w:r w:rsidRPr="00A44AC9">
        <w:rPr>
          <w:rFonts w:ascii="Times New Roman" w:hAnsi="Times New Roman" w:cs="Times New Roman"/>
          <w:sz w:val="18"/>
          <w:szCs w:val="18"/>
        </w:rPr>
        <w:t xml:space="preserve">The </w:t>
      </w:r>
      <w:r w:rsidR="008E5EC0">
        <w:rPr>
          <w:rFonts w:ascii="Times New Roman" w:hAnsi="Times New Roman" w:cs="Times New Roman"/>
          <w:sz w:val="18"/>
          <w:szCs w:val="18"/>
        </w:rPr>
        <w:t>Developed</w:t>
      </w:r>
      <w:r w:rsidRPr="00A44AC9">
        <w:rPr>
          <w:rFonts w:ascii="Times New Roman" w:hAnsi="Times New Roman" w:cs="Times New Roman"/>
          <w:sz w:val="18"/>
          <w:szCs w:val="18"/>
        </w:rPr>
        <w:t xml:space="preserve"> portfolio is ba</w:t>
      </w:r>
      <w:r w:rsidR="009551F2">
        <w:rPr>
          <w:rFonts w:ascii="Times New Roman" w:hAnsi="Times New Roman" w:cs="Times New Roman"/>
          <w:sz w:val="18"/>
          <w:szCs w:val="18"/>
        </w:rPr>
        <w:t>sed on equally-</w:t>
      </w:r>
      <w:r>
        <w:rPr>
          <w:rFonts w:ascii="Times New Roman" w:hAnsi="Times New Roman" w:cs="Times New Roman"/>
          <w:sz w:val="18"/>
          <w:szCs w:val="18"/>
        </w:rPr>
        <w:t>weighting the six</w:t>
      </w:r>
      <w:r w:rsidRPr="00A44AC9">
        <w:rPr>
          <w:rFonts w:ascii="Times New Roman" w:hAnsi="Times New Roman" w:cs="Times New Roman"/>
          <w:sz w:val="18"/>
          <w:szCs w:val="18"/>
        </w:rPr>
        <w:t xml:space="preserve"> countries</w:t>
      </w:r>
      <w:r w:rsidR="009551F2">
        <w:rPr>
          <w:rFonts w:ascii="Times New Roman" w:hAnsi="Times New Roman" w:cs="Times New Roman"/>
          <w:sz w:val="18"/>
          <w:szCs w:val="18"/>
        </w:rPr>
        <w:t xml:space="preserve"> provided the data are</w:t>
      </w:r>
      <w:r>
        <w:rPr>
          <w:rFonts w:ascii="Times New Roman" w:hAnsi="Times New Roman" w:cs="Times New Roman"/>
          <w:sz w:val="18"/>
          <w:szCs w:val="18"/>
        </w:rPr>
        <w:t xml:space="preserve"> available.</w:t>
      </w:r>
      <w:r w:rsidRPr="00A44AC9">
        <w:rPr>
          <w:rFonts w:ascii="Times New Roman" w:hAnsi="Times New Roman" w:cs="Times New Roman"/>
          <w:sz w:val="18"/>
          <w:szCs w:val="18"/>
        </w:rPr>
        <w:t xml:space="preserve"> </w:t>
      </w:r>
    </w:p>
    <w:p w:rsidR="005A06CB" w:rsidRDefault="005A06CB" w:rsidP="005A06CB">
      <w:pPr>
        <w:spacing w:after="0" w:line="360" w:lineRule="auto"/>
        <w:jc w:val="both"/>
        <w:rPr>
          <w:rFonts w:ascii="Times New Roman" w:hAnsi="Times New Roman" w:cs="Times New Roman"/>
        </w:rPr>
      </w:pP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I conduct the dummy regression tests for the H1 H2 and SAD seasonal patterns. The re</w:t>
      </w:r>
      <w:r w:rsidR="00702174">
        <w:rPr>
          <w:rFonts w:ascii="Times New Roman" w:hAnsi="Times New Roman" w:cs="Times New Roman"/>
        </w:rPr>
        <w:t>sults are centralised in Table 4.11</w:t>
      </w:r>
      <w:r>
        <w:rPr>
          <w:rFonts w:ascii="Times New Roman" w:hAnsi="Times New Roman" w:cs="Times New Roman"/>
        </w:rPr>
        <w:t>. Both H1 H2 and SAD patterns are statistically significant for nominal bond excess returns and inflation rates at quarterly frequency and they are opposite. In line with the results from the monthly frequency</w:t>
      </w:r>
      <w:r w:rsidR="009551F2">
        <w:rPr>
          <w:rFonts w:ascii="Times New Roman" w:hAnsi="Times New Roman" w:cs="Times New Roman"/>
        </w:rPr>
        <w:t xml:space="preserve"> (from Table 4.2 and 4.5)</w:t>
      </w:r>
      <w:r>
        <w:rPr>
          <w:rFonts w:ascii="Times New Roman" w:hAnsi="Times New Roman" w:cs="Times New Roman"/>
        </w:rPr>
        <w:t xml:space="preserve">, Japan and Australia are the exceptions. Japanese nominal bond returns do not display the H1 H2 or the SAD effect. The same happens in case of Australian inflation rate. Moreover, the effects are stronger at quarterly frequency compared to those at monthly frequency. </w:t>
      </w:r>
    </w:p>
    <w:p w:rsidR="005A06CB" w:rsidRDefault="005A06CB" w:rsidP="005A06CB">
      <w:pPr>
        <w:pStyle w:val="NoSpacing"/>
        <w:spacing w:line="360" w:lineRule="auto"/>
        <w:ind w:firstLine="720"/>
        <w:jc w:val="both"/>
        <w:rPr>
          <w:rFonts w:ascii="Times New Roman" w:hAnsi="Times New Roman" w:cs="Times New Roman"/>
        </w:rPr>
      </w:pPr>
    </w:p>
    <w:p w:rsidR="00BC7F37" w:rsidRDefault="00BC7F37" w:rsidP="005A06CB">
      <w:pPr>
        <w:pStyle w:val="NoSpacing"/>
        <w:spacing w:line="360" w:lineRule="auto"/>
        <w:ind w:firstLine="720"/>
        <w:jc w:val="both"/>
        <w:rPr>
          <w:rFonts w:ascii="Times New Roman" w:hAnsi="Times New Roman" w:cs="Times New Roman"/>
        </w:rPr>
      </w:pPr>
    </w:p>
    <w:p w:rsidR="005A06CB" w:rsidRDefault="00702174" w:rsidP="005A06CB">
      <w:pPr>
        <w:spacing w:after="0" w:line="240" w:lineRule="auto"/>
        <w:jc w:val="center"/>
        <w:rPr>
          <w:rFonts w:ascii="Times New Roman" w:hAnsi="Times New Roman" w:cs="Times New Roman"/>
        </w:rPr>
      </w:pPr>
      <w:r>
        <w:rPr>
          <w:rFonts w:ascii="Times New Roman" w:hAnsi="Times New Roman" w:cs="Times New Roman"/>
        </w:rPr>
        <w:t>Table 4.11</w:t>
      </w:r>
      <w:r w:rsidR="005A06CB" w:rsidRPr="00C20A54">
        <w:rPr>
          <w:rFonts w:ascii="Times New Roman" w:hAnsi="Times New Roman" w:cs="Times New Roman"/>
        </w:rPr>
        <w:t>: Seasonality tests for Nomi</w:t>
      </w:r>
      <w:r w:rsidR="009551F2">
        <w:rPr>
          <w:rFonts w:ascii="Times New Roman" w:hAnsi="Times New Roman" w:cs="Times New Roman"/>
        </w:rPr>
        <w:t>nal Bond R</w:t>
      </w:r>
      <w:r w:rsidR="005A06CB" w:rsidRPr="00C20A54">
        <w:rPr>
          <w:rFonts w:ascii="Times New Roman" w:hAnsi="Times New Roman" w:cs="Times New Roman"/>
        </w:rPr>
        <w:t>eturns</w:t>
      </w:r>
      <w:r w:rsidR="005A06CB">
        <w:rPr>
          <w:rFonts w:ascii="Times New Roman" w:hAnsi="Times New Roman" w:cs="Times New Roman"/>
        </w:rPr>
        <w:t xml:space="preserve"> and Inflation Rate</w:t>
      </w:r>
    </w:p>
    <w:p w:rsidR="005A06CB" w:rsidRDefault="005A06CB" w:rsidP="005A06CB">
      <w:pPr>
        <w:spacing w:after="0" w:line="240" w:lineRule="auto"/>
        <w:jc w:val="center"/>
        <w:rPr>
          <w:rFonts w:ascii="Times New Roman" w:hAnsi="Times New Roman" w:cs="Times New Roman"/>
        </w:rPr>
      </w:pPr>
    </w:p>
    <w:tbl>
      <w:tblPr>
        <w:tblW w:w="6620" w:type="dxa"/>
        <w:jc w:val="center"/>
        <w:tblInd w:w="96" w:type="dxa"/>
        <w:tblLook w:val="04A0"/>
      </w:tblPr>
      <w:tblGrid>
        <w:gridCol w:w="1580"/>
        <w:gridCol w:w="1642"/>
        <w:gridCol w:w="1238"/>
        <w:gridCol w:w="1232"/>
        <w:gridCol w:w="928"/>
      </w:tblGrid>
      <w:tr w:rsidR="005A06CB" w:rsidRPr="00FE271B" w:rsidTr="00D0485F">
        <w:trPr>
          <w:trHeight w:val="255"/>
          <w:jc w:val="center"/>
        </w:trPr>
        <w:tc>
          <w:tcPr>
            <w:tcW w:w="1580" w:type="dxa"/>
            <w:vMerge w:val="restart"/>
            <w:tcBorders>
              <w:top w:val="single" w:sz="4" w:space="0" w:color="auto"/>
              <w:left w:val="nil"/>
              <w:bottom w:val="single" w:sz="4" w:space="0" w:color="000000"/>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Country</w:t>
            </w:r>
          </w:p>
        </w:tc>
        <w:tc>
          <w:tcPr>
            <w:tcW w:w="2880" w:type="dxa"/>
            <w:gridSpan w:val="2"/>
            <w:tcBorders>
              <w:top w:val="single" w:sz="4" w:space="0" w:color="auto"/>
              <w:left w:val="nil"/>
              <w:bottom w:val="nil"/>
              <w:right w:val="nil"/>
            </w:tcBorders>
            <w:shd w:val="clear" w:color="auto" w:fill="auto"/>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Nominal Bond Excess Returns</w:t>
            </w:r>
          </w:p>
        </w:tc>
        <w:tc>
          <w:tcPr>
            <w:tcW w:w="2160" w:type="dxa"/>
            <w:gridSpan w:val="2"/>
            <w:tcBorders>
              <w:top w:val="single" w:sz="4" w:space="0" w:color="auto"/>
              <w:left w:val="nil"/>
              <w:bottom w:val="nil"/>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FE271B">
              <w:rPr>
                <w:rFonts w:ascii="Times New Roman" w:eastAsia="Times New Roman" w:hAnsi="Times New Roman" w:cs="Times New Roman"/>
                <w:color w:val="291C00"/>
                <w:sz w:val="20"/>
                <w:szCs w:val="20"/>
                <w:lang w:val="en-GB" w:eastAsia="en-GB"/>
              </w:rPr>
              <w:t>Inflation Rate</w:t>
            </w:r>
          </w:p>
        </w:tc>
      </w:tr>
      <w:tr w:rsidR="005A06CB" w:rsidRPr="00FE271B" w:rsidTr="00D0485F">
        <w:trPr>
          <w:trHeight w:val="300"/>
          <w:jc w:val="center"/>
        </w:trPr>
        <w:tc>
          <w:tcPr>
            <w:tcW w:w="1580" w:type="dxa"/>
            <w:vMerge/>
            <w:tcBorders>
              <w:top w:val="single" w:sz="4" w:space="0" w:color="auto"/>
              <w:left w:val="nil"/>
              <w:bottom w:val="single" w:sz="4" w:space="0" w:color="000000"/>
              <w:right w:val="nil"/>
            </w:tcBorders>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1642"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H1 H2</w:t>
            </w:r>
          </w:p>
        </w:tc>
        <w:tc>
          <w:tcPr>
            <w:tcW w:w="1238"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SAD</w:t>
            </w:r>
          </w:p>
        </w:tc>
        <w:tc>
          <w:tcPr>
            <w:tcW w:w="1232"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H1 H2</w:t>
            </w:r>
          </w:p>
        </w:tc>
        <w:tc>
          <w:tcPr>
            <w:tcW w:w="928"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SAD</w:t>
            </w:r>
          </w:p>
        </w:tc>
      </w:tr>
      <w:tr w:rsidR="005A06CB" w:rsidRPr="00FE271B" w:rsidTr="00D0485F">
        <w:trPr>
          <w:trHeight w:val="300"/>
          <w:jc w:val="center"/>
        </w:trPr>
        <w:tc>
          <w:tcPr>
            <w:tcW w:w="3222" w:type="dxa"/>
            <w:gridSpan w:val="2"/>
            <w:tcBorders>
              <w:top w:val="single" w:sz="4" w:space="0" w:color="auto"/>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i/>
                <w:iCs/>
                <w:color w:val="000000"/>
                <w:sz w:val="20"/>
                <w:szCs w:val="20"/>
                <w:lang w:val="en-GB" w:eastAsia="en-GB"/>
              </w:rPr>
            </w:pPr>
            <w:r w:rsidRPr="00FE271B">
              <w:rPr>
                <w:rFonts w:ascii="Times New Roman" w:eastAsia="Times New Roman" w:hAnsi="Times New Roman" w:cs="Times New Roman"/>
                <w:i/>
                <w:iCs/>
                <w:color w:val="000000"/>
                <w:sz w:val="20"/>
                <w:szCs w:val="20"/>
                <w:lang w:val="en-GB" w:eastAsia="en-GB"/>
              </w:rPr>
              <w:t>Quarterly frequency</w:t>
            </w:r>
          </w:p>
        </w:tc>
        <w:tc>
          <w:tcPr>
            <w:tcW w:w="1238"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 </w:t>
            </w:r>
          </w:p>
        </w:tc>
        <w:tc>
          <w:tcPr>
            <w:tcW w:w="1232"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 </w:t>
            </w:r>
          </w:p>
        </w:tc>
        <w:tc>
          <w:tcPr>
            <w:tcW w:w="928"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jc w:val="center"/>
              <w:rPr>
                <w:rFonts w:ascii="Times New Roman" w:eastAsia="Times New Roman" w:hAnsi="Times New Roman" w:cs="Times New Roman"/>
                <w:color w:val="291C00"/>
                <w:lang w:val="en-GB" w:eastAsia="en-GB"/>
              </w:rPr>
            </w:pPr>
            <w:r w:rsidRPr="00FE271B">
              <w:rPr>
                <w:rFonts w:ascii="Times New Roman" w:eastAsia="Times New Roman" w:hAnsi="Times New Roman" w:cs="Times New Roman"/>
                <w:color w:val="291C00"/>
                <w:lang w:val="en-GB" w:eastAsia="en-GB"/>
              </w:rPr>
              <w:t> </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Australia</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FE271B">
              <w:rPr>
                <w:rFonts w:ascii="Times New Roman" w:eastAsia="Times New Roman" w:hAnsi="Times New Roman" w:cs="Times New Roman"/>
                <w:color w:val="4F81BD"/>
                <w:sz w:val="20"/>
                <w:szCs w:val="20"/>
                <w:lang w:eastAsia="en-GB"/>
              </w:rPr>
              <w:t>1.88</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2.32</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eastAsia="en-GB"/>
              </w:rPr>
              <w:t>1.12</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eastAsia="en-GB"/>
              </w:rPr>
              <w:t>1.36</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Canada</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2.45</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2.53</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-5.93</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-6.41</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Germany</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2.94</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2.78</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-2.83</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-3.5</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 xml:space="preserve">Japan </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eastAsia="en-GB"/>
              </w:rPr>
              <w:t>1.62</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eastAsia="en-GB"/>
              </w:rPr>
              <w:t>1.06</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-3.6</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FE271B">
              <w:rPr>
                <w:rFonts w:ascii="Times New Roman" w:eastAsia="Times New Roman" w:hAnsi="Times New Roman" w:cs="Times New Roman"/>
                <w:color w:val="4F81BD"/>
                <w:sz w:val="20"/>
                <w:szCs w:val="20"/>
                <w:lang w:eastAsia="en-GB"/>
              </w:rPr>
              <w:t>-1.9</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United Kingdom</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2.26</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FE271B">
              <w:rPr>
                <w:rFonts w:ascii="Times New Roman" w:eastAsia="Times New Roman" w:hAnsi="Times New Roman" w:cs="Times New Roman"/>
                <w:color w:val="4F81BD"/>
                <w:sz w:val="20"/>
                <w:szCs w:val="20"/>
                <w:lang w:eastAsia="en-GB"/>
              </w:rPr>
              <w:t>1.72</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-4.46</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-3.24</w:t>
            </w:r>
          </w:p>
        </w:tc>
      </w:tr>
      <w:tr w:rsidR="005A06CB" w:rsidRPr="00FE271B" w:rsidTr="00D0485F">
        <w:trPr>
          <w:trHeight w:val="255"/>
          <w:jc w:val="center"/>
        </w:trPr>
        <w:tc>
          <w:tcPr>
            <w:tcW w:w="1580" w:type="dxa"/>
            <w:tcBorders>
              <w:top w:val="nil"/>
              <w:left w:val="nil"/>
              <w:bottom w:val="nil"/>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United States</w:t>
            </w:r>
          </w:p>
        </w:tc>
        <w:tc>
          <w:tcPr>
            <w:tcW w:w="164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2.03</w:t>
            </w:r>
          </w:p>
        </w:tc>
        <w:tc>
          <w:tcPr>
            <w:tcW w:w="123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2.59</w:t>
            </w:r>
          </w:p>
        </w:tc>
        <w:tc>
          <w:tcPr>
            <w:tcW w:w="1232"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-4.92</w:t>
            </w:r>
          </w:p>
        </w:tc>
        <w:tc>
          <w:tcPr>
            <w:tcW w:w="928" w:type="dxa"/>
            <w:tcBorders>
              <w:top w:val="nil"/>
              <w:left w:val="nil"/>
              <w:bottom w:val="nil"/>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-4.87</w:t>
            </w:r>
          </w:p>
        </w:tc>
      </w:tr>
      <w:tr w:rsidR="005A06CB" w:rsidRPr="00FE271B" w:rsidTr="00D0485F">
        <w:trPr>
          <w:trHeight w:val="255"/>
          <w:jc w:val="center"/>
        </w:trPr>
        <w:tc>
          <w:tcPr>
            <w:tcW w:w="1580" w:type="dxa"/>
            <w:tcBorders>
              <w:top w:val="nil"/>
              <w:left w:val="nil"/>
              <w:bottom w:val="single" w:sz="4" w:space="0" w:color="auto"/>
              <w:right w:val="nil"/>
            </w:tcBorders>
            <w:shd w:val="clear" w:color="auto" w:fill="auto"/>
            <w:noWrap/>
            <w:vAlign w:val="center"/>
            <w:hideMark/>
          </w:tcPr>
          <w:p w:rsidR="005A06CB" w:rsidRPr="00FE271B" w:rsidRDefault="005A06CB" w:rsidP="00D0485F">
            <w:pPr>
              <w:spacing w:after="0" w:line="240" w:lineRule="auto"/>
              <w:rPr>
                <w:rFonts w:ascii="Times New Roman" w:eastAsia="Times New Roman" w:hAnsi="Times New Roman" w:cs="Times New Roman"/>
                <w:color w:val="000000"/>
                <w:sz w:val="20"/>
                <w:szCs w:val="20"/>
                <w:lang w:val="en-GB" w:eastAsia="en-GB"/>
              </w:rPr>
            </w:pPr>
            <w:r w:rsidRPr="00FE271B">
              <w:rPr>
                <w:rFonts w:ascii="Times New Roman" w:eastAsia="Times New Roman" w:hAnsi="Times New Roman" w:cs="Times New Roman"/>
                <w:color w:val="000000"/>
                <w:sz w:val="20"/>
                <w:szCs w:val="20"/>
                <w:lang w:val="en-GB" w:eastAsia="en-GB"/>
              </w:rPr>
              <w:t>Developed (6)</w:t>
            </w:r>
          </w:p>
        </w:tc>
        <w:tc>
          <w:tcPr>
            <w:tcW w:w="1642" w:type="dxa"/>
            <w:tcBorders>
              <w:top w:val="nil"/>
              <w:left w:val="nil"/>
              <w:bottom w:val="single" w:sz="4" w:space="0" w:color="auto"/>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2.66</w:t>
            </w:r>
          </w:p>
        </w:tc>
        <w:tc>
          <w:tcPr>
            <w:tcW w:w="1238" w:type="dxa"/>
            <w:tcBorders>
              <w:top w:val="nil"/>
              <w:left w:val="nil"/>
              <w:bottom w:val="single" w:sz="4" w:space="0" w:color="auto"/>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2.61</w:t>
            </w:r>
          </w:p>
        </w:tc>
        <w:tc>
          <w:tcPr>
            <w:tcW w:w="1232" w:type="dxa"/>
            <w:tcBorders>
              <w:top w:val="nil"/>
              <w:left w:val="nil"/>
              <w:bottom w:val="single" w:sz="4" w:space="0" w:color="auto"/>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-5.27</w:t>
            </w:r>
          </w:p>
        </w:tc>
        <w:tc>
          <w:tcPr>
            <w:tcW w:w="928" w:type="dxa"/>
            <w:tcBorders>
              <w:top w:val="nil"/>
              <w:left w:val="nil"/>
              <w:bottom w:val="single" w:sz="4" w:space="0" w:color="auto"/>
              <w:right w:val="nil"/>
            </w:tcBorders>
            <w:shd w:val="clear" w:color="auto" w:fill="auto"/>
            <w:noWrap/>
            <w:vAlign w:val="bottom"/>
            <w:hideMark/>
          </w:tcPr>
          <w:p w:rsidR="005A06CB" w:rsidRPr="00FE271B"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E271B">
              <w:rPr>
                <w:rFonts w:ascii="Times New Roman" w:eastAsia="Times New Roman" w:hAnsi="Times New Roman" w:cs="Times New Roman"/>
                <w:b/>
                <w:bCs/>
                <w:color w:val="000000"/>
                <w:sz w:val="20"/>
                <w:szCs w:val="20"/>
                <w:lang w:eastAsia="en-GB"/>
              </w:rPr>
              <w:t>-4.92</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D77F49"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are </w:t>
      </w:r>
      <w:r>
        <w:rPr>
          <w:rFonts w:ascii="Times New Roman" w:hAnsi="Times New Roman" w:cs="Times New Roman"/>
          <w:sz w:val="18"/>
          <w:szCs w:val="18"/>
        </w:rPr>
        <w:t>nominal bond excess returns at the quarterly</w:t>
      </w:r>
      <w:r w:rsidRPr="001221C6">
        <w:rPr>
          <w:rFonts w:ascii="Times New Roman" w:hAnsi="Times New Roman" w:cs="Times New Roman"/>
          <w:sz w:val="18"/>
          <w:szCs w:val="18"/>
        </w:rPr>
        <w:t xml:space="preserve"> frequency</w:t>
      </w:r>
      <w:r>
        <w:rPr>
          <w:rFonts w:ascii="Times New Roman" w:hAnsi="Times New Roman" w:cs="Times New Roman"/>
          <w:sz w:val="18"/>
          <w:szCs w:val="18"/>
        </w:rPr>
        <w:t xml:space="preserve"> (left panel) and non-seasonally adjusted inflation rates (right panel)</w:t>
      </w:r>
      <w:r w:rsidRPr="001221C6">
        <w:rPr>
          <w:rFonts w:ascii="Times New Roman" w:hAnsi="Times New Roman" w:cs="Times New Roman"/>
          <w:sz w:val="18"/>
          <w:szCs w:val="18"/>
        </w:rPr>
        <w:t xml:space="preserve">. X depends on the seasonal pattern tested. In case of H1 H2, X is a dummy that takes on the value of 1 for </w:t>
      </w:r>
      <w:r w:rsidR="005F30B1">
        <w:rPr>
          <w:rFonts w:ascii="Times New Roman" w:hAnsi="Times New Roman" w:cs="Times New Roman"/>
          <w:sz w:val="18"/>
          <w:szCs w:val="18"/>
        </w:rPr>
        <w:t xml:space="preserve">Q3 and Q4 and 0 </w:t>
      </w:r>
      <w:r w:rsidRPr="00D77F49">
        <w:rPr>
          <w:rFonts w:ascii="Times New Roman" w:hAnsi="Times New Roman" w:cs="Times New Roman"/>
          <w:sz w:val="18"/>
          <w:szCs w:val="18"/>
        </w:rPr>
        <w:t xml:space="preserve">otherwise. The SAD factor is built </w:t>
      </w:r>
      <w:r>
        <w:rPr>
          <w:rFonts w:ascii="Times New Roman" w:hAnsi="Times New Roman" w:cs="Times New Roman"/>
          <w:sz w:val="18"/>
          <w:szCs w:val="18"/>
        </w:rPr>
        <w:t xml:space="preserve">from the 12 monthly values from </w:t>
      </w:r>
      <w:r w:rsidRPr="00D77F49">
        <w:rPr>
          <w:rFonts w:ascii="Times New Roman" w:hAnsi="Times New Roman" w:cs="Times New Roman"/>
          <w:sz w:val="18"/>
          <w:szCs w:val="18"/>
        </w:rPr>
        <w:t>Kamstra, Kramer, and Levi (2014) paper as the three-month average corresponding to each quarter</w:t>
      </w:r>
      <w:r>
        <w:rPr>
          <w:rFonts w:ascii="Times New Roman" w:hAnsi="Times New Roman" w:cs="Times New Roman"/>
          <w:sz w:val="18"/>
          <w:szCs w:val="18"/>
        </w:rPr>
        <w:t>.</w:t>
      </w:r>
      <w:r w:rsidRPr="00D77F49">
        <w:rPr>
          <w:rFonts w:ascii="Times New Roman" w:hAnsi="Times New Roman" w:cs="Times New Roman"/>
          <w:sz w:val="18"/>
          <w:szCs w:val="18"/>
        </w:rPr>
        <w:t xml:space="preserve"> </w:t>
      </w:r>
      <w:r w:rsidR="00523B5F" w:rsidRPr="00523B5F">
        <w:rPr>
          <w:rFonts w:ascii="Times New Roman" w:hAnsi="Times New Roman" w:cs="Times New Roman"/>
          <w:sz w:val="18"/>
          <w:szCs w:val="18"/>
        </w:rPr>
        <w:t xml:space="preserve">The Developed portfolio is based on equally-weighting the </w:t>
      </w:r>
      <w:r w:rsidR="00523B5F">
        <w:rPr>
          <w:rFonts w:ascii="Times New Roman" w:hAnsi="Times New Roman" w:cs="Times New Roman"/>
          <w:sz w:val="18"/>
          <w:szCs w:val="18"/>
        </w:rPr>
        <w:t>six countries provided data are available</w:t>
      </w:r>
      <w:r w:rsidR="00523B5F" w:rsidRPr="00523B5F">
        <w:rPr>
          <w:rFonts w:ascii="Times New Roman" w:hAnsi="Times New Roman" w:cs="Times New Roman"/>
          <w:sz w:val="18"/>
          <w:szCs w:val="18"/>
        </w:rPr>
        <w:t>. The analysis</w:t>
      </w:r>
      <w:r w:rsidR="00523B5F">
        <w:rPr>
          <w:rFonts w:ascii="Times New Roman" w:hAnsi="Times New Roman" w:cs="Times New Roman"/>
          <w:sz w:val="18"/>
          <w:szCs w:val="18"/>
        </w:rPr>
        <w:t xml:space="preserve"> is conducted on quarterly data for the sa</w:t>
      </w:r>
      <w:r w:rsidR="00523B5F" w:rsidRPr="00523B5F">
        <w:rPr>
          <w:rFonts w:ascii="Times New Roman" w:hAnsi="Times New Roman" w:cs="Times New Roman"/>
          <w:sz w:val="18"/>
          <w:szCs w:val="18"/>
        </w:rPr>
        <w:t>mples of nominal bond excess</w:t>
      </w:r>
      <w:r w:rsidR="00523B5F">
        <w:rPr>
          <w:rFonts w:ascii="Times New Roman" w:hAnsi="Times New Roman" w:cs="Times New Roman"/>
          <w:sz w:val="18"/>
          <w:szCs w:val="18"/>
        </w:rPr>
        <w:t xml:space="preserve"> returns depicted in Table 3.1.</w:t>
      </w:r>
      <w:r w:rsidRPr="00D77F49">
        <w:rPr>
          <w:rFonts w:ascii="Times New Roman" w:hAnsi="Times New Roman" w:cs="Times New Roman"/>
          <w:sz w:val="18"/>
          <w:szCs w:val="18"/>
        </w:rPr>
        <w:t xml:space="preserve"> The numbers in </w:t>
      </w:r>
      <w:r w:rsidRPr="00D77F49">
        <w:rPr>
          <w:rFonts w:ascii="Times New Roman" w:hAnsi="Times New Roman" w:cs="Times New Roman"/>
          <w:b/>
          <w:sz w:val="18"/>
          <w:szCs w:val="18"/>
        </w:rPr>
        <w:t>Bold</w:t>
      </w:r>
      <w:r w:rsidRPr="00D77F49">
        <w:rPr>
          <w:rFonts w:ascii="Times New Roman" w:hAnsi="Times New Roman" w:cs="Times New Roman"/>
          <w:sz w:val="18"/>
          <w:szCs w:val="18"/>
        </w:rPr>
        <w:t xml:space="preserve"> show statistical significance at 5% significance level, while those in </w:t>
      </w:r>
      <w:r w:rsidRPr="00702174">
        <w:rPr>
          <w:rFonts w:ascii="Times New Roman" w:eastAsia="Times New Roman" w:hAnsi="Times New Roman" w:cs="Times New Roman"/>
          <w:color w:val="4F81BD"/>
          <w:sz w:val="18"/>
          <w:szCs w:val="18"/>
          <w:lang w:eastAsia="en-GB"/>
        </w:rPr>
        <w:t>Blue</w:t>
      </w:r>
      <w:r w:rsidRPr="00702174">
        <w:rPr>
          <w:rFonts w:ascii="Times New Roman" w:eastAsia="Times New Roman" w:hAnsi="Times New Roman" w:cs="Times New Roman"/>
          <w:color w:val="4F81BD"/>
          <w:sz w:val="20"/>
          <w:szCs w:val="20"/>
          <w:lang w:eastAsia="en-GB"/>
        </w:rPr>
        <w:t xml:space="preserve"> </w:t>
      </w:r>
      <w:r w:rsidRPr="00D77F49">
        <w:rPr>
          <w:rFonts w:ascii="Times New Roman" w:hAnsi="Times New Roman" w:cs="Times New Roman"/>
          <w:sz w:val="18"/>
          <w:szCs w:val="18"/>
        </w:rPr>
        <w:t>at 10% significance level.</w:t>
      </w:r>
    </w:p>
    <w:p w:rsidR="005A06CB" w:rsidRPr="00D77F49" w:rsidRDefault="005A06CB" w:rsidP="005A06CB">
      <w:pPr>
        <w:spacing w:after="0" w:line="240" w:lineRule="auto"/>
        <w:jc w:val="center"/>
        <w:rPr>
          <w:rFonts w:ascii="Times New Roman" w:hAnsi="Times New Roman" w:cs="Times New Roman"/>
          <w:sz w:val="18"/>
          <w:szCs w:val="18"/>
        </w:rPr>
      </w:pPr>
    </w:p>
    <w:p w:rsidR="005A06CB" w:rsidRDefault="005A06CB" w:rsidP="005A06CB">
      <w:pPr>
        <w:spacing w:after="0" w:line="240" w:lineRule="auto"/>
        <w:jc w:val="center"/>
        <w:rPr>
          <w:rFonts w:ascii="Times New Roman" w:hAnsi="Times New Roman" w:cs="Times New Roman"/>
          <w:sz w:val="24"/>
          <w:szCs w:val="24"/>
        </w:rPr>
      </w:pPr>
    </w:p>
    <w:p w:rsidR="005A06CB"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lastRenderedPageBreak/>
        <w:t xml:space="preserve">The SAD factor was </w:t>
      </w:r>
      <w:r w:rsidRPr="00D77F49">
        <w:rPr>
          <w:rFonts w:ascii="Times New Roman" w:hAnsi="Times New Roman" w:cs="Times New Roman"/>
        </w:rPr>
        <w:t>built from the 12 monthly values from Kamstra,</w:t>
      </w:r>
      <w:r>
        <w:rPr>
          <w:rFonts w:ascii="Times New Roman" w:hAnsi="Times New Roman" w:cs="Times New Roman"/>
        </w:rPr>
        <w:t xml:space="preserve"> Kramer, and Levi (2014) paper </w:t>
      </w:r>
      <w:r w:rsidRPr="00D77F49">
        <w:rPr>
          <w:rFonts w:ascii="Times New Roman" w:hAnsi="Times New Roman" w:cs="Times New Roman"/>
        </w:rPr>
        <w:t>as the three-month average corresponding to each quarter.</w:t>
      </w:r>
      <w:r>
        <w:rPr>
          <w:rFonts w:ascii="Times New Roman" w:hAnsi="Times New Roman" w:cs="Times New Roman"/>
        </w:rPr>
        <w:t xml:space="preserve"> Nominal </w:t>
      </w:r>
      <w:r w:rsidRPr="00E46621">
        <w:rPr>
          <w:rFonts w:ascii="Times New Roman" w:hAnsi="Times New Roman" w:cs="Times New Roman"/>
        </w:rPr>
        <w:t>bond returns and inflation</w:t>
      </w:r>
      <w:r>
        <w:rPr>
          <w:rFonts w:ascii="Times New Roman" w:hAnsi="Times New Roman" w:cs="Times New Roman"/>
        </w:rPr>
        <w:t xml:space="preserve"> rate</w:t>
      </w:r>
      <w:r w:rsidRPr="00E46621">
        <w:rPr>
          <w:rFonts w:ascii="Times New Roman" w:hAnsi="Times New Roman" w:cs="Times New Roman"/>
        </w:rPr>
        <w:t xml:space="preserve"> have opposite loadings on SAD.</w:t>
      </w:r>
      <w:r>
        <w:rPr>
          <w:rFonts w:ascii="Times New Roman" w:hAnsi="Times New Roman" w:cs="Times New Roman"/>
        </w:rPr>
        <w:t xml:space="preserve"> </w:t>
      </w:r>
      <w:r w:rsidRPr="00E46621">
        <w:rPr>
          <w:rFonts w:ascii="Times New Roman" w:hAnsi="Times New Roman" w:cs="Times New Roman"/>
        </w:rPr>
        <w:t>Interestingly, the SAD factor is statistically significant in case of Australia</w:t>
      </w:r>
      <w:r>
        <w:rPr>
          <w:rFonts w:ascii="Times New Roman" w:hAnsi="Times New Roman" w:cs="Times New Roman"/>
        </w:rPr>
        <w:t>n bond returns</w:t>
      </w:r>
      <w:r w:rsidRPr="00E46621">
        <w:rPr>
          <w:rFonts w:ascii="Times New Roman" w:hAnsi="Times New Roman" w:cs="Times New Roman"/>
        </w:rPr>
        <w:t xml:space="preserve"> at</w:t>
      </w:r>
      <w:r>
        <w:rPr>
          <w:rFonts w:ascii="Times New Roman" w:hAnsi="Times New Roman" w:cs="Times New Roman"/>
        </w:rPr>
        <w:t xml:space="preserve"> 5% level, but the sign of the coefficient is not in line with expectations. As Australia is located in the Southern Hemisphere, </w:t>
      </w:r>
      <w:r w:rsidRPr="00CC17DC">
        <w:rPr>
          <w:rFonts w:ascii="Times New Roman" w:hAnsi="Times New Roman" w:cs="Times New Roman"/>
        </w:rPr>
        <w:t xml:space="preserve">the seasons are opposite to those from Northern </w:t>
      </w:r>
      <w:r>
        <w:rPr>
          <w:rFonts w:ascii="Times New Roman" w:hAnsi="Times New Roman" w:cs="Times New Roman"/>
        </w:rPr>
        <w:t>Hemisphere and the change in</w:t>
      </w:r>
      <w:r w:rsidRPr="00CC17DC">
        <w:rPr>
          <w:rFonts w:ascii="Times New Roman" w:hAnsi="Times New Roman" w:cs="Times New Roman"/>
        </w:rPr>
        <w:t xml:space="preserve"> the number of hours of daylight</w:t>
      </w:r>
      <w:r>
        <w:rPr>
          <w:rFonts w:ascii="Times New Roman" w:hAnsi="Times New Roman" w:cs="Times New Roman"/>
        </w:rPr>
        <w:t xml:space="preserve"> is reversed. </w:t>
      </w:r>
      <w:r w:rsidRPr="00377BC9">
        <w:rPr>
          <w:rFonts w:ascii="Times New Roman" w:hAnsi="Times New Roman" w:cs="Times New Roman"/>
        </w:rPr>
        <w:t>The positive sign implies thus that the risk appetite of the investors deteriorates during the spring-summer of Southern Hemisphere</w:t>
      </w:r>
      <w:r>
        <w:rPr>
          <w:rFonts w:ascii="Times New Roman" w:hAnsi="Times New Roman" w:cs="Times New Roman"/>
        </w:rPr>
        <w:t xml:space="preserve"> (September-January)</w:t>
      </w:r>
      <w:r w:rsidR="00523B5F">
        <w:rPr>
          <w:rFonts w:ascii="Times New Roman" w:hAnsi="Times New Roman" w:cs="Times New Roman"/>
        </w:rPr>
        <w:t>, which comes against the intuition.</w:t>
      </w:r>
    </w:p>
    <w:p w:rsidR="005A06CB" w:rsidRDefault="005A06CB" w:rsidP="005A06CB">
      <w:pPr>
        <w:pStyle w:val="NoSpacing"/>
        <w:spacing w:line="360" w:lineRule="auto"/>
        <w:ind w:firstLine="720"/>
        <w:jc w:val="both"/>
        <w:rPr>
          <w:rFonts w:ascii="Times New Roman" w:hAnsi="Times New Roman" w:cs="Times New Roman"/>
          <w:sz w:val="24"/>
          <w:szCs w:val="24"/>
        </w:rPr>
      </w:pPr>
    </w:p>
    <w:p w:rsidR="005A06CB" w:rsidRDefault="005A06CB" w:rsidP="005A06CB">
      <w:pPr>
        <w:spacing w:line="360" w:lineRule="auto"/>
        <w:jc w:val="both"/>
        <w:rPr>
          <w:rFonts w:ascii="Times New Roman" w:hAnsi="Times New Roman" w:cs="Times New Roman"/>
        </w:rPr>
      </w:pPr>
      <w:r>
        <w:rPr>
          <w:rFonts w:ascii="Times New Roman" w:hAnsi="Times New Roman" w:cs="Times New Roman"/>
        </w:rPr>
        <w:tab/>
      </w:r>
      <w:r w:rsidR="009F021D">
        <w:rPr>
          <w:rFonts w:ascii="Times New Roman" w:hAnsi="Times New Roman" w:cs="Times New Roman"/>
        </w:rPr>
        <w:t>T</w:t>
      </w:r>
      <w:r w:rsidR="00523B5F">
        <w:rPr>
          <w:rFonts w:ascii="Times New Roman" w:hAnsi="Times New Roman" w:cs="Times New Roman"/>
        </w:rPr>
        <w:t xml:space="preserve">he results of </w:t>
      </w:r>
      <w:r w:rsidR="009F021D">
        <w:rPr>
          <w:rFonts w:ascii="Times New Roman" w:hAnsi="Times New Roman" w:cs="Times New Roman"/>
        </w:rPr>
        <w:t xml:space="preserve">the analysis which investigates the </w:t>
      </w:r>
      <w:r>
        <w:rPr>
          <w:rFonts w:ascii="Times New Roman" w:hAnsi="Times New Roman" w:cs="Times New Roman"/>
        </w:rPr>
        <w:t>relationship between nominal bond excess returns and inflation rate at a quarterly level</w:t>
      </w:r>
      <w:r w:rsidR="009F021D">
        <w:rPr>
          <w:rFonts w:ascii="Times New Roman" w:hAnsi="Times New Roman" w:cs="Times New Roman"/>
        </w:rPr>
        <w:t xml:space="preserve"> (from Table 4.12) are</w:t>
      </w:r>
      <w:r>
        <w:rPr>
          <w:rFonts w:ascii="Times New Roman" w:hAnsi="Times New Roman" w:cs="Times New Roman"/>
        </w:rPr>
        <w:t xml:space="preserve"> also stronger than at monthly frequency. Accordingly, there is </w:t>
      </w:r>
      <w:r w:rsidR="00523B5F">
        <w:rPr>
          <w:rFonts w:ascii="Times New Roman" w:hAnsi="Times New Roman" w:cs="Times New Roman"/>
        </w:rPr>
        <w:t xml:space="preserve">a </w:t>
      </w:r>
      <w:r>
        <w:rPr>
          <w:rFonts w:ascii="Times New Roman" w:hAnsi="Times New Roman" w:cs="Times New Roman"/>
        </w:rPr>
        <w:t>clear improvement in t-statistic and R</w:t>
      </w:r>
      <w:r>
        <w:rPr>
          <w:rFonts w:ascii="Times New Roman" w:hAnsi="Times New Roman" w:cs="Times New Roman"/>
          <w:vertAlign w:val="superscript"/>
        </w:rPr>
        <w:t xml:space="preserve">2  </w:t>
      </w:r>
      <w:r w:rsidR="00523B5F">
        <w:rPr>
          <w:rFonts w:ascii="Times New Roman" w:hAnsi="Times New Roman" w:cs="Times New Roman"/>
        </w:rPr>
        <w:t xml:space="preserve">values </w:t>
      </w:r>
      <w:r>
        <w:rPr>
          <w:rFonts w:ascii="Times New Roman" w:hAnsi="Times New Roman" w:cs="Times New Roman"/>
        </w:rPr>
        <w:t xml:space="preserve">across all countries. In case of national inflation rate regressions, Japan and the United Kingdom gain statistical significance, while in case of Germany and </w:t>
      </w:r>
      <w:r w:rsidR="009F021D">
        <w:rPr>
          <w:rFonts w:ascii="Times New Roman" w:hAnsi="Times New Roman" w:cs="Times New Roman"/>
        </w:rPr>
        <w:t xml:space="preserve">the </w:t>
      </w:r>
      <w:r>
        <w:rPr>
          <w:rFonts w:ascii="Times New Roman" w:hAnsi="Times New Roman" w:cs="Times New Roman"/>
        </w:rPr>
        <w:t>United States, the R</w:t>
      </w:r>
      <w:r>
        <w:rPr>
          <w:rFonts w:ascii="Times New Roman" w:hAnsi="Times New Roman" w:cs="Times New Roman"/>
          <w:vertAlign w:val="superscript"/>
        </w:rPr>
        <w:t xml:space="preserve">2 </w:t>
      </w:r>
      <w:r>
        <w:rPr>
          <w:rFonts w:ascii="Times New Roman" w:hAnsi="Times New Roman" w:cs="Times New Roman"/>
        </w:rPr>
        <w:t>is more than doubled (from 3.1% to 11.6% and from 4.8% to 12.2% respectively). In case of U</w:t>
      </w:r>
      <w:r w:rsidR="009F021D">
        <w:rPr>
          <w:rFonts w:ascii="Times New Roman" w:hAnsi="Times New Roman" w:cs="Times New Roman"/>
        </w:rPr>
        <w:t>.</w:t>
      </w:r>
      <w:r>
        <w:rPr>
          <w:rFonts w:ascii="Times New Roman" w:hAnsi="Times New Roman" w:cs="Times New Roman"/>
        </w:rPr>
        <w:t>S</w:t>
      </w:r>
      <w:r w:rsidR="009F021D">
        <w:rPr>
          <w:rFonts w:ascii="Times New Roman" w:hAnsi="Times New Roman" w:cs="Times New Roman"/>
        </w:rPr>
        <w:t>.</w:t>
      </w:r>
      <w:r>
        <w:rPr>
          <w:rFonts w:ascii="Times New Roman" w:hAnsi="Times New Roman" w:cs="Times New Roman"/>
        </w:rPr>
        <w:t xml:space="preserve"> inflation rate, the negative coefficient of inflation rate is statistically significant at 1% significance level in case of all analyzed countries. Moreover, R</w:t>
      </w:r>
      <w:r>
        <w:rPr>
          <w:rFonts w:ascii="Times New Roman" w:hAnsi="Times New Roman" w:cs="Times New Roman"/>
          <w:vertAlign w:val="superscript"/>
        </w:rPr>
        <w:t xml:space="preserve">2 </w:t>
      </w:r>
      <w:r>
        <w:rPr>
          <w:rFonts w:ascii="Times New Roman" w:hAnsi="Times New Roman" w:cs="Times New Roman"/>
        </w:rPr>
        <w:t xml:space="preserve">increased significantly and ranges from 8% in case of Japan to 20% in Germany. </w:t>
      </w:r>
    </w:p>
    <w:p w:rsidR="005A06CB" w:rsidRDefault="00702174" w:rsidP="005A06CB">
      <w:pPr>
        <w:pStyle w:val="NoSpacing"/>
        <w:jc w:val="center"/>
        <w:rPr>
          <w:rFonts w:ascii="Times New Roman" w:hAnsi="Times New Roman" w:cs="Times New Roman"/>
        </w:rPr>
      </w:pPr>
      <w:r>
        <w:rPr>
          <w:rFonts w:ascii="Times New Roman" w:hAnsi="Times New Roman" w:cs="Times New Roman"/>
        </w:rPr>
        <w:t>Table 4.12</w:t>
      </w:r>
      <w:r w:rsidR="009F021D">
        <w:rPr>
          <w:rFonts w:ascii="Times New Roman" w:hAnsi="Times New Roman" w:cs="Times New Roman"/>
        </w:rPr>
        <w:t>: The relationship between Bond Returns and I</w:t>
      </w:r>
      <w:r w:rsidR="005A06CB" w:rsidRPr="00467C8E">
        <w:rPr>
          <w:rFonts w:ascii="Times New Roman" w:hAnsi="Times New Roman" w:cs="Times New Roman"/>
        </w:rPr>
        <w:t>nflation</w:t>
      </w:r>
    </w:p>
    <w:p w:rsidR="005A06CB" w:rsidRPr="00467C8E" w:rsidRDefault="005A06CB" w:rsidP="005A06CB">
      <w:pPr>
        <w:pStyle w:val="NoSpacing"/>
        <w:jc w:val="both"/>
        <w:rPr>
          <w:rFonts w:ascii="Times New Roman" w:hAnsi="Times New Roman" w:cs="Times New Roman"/>
        </w:rPr>
      </w:pPr>
    </w:p>
    <w:tbl>
      <w:tblPr>
        <w:tblW w:w="9120" w:type="dxa"/>
        <w:jc w:val="center"/>
        <w:tblInd w:w="93" w:type="dxa"/>
        <w:tblLook w:val="04A0"/>
      </w:tblPr>
      <w:tblGrid>
        <w:gridCol w:w="2600"/>
        <w:gridCol w:w="955"/>
        <w:gridCol w:w="780"/>
        <w:gridCol w:w="1205"/>
        <w:gridCol w:w="700"/>
        <w:gridCol w:w="919"/>
        <w:gridCol w:w="751"/>
        <w:gridCol w:w="1210"/>
      </w:tblGrid>
      <w:tr w:rsidR="005A06CB" w:rsidRPr="00467C8E" w:rsidTr="00D0485F">
        <w:trPr>
          <w:trHeight w:val="300"/>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Nominal Bond Excess Returns</w:t>
            </w:r>
          </w:p>
        </w:tc>
        <w:tc>
          <w:tcPr>
            <w:tcW w:w="2940" w:type="dxa"/>
            <w:gridSpan w:val="3"/>
            <w:tcBorders>
              <w:top w:val="single" w:sz="4" w:space="0" w:color="auto"/>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National Inflation Rate</w:t>
            </w:r>
          </w:p>
        </w:tc>
        <w:tc>
          <w:tcPr>
            <w:tcW w:w="700" w:type="dxa"/>
            <w:tcBorders>
              <w:top w:val="single" w:sz="4" w:space="0" w:color="auto"/>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2880" w:type="dxa"/>
            <w:gridSpan w:val="3"/>
            <w:tcBorders>
              <w:top w:val="single" w:sz="4" w:space="0" w:color="auto"/>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U</w:t>
            </w:r>
            <w:r w:rsidR="009F021D">
              <w:rPr>
                <w:rFonts w:ascii="Times New Roman" w:eastAsia="Times New Roman" w:hAnsi="Times New Roman" w:cs="Times New Roman"/>
                <w:color w:val="000000"/>
                <w:sz w:val="20"/>
                <w:szCs w:val="20"/>
              </w:rPr>
              <w:t>.</w:t>
            </w:r>
            <w:r w:rsidRPr="00467C8E">
              <w:rPr>
                <w:rFonts w:ascii="Times New Roman" w:eastAsia="Times New Roman" w:hAnsi="Times New Roman" w:cs="Times New Roman"/>
                <w:color w:val="000000"/>
                <w:sz w:val="20"/>
                <w:szCs w:val="20"/>
              </w:rPr>
              <w:t>S</w:t>
            </w:r>
            <w:r w:rsidR="009F021D">
              <w:rPr>
                <w:rFonts w:ascii="Times New Roman" w:eastAsia="Times New Roman" w:hAnsi="Times New Roman" w:cs="Times New Roman"/>
                <w:color w:val="000000"/>
                <w:sz w:val="20"/>
                <w:szCs w:val="20"/>
              </w:rPr>
              <w:t>.</w:t>
            </w:r>
            <w:r w:rsidRPr="00467C8E">
              <w:rPr>
                <w:rFonts w:ascii="Times New Roman" w:eastAsia="Times New Roman" w:hAnsi="Times New Roman" w:cs="Times New Roman"/>
                <w:color w:val="000000"/>
                <w:sz w:val="20"/>
                <w:szCs w:val="20"/>
              </w:rPr>
              <w:t xml:space="preserve"> Inflation Rate</w:t>
            </w:r>
          </w:p>
        </w:tc>
      </w:tr>
      <w:tr w:rsidR="005A06CB" w:rsidRPr="00467C8E" w:rsidTr="00D0485F">
        <w:trPr>
          <w:trHeight w:val="285"/>
          <w:jc w:val="center"/>
        </w:trPr>
        <w:tc>
          <w:tcPr>
            <w:tcW w:w="2600" w:type="dxa"/>
            <w:vMerge/>
            <w:tcBorders>
              <w:top w:val="single" w:sz="4" w:space="0" w:color="auto"/>
              <w:left w:val="nil"/>
              <w:bottom w:val="single" w:sz="4" w:space="0" w:color="000000"/>
              <w:right w:val="nil"/>
            </w:tcBorders>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55"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β</w:t>
            </w:r>
          </w:p>
        </w:tc>
        <w:tc>
          <w:tcPr>
            <w:tcW w:w="780"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t-stat</w:t>
            </w:r>
          </w:p>
        </w:tc>
        <w:tc>
          <w:tcPr>
            <w:tcW w:w="1205"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R</w:t>
            </w:r>
            <w:r w:rsidRPr="00467C8E">
              <w:rPr>
                <w:rFonts w:ascii="Times New Roman" w:eastAsia="Times New Roman" w:hAnsi="Times New Roman" w:cs="Times New Roman"/>
                <w:color w:val="000000"/>
                <w:sz w:val="20"/>
                <w:szCs w:val="20"/>
                <w:vertAlign w:val="superscript"/>
              </w:rPr>
              <w:t>2</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β</w:t>
            </w:r>
          </w:p>
        </w:tc>
        <w:tc>
          <w:tcPr>
            <w:tcW w:w="751"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t-stat</w:t>
            </w:r>
          </w:p>
        </w:tc>
        <w:tc>
          <w:tcPr>
            <w:tcW w:w="1210"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R</w:t>
            </w:r>
            <w:r w:rsidRPr="00467C8E">
              <w:rPr>
                <w:rFonts w:ascii="Times New Roman" w:eastAsia="Times New Roman" w:hAnsi="Times New Roman" w:cs="Times New Roman"/>
                <w:color w:val="000000"/>
                <w:sz w:val="20"/>
                <w:szCs w:val="20"/>
                <w:vertAlign w:val="superscript"/>
              </w:rPr>
              <w:t>2</w:t>
            </w:r>
          </w:p>
        </w:tc>
      </w:tr>
      <w:tr w:rsidR="005A06CB" w:rsidRPr="00467C8E" w:rsidTr="00D0485F">
        <w:trPr>
          <w:trHeight w:val="255"/>
          <w:jc w:val="center"/>
        </w:trPr>
        <w:tc>
          <w:tcPr>
            <w:tcW w:w="2600"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i/>
                <w:iCs/>
                <w:color w:val="000000"/>
                <w:sz w:val="20"/>
                <w:szCs w:val="20"/>
              </w:rPr>
            </w:pPr>
            <w:r w:rsidRPr="00467C8E">
              <w:rPr>
                <w:rFonts w:ascii="Times New Roman" w:eastAsia="Times New Roman" w:hAnsi="Times New Roman" w:cs="Times New Roman"/>
                <w:i/>
                <w:iCs/>
                <w:color w:val="000000"/>
                <w:sz w:val="20"/>
                <w:szCs w:val="20"/>
              </w:rPr>
              <w:t>Quarterly frequency</w:t>
            </w:r>
          </w:p>
        </w:tc>
        <w:tc>
          <w:tcPr>
            <w:tcW w:w="955"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780"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1205"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700" w:type="dxa"/>
            <w:tcBorders>
              <w:top w:val="single" w:sz="4" w:space="0" w:color="auto"/>
              <w:left w:val="nil"/>
              <w:bottom w:val="single" w:sz="4" w:space="0" w:color="auto"/>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919"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751"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1210"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r>
      <w:tr w:rsidR="005A06CB" w:rsidRPr="00467C8E" w:rsidTr="00D0485F">
        <w:trPr>
          <w:trHeight w:val="255"/>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Australia</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-0.393</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-1.05</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0.010</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-0.954</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-2.87</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0.085</w:t>
            </w:r>
          </w:p>
        </w:tc>
      </w:tr>
      <w:tr w:rsidR="005A06CB" w:rsidRPr="00467C8E" w:rsidTr="00D0485F">
        <w:trPr>
          <w:trHeight w:val="240"/>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Canada</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-0.781</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4F81BD"/>
                <w:sz w:val="20"/>
                <w:szCs w:val="20"/>
              </w:rPr>
            </w:pPr>
            <w:r w:rsidRPr="00467C8E">
              <w:rPr>
                <w:rFonts w:ascii="Times New Roman" w:eastAsia="Times New Roman" w:hAnsi="Times New Roman" w:cs="Times New Roman"/>
                <w:color w:val="4F81BD"/>
                <w:sz w:val="20"/>
                <w:szCs w:val="20"/>
              </w:rPr>
              <w:t>-1.71</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0.039</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-1.184</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-5.12</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0.114</w:t>
            </w:r>
          </w:p>
        </w:tc>
      </w:tr>
      <w:tr w:rsidR="005A06CB" w:rsidRPr="00467C8E" w:rsidTr="00D0485F">
        <w:trPr>
          <w:trHeight w:val="240"/>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Germany</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-1.383</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-3.20</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0.116</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-1.120</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-6.02</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0.199</w:t>
            </w:r>
          </w:p>
        </w:tc>
      </w:tr>
      <w:tr w:rsidR="005A06CB" w:rsidRPr="00467C8E" w:rsidTr="00D0485F">
        <w:trPr>
          <w:trHeight w:val="240"/>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Japan</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-1.039</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-3.40</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0.070</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-0.792</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-2.82</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0.080</w:t>
            </w:r>
          </w:p>
        </w:tc>
      </w:tr>
      <w:tr w:rsidR="005A06CB" w:rsidRPr="00467C8E" w:rsidTr="00D0485F">
        <w:trPr>
          <w:trHeight w:val="240"/>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United Kingdom</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-0.747</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-2.15</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0.046</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-1.373</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-3.77</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0.128</w:t>
            </w:r>
          </w:p>
        </w:tc>
      </w:tr>
      <w:tr w:rsidR="005A06CB" w:rsidRPr="00467C8E" w:rsidTr="00D0485F">
        <w:trPr>
          <w:trHeight w:val="240"/>
          <w:jc w:val="center"/>
        </w:trPr>
        <w:tc>
          <w:tcPr>
            <w:tcW w:w="2600" w:type="dxa"/>
            <w:tcBorders>
              <w:top w:val="nil"/>
              <w:left w:val="nil"/>
              <w:bottom w:val="nil"/>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United States</w:t>
            </w:r>
          </w:p>
        </w:tc>
        <w:tc>
          <w:tcPr>
            <w:tcW w:w="95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-1.260</w:t>
            </w:r>
          </w:p>
        </w:tc>
        <w:tc>
          <w:tcPr>
            <w:tcW w:w="78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-4.73</w:t>
            </w:r>
          </w:p>
        </w:tc>
        <w:tc>
          <w:tcPr>
            <w:tcW w:w="1205"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0.122</w:t>
            </w:r>
          </w:p>
        </w:tc>
        <w:tc>
          <w:tcPr>
            <w:tcW w:w="700" w:type="dxa"/>
            <w:tcBorders>
              <w:top w:val="nil"/>
              <w:left w:val="nil"/>
              <w:bottom w:val="nil"/>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p>
        </w:tc>
        <w:tc>
          <w:tcPr>
            <w:tcW w:w="919"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-1.260</w:t>
            </w:r>
          </w:p>
        </w:tc>
        <w:tc>
          <w:tcPr>
            <w:tcW w:w="751"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-4.73</w:t>
            </w:r>
          </w:p>
        </w:tc>
        <w:tc>
          <w:tcPr>
            <w:tcW w:w="1210" w:type="dxa"/>
            <w:tcBorders>
              <w:top w:val="nil"/>
              <w:left w:val="nil"/>
              <w:bottom w:val="nil"/>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0.122</w:t>
            </w:r>
          </w:p>
        </w:tc>
      </w:tr>
      <w:tr w:rsidR="005A06CB" w:rsidRPr="00467C8E"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Developed (6)</w:t>
            </w:r>
          </w:p>
        </w:tc>
        <w:tc>
          <w:tcPr>
            <w:tcW w:w="955"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-1.036</w:t>
            </w:r>
          </w:p>
        </w:tc>
        <w:tc>
          <w:tcPr>
            <w:tcW w:w="780"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-2.58</w:t>
            </w:r>
          </w:p>
        </w:tc>
        <w:tc>
          <w:tcPr>
            <w:tcW w:w="1205"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0.069</w:t>
            </w:r>
          </w:p>
        </w:tc>
        <w:tc>
          <w:tcPr>
            <w:tcW w:w="700" w:type="dxa"/>
            <w:tcBorders>
              <w:top w:val="nil"/>
              <w:left w:val="nil"/>
              <w:bottom w:val="single" w:sz="4" w:space="0" w:color="auto"/>
              <w:right w:val="nil"/>
            </w:tcBorders>
            <w:shd w:val="clear" w:color="auto" w:fill="auto"/>
            <w:noWrap/>
            <w:vAlign w:val="bottom"/>
            <w:hideMark/>
          </w:tcPr>
          <w:p w:rsidR="005A06CB" w:rsidRPr="00467C8E" w:rsidRDefault="005A06CB" w:rsidP="00D0485F">
            <w:pPr>
              <w:spacing w:after="0" w:line="240" w:lineRule="auto"/>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 </w:t>
            </w:r>
          </w:p>
        </w:tc>
        <w:tc>
          <w:tcPr>
            <w:tcW w:w="919"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-1.145</w:t>
            </w:r>
          </w:p>
        </w:tc>
        <w:tc>
          <w:tcPr>
            <w:tcW w:w="751"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b/>
                <w:bCs/>
                <w:color w:val="000000"/>
                <w:sz w:val="20"/>
                <w:szCs w:val="20"/>
              </w:rPr>
            </w:pPr>
            <w:r w:rsidRPr="00467C8E">
              <w:rPr>
                <w:rFonts w:ascii="Times New Roman" w:eastAsia="Times New Roman" w:hAnsi="Times New Roman" w:cs="Times New Roman"/>
                <w:b/>
                <w:bCs/>
                <w:color w:val="000000"/>
                <w:sz w:val="20"/>
                <w:szCs w:val="20"/>
              </w:rPr>
              <w:t>-5.25</w:t>
            </w:r>
          </w:p>
        </w:tc>
        <w:tc>
          <w:tcPr>
            <w:tcW w:w="1210" w:type="dxa"/>
            <w:tcBorders>
              <w:top w:val="nil"/>
              <w:left w:val="nil"/>
              <w:bottom w:val="single" w:sz="4" w:space="0" w:color="auto"/>
              <w:right w:val="nil"/>
            </w:tcBorders>
            <w:shd w:val="clear" w:color="auto" w:fill="auto"/>
            <w:noWrap/>
            <w:vAlign w:val="center"/>
            <w:hideMark/>
          </w:tcPr>
          <w:p w:rsidR="005A06CB" w:rsidRPr="00467C8E" w:rsidRDefault="005A06CB" w:rsidP="00D0485F">
            <w:pPr>
              <w:spacing w:after="0" w:line="240" w:lineRule="auto"/>
              <w:jc w:val="center"/>
              <w:rPr>
                <w:rFonts w:ascii="Times New Roman" w:eastAsia="Times New Roman" w:hAnsi="Times New Roman" w:cs="Times New Roman"/>
                <w:color w:val="000000"/>
                <w:sz w:val="20"/>
                <w:szCs w:val="20"/>
              </w:rPr>
            </w:pPr>
            <w:r w:rsidRPr="00467C8E">
              <w:rPr>
                <w:rFonts w:ascii="Times New Roman" w:eastAsia="Times New Roman" w:hAnsi="Times New Roman" w:cs="Times New Roman"/>
                <w:color w:val="000000"/>
                <w:sz w:val="20"/>
                <w:szCs w:val="20"/>
              </w:rPr>
              <w:t>0.180</w:t>
            </w:r>
          </w:p>
        </w:tc>
      </w:tr>
    </w:tbl>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w:t>
      </w:r>
      <w:r>
        <w:rPr>
          <w:rFonts w:ascii="Times New Roman" w:hAnsi="Times New Roman" w:cs="Times New Roman"/>
          <w:sz w:val="18"/>
          <w:szCs w:val="18"/>
        </w:rPr>
        <w:t xml:space="preserve">nd t-values based on Newey-West </w:t>
      </w:r>
      <w:r w:rsidRPr="001221C6">
        <w:rPr>
          <w:rFonts w:ascii="Times New Roman" w:hAnsi="Times New Roman" w:cs="Times New Roman"/>
          <w:sz w:val="18"/>
          <w:szCs w:val="18"/>
        </w:rPr>
        <w:t xml:space="preserve">standard errors for the β in the regression </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Default="009F021D" w:rsidP="005A06CB">
      <w:pPr>
        <w:pStyle w:val="NoSpacing"/>
        <w:jc w:val="both"/>
        <w:rPr>
          <w:rFonts w:ascii="Times New Roman" w:hAnsi="Times New Roman" w:cs="Times New Roman"/>
          <w:sz w:val="18"/>
          <w:szCs w:val="18"/>
        </w:rPr>
      </w:pPr>
      <w:r>
        <w:rPr>
          <w:rFonts w:ascii="Times New Roman" w:hAnsi="Times New Roman" w:cs="Times New Roman"/>
          <w:sz w:val="18"/>
          <w:szCs w:val="18"/>
        </w:rPr>
        <w:t>where Y are nominal</w:t>
      </w:r>
      <w:r w:rsidR="005A06CB">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005A06CB">
        <w:rPr>
          <w:rFonts w:ascii="Times New Roman" w:hAnsi="Times New Roman" w:cs="Times New Roman"/>
          <w:sz w:val="18"/>
          <w:szCs w:val="18"/>
        </w:rPr>
        <w:t xml:space="preserve">returns at the quarterly frequency and </w:t>
      </w:r>
      <w:r w:rsidR="005A06CB" w:rsidRPr="001221C6">
        <w:rPr>
          <w:rFonts w:ascii="Times New Roman" w:hAnsi="Times New Roman" w:cs="Times New Roman"/>
          <w:sz w:val="18"/>
          <w:szCs w:val="18"/>
        </w:rPr>
        <w:t>X is the country’s own inflation (national inflation)</w:t>
      </w:r>
      <w:r w:rsidR="005A06CB">
        <w:rPr>
          <w:rFonts w:ascii="Times New Roman" w:hAnsi="Times New Roman" w:cs="Times New Roman"/>
          <w:sz w:val="18"/>
          <w:szCs w:val="18"/>
        </w:rPr>
        <w:t xml:space="preserve"> in the left panel and U</w:t>
      </w:r>
      <w:r>
        <w:rPr>
          <w:rFonts w:ascii="Times New Roman" w:hAnsi="Times New Roman" w:cs="Times New Roman"/>
          <w:sz w:val="18"/>
          <w:szCs w:val="18"/>
        </w:rPr>
        <w:t>.</w:t>
      </w:r>
      <w:r w:rsidR="005A06CB">
        <w:rPr>
          <w:rFonts w:ascii="Times New Roman" w:hAnsi="Times New Roman" w:cs="Times New Roman"/>
          <w:sz w:val="18"/>
          <w:szCs w:val="18"/>
        </w:rPr>
        <w:t>S</w:t>
      </w:r>
      <w:r>
        <w:rPr>
          <w:rFonts w:ascii="Times New Roman" w:hAnsi="Times New Roman" w:cs="Times New Roman"/>
          <w:sz w:val="18"/>
          <w:szCs w:val="18"/>
        </w:rPr>
        <w:t>.</w:t>
      </w:r>
      <w:r w:rsidR="005A06CB">
        <w:rPr>
          <w:rFonts w:ascii="Times New Roman" w:hAnsi="Times New Roman" w:cs="Times New Roman"/>
          <w:sz w:val="18"/>
          <w:szCs w:val="18"/>
        </w:rPr>
        <w:t xml:space="preserve"> inflation rate in the right panel</w:t>
      </w:r>
      <w:r w:rsidR="005A06CB" w:rsidRPr="001221C6">
        <w:rPr>
          <w:rFonts w:ascii="Times New Roman" w:hAnsi="Times New Roman" w:cs="Times New Roman"/>
          <w:sz w:val="18"/>
          <w:szCs w:val="18"/>
        </w:rPr>
        <w:t xml:space="preserve">. </w:t>
      </w:r>
      <w:r>
        <w:rPr>
          <w:rFonts w:ascii="Times New Roman" w:hAnsi="Times New Roman" w:cs="Times New Roman"/>
          <w:sz w:val="18"/>
          <w:szCs w:val="18"/>
        </w:rPr>
        <w:t>The reg</w:t>
      </w:r>
      <w:r w:rsidR="005F30B1">
        <w:rPr>
          <w:rFonts w:ascii="Times New Roman" w:hAnsi="Times New Roman" w:cs="Times New Roman"/>
          <w:sz w:val="18"/>
          <w:szCs w:val="18"/>
        </w:rPr>
        <w:t>ression is conducted separately</w:t>
      </w:r>
      <w:r>
        <w:rPr>
          <w:rFonts w:ascii="Times New Roman" w:hAnsi="Times New Roman" w:cs="Times New Roman"/>
          <w:sz w:val="18"/>
          <w:szCs w:val="18"/>
        </w:rPr>
        <w:t>.</w:t>
      </w:r>
      <w:r w:rsidRPr="00D77F49">
        <w:rPr>
          <w:rFonts w:ascii="Times New Roman" w:hAnsi="Times New Roman" w:cs="Times New Roman"/>
          <w:sz w:val="18"/>
          <w:szCs w:val="18"/>
        </w:rPr>
        <w:t xml:space="preserve"> </w:t>
      </w:r>
      <w:r w:rsidRPr="00523B5F">
        <w:rPr>
          <w:rFonts w:ascii="Times New Roman" w:hAnsi="Times New Roman" w:cs="Times New Roman"/>
          <w:sz w:val="18"/>
          <w:szCs w:val="18"/>
        </w:rPr>
        <w:t xml:space="preserve">The Developed portfolio is based on equally-weighting the </w:t>
      </w:r>
      <w:r>
        <w:rPr>
          <w:rFonts w:ascii="Times New Roman" w:hAnsi="Times New Roman" w:cs="Times New Roman"/>
          <w:sz w:val="18"/>
          <w:szCs w:val="18"/>
        </w:rPr>
        <w:t>six countries provided data are available</w:t>
      </w:r>
      <w:r w:rsidRPr="00523B5F">
        <w:rPr>
          <w:rFonts w:ascii="Times New Roman" w:hAnsi="Times New Roman" w:cs="Times New Roman"/>
          <w:sz w:val="18"/>
          <w:szCs w:val="18"/>
        </w:rPr>
        <w:t>. The analysis</w:t>
      </w:r>
      <w:r>
        <w:rPr>
          <w:rFonts w:ascii="Times New Roman" w:hAnsi="Times New Roman" w:cs="Times New Roman"/>
          <w:sz w:val="18"/>
          <w:szCs w:val="18"/>
        </w:rPr>
        <w:t xml:space="preserve"> is conducted on quarterly data for the sa</w:t>
      </w:r>
      <w:r w:rsidRPr="00523B5F">
        <w:rPr>
          <w:rFonts w:ascii="Times New Roman" w:hAnsi="Times New Roman" w:cs="Times New Roman"/>
          <w:sz w:val="18"/>
          <w:szCs w:val="18"/>
        </w:rPr>
        <w:t>mples of nominal bond excess</w:t>
      </w:r>
      <w:r>
        <w:rPr>
          <w:rFonts w:ascii="Times New Roman" w:hAnsi="Times New Roman" w:cs="Times New Roman"/>
          <w:sz w:val="18"/>
          <w:szCs w:val="18"/>
        </w:rPr>
        <w:t xml:space="preserve"> returns depicted in Table 3.1.</w:t>
      </w:r>
      <w:r w:rsidR="005A06CB">
        <w:rPr>
          <w:rFonts w:ascii="Times New Roman" w:hAnsi="Times New Roman" w:cs="Times New Roman"/>
          <w:sz w:val="18"/>
          <w:szCs w:val="18"/>
        </w:rPr>
        <w:t xml:space="preserve"> </w:t>
      </w:r>
      <w:r w:rsidR="005A06CB" w:rsidRPr="001221C6">
        <w:rPr>
          <w:rFonts w:ascii="Times New Roman" w:hAnsi="Times New Roman" w:cs="Times New Roman"/>
          <w:sz w:val="18"/>
          <w:szCs w:val="18"/>
        </w:rPr>
        <w:t xml:space="preserve">The numbers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in </w:t>
      </w:r>
      <w:r w:rsidR="005A06CB" w:rsidRPr="00702174">
        <w:rPr>
          <w:rFonts w:ascii="Times New Roman" w:eastAsia="Times New Roman" w:hAnsi="Times New Roman" w:cs="Times New Roman"/>
          <w:color w:val="4F81BD"/>
          <w:sz w:val="18"/>
          <w:szCs w:val="18"/>
        </w:rPr>
        <w:t>Blue</w:t>
      </w:r>
      <w:r w:rsidR="005A06CB" w:rsidRPr="00702174">
        <w:rPr>
          <w:rFonts w:ascii="Times New Roman" w:eastAsia="Times New Roman" w:hAnsi="Times New Roman" w:cs="Times New Roman"/>
          <w:color w:val="4F81BD"/>
          <w:sz w:val="20"/>
          <w:szCs w:val="20"/>
        </w:rPr>
        <w:t xml:space="preserve"> </w:t>
      </w:r>
      <w:r w:rsidR="005A06CB" w:rsidRPr="001221C6">
        <w:rPr>
          <w:rFonts w:ascii="Times New Roman" w:hAnsi="Times New Roman" w:cs="Times New Roman"/>
          <w:sz w:val="18"/>
          <w:szCs w:val="18"/>
        </w:rPr>
        <w:t>at 10% significance level.</w:t>
      </w:r>
    </w:p>
    <w:p w:rsidR="005A06CB" w:rsidRDefault="005A06CB" w:rsidP="005A06CB">
      <w:pPr>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After taking into account inflation, the nominal bond excess returns generally do not display the seasonal patterns of H1 H2 and SAD. In case of national inflation rate</w:t>
      </w:r>
      <w:r w:rsidR="009F021D">
        <w:rPr>
          <w:rFonts w:ascii="Times New Roman" w:hAnsi="Times New Roman" w:cs="Times New Roman"/>
        </w:rPr>
        <w:t xml:space="preserve"> (results</w:t>
      </w:r>
      <w:r w:rsidR="005F30B1">
        <w:rPr>
          <w:rFonts w:ascii="Times New Roman" w:hAnsi="Times New Roman" w:cs="Times New Roman"/>
        </w:rPr>
        <w:t xml:space="preserve"> depicted</w:t>
      </w:r>
      <w:r w:rsidR="009F021D">
        <w:rPr>
          <w:rFonts w:ascii="Times New Roman" w:hAnsi="Times New Roman" w:cs="Times New Roman"/>
        </w:rPr>
        <w:t xml:space="preserve"> on the left panel of Table 4.13)</w:t>
      </w:r>
      <w:r>
        <w:rPr>
          <w:rFonts w:ascii="Times New Roman" w:hAnsi="Times New Roman" w:cs="Times New Roman"/>
        </w:rPr>
        <w:t xml:space="preserve">, however, there are some remaining H1 H2 effects significant at 5% level in case of </w:t>
      </w:r>
      <w:r>
        <w:rPr>
          <w:rFonts w:ascii="Times New Roman" w:hAnsi="Times New Roman" w:cs="Times New Roman"/>
        </w:rPr>
        <w:lastRenderedPageBreak/>
        <w:t xml:space="preserve">Australia and Germany. Australia also displays a SAD effect at 1% significance level. This could be due to the fact that the inflation rate does not exhibit a seasonal pattern in this country. As seen in </w:t>
      </w:r>
      <w:r w:rsidR="009F021D">
        <w:rPr>
          <w:rFonts w:ascii="Times New Roman" w:hAnsi="Times New Roman" w:cs="Times New Roman"/>
        </w:rPr>
        <w:t xml:space="preserve">Figure </w:t>
      </w:r>
      <w:r>
        <w:rPr>
          <w:rFonts w:ascii="Times New Roman" w:hAnsi="Times New Roman" w:cs="Times New Roman"/>
        </w:rPr>
        <w:t>3</w:t>
      </w:r>
      <w:r w:rsidR="009F021D">
        <w:rPr>
          <w:rFonts w:ascii="Times New Roman" w:hAnsi="Times New Roman" w:cs="Times New Roman"/>
        </w:rPr>
        <w:t>, inflation rate hovers around 1</w:t>
      </w:r>
      <w:r>
        <w:rPr>
          <w:rFonts w:ascii="Times New Roman" w:hAnsi="Times New Roman" w:cs="Times New Roman"/>
        </w:rPr>
        <w:t xml:space="preserve">% </w:t>
      </w:r>
      <w:r w:rsidR="009F021D">
        <w:rPr>
          <w:rFonts w:ascii="Times New Roman" w:hAnsi="Times New Roman" w:cs="Times New Roman"/>
        </w:rPr>
        <w:t xml:space="preserve">in quarterly terms </w:t>
      </w:r>
      <w:r>
        <w:rPr>
          <w:rFonts w:ascii="Times New Roman" w:hAnsi="Times New Roman" w:cs="Times New Roman"/>
        </w:rPr>
        <w:t xml:space="preserve">all year long. This seems to slightly accentuate the SAD and H1 H2 effects on nominal bond returns. </w:t>
      </w:r>
    </w:p>
    <w:p w:rsidR="005A06CB" w:rsidRDefault="005A06CB" w:rsidP="005A06CB">
      <w:pPr>
        <w:spacing w:line="360" w:lineRule="auto"/>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rPr>
        <w:tab/>
        <w:t>When U</w:t>
      </w:r>
      <w:r w:rsidR="009F021D">
        <w:rPr>
          <w:rFonts w:ascii="Times New Roman" w:hAnsi="Times New Roman" w:cs="Times New Roman"/>
        </w:rPr>
        <w:t>.</w:t>
      </w:r>
      <w:r>
        <w:rPr>
          <w:rFonts w:ascii="Times New Roman" w:hAnsi="Times New Roman" w:cs="Times New Roman"/>
        </w:rPr>
        <w:t>S</w:t>
      </w:r>
      <w:r w:rsidR="009F021D">
        <w:rPr>
          <w:rFonts w:ascii="Times New Roman" w:hAnsi="Times New Roman" w:cs="Times New Roman"/>
        </w:rPr>
        <w:t>.</w:t>
      </w:r>
      <w:r>
        <w:rPr>
          <w:rFonts w:ascii="Times New Roman" w:hAnsi="Times New Roman" w:cs="Times New Roman"/>
        </w:rPr>
        <w:t xml:space="preserve"> inflation rate is considered</w:t>
      </w:r>
      <w:r w:rsidR="009F021D">
        <w:rPr>
          <w:rFonts w:ascii="Times New Roman" w:hAnsi="Times New Roman" w:cs="Times New Roman"/>
        </w:rPr>
        <w:t xml:space="preserve"> (results </w:t>
      </w:r>
      <w:r w:rsidR="005F30B1">
        <w:rPr>
          <w:rFonts w:ascii="Times New Roman" w:hAnsi="Times New Roman" w:cs="Times New Roman"/>
        </w:rPr>
        <w:t xml:space="preserve">depicted </w:t>
      </w:r>
      <w:r w:rsidR="009F021D">
        <w:rPr>
          <w:rFonts w:ascii="Times New Roman" w:hAnsi="Times New Roman" w:cs="Times New Roman"/>
        </w:rPr>
        <w:t>on the right panel of Table 4.13)</w:t>
      </w:r>
      <w:r>
        <w:rPr>
          <w:rFonts w:ascii="Times New Roman" w:hAnsi="Times New Roman" w:cs="Times New Roman"/>
        </w:rPr>
        <w:t xml:space="preserve">, there is no evidence of remaining effects in </w:t>
      </w:r>
      <w:r w:rsidR="00702174">
        <w:rPr>
          <w:rFonts w:ascii="Times New Roman" w:hAnsi="Times New Roman" w:cs="Times New Roman"/>
        </w:rPr>
        <w:t>the residuals from regressing bond returns on inflation rate</w:t>
      </w:r>
      <w:r w:rsidR="009F021D">
        <w:rPr>
          <w:rFonts w:ascii="Times New Roman" w:hAnsi="Times New Roman" w:cs="Times New Roman"/>
        </w:rPr>
        <w:t xml:space="preserve">. </w:t>
      </w:r>
      <w:r>
        <w:rPr>
          <w:rFonts w:ascii="Times New Roman" w:hAnsi="Times New Roman" w:cs="Times New Roman"/>
        </w:rPr>
        <w:t>The t-statistics are close to zero and lower in absolute terms than those when considering national inflation rates.</w:t>
      </w:r>
    </w:p>
    <w:p w:rsidR="005A06CB" w:rsidRDefault="00702174" w:rsidP="00702174">
      <w:pPr>
        <w:spacing w:after="120" w:line="360" w:lineRule="auto"/>
        <w:jc w:val="center"/>
        <w:rPr>
          <w:rFonts w:ascii="Times New Roman" w:hAnsi="Times New Roman" w:cs="Times New Roman"/>
        </w:rPr>
      </w:pPr>
      <w:r>
        <w:rPr>
          <w:rFonts w:ascii="Times New Roman" w:hAnsi="Times New Roman" w:cs="Times New Roman"/>
        </w:rPr>
        <w:t>Table 4.13</w:t>
      </w:r>
      <w:r w:rsidR="005A06CB" w:rsidRPr="00135DA9">
        <w:rPr>
          <w:rFonts w:ascii="Times New Roman" w:hAnsi="Times New Roman" w:cs="Times New Roman"/>
        </w:rPr>
        <w:t xml:space="preserve">: </w:t>
      </w:r>
      <w:r w:rsidR="009F021D">
        <w:rPr>
          <w:rFonts w:ascii="Times New Roman" w:hAnsi="Times New Roman" w:cs="Times New Roman"/>
        </w:rPr>
        <w:t>Seasonality in Inflation-corrected Bond R</w:t>
      </w:r>
      <w:r w:rsidR="005A06CB" w:rsidRPr="007F46A6">
        <w:rPr>
          <w:rFonts w:ascii="Times New Roman" w:hAnsi="Times New Roman" w:cs="Times New Roman"/>
        </w:rPr>
        <w:t xml:space="preserve">eturns </w:t>
      </w:r>
    </w:p>
    <w:tbl>
      <w:tblPr>
        <w:tblW w:w="7400" w:type="dxa"/>
        <w:jc w:val="center"/>
        <w:tblInd w:w="93" w:type="dxa"/>
        <w:tblLook w:val="04A0"/>
      </w:tblPr>
      <w:tblGrid>
        <w:gridCol w:w="2420"/>
        <w:gridCol w:w="1120"/>
        <w:gridCol w:w="1000"/>
        <w:gridCol w:w="740"/>
        <w:gridCol w:w="1100"/>
        <w:gridCol w:w="1020"/>
      </w:tblGrid>
      <w:tr w:rsidR="005A06CB" w:rsidRPr="00560DD8" w:rsidTr="00D0485F">
        <w:trPr>
          <w:trHeight w:val="285"/>
          <w:jc w:val="center"/>
        </w:trPr>
        <w:tc>
          <w:tcPr>
            <w:tcW w:w="2420" w:type="dxa"/>
            <w:vMerge w:val="restart"/>
            <w:tcBorders>
              <w:top w:val="single" w:sz="4" w:space="0" w:color="auto"/>
              <w:left w:val="nil"/>
              <w:bottom w:val="single" w:sz="4" w:space="0" w:color="000000"/>
              <w:right w:val="nil"/>
            </w:tcBorders>
            <w:shd w:val="clear" w:color="auto" w:fill="auto"/>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Inflation-corrected Bond Returns</w:t>
            </w:r>
          </w:p>
        </w:tc>
        <w:tc>
          <w:tcPr>
            <w:tcW w:w="2120" w:type="dxa"/>
            <w:gridSpan w:val="2"/>
            <w:tcBorders>
              <w:top w:val="single" w:sz="4" w:space="0" w:color="auto"/>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National Inflation</w:t>
            </w:r>
          </w:p>
        </w:tc>
        <w:tc>
          <w:tcPr>
            <w:tcW w:w="740" w:type="dxa"/>
            <w:tcBorders>
              <w:top w:val="single" w:sz="4" w:space="0" w:color="auto"/>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2120" w:type="dxa"/>
            <w:gridSpan w:val="2"/>
            <w:tcBorders>
              <w:top w:val="single" w:sz="4" w:space="0" w:color="auto"/>
              <w:left w:val="nil"/>
              <w:bottom w:val="nil"/>
              <w:right w:val="nil"/>
            </w:tcBorders>
            <w:shd w:val="clear" w:color="auto" w:fill="auto"/>
            <w:noWrap/>
            <w:vAlign w:val="bottom"/>
            <w:hideMark/>
          </w:tcPr>
          <w:p w:rsidR="005A06CB" w:rsidRPr="00560DD8" w:rsidRDefault="005A06CB" w:rsidP="009F021D">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U</w:t>
            </w:r>
            <w:r w:rsidR="009F021D">
              <w:rPr>
                <w:rFonts w:ascii="Times New Roman" w:eastAsia="Times New Roman" w:hAnsi="Times New Roman" w:cs="Times New Roman"/>
                <w:color w:val="000000"/>
                <w:sz w:val="20"/>
                <w:szCs w:val="20"/>
              </w:rPr>
              <w:t>.</w:t>
            </w:r>
            <w:r w:rsidRPr="00560DD8">
              <w:rPr>
                <w:rFonts w:ascii="Times New Roman" w:eastAsia="Times New Roman" w:hAnsi="Times New Roman" w:cs="Times New Roman"/>
                <w:color w:val="000000"/>
                <w:sz w:val="20"/>
                <w:szCs w:val="20"/>
              </w:rPr>
              <w:t>S</w:t>
            </w:r>
            <w:r w:rsidR="009F021D">
              <w:rPr>
                <w:rFonts w:ascii="Times New Roman" w:eastAsia="Times New Roman" w:hAnsi="Times New Roman" w:cs="Times New Roman"/>
                <w:color w:val="000000"/>
                <w:sz w:val="20"/>
                <w:szCs w:val="20"/>
              </w:rPr>
              <w:t xml:space="preserve">. </w:t>
            </w:r>
            <w:r w:rsidRPr="00560DD8">
              <w:rPr>
                <w:rFonts w:ascii="Times New Roman" w:eastAsia="Times New Roman" w:hAnsi="Times New Roman" w:cs="Times New Roman"/>
                <w:color w:val="000000"/>
                <w:sz w:val="20"/>
                <w:szCs w:val="20"/>
              </w:rPr>
              <w:t>Inflation</w:t>
            </w:r>
          </w:p>
        </w:tc>
      </w:tr>
      <w:tr w:rsidR="005A06CB" w:rsidRPr="00560DD8" w:rsidTr="00D0485F">
        <w:trPr>
          <w:trHeight w:val="255"/>
          <w:jc w:val="center"/>
        </w:trPr>
        <w:tc>
          <w:tcPr>
            <w:tcW w:w="2420" w:type="dxa"/>
            <w:vMerge/>
            <w:tcBorders>
              <w:top w:val="single" w:sz="4" w:space="0" w:color="auto"/>
              <w:left w:val="nil"/>
              <w:bottom w:val="single" w:sz="4" w:space="0" w:color="000000"/>
              <w:right w:val="nil"/>
            </w:tcBorders>
            <w:vAlign w:val="center"/>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single" w:sz="4" w:space="0" w:color="auto"/>
              <w:right w:val="nil"/>
            </w:tcBorders>
            <w:shd w:val="clear" w:color="auto" w:fill="auto"/>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H1 H2</w:t>
            </w:r>
          </w:p>
        </w:tc>
        <w:tc>
          <w:tcPr>
            <w:tcW w:w="100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SAD</w:t>
            </w:r>
          </w:p>
        </w:tc>
        <w:tc>
          <w:tcPr>
            <w:tcW w:w="740" w:type="dxa"/>
            <w:tcBorders>
              <w:top w:val="nil"/>
              <w:left w:val="nil"/>
              <w:bottom w:val="single" w:sz="4" w:space="0" w:color="auto"/>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1100" w:type="dxa"/>
            <w:tcBorders>
              <w:top w:val="nil"/>
              <w:left w:val="nil"/>
              <w:bottom w:val="single" w:sz="4" w:space="0" w:color="auto"/>
              <w:right w:val="nil"/>
            </w:tcBorders>
            <w:shd w:val="clear" w:color="auto" w:fill="auto"/>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H1 H2</w:t>
            </w:r>
          </w:p>
        </w:tc>
        <w:tc>
          <w:tcPr>
            <w:tcW w:w="102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SAD</w:t>
            </w:r>
          </w:p>
        </w:tc>
      </w:tr>
      <w:tr w:rsidR="005A06CB" w:rsidRPr="00560DD8" w:rsidTr="00D0485F">
        <w:trPr>
          <w:trHeight w:val="240"/>
          <w:jc w:val="center"/>
        </w:trPr>
        <w:tc>
          <w:tcPr>
            <w:tcW w:w="2420" w:type="dxa"/>
            <w:tcBorders>
              <w:top w:val="nil"/>
              <w:left w:val="nil"/>
              <w:bottom w:val="single" w:sz="4" w:space="0" w:color="auto"/>
              <w:right w:val="nil"/>
            </w:tcBorders>
            <w:shd w:val="clear" w:color="auto" w:fill="auto"/>
            <w:vAlign w:val="center"/>
            <w:hideMark/>
          </w:tcPr>
          <w:p w:rsidR="005A06CB" w:rsidRPr="00560DD8" w:rsidRDefault="005A06CB" w:rsidP="00D0485F">
            <w:pPr>
              <w:spacing w:after="0" w:line="240" w:lineRule="auto"/>
              <w:rPr>
                <w:rFonts w:ascii="Times New Roman" w:eastAsia="Times New Roman" w:hAnsi="Times New Roman" w:cs="Times New Roman"/>
                <w:i/>
                <w:iCs/>
                <w:color w:val="000000"/>
                <w:sz w:val="20"/>
                <w:szCs w:val="20"/>
              </w:rPr>
            </w:pPr>
            <w:r w:rsidRPr="00560DD8">
              <w:rPr>
                <w:rFonts w:ascii="Times New Roman" w:eastAsia="Times New Roman" w:hAnsi="Times New Roman" w:cs="Times New Roman"/>
                <w:i/>
                <w:iCs/>
                <w:color w:val="000000"/>
                <w:sz w:val="20"/>
                <w:szCs w:val="20"/>
              </w:rPr>
              <w:t>Quarterly frequency</w:t>
            </w:r>
          </w:p>
        </w:tc>
        <w:tc>
          <w:tcPr>
            <w:tcW w:w="1120" w:type="dxa"/>
            <w:tcBorders>
              <w:top w:val="nil"/>
              <w:left w:val="nil"/>
              <w:bottom w:val="single" w:sz="4" w:space="0" w:color="auto"/>
              <w:right w:val="nil"/>
            </w:tcBorders>
            <w:shd w:val="clear" w:color="auto" w:fill="auto"/>
            <w:vAlign w:val="center"/>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100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740" w:type="dxa"/>
            <w:tcBorders>
              <w:top w:val="nil"/>
              <w:left w:val="nil"/>
              <w:bottom w:val="single" w:sz="4" w:space="0" w:color="auto"/>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1100" w:type="dxa"/>
            <w:tcBorders>
              <w:top w:val="nil"/>
              <w:left w:val="nil"/>
              <w:bottom w:val="single" w:sz="4" w:space="0" w:color="auto"/>
              <w:right w:val="nil"/>
            </w:tcBorders>
            <w:shd w:val="clear" w:color="auto" w:fill="auto"/>
            <w:vAlign w:val="center"/>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102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Australia</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4F81BD"/>
                <w:sz w:val="20"/>
                <w:szCs w:val="20"/>
              </w:rPr>
            </w:pPr>
            <w:r w:rsidRPr="00560DD8">
              <w:rPr>
                <w:rFonts w:ascii="Times New Roman" w:eastAsia="Times New Roman" w:hAnsi="Times New Roman" w:cs="Times New Roman"/>
                <w:color w:val="4F81BD"/>
                <w:sz w:val="20"/>
                <w:szCs w:val="20"/>
              </w:rPr>
              <w:t>1.91</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b/>
                <w:bCs/>
                <w:color w:val="000000"/>
                <w:sz w:val="20"/>
                <w:szCs w:val="20"/>
              </w:rPr>
            </w:pPr>
            <w:r w:rsidRPr="00560DD8">
              <w:rPr>
                <w:rFonts w:ascii="Times New Roman" w:eastAsia="Times New Roman" w:hAnsi="Times New Roman" w:cs="Times New Roman"/>
                <w:b/>
                <w:bCs/>
                <w:color w:val="000000"/>
                <w:sz w:val="20"/>
                <w:szCs w:val="20"/>
              </w:rPr>
              <w:t>2.37</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0.50</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0.85</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Canada</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1.38</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1.45</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0.64</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0.77</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Germany</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4F81BD"/>
                <w:sz w:val="20"/>
                <w:szCs w:val="20"/>
              </w:rPr>
            </w:pPr>
            <w:r w:rsidRPr="00560DD8">
              <w:rPr>
                <w:rFonts w:ascii="Times New Roman" w:eastAsia="Times New Roman" w:hAnsi="Times New Roman" w:cs="Times New Roman"/>
                <w:color w:val="4F81BD"/>
                <w:sz w:val="20"/>
                <w:szCs w:val="20"/>
              </w:rPr>
              <w:t>1.93</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1.49</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0.46</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0.52</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Japan</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0.99</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0.87</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0.08</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-0.32</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United Kingdom</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1.41</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1.20</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0.62</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0.32</w:t>
            </w:r>
          </w:p>
        </w:tc>
      </w:tr>
      <w:tr w:rsidR="005A06CB" w:rsidRPr="00560DD8" w:rsidTr="00D0485F">
        <w:trPr>
          <w:trHeight w:val="240"/>
          <w:jc w:val="center"/>
        </w:trPr>
        <w:tc>
          <w:tcPr>
            <w:tcW w:w="242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United States</w:t>
            </w:r>
          </w:p>
        </w:tc>
        <w:tc>
          <w:tcPr>
            <w:tcW w:w="11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0.24</w:t>
            </w:r>
          </w:p>
        </w:tc>
        <w:tc>
          <w:tcPr>
            <w:tcW w:w="10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0.75</w:t>
            </w:r>
          </w:p>
        </w:tc>
        <w:tc>
          <w:tcPr>
            <w:tcW w:w="740" w:type="dxa"/>
            <w:tcBorders>
              <w:top w:val="nil"/>
              <w:left w:val="nil"/>
              <w:bottom w:val="nil"/>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p>
        </w:tc>
        <w:tc>
          <w:tcPr>
            <w:tcW w:w="110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0.24</w:t>
            </w:r>
          </w:p>
        </w:tc>
        <w:tc>
          <w:tcPr>
            <w:tcW w:w="1020" w:type="dxa"/>
            <w:tcBorders>
              <w:top w:val="nil"/>
              <w:left w:val="nil"/>
              <w:bottom w:val="nil"/>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0.75</w:t>
            </w:r>
          </w:p>
        </w:tc>
      </w:tr>
      <w:tr w:rsidR="005A06CB" w:rsidRPr="00560DD8" w:rsidTr="00D0485F">
        <w:trPr>
          <w:trHeight w:val="240"/>
          <w:jc w:val="center"/>
        </w:trPr>
        <w:tc>
          <w:tcPr>
            <w:tcW w:w="2420" w:type="dxa"/>
            <w:tcBorders>
              <w:top w:val="nil"/>
              <w:left w:val="nil"/>
              <w:bottom w:val="single" w:sz="4" w:space="0" w:color="auto"/>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Developed (6)</w:t>
            </w:r>
          </w:p>
        </w:tc>
        <w:tc>
          <w:tcPr>
            <w:tcW w:w="112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1.50</w:t>
            </w:r>
          </w:p>
        </w:tc>
        <w:tc>
          <w:tcPr>
            <w:tcW w:w="100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4F81BD"/>
                <w:sz w:val="20"/>
                <w:szCs w:val="20"/>
              </w:rPr>
            </w:pPr>
            <w:r w:rsidRPr="00560DD8">
              <w:rPr>
                <w:rFonts w:ascii="Times New Roman" w:eastAsia="Times New Roman" w:hAnsi="Times New Roman" w:cs="Times New Roman"/>
                <w:color w:val="4F81BD"/>
                <w:sz w:val="20"/>
                <w:szCs w:val="20"/>
              </w:rPr>
              <w:t>1.67</w:t>
            </w:r>
          </w:p>
        </w:tc>
        <w:tc>
          <w:tcPr>
            <w:tcW w:w="740" w:type="dxa"/>
            <w:tcBorders>
              <w:top w:val="nil"/>
              <w:left w:val="nil"/>
              <w:bottom w:val="single" w:sz="4" w:space="0" w:color="auto"/>
              <w:right w:val="nil"/>
            </w:tcBorders>
            <w:shd w:val="clear" w:color="auto" w:fill="auto"/>
            <w:noWrap/>
            <w:vAlign w:val="bottom"/>
            <w:hideMark/>
          </w:tcPr>
          <w:p w:rsidR="005A06CB" w:rsidRPr="00560DD8" w:rsidRDefault="005A06CB" w:rsidP="00D0485F">
            <w:pPr>
              <w:spacing w:after="0" w:line="240" w:lineRule="auto"/>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 </w:t>
            </w:r>
          </w:p>
        </w:tc>
        <w:tc>
          <w:tcPr>
            <w:tcW w:w="110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0.41</w:t>
            </w:r>
          </w:p>
        </w:tc>
        <w:tc>
          <w:tcPr>
            <w:tcW w:w="1020" w:type="dxa"/>
            <w:tcBorders>
              <w:top w:val="nil"/>
              <w:left w:val="nil"/>
              <w:bottom w:val="single" w:sz="4" w:space="0" w:color="auto"/>
              <w:right w:val="nil"/>
            </w:tcBorders>
            <w:shd w:val="clear" w:color="auto" w:fill="auto"/>
            <w:noWrap/>
            <w:vAlign w:val="center"/>
            <w:hideMark/>
          </w:tcPr>
          <w:p w:rsidR="005A06CB" w:rsidRPr="00560DD8" w:rsidRDefault="005A06CB" w:rsidP="00D0485F">
            <w:pPr>
              <w:spacing w:after="0" w:line="240" w:lineRule="auto"/>
              <w:jc w:val="center"/>
              <w:rPr>
                <w:rFonts w:ascii="Times New Roman" w:eastAsia="Times New Roman" w:hAnsi="Times New Roman" w:cs="Times New Roman"/>
                <w:color w:val="000000"/>
                <w:sz w:val="20"/>
                <w:szCs w:val="20"/>
              </w:rPr>
            </w:pPr>
            <w:r w:rsidRPr="00560DD8">
              <w:rPr>
                <w:rFonts w:ascii="Times New Roman" w:eastAsia="Times New Roman" w:hAnsi="Times New Roman" w:cs="Times New Roman"/>
                <w:color w:val="000000"/>
                <w:sz w:val="20"/>
                <w:szCs w:val="20"/>
              </w:rPr>
              <w:t>0.53</w:t>
            </w:r>
          </w:p>
        </w:tc>
      </w:tr>
    </w:tbl>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i/>
          <w:sz w:val="18"/>
          <w:szCs w:val="18"/>
        </w:rPr>
        <w:t>Notes</w:t>
      </w:r>
      <w:r w:rsidRPr="00CE22F6">
        <w:rPr>
          <w:rFonts w:ascii="Times New Roman" w:hAnsi="Times New Roman" w:cs="Times New Roman"/>
          <w:sz w:val="18"/>
          <w:szCs w:val="18"/>
        </w:rPr>
        <w:t xml:space="preserve">: This table shows t-values based on Newey-West standard errors for the β in the regression </w:t>
      </w:r>
    </w:p>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t>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α + βX</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ε</w:t>
      </w:r>
      <w:r w:rsidRPr="00CE22F6">
        <w:rPr>
          <w:rFonts w:ascii="Times New Roman" w:hAnsi="Times New Roman" w:cs="Times New Roman"/>
          <w:sz w:val="18"/>
          <w:szCs w:val="18"/>
          <w:vertAlign w:val="subscript"/>
        </w:rPr>
        <w:t>t</w:t>
      </w:r>
    </w:p>
    <w:p w:rsidR="00027ADB" w:rsidRDefault="005A06CB" w:rsidP="00027ADB">
      <w:pPr>
        <w:pStyle w:val="NoSpacing"/>
        <w:jc w:val="both"/>
        <w:rPr>
          <w:rFonts w:ascii="Times New Roman" w:hAnsi="Times New Roman" w:cs="Times New Roman"/>
          <w:sz w:val="18"/>
          <w:szCs w:val="18"/>
        </w:rPr>
      </w:pPr>
      <w:r w:rsidRPr="00CE22F6">
        <w:rPr>
          <w:rFonts w:ascii="Times New Roman" w:hAnsi="Times New Roman" w:cs="Times New Roman"/>
          <w:sz w:val="18"/>
          <w:szCs w:val="18"/>
        </w:rPr>
        <w:t>where Y</w:t>
      </w:r>
      <w:r w:rsidRPr="00CE22F6">
        <w:rPr>
          <w:rFonts w:ascii="Times New Roman" w:hAnsi="Times New Roman" w:cs="Times New Roman"/>
          <w:sz w:val="18"/>
          <w:szCs w:val="18"/>
          <w:vertAlign w:val="superscript"/>
        </w:rPr>
        <w:t>e</w:t>
      </w:r>
      <w:r w:rsidR="005F30B1">
        <w:rPr>
          <w:rFonts w:ascii="Times New Roman" w:hAnsi="Times New Roman" w:cs="Times New Roman"/>
          <w:sz w:val="18"/>
          <w:szCs w:val="18"/>
        </w:rPr>
        <w:t xml:space="preserve"> are residual</w:t>
      </w:r>
      <w:r w:rsidRPr="00CE22F6">
        <w:rPr>
          <w:rFonts w:ascii="Times New Roman" w:hAnsi="Times New Roman" w:cs="Times New Roman"/>
          <w:sz w:val="18"/>
          <w:szCs w:val="18"/>
        </w:rPr>
        <w:t xml:space="preserve"> bond</w:t>
      </w:r>
      <w:r w:rsidR="005F30B1">
        <w:rPr>
          <w:rFonts w:ascii="Times New Roman" w:hAnsi="Times New Roman" w:cs="Times New Roman"/>
          <w:sz w:val="18"/>
          <w:szCs w:val="18"/>
        </w:rPr>
        <w:t xml:space="preserve"> excess</w:t>
      </w:r>
      <w:r w:rsidRPr="00CE22F6">
        <w:rPr>
          <w:rFonts w:ascii="Times New Roman" w:hAnsi="Times New Roman" w:cs="Times New Roman"/>
          <w:sz w:val="18"/>
          <w:szCs w:val="18"/>
        </w:rPr>
        <w:t xml:space="preserve"> returns from the regression of quarterly </w:t>
      </w:r>
      <w:r>
        <w:rPr>
          <w:rFonts w:ascii="Times New Roman" w:hAnsi="Times New Roman" w:cs="Times New Roman"/>
          <w:sz w:val="18"/>
          <w:szCs w:val="18"/>
        </w:rPr>
        <w:t>nominal</w:t>
      </w:r>
      <w:r w:rsidRPr="00CE22F6">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Pr="00CE22F6">
        <w:rPr>
          <w:rFonts w:ascii="Times New Roman" w:hAnsi="Times New Roman" w:cs="Times New Roman"/>
          <w:sz w:val="18"/>
          <w:szCs w:val="18"/>
        </w:rPr>
        <w:t>returns on (national or US) inflation</w:t>
      </w:r>
      <w:r w:rsidR="005F30B1">
        <w:rPr>
          <w:rFonts w:ascii="Times New Roman" w:hAnsi="Times New Roman" w:cs="Times New Roman"/>
          <w:sz w:val="18"/>
          <w:szCs w:val="18"/>
        </w:rPr>
        <w:t xml:space="preserve"> (Table 4.12)</w:t>
      </w:r>
      <w:r w:rsidRPr="00CE22F6">
        <w:rPr>
          <w:rFonts w:ascii="Times New Roman" w:hAnsi="Times New Roman" w:cs="Times New Roman"/>
          <w:sz w:val="18"/>
          <w:szCs w:val="18"/>
        </w:rPr>
        <w:t xml:space="preserve">. X depends on the seasonal pattern tested. </w:t>
      </w:r>
      <w:r w:rsidR="005F30B1" w:rsidRPr="001221C6">
        <w:rPr>
          <w:rFonts w:ascii="Times New Roman" w:hAnsi="Times New Roman" w:cs="Times New Roman"/>
          <w:sz w:val="18"/>
          <w:szCs w:val="18"/>
        </w:rPr>
        <w:t xml:space="preserve">In case of H1 H2, X is a dummy that takes on the value of 1 for </w:t>
      </w:r>
      <w:r w:rsidR="005F30B1">
        <w:rPr>
          <w:rFonts w:ascii="Times New Roman" w:hAnsi="Times New Roman" w:cs="Times New Roman"/>
          <w:sz w:val="18"/>
          <w:szCs w:val="18"/>
        </w:rPr>
        <w:t xml:space="preserve">Q3 and Q4 and 0 </w:t>
      </w:r>
      <w:r w:rsidR="005F30B1" w:rsidRPr="00D77F49">
        <w:rPr>
          <w:rFonts w:ascii="Times New Roman" w:hAnsi="Times New Roman" w:cs="Times New Roman"/>
          <w:sz w:val="18"/>
          <w:szCs w:val="18"/>
        </w:rPr>
        <w:t xml:space="preserve">otherwise. The SAD factor is built </w:t>
      </w:r>
      <w:r w:rsidR="005F30B1">
        <w:rPr>
          <w:rFonts w:ascii="Times New Roman" w:hAnsi="Times New Roman" w:cs="Times New Roman"/>
          <w:sz w:val="18"/>
          <w:szCs w:val="18"/>
        </w:rPr>
        <w:t xml:space="preserve">from the 12 monthly values from </w:t>
      </w:r>
      <w:r w:rsidR="005F30B1" w:rsidRPr="00D77F49">
        <w:rPr>
          <w:rFonts w:ascii="Times New Roman" w:hAnsi="Times New Roman" w:cs="Times New Roman"/>
          <w:sz w:val="18"/>
          <w:szCs w:val="18"/>
        </w:rPr>
        <w:t>Kamstra, Kramer, and Levi (2014) paper as the three-month average corresponding to each quarter</w:t>
      </w:r>
      <w:r w:rsidR="005F30B1">
        <w:rPr>
          <w:rFonts w:ascii="Times New Roman" w:hAnsi="Times New Roman" w:cs="Times New Roman"/>
          <w:sz w:val="18"/>
          <w:szCs w:val="18"/>
        </w:rPr>
        <w:t xml:space="preserve">. </w:t>
      </w:r>
      <w:r w:rsidR="003E7DCD" w:rsidRPr="00523B5F">
        <w:rPr>
          <w:rFonts w:ascii="Times New Roman" w:hAnsi="Times New Roman" w:cs="Times New Roman"/>
          <w:sz w:val="18"/>
          <w:szCs w:val="18"/>
        </w:rPr>
        <w:t xml:space="preserve">The Developed portfolio is based on equally-weighting the </w:t>
      </w:r>
      <w:r w:rsidR="003E7DCD">
        <w:rPr>
          <w:rFonts w:ascii="Times New Roman" w:hAnsi="Times New Roman" w:cs="Times New Roman"/>
          <w:sz w:val="18"/>
          <w:szCs w:val="18"/>
        </w:rPr>
        <w:t>six countries provided data are available</w:t>
      </w:r>
      <w:r w:rsidR="003E7DCD" w:rsidRPr="00523B5F">
        <w:rPr>
          <w:rFonts w:ascii="Times New Roman" w:hAnsi="Times New Roman" w:cs="Times New Roman"/>
          <w:sz w:val="18"/>
          <w:szCs w:val="18"/>
        </w:rPr>
        <w:t>.</w:t>
      </w:r>
      <w:r w:rsidR="003E7DCD">
        <w:rPr>
          <w:rFonts w:ascii="Times New Roman" w:hAnsi="Times New Roman" w:cs="Times New Roman"/>
          <w:sz w:val="18"/>
          <w:szCs w:val="18"/>
        </w:rPr>
        <w:t xml:space="preserve"> </w:t>
      </w:r>
      <w:r w:rsidR="005F30B1" w:rsidRPr="00523B5F">
        <w:rPr>
          <w:rFonts w:ascii="Times New Roman" w:hAnsi="Times New Roman" w:cs="Times New Roman"/>
          <w:sz w:val="18"/>
          <w:szCs w:val="18"/>
        </w:rPr>
        <w:t>The analysis</w:t>
      </w:r>
      <w:r w:rsidR="005F30B1">
        <w:rPr>
          <w:rFonts w:ascii="Times New Roman" w:hAnsi="Times New Roman" w:cs="Times New Roman"/>
          <w:sz w:val="18"/>
          <w:szCs w:val="18"/>
        </w:rPr>
        <w:t xml:space="preserve"> is conducted on quarterly data for the sa</w:t>
      </w:r>
      <w:r w:rsidR="005F30B1" w:rsidRPr="00523B5F">
        <w:rPr>
          <w:rFonts w:ascii="Times New Roman" w:hAnsi="Times New Roman" w:cs="Times New Roman"/>
          <w:sz w:val="18"/>
          <w:szCs w:val="18"/>
        </w:rPr>
        <w:t>mples of nominal bond excess</w:t>
      </w:r>
      <w:r w:rsidR="005F30B1">
        <w:rPr>
          <w:rFonts w:ascii="Times New Roman" w:hAnsi="Times New Roman" w:cs="Times New Roman"/>
          <w:sz w:val="18"/>
          <w:szCs w:val="18"/>
        </w:rPr>
        <w:t xml:space="preserve"> returns depicted in Table 3.1.</w:t>
      </w:r>
      <w:r w:rsidRPr="00CE22F6">
        <w:rPr>
          <w:rFonts w:ascii="Times New Roman" w:hAnsi="Times New Roman" w:cs="Times New Roman"/>
          <w:sz w:val="18"/>
          <w:szCs w:val="18"/>
        </w:rPr>
        <w:t xml:space="preserve"> </w:t>
      </w:r>
      <w:r w:rsidR="00027ADB" w:rsidRPr="001221C6">
        <w:rPr>
          <w:rFonts w:ascii="Times New Roman" w:hAnsi="Times New Roman" w:cs="Times New Roman"/>
          <w:sz w:val="18"/>
          <w:szCs w:val="18"/>
        </w:rPr>
        <w:t xml:space="preserve">The numbers in </w:t>
      </w:r>
      <w:r w:rsidR="00027ADB" w:rsidRPr="001221C6">
        <w:rPr>
          <w:rFonts w:ascii="Times New Roman" w:hAnsi="Times New Roman" w:cs="Times New Roman"/>
          <w:b/>
          <w:sz w:val="18"/>
          <w:szCs w:val="18"/>
        </w:rPr>
        <w:t>Bold</w:t>
      </w:r>
      <w:r w:rsidR="00027ADB" w:rsidRPr="001221C6">
        <w:rPr>
          <w:rFonts w:ascii="Times New Roman" w:hAnsi="Times New Roman" w:cs="Times New Roman"/>
          <w:sz w:val="18"/>
          <w:szCs w:val="18"/>
        </w:rPr>
        <w:t xml:space="preserve"> show statistical significance at 5% significance level, while those in </w:t>
      </w:r>
      <w:r w:rsidR="00027ADB" w:rsidRPr="00702174">
        <w:rPr>
          <w:rFonts w:ascii="Times New Roman" w:eastAsia="Times New Roman" w:hAnsi="Times New Roman" w:cs="Times New Roman"/>
          <w:color w:val="4F81BD"/>
          <w:sz w:val="18"/>
          <w:szCs w:val="18"/>
        </w:rPr>
        <w:t>Blue</w:t>
      </w:r>
      <w:r w:rsidR="00027ADB" w:rsidRPr="00702174">
        <w:rPr>
          <w:rFonts w:ascii="Times New Roman" w:eastAsia="Times New Roman" w:hAnsi="Times New Roman" w:cs="Times New Roman"/>
          <w:color w:val="4F81BD"/>
          <w:sz w:val="20"/>
          <w:szCs w:val="20"/>
        </w:rPr>
        <w:t xml:space="preserve"> </w:t>
      </w:r>
      <w:r w:rsidR="00027ADB" w:rsidRPr="001221C6">
        <w:rPr>
          <w:rFonts w:ascii="Times New Roman" w:hAnsi="Times New Roman" w:cs="Times New Roman"/>
          <w:sz w:val="18"/>
          <w:szCs w:val="18"/>
        </w:rPr>
        <w:t>at 10% significance level.</w:t>
      </w:r>
    </w:p>
    <w:p w:rsidR="005A06CB" w:rsidRPr="00CE22F6" w:rsidRDefault="005A06CB" w:rsidP="005A06CB">
      <w:pPr>
        <w:pStyle w:val="NoSpacing"/>
        <w:jc w:val="both"/>
        <w:rPr>
          <w:rFonts w:ascii="Times New Roman" w:hAnsi="Times New Roman" w:cs="Times New Roman"/>
          <w:sz w:val="18"/>
          <w:szCs w:val="18"/>
        </w:rPr>
      </w:pPr>
    </w:p>
    <w:p w:rsidR="005A06CB" w:rsidRDefault="005A06CB" w:rsidP="005A06CB">
      <w:pPr>
        <w:spacing w:after="0" w:line="240" w:lineRule="auto"/>
        <w:jc w:val="center"/>
        <w:rPr>
          <w:rFonts w:ascii="Times New Roman" w:hAnsi="Times New Roman" w:cs="Times New Roman"/>
        </w:rPr>
      </w:pPr>
    </w:p>
    <w:p w:rsidR="005A06CB" w:rsidRPr="00B75CDD"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The results of the conducted regressions show that after </w:t>
      </w:r>
      <w:r w:rsidRPr="00B75CDD">
        <w:rPr>
          <w:rFonts w:ascii="Times New Roman" w:hAnsi="Times New Roman" w:cs="Times New Roman"/>
        </w:rPr>
        <w:t>accounting for the possible noise in bond and inflation data as well as possible time-varying response times of bond prices t</w:t>
      </w:r>
      <w:r>
        <w:rPr>
          <w:rFonts w:ascii="Times New Roman" w:hAnsi="Times New Roman" w:cs="Times New Roman"/>
        </w:rPr>
        <w:t>o inflation, the</w:t>
      </w:r>
      <w:r w:rsidRPr="00B75CDD">
        <w:rPr>
          <w:rFonts w:ascii="Times New Roman" w:hAnsi="Times New Roman" w:cs="Times New Roman"/>
        </w:rPr>
        <w:t xml:space="preserve"> seasonality in bond returns is largely driven by seasonality in inflation.</w:t>
      </w:r>
    </w:p>
    <w:p w:rsidR="005A06CB" w:rsidRDefault="005A06CB" w:rsidP="005A06CB">
      <w:pPr>
        <w:spacing w:after="0" w:line="240" w:lineRule="auto"/>
        <w:jc w:val="both"/>
        <w:rPr>
          <w:rFonts w:ascii="Times New Roman" w:hAnsi="Times New Roman" w:cs="Times New Roman"/>
        </w:rPr>
      </w:pPr>
      <w:r>
        <w:rPr>
          <w:rFonts w:ascii="Times New Roman" w:hAnsi="Times New Roman" w:cs="Times New Roman"/>
        </w:rPr>
        <w:tab/>
      </w:r>
    </w:p>
    <w:p w:rsidR="005A06CB" w:rsidRDefault="00BC7F37" w:rsidP="00BC7F37">
      <w:pPr>
        <w:pStyle w:val="Heading2"/>
        <w:ind w:left="180"/>
      </w:pPr>
      <w:bookmarkStart w:id="48" w:name="_Toc396762715"/>
      <w:r>
        <w:t xml:space="preserve">4.3 </w:t>
      </w:r>
      <w:r w:rsidR="005A06CB">
        <w:t>ILB – Comparator analysis</w:t>
      </w:r>
      <w:bookmarkEnd w:id="48"/>
    </w:p>
    <w:p w:rsidR="005A06CB" w:rsidRDefault="005A06CB" w:rsidP="005A06CB">
      <w:pPr>
        <w:spacing w:after="0" w:line="360" w:lineRule="auto"/>
        <w:ind w:firstLine="720"/>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sidRPr="007E753E">
        <w:rPr>
          <w:rFonts w:ascii="Times New Roman" w:hAnsi="Times New Roman" w:cs="Times New Roman"/>
          <w:lang w:val="en-GB"/>
        </w:rPr>
        <w:t>The analysis which was focused so far on nominal bonds brings the following conclusions. There is a statistically significant seasonal pattern in nominal bon</w:t>
      </w:r>
      <w:r>
        <w:rPr>
          <w:rFonts w:ascii="Times New Roman" w:hAnsi="Times New Roman" w:cs="Times New Roman"/>
          <w:lang w:val="en-GB"/>
        </w:rPr>
        <w:t>d</w:t>
      </w:r>
      <w:r w:rsidRPr="007E753E">
        <w:rPr>
          <w:rFonts w:ascii="Times New Roman" w:hAnsi="Times New Roman" w:cs="Times New Roman"/>
          <w:lang w:val="en-GB"/>
        </w:rPr>
        <w:t xml:space="preserve"> returns which is consistent with higher returns in the second half of the year compared to the first one (H1 H2). A complementary effect was documented on inflation rates (higher inflation rates in the first half of the year). Tests have shown that</w:t>
      </w:r>
      <w:r>
        <w:rPr>
          <w:rFonts w:ascii="Times New Roman" w:hAnsi="Times New Roman" w:cs="Times New Roman"/>
        </w:rPr>
        <w:t xml:space="preserve"> seasonality in inflation rate captures the seasonality in bond returns and that SAD hypothesis of KKL </w:t>
      </w:r>
      <w:r>
        <w:rPr>
          <w:rFonts w:ascii="Times New Roman" w:hAnsi="Times New Roman" w:cs="Times New Roman"/>
        </w:rPr>
        <w:lastRenderedPageBreak/>
        <w:t>does not hold across the six considered countries. The results suggest</w:t>
      </w:r>
      <w:r w:rsidRPr="00F32311">
        <w:rPr>
          <w:rFonts w:ascii="Times New Roman" w:hAnsi="Times New Roman" w:cs="Times New Roman"/>
        </w:rPr>
        <w:t xml:space="preserve"> that nominal bond investors do not properly take into account seasonal variation in inflation. A possible explanation is that </w:t>
      </w:r>
      <w:r>
        <w:rPr>
          <w:rFonts w:ascii="Times New Roman" w:hAnsi="Times New Roman" w:cs="Times New Roman"/>
        </w:rPr>
        <w:t>market participants f</w:t>
      </w:r>
      <w:r w:rsidRPr="00F32311">
        <w:rPr>
          <w:rFonts w:ascii="Times New Roman" w:hAnsi="Times New Roman" w:cs="Times New Roman"/>
        </w:rPr>
        <w:t>ocus on the season</w:t>
      </w:r>
      <w:r w:rsidR="00AC2EF2">
        <w:rPr>
          <w:rFonts w:ascii="Times New Roman" w:hAnsi="Times New Roman" w:cs="Times New Roman"/>
        </w:rPr>
        <w:t>ally-</w:t>
      </w:r>
      <w:r>
        <w:rPr>
          <w:rFonts w:ascii="Times New Roman" w:hAnsi="Times New Roman" w:cs="Times New Roman"/>
        </w:rPr>
        <w:t xml:space="preserve">adjusted inflation figures which capture the underlying inflationary trends. </w:t>
      </w:r>
    </w:p>
    <w:p w:rsidR="005A06CB" w:rsidRDefault="005A06CB" w:rsidP="005A06CB">
      <w:pPr>
        <w:spacing w:after="0" w:line="360" w:lineRule="auto"/>
        <w:ind w:firstLine="720"/>
        <w:jc w:val="both"/>
        <w:rPr>
          <w:rFonts w:ascii="Times New Roman" w:hAnsi="Times New Roman" w:cs="Times New Roman"/>
          <w:noProof/>
        </w:rPr>
      </w:pPr>
      <w:r>
        <w:rPr>
          <w:rFonts w:ascii="Times New Roman" w:hAnsi="Times New Roman" w:cs="Times New Roman"/>
        </w:rPr>
        <w:t xml:space="preserve">Taken into account the above conclusions, a close investigation of the seasonal pattern of ILBs is important as it can validate or invalidate previous results. As </w:t>
      </w:r>
      <w:r w:rsidR="003E7DCD">
        <w:rPr>
          <w:rFonts w:ascii="Times New Roman" w:hAnsi="Times New Roman" w:cs="Times New Roman"/>
        </w:rPr>
        <w:t>the cash-</w:t>
      </w:r>
      <w:r w:rsidRPr="00E63229">
        <w:rPr>
          <w:rFonts w:ascii="Times New Roman" w:hAnsi="Times New Roman" w:cs="Times New Roman"/>
        </w:rPr>
        <w:t xml:space="preserve">flows (coupon payments and principal) </w:t>
      </w:r>
      <w:r>
        <w:rPr>
          <w:rFonts w:ascii="Times New Roman" w:hAnsi="Times New Roman" w:cs="Times New Roman"/>
        </w:rPr>
        <w:t>of these instruments are indexed to the growth of a</w:t>
      </w:r>
      <w:r w:rsidRPr="00E63229">
        <w:rPr>
          <w:rFonts w:ascii="Times New Roman" w:hAnsi="Times New Roman" w:cs="Times New Roman"/>
        </w:rPr>
        <w:t xml:space="preserve"> </w:t>
      </w:r>
      <w:r>
        <w:rPr>
          <w:rFonts w:ascii="Times New Roman" w:hAnsi="Times New Roman" w:cs="Times New Roman"/>
        </w:rPr>
        <w:t xml:space="preserve">non-seasonally adjusted </w:t>
      </w:r>
      <w:r w:rsidRPr="00E63229">
        <w:rPr>
          <w:rFonts w:ascii="Times New Roman" w:hAnsi="Times New Roman" w:cs="Times New Roman"/>
        </w:rPr>
        <w:t>official price index</w:t>
      </w:r>
      <w:r>
        <w:rPr>
          <w:rFonts w:ascii="Times New Roman" w:hAnsi="Times New Roman" w:cs="Times New Roman"/>
        </w:rPr>
        <w:t xml:space="preserve"> over the life of the bond, the inflation-linked bond market should automatically adjust to consumer price dynamics. </w:t>
      </w:r>
      <w:r>
        <w:rPr>
          <w:rFonts w:ascii="Times New Roman" w:hAnsi="Times New Roman" w:cs="Times New Roman"/>
          <w:noProof/>
        </w:rPr>
        <w:t>As ILB prices constantly incorporate inflation rates, these prices should not react to the inflation rate, contrary to nominal bonds. Expected inflation and inflation risk are components of n</w:t>
      </w:r>
      <w:r w:rsidRPr="00F913F8">
        <w:rPr>
          <w:rFonts w:ascii="Times New Roman" w:hAnsi="Times New Roman" w:cs="Times New Roman"/>
          <w:noProof/>
        </w:rPr>
        <w:t xml:space="preserve">ominal bond </w:t>
      </w:r>
      <w:r>
        <w:rPr>
          <w:rFonts w:ascii="Times New Roman" w:hAnsi="Times New Roman" w:cs="Times New Roman"/>
          <w:noProof/>
        </w:rPr>
        <w:t xml:space="preserve">returns. The construction of nominal bond indices with similar characteristics as inflation-linked bonds by Barclays called comparators facilitates the analysis as it offers the possibility to investigate if real and nominal bond indices with similar constituents display a seasonal pattern in returns for the same sample period. </w:t>
      </w:r>
    </w:p>
    <w:p w:rsidR="005A06CB" w:rsidRDefault="005A06CB" w:rsidP="005A06CB">
      <w:pPr>
        <w:pStyle w:val="NoSpacing"/>
        <w:spacing w:line="360" w:lineRule="auto"/>
        <w:ind w:firstLine="720"/>
        <w:jc w:val="both"/>
        <w:rPr>
          <w:rFonts w:ascii="Times New Roman" w:hAnsi="Times New Roman" w:cs="Times New Roman"/>
        </w:rPr>
      </w:pPr>
      <w:r w:rsidRPr="00743EBA">
        <w:rPr>
          <w:rFonts w:ascii="Times New Roman" w:hAnsi="Times New Roman" w:cs="Times New Roman"/>
          <w:noProof/>
        </w:rPr>
        <w:t xml:space="preserve"> </w:t>
      </w:r>
      <w:r w:rsidRPr="00F32311">
        <w:rPr>
          <w:rFonts w:ascii="Times New Roman" w:hAnsi="Times New Roman" w:cs="Times New Roman"/>
        </w:rPr>
        <w:t>A disadvantage</w:t>
      </w:r>
      <w:r w:rsidR="003E7DCD">
        <w:rPr>
          <w:rFonts w:ascii="Times New Roman" w:hAnsi="Times New Roman" w:cs="Times New Roman"/>
        </w:rPr>
        <w:t xml:space="preserve"> of analys</w:t>
      </w:r>
      <w:r>
        <w:rPr>
          <w:rFonts w:ascii="Times New Roman" w:hAnsi="Times New Roman" w:cs="Times New Roman"/>
        </w:rPr>
        <w:t xml:space="preserve">ing inflation-linked bonds is the </w:t>
      </w:r>
      <w:r w:rsidRPr="00F32311">
        <w:rPr>
          <w:rFonts w:ascii="Times New Roman" w:hAnsi="Times New Roman" w:cs="Times New Roman"/>
        </w:rPr>
        <w:t xml:space="preserve">limited data as shown in </w:t>
      </w:r>
      <w:r w:rsidRPr="00027ADB">
        <w:rPr>
          <w:rFonts w:ascii="Times New Roman" w:hAnsi="Times New Roman" w:cs="Times New Roman"/>
        </w:rPr>
        <w:t xml:space="preserve">Table </w:t>
      </w:r>
      <w:r w:rsidR="00027ADB">
        <w:rPr>
          <w:rFonts w:ascii="Times New Roman" w:hAnsi="Times New Roman" w:cs="Times New Roman"/>
        </w:rPr>
        <w:t>3.1</w:t>
      </w:r>
      <w:r w:rsidRPr="00F32311">
        <w:rPr>
          <w:rFonts w:ascii="Times New Roman" w:hAnsi="Times New Roman" w:cs="Times New Roman"/>
        </w:rPr>
        <w:t>.</w:t>
      </w:r>
    </w:p>
    <w:p w:rsidR="005A06CB" w:rsidRDefault="005A06CB" w:rsidP="005A06CB">
      <w:pPr>
        <w:pStyle w:val="NoSpacing"/>
        <w:spacing w:line="360" w:lineRule="auto"/>
        <w:ind w:firstLine="720"/>
        <w:jc w:val="both"/>
        <w:rPr>
          <w:rFonts w:ascii="Times New Roman" w:hAnsi="Times New Roman" w:cs="Times New Roman"/>
        </w:rPr>
      </w:pPr>
    </w:p>
    <w:p w:rsidR="005A06CB" w:rsidRDefault="00027ADB" w:rsidP="00027ADB">
      <w:pPr>
        <w:pStyle w:val="NoSpacing"/>
        <w:spacing w:after="120" w:line="360" w:lineRule="auto"/>
        <w:jc w:val="center"/>
        <w:rPr>
          <w:rFonts w:ascii="Times New Roman" w:hAnsi="Times New Roman" w:cs="Times New Roman"/>
        </w:rPr>
      </w:pPr>
      <w:r>
        <w:rPr>
          <w:rFonts w:ascii="Times New Roman" w:hAnsi="Times New Roman" w:cs="Times New Roman"/>
        </w:rPr>
        <w:t>Table 4.14</w:t>
      </w:r>
      <w:r w:rsidR="005A06CB">
        <w:rPr>
          <w:rFonts w:ascii="Times New Roman" w:hAnsi="Times New Roman" w:cs="Times New Roman"/>
        </w:rPr>
        <w:t xml:space="preserve">: </w:t>
      </w:r>
      <w:r w:rsidR="005A06CB" w:rsidRPr="007F46A6">
        <w:rPr>
          <w:rFonts w:ascii="Times New Roman" w:hAnsi="Times New Roman" w:cs="Times New Roman"/>
        </w:rPr>
        <w:t xml:space="preserve">Seasonality in </w:t>
      </w:r>
      <w:r w:rsidR="003E7DCD">
        <w:rPr>
          <w:rFonts w:ascii="Times New Roman" w:hAnsi="Times New Roman" w:cs="Times New Roman"/>
        </w:rPr>
        <w:t>Comparator and Inflation-L</w:t>
      </w:r>
      <w:r w:rsidR="005A06CB">
        <w:rPr>
          <w:rFonts w:ascii="Times New Roman" w:hAnsi="Times New Roman" w:cs="Times New Roman"/>
        </w:rPr>
        <w:t>inked</w:t>
      </w:r>
      <w:r w:rsidR="003E7DCD">
        <w:rPr>
          <w:rFonts w:ascii="Times New Roman" w:hAnsi="Times New Roman" w:cs="Times New Roman"/>
        </w:rPr>
        <w:t xml:space="preserve"> B</w:t>
      </w:r>
      <w:r w:rsidR="005A06CB" w:rsidRPr="007F46A6">
        <w:rPr>
          <w:rFonts w:ascii="Times New Roman" w:hAnsi="Times New Roman" w:cs="Times New Roman"/>
        </w:rPr>
        <w:t xml:space="preserve">ond </w:t>
      </w:r>
      <w:r w:rsidR="003E7DCD">
        <w:rPr>
          <w:rFonts w:ascii="Times New Roman" w:hAnsi="Times New Roman" w:cs="Times New Roman"/>
        </w:rPr>
        <w:t>R</w:t>
      </w:r>
      <w:r w:rsidR="005A06CB" w:rsidRPr="007F46A6">
        <w:rPr>
          <w:rFonts w:ascii="Times New Roman" w:hAnsi="Times New Roman" w:cs="Times New Roman"/>
        </w:rPr>
        <w:t>eturns</w:t>
      </w:r>
    </w:p>
    <w:tbl>
      <w:tblPr>
        <w:tblW w:w="5940" w:type="dxa"/>
        <w:jc w:val="center"/>
        <w:tblInd w:w="98" w:type="dxa"/>
        <w:tblLook w:val="04A0"/>
      </w:tblPr>
      <w:tblGrid>
        <w:gridCol w:w="2100"/>
        <w:gridCol w:w="960"/>
        <w:gridCol w:w="960"/>
        <w:gridCol w:w="960"/>
        <w:gridCol w:w="1083"/>
      </w:tblGrid>
      <w:tr w:rsidR="005A06CB" w:rsidRPr="00C406E6" w:rsidTr="00D0485F">
        <w:trPr>
          <w:trHeight w:val="300"/>
          <w:jc w:val="center"/>
        </w:trPr>
        <w:tc>
          <w:tcPr>
            <w:tcW w:w="2100" w:type="dxa"/>
            <w:vMerge w:val="restart"/>
            <w:tcBorders>
              <w:top w:val="single" w:sz="4" w:space="0" w:color="auto"/>
              <w:left w:val="nil"/>
              <w:bottom w:val="single" w:sz="4" w:space="0" w:color="000000"/>
              <w:right w:val="nil"/>
            </w:tcBorders>
            <w:shd w:val="clear" w:color="auto" w:fill="auto"/>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Country</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January</w:t>
            </w:r>
          </w:p>
        </w:tc>
        <w:tc>
          <w:tcPr>
            <w:tcW w:w="960" w:type="dxa"/>
            <w:vMerge w:val="restart"/>
            <w:tcBorders>
              <w:top w:val="single" w:sz="4" w:space="0" w:color="auto"/>
              <w:left w:val="nil"/>
              <w:bottom w:val="single" w:sz="4" w:space="0" w:color="000000"/>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H1 H2</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SAD</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Inverted Halloween</w:t>
            </w:r>
          </w:p>
        </w:tc>
      </w:tr>
      <w:tr w:rsidR="005A06CB" w:rsidRPr="00C406E6" w:rsidTr="00D0485F">
        <w:trPr>
          <w:trHeight w:val="300"/>
          <w:jc w:val="center"/>
        </w:trPr>
        <w:tc>
          <w:tcPr>
            <w:tcW w:w="2100" w:type="dxa"/>
            <w:vMerge/>
            <w:tcBorders>
              <w:top w:val="single" w:sz="4" w:space="0" w:color="auto"/>
              <w:left w:val="nil"/>
              <w:bottom w:val="single" w:sz="4" w:space="0" w:color="000000"/>
              <w:right w:val="nil"/>
            </w:tcBorders>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960" w:type="dxa"/>
            <w:vMerge/>
            <w:tcBorders>
              <w:top w:val="single" w:sz="4" w:space="0" w:color="auto"/>
              <w:left w:val="nil"/>
              <w:bottom w:val="single" w:sz="4" w:space="0" w:color="000000"/>
              <w:right w:val="nil"/>
            </w:tcBorders>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960" w:type="dxa"/>
            <w:vMerge/>
            <w:tcBorders>
              <w:top w:val="single" w:sz="4" w:space="0" w:color="auto"/>
              <w:left w:val="nil"/>
              <w:bottom w:val="single" w:sz="4" w:space="0" w:color="000000"/>
              <w:right w:val="nil"/>
            </w:tcBorders>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960" w:type="dxa"/>
            <w:vMerge/>
            <w:tcBorders>
              <w:top w:val="single" w:sz="4" w:space="0" w:color="auto"/>
              <w:left w:val="nil"/>
              <w:bottom w:val="single" w:sz="4" w:space="0" w:color="000000"/>
              <w:right w:val="nil"/>
            </w:tcBorders>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p>
        </w:tc>
        <w:tc>
          <w:tcPr>
            <w:tcW w:w="960" w:type="dxa"/>
            <w:vMerge/>
            <w:tcBorders>
              <w:top w:val="single" w:sz="4" w:space="0" w:color="auto"/>
              <w:left w:val="nil"/>
              <w:bottom w:val="single" w:sz="4" w:space="0" w:color="000000"/>
              <w:right w:val="nil"/>
            </w:tcBorders>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p>
        </w:tc>
      </w:tr>
      <w:tr w:rsidR="005A06CB" w:rsidRPr="00C406E6" w:rsidTr="00D0485F">
        <w:trPr>
          <w:trHeight w:val="300"/>
          <w:jc w:val="center"/>
        </w:trPr>
        <w:tc>
          <w:tcPr>
            <w:tcW w:w="4980" w:type="dxa"/>
            <w:gridSpan w:val="4"/>
            <w:tcBorders>
              <w:top w:val="single" w:sz="4" w:space="0" w:color="auto"/>
              <w:left w:val="nil"/>
              <w:bottom w:val="single" w:sz="4" w:space="0" w:color="auto"/>
              <w:right w:val="nil"/>
            </w:tcBorders>
            <w:shd w:val="clear" w:color="auto" w:fill="auto"/>
            <w:vAlign w:val="center"/>
            <w:hideMark/>
          </w:tcPr>
          <w:p w:rsidR="005A06CB" w:rsidRPr="00C406E6" w:rsidRDefault="005A06CB" w:rsidP="00D0485F">
            <w:pPr>
              <w:spacing w:after="0" w:line="240" w:lineRule="auto"/>
              <w:rPr>
                <w:rFonts w:ascii="Times New Roman" w:eastAsia="Times New Roman" w:hAnsi="Times New Roman" w:cs="Times New Roman"/>
                <w:i/>
                <w:iCs/>
                <w:color w:val="000000"/>
                <w:sz w:val="20"/>
                <w:szCs w:val="20"/>
                <w:lang w:val="en-GB" w:eastAsia="en-GB"/>
              </w:rPr>
            </w:pPr>
            <w:r w:rsidRPr="00C406E6">
              <w:rPr>
                <w:rFonts w:ascii="Times New Roman" w:eastAsia="Times New Roman" w:hAnsi="Times New Roman" w:cs="Times New Roman"/>
                <w:i/>
                <w:iCs/>
                <w:color w:val="000000"/>
                <w:sz w:val="20"/>
                <w:szCs w:val="20"/>
                <w:lang w:val="en-GB" w:eastAsia="en-GB"/>
              </w:rPr>
              <w:t>Panel A:Comparator Excess Returns - Monthly frequency</w:t>
            </w:r>
          </w:p>
        </w:tc>
        <w:tc>
          <w:tcPr>
            <w:tcW w:w="960" w:type="dxa"/>
            <w:tcBorders>
              <w:top w:val="nil"/>
              <w:left w:val="nil"/>
              <w:bottom w:val="single" w:sz="4" w:space="0" w:color="auto"/>
              <w:right w:val="nil"/>
            </w:tcBorders>
            <w:shd w:val="clear" w:color="auto" w:fill="auto"/>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 </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Australia</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-1.03</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1.37</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1.52</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1.30</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Canada</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C406E6">
              <w:rPr>
                <w:rFonts w:ascii="Times New Roman" w:eastAsia="Times New Roman" w:hAnsi="Times New Roman" w:cs="Times New Roman"/>
                <w:b/>
                <w:bCs/>
                <w:color w:val="000000"/>
                <w:sz w:val="20"/>
                <w:szCs w:val="20"/>
                <w:lang w:val="en-GB" w:eastAsia="en-GB"/>
              </w:rPr>
              <w:t>-2.21</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1.90</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1.65</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1.07</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Germany</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-0.47</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1.94</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1.37</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0.93</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Japan</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-0.52</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1.85</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1.08</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0.63</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United Kingdom</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-1.16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C406E6">
              <w:rPr>
                <w:rFonts w:ascii="Times New Roman" w:eastAsia="Times New Roman" w:hAnsi="Times New Roman" w:cs="Times New Roman"/>
                <w:b/>
                <w:bCs/>
                <w:color w:val="000000"/>
                <w:sz w:val="20"/>
                <w:szCs w:val="20"/>
                <w:lang w:val="en-GB" w:eastAsia="en-GB"/>
              </w:rPr>
              <w:t>2.46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1.36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0.84</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United States</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-0.66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C406E6">
              <w:rPr>
                <w:rFonts w:ascii="Times New Roman" w:eastAsia="Times New Roman" w:hAnsi="Times New Roman" w:cs="Times New Roman"/>
                <w:b/>
                <w:bCs/>
                <w:color w:val="000000"/>
                <w:sz w:val="20"/>
                <w:szCs w:val="20"/>
                <w:lang w:val="en-GB" w:eastAsia="en-GB"/>
              </w:rPr>
              <w:t>2.03</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C406E6">
              <w:rPr>
                <w:rFonts w:ascii="Times New Roman" w:eastAsia="Times New Roman" w:hAnsi="Times New Roman" w:cs="Times New Roman"/>
                <w:b/>
                <w:bCs/>
                <w:color w:val="000000"/>
                <w:sz w:val="20"/>
                <w:szCs w:val="20"/>
                <w:lang w:val="en-GB" w:eastAsia="en-GB"/>
              </w:rPr>
              <w:t>3.05</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b/>
                <w:bCs/>
                <w:color w:val="000000"/>
                <w:sz w:val="20"/>
                <w:szCs w:val="20"/>
                <w:lang w:val="en-GB" w:eastAsia="en-GB"/>
              </w:rPr>
            </w:pPr>
            <w:r w:rsidRPr="00C406E6">
              <w:rPr>
                <w:rFonts w:ascii="Times New Roman" w:eastAsia="Times New Roman" w:hAnsi="Times New Roman" w:cs="Times New Roman"/>
                <w:b/>
                <w:bCs/>
                <w:color w:val="000000"/>
                <w:sz w:val="20"/>
                <w:szCs w:val="20"/>
                <w:lang w:val="en-GB" w:eastAsia="en-GB"/>
              </w:rPr>
              <w:t>2.04</w:t>
            </w:r>
          </w:p>
        </w:tc>
      </w:tr>
      <w:tr w:rsidR="005A06CB" w:rsidRPr="00C406E6" w:rsidTr="00D0485F">
        <w:trPr>
          <w:trHeight w:val="300"/>
          <w:jc w:val="center"/>
        </w:trPr>
        <w:tc>
          <w:tcPr>
            <w:tcW w:w="210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Developed (6)</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-0.90</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1.91</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1.23</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0.77</w:t>
            </w:r>
          </w:p>
        </w:tc>
      </w:tr>
      <w:tr w:rsidR="005A06CB" w:rsidRPr="00C406E6" w:rsidTr="00D0485F">
        <w:trPr>
          <w:trHeight w:val="300"/>
          <w:jc w:val="center"/>
        </w:trPr>
        <w:tc>
          <w:tcPr>
            <w:tcW w:w="5940" w:type="dxa"/>
            <w:gridSpan w:val="5"/>
            <w:tcBorders>
              <w:top w:val="single" w:sz="4" w:space="0" w:color="auto"/>
              <w:left w:val="nil"/>
              <w:bottom w:val="single" w:sz="4" w:space="0" w:color="auto"/>
              <w:right w:val="nil"/>
            </w:tcBorders>
            <w:shd w:val="clear" w:color="auto" w:fill="auto"/>
            <w:vAlign w:val="center"/>
            <w:hideMark/>
          </w:tcPr>
          <w:p w:rsidR="005A06CB" w:rsidRPr="00C406E6" w:rsidRDefault="005A06CB" w:rsidP="00D0485F">
            <w:pPr>
              <w:spacing w:after="0" w:line="240" w:lineRule="auto"/>
              <w:rPr>
                <w:rFonts w:ascii="Times New Roman" w:eastAsia="Times New Roman" w:hAnsi="Times New Roman" w:cs="Times New Roman"/>
                <w:i/>
                <w:iCs/>
                <w:color w:val="000000"/>
                <w:sz w:val="20"/>
                <w:szCs w:val="20"/>
                <w:lang w:val="en-GB" w:eastAsia="en-GB"/>
              </w:rPr>
            </w:pPr>
            <w:r w:rsidRPr="00C406E6">
              <w:rPr>
                <w:rFonts w:ascii="Times New Roman" w:eastAsia="Times New Roman" w:hAnsi="Times New Roman" w:cs="Times New Roman"/>
                <w:i/>
                <w:iCs/>
                <w:color w:val="000000"/>
                <w:sz w:val="20"/>
                <w:szCs w:val="20"/>
                <w:lang w:val="en-GB" w:eastAsia="en-GB"/>
              </w:rPr>
              <w:t>Panel B:Infl-link (ILB) Excess Returns - Monthly frequency</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Australia</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1.35</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0.20</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0.56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0.69</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Canada</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-1.40</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0.24</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-0.89</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-0.43</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Germany</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-0.46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1.48</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-0.76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-0.64</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Japan</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1.27</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0.10</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-0.70</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-0.93</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United Kingdom</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-0.35</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4F81BD"/>
                <w:sz w:val="20"/>
                <w:szCs w:val="20"/>
                <w:lang w:val="en-GB" w:eastAsia="en-GB"/>
              </w:rPr>
            </w:pPr>
            <w:r w:rsidRPr="00C406E6">
              <w:rPr>
                <w:rFonts w:ascii="Times New Roman" w:eastAsia="Times New Roman" w:hAnsi="Times New Roman" w:cs="Times New Roman"/>
                <w:color w:val="4F81BD"/>
                <w:sz w:val="20"/>
                <w:szCs w:val="20"/>
                <w:lang w:val="en-GB" w:eastAsia="en-GB"/>
              </w:rPr>
              <w:t>1.87</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0.98</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0.00</w:t>
            </w:r>
          </w:p>
        </w:tc>
      </w:tr>
      <w:tr w:rsidR="005A06CB" w:rsidRPr="00C406E6" w:rsidTr="00D0485F">
        <w:trPr>
          <w:trHeight w:val="300"/>
          <w:jc w:val="center"/>
        </w:trPr>
        <w:tc>
          <w:tcPr>
            <w:tcW w:w="210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United States</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1.62</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-0.04</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0.16</w:t>
            </w:r>
          </w:p>
        </w:tc>
        <w:tc>
          <w:tcPr>
            <w:tcW w:w="960" w:type="dxa"/>
            <w:tcBorders>
              <w:top w:val="nil"/>
              <w:left w:val="nil"/>
              <w:bottom w:val="nil"/>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0.17</w:t>
            </w:r>
          </w:p>
        </w:tc>
      </w:tr>
      <w:tr w:rsidR="005A06CB" w:rsidRPr="00C406E6" w:rsidTr="00D0485F">
        <w:trPr>
          <w:trHeight w:val="300"/>
          <w:jc w:val="center"/>
        </w:trPr>
        <w:tc>
          <w:tcPr>
            <w:tcW w:w="210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Developed (6)</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0.33</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1.24</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0.87</w:t>
            </w:r>
          </w:p>
        </w:tc>
        <w:tc>
          <w:tcPr>
            <w:tcW w:w="960" w:type="dxa"/>
            <w:tcBorders>
              <w:top w:val="nil"/>
              <w:left w:val="nil"/>
              <w:bottom w:val="single" w:sz="4" w:space="0" w:color="auto"/>
              <w:right w:val="nil"/>
            </w:tcBorders>
            <w:shd w:val="clear" w:color="auto" w:fill="auto"/>
            <w:noWrap/>
            <w:vAlign w:val="center"/>
            <w:hideMark/>
          </w:tcPr>
          <w:p w:rsidR="005A06CB" w:rsidRPr="00C406E6" w:rsidRDefault="005A06CB" w:rsidP="00D0485F">
            <w:pPr>
              <w:spacing w:after="0" w:line="240" w:lineRule="auto"/>
              <w:jc w:val="center"/>
              <w:rPr>
                <w:rFonts w:ascii="Times New Roman" w:eastAsia="Times New Roman" w:hAnsi="Times New Roman" w:cs="Times New Roman"/>
                <w:color w:val="000000"/>
                <w:sz w:val="20"/>
                <w:szCs w:val="20"/>
                <w:lang w:val="en-GB" w:eastAsia="en-GB"/>
              </w:rPr>
            </w:pPr>
            <w:r w:rsidRPr="00C406E6">
              <w:rPr>
                <w:rFonts w:ascii="Times New Roman" w:eastAsia="Times New Roman" w:hAnsi="Times New Roman" w:cs="Times New Roman"/>
                <w:color w:val="000000"/>
                <w:sz w:val="20"/>
                <w:szCs w:val="20"/>
                <w:lang w:val="en-GB" w:eastAsia="en-GB"/>
              </w:rPr>
              <w:t>0.06</w:t>
            </w:r>
          </w:p>
        </w:tc>
      </w:tr>
    </w:tbl>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 t-values based on Newey-West standard errors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5A06CB" w:rsidRDefault="005A06CB" w:rsidP="005A06CB">
      <w:pPr>
        <w:pStyle w:val="NoSpacing"/>
        <w:jc w:val="both"/>
        <w:rPr>
          <w:rFonts w:ascii="Times New Roman" w:hAnsi="Times New Roman" w:cs="Times New Roman"/>
          <w:sz w:val="18"/>
          <w:szCs w:val="18"/>
        </w:rPr>
      </w:pPr>
      <w:r w:rsidRPr="006C0856">
        <w:rPr>
          <w:rFonts w:ascii="Times New Roman" w:hAnsi="Times New Roman" w:cs="Times New Roman"/>
          <w:sz w:val="18"/>
          <w:szCs w:val="18"/>
        </w:rPr>
        <w:t xml:space="preserve">where Y are </w:t>
      </w:r>
      <w:r>
        <w:rPr>
          <w:rFonts w:ascii="Times New Roman" w:hAnsi="Times New Roman" w:cs="Times New Roman"/>
          <w:sz w:val="18"/>
          <w:szCs w:val="18"/>
        </w:rPr>
        <w:t xml:space="preserve">comparator bond excess returns (panel A) or inflation-linked </w:t>
      </w:r>
      <w:r w:rsidRPr="006C0856">
        <w:rPr>
          <w:rFonts w:ascii="Times New Roman" w:hAnsi="Times New Roman" w:cs="Times New Roman"/>
          <w:sz w:val="18"/>
          <w:szCs w:val="18"/>
        </w:rPr>
        <w:t xml:space="preserve">bond </w:t>
      </w:r>
      <w:r>
        <w:rPr>
          <w:rFonts w:ascii="Times New Roman" w:hAnsi="Times New Roman" w:cs="Times New Roman"/>
          <w:sz w:val="18"/>
          <w:szCs w:val="18"/>
        </w:rPr>
        <w:t xml:space="preserve">excess </w:t>
      </w:r>
      <w:r w:rsidRPr="006C0856">
        <w:rPr>
          <w:rFonts w:ascii="Times New Roman" w:hAnsi="Times New Roman" w:cs="Times New Roman"/>
          <w:sz w:val="18"/>
          <w:szCs w:val="18"/>
        </w:rPr>
        <w:t>returns</w:t>
      </w:r>
      <w:r>
        <w:rPr>
          <w:rFonts w:ascii="Times New Roman" w:hAnsi="Times New Roman" w:cs="Times New Roman"/>
          <w:sz w:val="18"/>
          <w:szCs w:val="18"/>
        </w:rPr>
        <w:t xml:space="preserve"> (Panel B) at the monthly frequency</w:t>
      </w:r>
      <w:r w:rsidRPr="006C0856">
        <w:rPr>
          <w:rFonts w:ascii="Times New Roman" w:hAnsi="Times New Roman" w:cs="Times New Roman"/>
          <w:sz w:val="18"/>
          <w:szCs w:val="18"/>
        </w:rPr>
        <w:t>. X depends on t</w:t>
      </w:r>
      <w:r>
        <w:rPr>
          <w:rFonts w:ascii="Times New Roman" w:hAnsi="Times New Roman" w:cs="Times New Roman"/>
          <w:sz w:val="18"/>
          <w:szCs w:val="18"/>
        </w:rPr>
        <w:t xml:space="preserve">he seasonal pattern tested. In case of January effect, </w:t>
      </w:r>
      <w:r w:rsidRPr="006C0856">
        <w:rPr>
          <w:rFonts w:ascii="Times New Roman" w:hAnsi="Times New Roman" w:cs="Times New Roman"/>
          <w:sz w:val="18"/>
          <w:szCs w:val="18"/>
        </w:rPr>
        <w:t>X</w:t>
      </w:r>
      <w:r>
        <w:rPr>
          <w:rFonts w:ascii="Times New Roman" w:hAnsi="Times New Roman" w:cs="Times New Roman"/>
          <w:sz w:val="18"/>
          <w:szCs w:val="18"/>
          <w:vertAlign w:val="subscript"/>
        </w:rPr>
        <w:t xml:space="preserve"> </w:t>
      </w:r>
      <w:r>
        <w:rPr>
          <w:rFonts w:ascii="Times New Roman" w:hAnsi="Times New Roman" w:cs="Times New Roman"/>
          <w:sz w:val="18"/>
          <w:szCs w:val="18"/>
        </w:rPr>
        <w:t xml:space="preserve">is a dummy that takes the value of 1 for January </w:t>
      </w:r>
      <w:r>
        <w:rPr>
          <w:rFonts w:ascii="Times New Roman" w:hAnsi="Times New Roman" w:cs="Times New Roman"/>
          <w:sz w:val="18"/>
          <w:szCs w:val="18"/>
        </w:rPr>
        <w:lastRenderedPageBreak/>
        <w:t>and 0 otherwise. In case of H</w:t>
      </w:r>
      <w:r w:rsidRPr="006C0856">
        <w:rPr>
          <w:rFonts w:ascii="Times New Roman" w:hAnsi="Times New Roman" w:cs="Times New Roman"/>
          <w:sz w:val="18"/>
          <w:szCs w:val="18"/>
        </w:rPr>
        <w:t>1 H2</w:t>
      </w:r>
      <w:r>
        <w:rPr>
          <w:rFonts w:ascii="Times New Roman" w:hAnsi="Times New Roman" w:cs="Times New Roman"/>
          <w:sz w:val="18"/>
          <w:szCs w:val="18"/>
        </w:rPr>
        <w:t>,</w:t>
      </w:r>
      <w:r w:rsidRPr="006C0856">
        <w:rPr>
          <w:rFonts w:ascii="Times New Roman" w:hAnsi="Times New Roman" w:cs="Times New Roman"/>
          <w:sz w:val="18"/>
          <w:szCs w:val="18"/>
        </w:rPr>
        <w:t xml:space="preserve"> X is a dummy that takes on the value of 1 for July to December and 0 otherwise. For SAD</w:t>
      </w:r>
      <w:r>
        <w:rPr>
          <w:rFonts w:ascii="Times New Roman" w:hAnsi="Times New Roman" w:cs="Times New Roman"/>
          <w:sz w:val="18"/>
          <w:szCs w:val="18"/>
        </w:rPr>
        <w:t>, X</w:t>
      </w:r>
      <w:r w:rsidRPr="006C0856">
        <w:rPr>
          <w:rFonts w:ascii="Times New Roman" w:hAnsi="Times New Roman" w:cs="Times New Roman"/>
          <w:sz w:val="18"/>
          <w:szCs w:val="18"/>
        </w:rPr>
        <w:t xml:space="preserve"> is set equal to the 12 monthly values from the Kamstra, Kramer, and Levi (2014) paper. And for Halloween X is a dummy that takes on the value of 1 for May to October and 0 otherwise. </w:t>
      </w:r>
      <w:r w:rsidR="003E7DCD" w:rsidRPr="00523B5F">
        <w:rPr>
          <w:rFonts w:ascii="Times New Roman" w:hAnsi="Times New Roman" w:cs="Times New Roman"/>
          <w:sz w:val="18"/>
          <w:szCs w:val="18"/>
        </w:rPr>
        <w:t xml:space="preserve">The Developed portfolio is based on equally-weighting the </w:t>
      </w:r>
      <w:r w:rsidR="003E7DCD">
        <w:rPr>
          <w:rFonts w:ascii="Times New Roman" w:hAnsi="Times New Roman" w:cs="Times New Roman"/>
          <w:sz w:val="18"/>
          <w:szCs w:val="18"/>
        </w:rPr>
        <w:t>six countries provided data are available</w:t>
      </w:r>
      <w:r w:rsidR="003E7DCD" w:rsidRPr="00523B5F">
        <w:rPr>
          <w:rFonts w:ascii="Times New Roman" w:hAnsi="Times New Roman" w:cs="Times New Roman"/>
          <w:sz w:val="18"/>
          <w:szCs w:val="18"/>
        </w:rPr>
        <w:t>. The analysis</w:t>
      </w:r>
      <w:r w:rsidR="003E7DCD">
        <w:rPr>
          <w:rFonts w:ascii="Times New Roman" w:hAnsi="Times New Roman" w:cs="Times New Roman"/>
          <w:sz w:val="18"/>
          <w:szCs w:val="18"/>
        </w:rPr>
        <w:t xml:space="preserve"> is conducted on the samples </w:t>
      </w:r>
      <w:r w:rsidR="003E7DCD" w:rsidRPr="00523B5F">
        <w:rPr>
          <w:rFonts w:ascii="Times New Roman" w:hAnsi="Times New Roman" w:cs="Times New Roman"/>
          <w:sz w:val="18"/>
          <w:szCs w:val="18"/>
        </w:rPr>
        <w:t xml:space="preserve">of </w:t>
      </w:r>
      <w:r w:rsidR="003E7DCD">
        <w:rPr>
          <w:rFonts w:ascii="Times New Roman" w:hAnsi="Times New Roman" w:cs="Times New Roman"/>
          <w:sz w:val="18"/>
          <w:szCs w:val="18"/>
        </w:rPr>
        <w:t xml:space="preserve">inflation-linked bond excess returns as depicted in Table 3.1. </w:t>
      </w:r>
      <w:r>
        <w:rPr>
          <w:rFonts w:ascii="Times New Roman" w:hAnsi="Times New Roman" w:cs="Times New Roman"/>
          <w:sz w:val="18"/>
          <w:szCs w:val="18"/>
        </w:rPr>
        <w:t xml:space="preserve">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027ADB">
        <w:rPr>
          <w:rFonts w:ascii="Times New Roman" w:eastAsia="Times New Roman" w:hAnsi="Times New Roman" w:cs="Times New Roman"/>
          <w:color w:val="4F81BD"/>
          <w:sz w:val="18"/>
          <w:szCs w:val="18"/>
          <w:lang w:val="en-GB" w:eastAsia="en-GB"/>
        </w:rPr>
        <w:t>Blue</w:t>
      </w:r>
      <w:r>
        <w:rPr>
          <w:rFonts w:ascii="Times New Roman" w:hAnsi="Times New Roman" w:cs="Times New Roman"/>
          <w:sz w:val="18"/>
          <w:szCs w:val="18"/>
        </w:rPr>
        <w:t xml:space="preserve"> at 10% significance level.</w:t>
      </w:r>
    </w:p>
    <w:p w:rsidR="005A06CB" w:rsidRDefault="005A06CB" w:rsidP="005A06CB">
      <w:pPr>
        <w:pStyle w:val="NoSpacing"/>
        <w:spacing w:line="360" w:lineRule="auto"/>
        <w:jc w:val="both"/>
        <w:rPr>
          <w:rFonts w:ascii="Times New Roman" w:hAnsi="Times New Roman" w:cs="Times New Roman"/>
        </w:rPr>
      </w:pPr>
    </w:p>
    <w:p w:rsidR="005A06CB" w:rsidRDefault="005A06CB" w:rsidP="005A06CB">
      <w:pPr>
        <w:pStyle w:val="NoSpacing"/>
        <w:spacing w:line="360" w:lineRule="auto"/>
        <w:ind w:firstLine="720"/>
        <w:jc w:val="both"/>
        <w:rPr>
          <w:rFonts w:ascii="Times New Roman" w:hAnsi="Times New Roman" w:cs="Times New Roman"/>
        </w:rPr>
      </w:pPr>
      <w:r w:rsidRPr="00F32311">
        <w:rPr>
          <w:rFonts w:ascii="Times New Roman" w:hAnsi="Times New Roman" w:cs="Times New Roman"/>
        </w:rPr>
        <w:t>The resu</w:t>
      </w:r>
      <w:r>
        <w:rPr>
          <w:rFonts w:ascii="Times New Roman" w:hAnsi="Times New Roman" w:cs="Times New Roman"/>
        </w:rPr>
        <w:t xml:space="preserve">lts in </w:t>
      </w:r>
      <w:r w:rsidR="00027ADB">
        <w:rPr>
          <w:rFonts w:ascii="Times New Roman" w:hAnsi="Times New Roman" w:cs="Times New Roman"/>
        </w:rPr>
        <w:t>Table 4.14</w:t>
      </w:r>
      <w:r>
        <w:rPr>
          <w:rFonts w:ascii="Times New Roman" w:hAnsi="Times New Roman" w:cs="Times New Roman"/>
        </w:rPr>
        <w:t xml:space="preserve"> show in the top</w:t>
      </w:r>
      <w:r w:rsidRPr="00F32311">
        <w:rPr>
          <w:rFonts w:ascii="Times New Roman" w:hAnsi="Times New Roman" w:cs="Times New Roman"/>
        </w:rPr>
        <w:t xml:space="preserve"> panel that despite the redu</w:t>
      </w:r>
      <w:r w:rsidR="00027ADB">
        <w:rPr>
          <w:rFonts w:ascii="Times New Roman" w:hAnsi="Times New Roman" w:cs="Times New Roman"/>
        </w:rPr>
        <w:t>ced sample size shown in Table 3.1</w:t>
      </w:r>
      <w:r>
        <w:rPr>
          <w:rFonts w:ascii="Times New Roman" w:hAnsi="Times New Roman" w:cs="Times New Roman"/>
        </w:rPr>
        <w:t>,</w:t>
      </w:r>
      <w:r w:rsidRPr="00F32311">
        <w:rPr>
          <w:rFonts w:ascii="Times New Roman" w:hAnsi="Times New Roman" w:cs="Times New Roman"/>
        </w:rPr>
        <w:t xml:space="preserve"> the</w:t>
      </w:r>
      <w:r>
        <w:rPr>
          <w:rFonts w:ascii="Times New Roman" w:hAnsi="Times New Roman" w:cs="Times New Roman"/>
        </w:rPr>
        <w:t xml:space="preserve"> H1 H2 seasonal pattern is significant across nominal bond markets with the exception of Australia. SAD effect is visible in the case of Canada and the United States, but not for Germany for this specific comparator sample. </w:t>
      </w:r>
      <w:r w:rsidRPr="00F32311">
        <w:rPr>
          <w:rFonts w:ascii="Times New Roman" w:hAnsi="Times New Roman" w:cs="Times New Roman"/>
        </w:rPr>
        <w:t xml:space="preserve"> </w:t>
      </w:r>
      <w:r>
        <w:rPr>
          <w:rFonts w:ascii="Times New Roman" w:hAnsi="Times New Roman" w:cs="Times New Roman"/>
        </w:rPr>
        <w:t>As expec</w:t>
      </w:r>
      <w:r w:rsidR="003E7DCD">
        <w:rPr>
          <w:rFonts w:ascii="Times New Roman" w:hAnsi="Times New Roman" w:cs="Times New Roman"/>
        </w:rPr>
        <w:t>ted, the bottom panel of Table 4.14</w:t>
      </w:r>
      <w:r>
        <w:rPr>
          <w:rFonts w:ascii="Times New Roman" w:hAnsi="Times New Roman" w:cs="Times New Roman"/>
        </w:rPr>
        <w:t xml:space="preserve"> shows that inflation-</w:t>
      </w:r>
      <w:r w:rsidRPr="00F32311">
        <w:rPr>
          <w:rFonts w:ascii="Times New Roman" w:hAnsi="Times New Roman" w:cs="Times New Roman"/>
        </w:rPr>
        <w:t xml:space="preserve">linked bond returns do not have any seasonal pattern with the exception of the H1 H2 seasonal for the UK. </w:t>
      </w:r>
      <w:r>
        <w:rPr>
          <w:rFonts w:ascii="Times New Roman" w:hAnsi="Times New Roman" w:cs="Times New Roman"/>
        </w:rPr>
        <w:t xml:space="preserve">In case of the United States, the country on which most of the analyses focus on, comparator </w:t>
      </w:r>
      <w:r w:rsidRPr="00F32311">
        <w:rPr>
          <w:rFonts w:ascii="Times New Roman" w:hAnsi="Times New Roman" w:cs="Times New Roman"/>
        </w:rPr>
        <w:t>bond</w:t>
      </w:r>
      <w:r>
        <w:rPr>
          <w:rFonts w:ascii="Times New Roman" w:hAnsi="Times New Roman" w:cs="Times New Roman"/>
        </w:rPr>
        <w:t xml:space="preserve"> excess</w:t>
      </w:r>
      <w:r w:rsidRPr="00F32311">
        <w:rPr>
          <w:rFonts w:ascii="Times New Roman" w:hAnsi="Times New Roman" w:cs="Times New Roman"/>
        </w:rPr>
        <w:t xml:space="preserve"> returns still have a significant loading on the H1 H2 and SAD seasonal with t-statistics of 2.03 and 3.05, respectively. Yet inflation linked bond returns have insignificant loadings on these seasonals with t-statistics of -0.04 and 0.16, respectively. </w:t>
      </w:r>
    </w:p>
    <w:p w:rsidR="005A06CB" w:rsidRPr="00F32311"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Hence, the results which show that the inflation-linked bonds do not display seasonality confirm the finding </w:t>
      </w:r>
      <w:r w:rsidRPr="00F32311">
        <w:rPr>
          <w:rFonts w:ascii="Times New Roman" w:hAnsi="Times New Roman" w:cs="Times New Roman"/>
        </w:rPr>
        <w:t>that the nominal bond seasonal is driven by</w:t>
      </w:r>
      <w:r w:rsidR="00FB132C">
        <w:rPr>
          <w:rFonts w:ascii="Times New Roman" w:hAnsi="Times New Roman" w:cs="Times New Roman"/>
        </w:rPr>
        <w:t xml:space="preserve"> the</w:t>
      </w:r>
      <w:r w:rsidRPr="00F32311">
        <w:rPr>
          <w:rFonts w:ascii="Times New Roman" w:hAnsi="Times New Roman" w:cs="Times New Roman"/>
        </w:rPr>
        <w:t xml:space="preserve"> seasonality in inflation.</w:t>
      </w:r>
      <w:r>
        <w:rPr>
          <w:rFonts w:ascii="Times New Roman" w:hAnsi="Times New Roman" w:cs="Times New Roman"/>
        </w:rPr>
        <w:t xml:space="preserve"> </w:t>
      </w:r>
      <w:r w:rsidRPr="00F32311">
        <w:rPr>
          <w:rFonts w:ascii="Times New Roman" w:hAnsi="Times New Roman" w:cs="Times New Roman"/>
        </w:rPr>
        <w:t xml:space="preserve">Unless </w:t>
      </w:r>
      <w:r>
        <w:rPr>
          <w:rFonts w:ascii="Times New Roman" w:hAnsi="Times New Roman" w:cs="Times New Roman"/>
        </w:rPr>
        <w:t xml:space="preserve">there is a link between inflation and SAD, the conclusion that </w:t>
      </w:r>
      <w:r w:rsidRPr="00F32311">
        <w:rPr>
          <w:rFonts w:ascii="Times New Roman" w:hAnsi="Times New Roman" w:cs="Times New Roman"/>
        </w:rPr>
        <w:t>SAD is not a good explanation for seasonality in bond returns</w:t>
      </w:r>
      <w:r>
        <w:rPr>
          <w:rFonts w:ascii="Times New Roman" w:hAnsi="Times New Roman" w:cs="Times New Roman"/>
        </w:rPr>
        <w:t xml:space="preserve"> can be drawn</w:t>
      </w:r>
      <w:r w:rsidRPr="00F32311">
        <w:rPr>
          <w:rFonts w:ascii="Times New Roman" w:hAnsi="Times New Roman" w:cs="Times New Roman"/>
        </w:rPr>
        <w:t xml:space="preserve">. </w:t>
      </w:r>
      <w:r>
        <w:rPr>
          <w:rFonts w:ascii="Times New Roman" w:hAnsi="Times New Roman" w:cs="Times New Roman"/>
        </w:rPr>
        <w:t xml:space="preserve">In the next section I will </w:t>
      </w:r>
      <w:r w:rsidR="00FB132C">
        <w:rPr>
          <w:rFonts w:ascii="Times New Roman" w:hAnsi="Times New Roman" w:cs="Times New Roman"/>
        </w:rPr>
        <w:t xml:space="preserve">formally </w:t>
      </w:r>
      <w:r>
        <w:rPr>
          <w:rFonts w:ascii="Times New Roman" w:hAnsi="Times New Roman" w:cs="Times New Roman"/>
        </w:rPr>
        <w:t>investigate the interaction between i</w:t>
      </w:r>
      <w:r w:rsidR="00FB132C">
        <w:rPr>
          <w:rFonts w:ascii="Times New Roman" w:hAnsi="Times New Roman" w:cs="Times New Roman"/>
        </w:rPr>
        <w:t>nflation rate and SAD</w:t>
      </w:r>
      <w:r>
        <w:rPr>
          <w:rFonts w:ascii="Times New Roman" w:hAnsi="Times New Roman" w:cs="Times New Roman"/>
        </w:rPr>
        <w:t>.</w:t>
      </w: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Pr="00C82E62" w:rsidRDefault="00BC7F37" w:rsidP="00BC7F37">
      <w:pPr>
        <w:pStyle w:val="Heading2"/>
        <w:ind w:left="180"/>
      </w:pPr>
      <w:bookmarkStart w:id="49" w:name="_Toc394500067"/>
      <w:bookmarkStart w:id="50" w:name="_Toc396762716"/>
      <w:r>
        <w:t xml:space="preserve">4.4 </w:t>
      </w:r>
      <w:r w:rsidR="005A06CB" w:rsidRPr="00C82E62">
        <w:t>Interaction with SAD</w:t>
      </w:r>
      <w:bookmarkEnd w:id="49"/>
      <w:bookmarkEnd w:id="50"/>
      <w:r w:rsidR="005A06CB" w:rsidRPr="00C82E62">
        <w:t xml:space="preserve"> </w:t>
      </w:r>
    </w:p>
    <w:p w:rsidR="005A06CB" w:rsidRDefault="005A06CB" w:rsidP="005A06CB">
      <w:pPr>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There are two competing explanations for the seasonality found in bond markets: inflation seasonality and the SAD factor introduced by KKL</w:t>
      </w:r>
      <w:r w:rsidR="00FB132C">
        <w:rPr>
          <w:rFonts w:ascii="Times New Roman" w:hAnsi="Times New Roman" w:cs="Times New Roman"/>
        </w:rPr>
        <w:t xml:space="preserve"> (2014)</w:t>
      </w:r>
      <w:r>
        <w:rPr>
          <w:rFonts w:ascii="Times New Roman" w:hAnsi="Times New Roman" w:cs="Times New Roman"/>
        </w:rPr>
        <w:t xml:space="preserve">. I investigate their interaction to determine whether both are relevant or not. I conduct thus a joint regression by adding the SAD factor besides the inflation rate in the </w:t>
      </w:r>
      <w:r w:rsidR="00784909">
        <w:rPr>
          <w:rFonts w:ascii="Times New Roman" w:hAnsi="Times New Roman" w:cs="Times New Roman"/>
        </w:rPr>
        <w:t>equation (5</w:t>
      </w:r>
      <w:r w:rsidRPr="00FD20D1">
        <w:rPr>
          <w:rFonts w:ascii="Times New Roman" w:hAnsi="Times New Roman" w:cs="Times New Roman"/>
        </w:rPr>
        <w:t>).</w:t>
      </w:r>
      <w:r>
        <w:rPr>
          <w:rFonts w:ascii="Times New Roman" w:hAnsi="Times New Roman" w:cs="Times New Roman"/>
        </w:rPr>
        <w:t xml:space="preserve"> The </w:t>
      </w:r>
      <w:r w:rsidRPr="006A2855">
        <w:rPr>
          <w:rFonts w:ascii="Times New Roman" w:hAnsi="Times New Roman" w:cs="Times New Roman"/>
        </w:rPr>
        <w:t>SAD variable is made up from 12 values</w:t>
      </w:r>
      <w:r>
        <w:rPr>
          <w:rFonts w:ascii="Times New Roman" w:hAnsi="Times New Roman" w:cs="Times New Roman"/>
        </w:rPr>
        <w:t xml:space="preserve"> as defined by KKL</w:t>
      </w:r>
      <w:r w:rsidRPr="006A2855">
        <w:rPr>
          <w:rFonts w:ascii="Times New Roman" w:hAnsi="Times New Roman" w:cs="Times New Roman"/>
        </w:rPr>
        <w:t>, while the inflation rate is a time-series. The correlation between the two is qu</w:t>
      </w:r>
      <w:r w:rsidR="00FB132C">
        <w:rPr>
          <w:rFonts w:ascii="Times New Roman" w:hAnsi="Times New Roman" w:cs="Times New Roman"/>
        </w:rPr>
        <w:t>ite small as depicted in Table A.7</w:t>
      </w:r>
      <w:r w:rsidRPr="006A2855">
        <w:rPr>
          <w:rFonts w:ascii="Times New Roman" w:hAnsi="Times New Roman" w:cs="Times New Roman"/>
        </w:rPr>
        <w:t xml:space="preserve"> from the Appendix</w:t>
      </w:r>
      <w:r w:rsidR="00FB132C">
        <w:rPr>
          <w:rFonts w:ascii="Times New Roman" w:hAnsi="Times New Roman" w:cs="Times New Roman"/>
        </w:rPr>
        <w:t xml:space="preserve"> A</w:t>
      </w:r>
      <w:r>
        <w:rPr>
          <w:rFonts w:ascii="Times New Roman" w:hAnsi="Times New Roman" w:cs="Times New Roman"/>
        </w:rPr>
        <w:t xml:space="preserve">, so there are no multicollinearity problems.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results of the joint regression for monthly and quarterly frequency can be found in Table </w:t>
      </w:r>
      <w:r w:rsidR="00FB132C">
        <w:rPr>
          <w:rFonts w:ascii="Times New Roman" w:hAnsi="Times New Roman" w:cs="Times New Roman"/>
        </w:rPr>
        <w:t>4.15</w:t>
      </w:r>
      <w:r>
        <w:rPr>
          <w:rFonts w:ascii="Times New Roman" w:hAnsi="Times New Roman" w:cs="Times New Roman"/>
        </w:rPr>
        <w:t>. At monthly level, the U</w:t>
      </w:r>
      <w:r w:rsidR="00FB132C">
        <w:rPr>
          <w:rFonts w:ascii="Times New Roman" w:hAnsi="Times New Roman" w:cs="Times New Roman"/>
        </w:rPr>
        <w:t>.</w:t>
      </w:r>
      <w:r>
        <w:rPr>
          <w:rFonts w:ascii="Times New Roman" w:hAnsi="Times New Roman" w:cs="Times New Roman"/>
        </w:rPr>
        <w:t>S</w:t>
      </w:r>
      <w:r w:rsidR="00FB132C">
        <w:rPr>
          <w:rFonts w:ascii="Times New Roman" w:hAnsi="Times New Roman" w:cs="Times New Roman"/>
        </w:rPr>
        <w:t>.</w:t>
      </w:r>
      <w:r>
        <w:rPr>
          <w:rFonts w:ascii="Times New Roman" w:hAnsi="Times New Roman" w:cs="Times New Roman"/>
        </w:rPr>
        <w:t xml:space="preserve"> inflation rate is statistically significant across the six considered countries at 1% significance level with the exception of Australia and Japan (where it is significant at 10% and 5% level respectively). The SAD factor has explanatory power in case of Canada and </w:t>
      </w:r>
      <w:r w:rsidR="00FB132C">
        <w:rPr>
          <w:rFonts w:ascii="Times New Roman" w:hAnsi="Times New Roman" w:cs="Times New Roman"/>
        </w:rPr>
        <w:t xml:space="preserve">the </w:t>
      </w:r>
      <w:r>
        <w:rPr>
          <w:rFonts w:ascii="Times New Roman" w:hAnsi="Times New Roman" w:cs="Times New Roman"/>
        </w:rPr>
        <w:t xml:space="preserve">United States, the specific markets from which it comes from. The weak significance of the SAD effect in Germany is not </w:t>
      </w:r>
      <w:r>
        <w:rPr>
          <w:rFonts w:ascii="Times New Roman" w:hAnsi="Times New Roman" w:cs="Times New Roman"/>
        </w:rPr>
        <w:lastRenderedPageBreak/>
        <w:t xml:space="preserve">visible anymore, in line with the residual tests of inflation-adjusted bond returns </w:t>
      </w:r>
      <w:r w:rsidR="003F0AA3">
        <w:rPr>
          <w:rFonts w:ascii="Times New Roman" w:hAnsi="Times New Roman" w:cs="Times New Roman"/>
        </w:rPr>
        <w:t>from Table 4.13 (right-side panel</w:t>
      </w:r>
      <w:r w:rsidRPr="003F0AA3">
        <w:rPr>
          <w:rFonts w:ascii="Times New Roman" w:hAnsi="Times New Roman" w:cs="Times New Roman"/>
        </w:rPr>
        <w:t>).</w:t>
      </w:r>
      <w:r>
        <w:rPr>
          <w:rFonts w:ascii="Times New Roman" w:hAnsi="Times New Roman" w:cs="Times New Roman"/>
        </w:rPr>
        <w:t xml:space="preserve">  </w:t>
      </w:r>
    </w:p>
    <w:p w:rsidR="005A06CB" w:rsidRDefault="005A06CB" w:rsidP="005A06CB">
      <w:pPr>
        <w:spacing w:after="0" w:line="360" w:lineRule="auto"/>
        <w:ind w:firstLine="720"/>
        <w:jc w:val="both"/>
        <w:rPr>
          <w:rFonts w:ascii="Times New Roman" w:hAnsi="Times New Roman" w:cs="Times New Roman"/>
        </w:rPr>
      </w:pPr>
    </w:p>
    <w:p w:rsidR="005A06CB" w:rsidRDefault="003F0AA3" w:rsidP="003F0AA3">
      <w:pPr>
        <w:spacing w:after="120" w:line="360" w:lineRule="auto"/>
        <w:ind w:left="720"/>
        <w:jc w:val="center"/>
        <w:rPr>
          <w:rFonts w:ascii="Times New Roman" w:hAnsi="Times New Roman" w:cs="Times New Roman"/>
        </w:rPr>
      </w:pPr>
      <w:r>
        <w:rPr>
          <w:rFonts w:ascii="Times New Roman" w:hAnsi="Times New Roman" w:cs="Times New Roman"/>
        </w:rPr>
        <w:t>Table 4.15</w:t>
      </w:r>
      <w:r w:rsidR="005A06CB">
        <w:rPr>
          <w:rFonts w:ascii="Times New Roman" w:hAnsi="Times New Roman" w:cs="Times New Roman"/>
        </w:rPr>
        <w:t>: Interaction of US inflation rate with SAD</w:t>
      </w:r>
    </w:p>
    <w:tbl>
      <w:tblPr>
        <w:tblW w:w="7540" w:type="dxa"/>
        <w:jc w:val="center"/>
        <w:tblInd w:w="93" w:type="dxa"/>
        <w:tblLook w:val="04A0"/>
      </w:tblPr>
      <w:tblGrid>
        <w:gridCol w:w="2140"/>
        <w:gridCol w:w="1189"/>
        <w:gridCol w:w="971"/>
        <w:gridCol w:w="1189"/>
        <w:gridCol w:w="971"/>
        <w:gridCol w:w="1080"/>
      </w:tblGrid>
      <w:tr w:rsidR="005A06CB" w:rsidRPr="00F76A80" w:rsidTr="00D0485F">
        <w:trPr>
          <w:trHeight w:val="495"/>
          <w:jc w:val="center"/>
        </w:trPr>
        <w:tc>
          <w:tcPr>
            <w:tcW w:w="2140" w:type="dxa"/>
            <w:vMerge w:val="restart"/>
            <w:tcBorders>
              <w:top w:val="single" w:sz="4" w:space="0" w:color="auto"/>
              <w:left w:val="nil"/>
              <w:bottom w:val="single" w:sz="4" w:space="0" w:color="000000"/>
              <w:right w:val="nil"/>
            </w:tcBorders>
            <w:shd w:val="clear" w:color="auto" w:fill="auto"/>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Nominal Bond Excess Returns</w:t>
            </w:r>
          </w:p>
        </w:tc>
        <w:tc>
          <w:tcPr>
            <w:tcW w:w="2160" w:type="dxa"/>
            <w:gridSpan w:val="2"/>
            <w:tcBorders>
              <w:top w:val="single" w:sz="4" w:space="0" w:color="auto"/>
              <w:left w:val="nil"/>
              <w:bottom w:val="nil"/>
              <w:right w:val="nil"/>
            </w:tcBorders>
            <w:shd w:val="clear" w:color="auto" w:fill="auto"/>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US Inflation Rate</w:t>
            </w:r>
          </w:p>
        </w:tc>
        <w:tc>
          <w:tcPr>
            <w:tcW w:w="2160" w:type="dxa"/>
            <w:gridSpan w:val="2"/>
            <w:tcBorders>
              <w:top w:val="single" w:sz="4" w:space="0" w:color="auto"/>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SAD</w:t>
            </w:r>
          </w:p>
        </w:tc>
        <w:tc>
          <w:tcPr>
            <w:tcW w:w="1080" w:type="dxa"/>
            <w:vMerge w:val="restart"/>
            <w:tcBorders>
              <w:top w:val="single" w:sz="4" w:space="0" w:color="auto"/>
              <w:left w:val="nil"/>
              <w:bottom w:val="single" w:sz="4" w:space="0" w:color="000000"/>
              <w:right w:val="nil"/>
            </w:tcBorders>
            <w:shd w:val="clear" w:color="auto" w:fill="auto"/>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R</w:t>
            </w:r>
            <w:r w:rsidRPr="00F76A80">
              <w:rPr>
                <w:rFonts w:ascii="Times New Roman" w:eastAsia="Times New Roman" w:hAnsi="Times New Roman" w:cs="Times New Roman"/>
                <w:color w:val="000000"/>
                <w:sz w:val="20"/>
                <w:szCs w:val="20"/>
                <w:vertAlign w:val="superscript"/>
              </w:rPr>
              <w:t>2</w:t>
            </w:r>
          </w:p>
        </w:tc>
      </w:tr>
      <w:tr w:rsidR="005A06CB" w:rsidRPr="00F76A80" w:rsidTr="00D0485F">
        <w:trPr>
          <w:trHeight w:val="285"/>
          <w:jc w:val="center"/>
        </w:trPr>
        <w:tc>
          <w:tcPr>
            <w:tcW w:w="2140" w:type="dxa"/>
            <w:vMerge/>
            <w:tcBorders>
              <w:top w:val="single" w:sz="4" w:space="0" w:color="auto"/>
              <w:left w:val="nil"/>
              <w:bottom w:val="single" w:sz="4" w:space="0" w:color="000000"/>
              <w:right w:val="nil"/>
            </w:tcBorders>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β</w:t>
            </w:r>
            <w:r w:rsidRPr="00F76A80">
              <w:rPr>
                <w:rFonts w:ascii="Times New Roman" w:eastAsia="Times New Roman" w:hAnsi="Times New Roman" w:cs="Times New Roman"/>
                <w:color w:val="000000"/>
                <w:sz w:val="20"/>
                <w:szCs w:val="20"/>
                <w:vertAlign w:val="subscript"/>
              </w:rPr>
              <w:t>1</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t-stat</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β</w:t>
            </w:r>
            <w:r w:rsidRPr="00F76A80">
              <w:rPr>
                <w:rFonts w:ascii="Times New Roman" w:eastAsia="Times New Roman" w:hAnsi="Times New Roman" w:cs="Times New Roman"/>
                <w:color w:val="000000"/>
                <w:sz w:val="20"/>
                <w:szCs w:val="20"/>
                <w:vertAlign w:val="subscript"/>
              </w:rPr>
              <w:t>2</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t-stat</w:t>
            </w:r>
          </w:p>
        </w:tc>
        <w:tc>
          <w:tcPr>
            <w:tcW w:w="1080" w:type="dxa"/>
            <w:vMerge/>
            <w:tcBorders>
              <w:top w:val="single" w:sz="4" w:space="0" w:color="auto"/>
              <w:left w:val="nil"/>
              <w:bottom w:val="single" w:sz="4" w:space="0" w:color="000000"/>
              <w:right w:val="nil"/>
            </w:tcBorders>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p>
        </w:tc>
      </w:tr>
      <w:tr w:rsidR="005A06CB" w:rsidRPr="00F76A80" w:rsidTr="00D0485F">
        <w:trPr>
          <w:trHeight w:val="315"/>
          <w:jc w:val="center"/>
        </w:trPr>
        <w:tc>
          <w:tcPr>
            <w:tcW w:w="4300" w:type="dxa"/>
            <w:gridSpan w:val="3"/>
            <w:tcBorders>
              <w:top w:val="single" w:sz="4" w:space="0" w:color="auto"/>
              <w:left w:val="nil"/>
              <w:bottom w:val="single" w:sz="4" w:space="0" w:color="auto"/>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i/>
                <w:iCs/>
                <w:color w:val="000000"/>
                <w:sz w:val="20"/>
                <w:szCs w:val="20"/>
              </w:rPr>
            </w:pPr>
            <w:r w:rsidRPr="00F76A80">
              <w:rPr>
                <w:rFonts w:ascii="Times New Roman" w:eastAsia="Times New Roman" w:hAnsi="Times New Roman" w:cs="Times New Roman"/>
                <w:i/>
                <w:iCs/>
                <w:color w:val="000000"/>
                <w:sz w:val="20"/>
                <w:szCs w:val="20"/>
              </w:rPr>
              <w:t>Panel A: Monthly frequency</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 </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 </w:t>
            </w:r>
          </w:p>
        </w:tc>
        <w:tc>
          <w:tcPr>
            <w:tcW w:w="1080"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 </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Australia</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-0.508</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4F81BD"/>
                <w:sz w:val="20"/>
                <w:szCs w:val="20"/>
              </w:rPr>
            </w:pPr>
            <w:r w:rsidRPr="00F76A80">
              <w:rPr>
                <w:rFonts w:ascii="Times New Roman" w:eastAsia="Times New Roman" w:hAnsi="Times New Roman" w:cs="Times New Roman"/>
                <w:color w:val="4F81BD"/>
                <w:sz w:val="20"/>
                <w:szCs w:val="20"/>
              </w:rPr>
              <w:t>-1.77</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0.001</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0.35</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0.015</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Canada</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-0.704</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-2.99</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0.008</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4F81BD"/>
                <w:sz w:val="20"/>
                <w:szCs w:val="20"/>
              </w:rPr>
            </w:pPr>
            <w:r w:rsidRPr="00F76A80">
              <w:rPr>
                <w:rFonts w:ascii="Times New Roman" w:eastAsia="Times New Roman" w:hAnsi="Times New Roman" w:cs="Times New Roman"/>
                <w:color w:val="4F81BD"/>
                <w:sz w:val="20"/>
                <w:szCs w:val="20"/>
              </w:rPr>
              <w:t>1.90</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0.040</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Germany</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-0.917</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-4.87</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0.002</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0.70</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0.085</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Japan</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-0.501</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-2.51</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0.000</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-0.13</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0.022</w:t>
            </w:r>
          </w:p>
        </w:tc>
      </w:tr>
      <w:tr w:rsidR="005A06CB" w:rsidRPr="00F76A80" w:rsidTr="00D0485F">
        <w:trPr>
          <w:trHeight w:val="330"/>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United Kingdom</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-1.037</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-3.45</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0.004</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0.72</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0.044</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United States</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-0.889</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-3.15</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0.008</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2.23</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0.057</w:t>
            </w:r>
          </w:p>
        </w:tc>
      </w:tr>
      <w:tr w:rsidR="005A06CB" w:rsidRPr="00F76A80" w:rsidTr="00D0485F">
        <w:trPr>
          <w:trHeight w:val="255"/>
          <w:jc w:val="center"/>
        </w:trPr>
        <w:tc>
          <w:tcPr>
            <w:tcW w:w="2140" w:type="dxa"/>
            <w:tcBorders>
              <w:top w:val="nil"/>
              <w:left w:val="nil"/>
              <w:bottom w:val="single" w:sz="4" w:space="0" w:color="auto"/>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Developed (6)</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-0.854</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-4.49</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0.003</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1.19</w:t>
            </w:r>
          </w:p>
        </w:tc>
        <w:tc>
          <w:tcPr>
            <w:tcW w:w="1080"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0.078</w:t>
            </w:r>
          </w:p>
        </w:tc>
      </w:tr>
      <w:tr w:rsidR="005A06CB" w:rsidRPr="00F76A80" w:rsidTr="00D0485F">
        <w:trPr>
          <w:trHeight w:val="285"/>
          <w:jc w:val="center"/>
        </w:trPr>
        <w:tc>
          <w:tcPr>
            <w:tcW w:w="4300" w:type="dxa"/>
            <w:gridSpan w:val="3"/>
            <w:tcBorders>
              <w:top w:val="single" w:sz="4" w:space="0" w:color="auto"/>
              <w:left w:val="nil"/>
              <w:bottom w:val="single" w:sz="4" w:space="0" w:color="auto"/>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i/>
                <w:iCs/>
                <w:color w:val="000000"/>
                <w:sz w:val="20"/>
                <w:szCs w:val="20"/>
              </w:rPr>
            </w:pPr>
            <w:r w:rsidRPr="00F76A80">
              <w:rPr>
                <w:rFonts w:ascii="Times New Roman" w:eastAsia="Times New Roman" w:hAnsi="Times New Roman" w:cs="Times New Roman"/>
                <w:i/>
                <w:iCs/>
                <w:color w:val="000000"/>
                <w:sz w:val="20"/>
                <w:szCs w:val="20"/>
              </w:rPr>
              <w:t>Panel B: Quarterly frequency</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p>
        </w:tc>
      </w:tr>
      <w:tr w:rsidR="005A06CB" w:rsidRPr="00F76A80" w:rsidTr="00D0485F">
        <w:trPr>
          <w:trHeight w:val="255"/>
          <w:jc w:val="center"/>
        </w:trPr>
        <w:tc>
          <w:tcPr>
            <w:tcW w:w="214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Australia</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-0.805</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-2.03</w:t>
            </w:r>
          </w:p>
        </w:tc>
        <w:tc>
          <w:tcPr>
            <w:tcW w:w="1189" w:type="dxa"/>
            <w:tcBorders>
              <w:top w:val="single" w:sz="4" w:space="0" w:color="auto"/>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0.016</w:t>
            </w:r>
          </w:p>
        </w:tc>
        <w:tc>
          <w:tcPr>
            <w:tcW w:w="971" w:type="dxa"/>
            <w:tcBorders>
              <w:top w:val="single" w:sz="4" w:space="0" w:color="auto"/>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0.99</w:t>
            </w:r>
          </w:p>
        </w:tc>
        <w:tc>
          <w:tcPr>
            <w:tcW w:w="1080" w:type="dxa"/>
            <w:tcBorders>
              <w:top w:val="single" w:sz="4" w:space="0" w:color="auto"/>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0.093</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Canada</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-1.057</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-3.53</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0.014</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0.80</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0.119</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Germany</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-1.084</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-5.47</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0.005</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0.58</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0.200</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Japan</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-0.831</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-2.61</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-0.004</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-0.33</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0.081</w:t>
            </w:r>
          </w:p>
        </w:tc>
      </w:tr>
      <w:tr w:rsidR="005A06CB" w:rsidRPr="00F76A80" w:rsidTr="00D0485F">
        <w:trPr>
          <w:trHeight w:val="255"/>
          <w:jc w:val="center"/>
        </w:trPr>
        <w:tc>
          <w:tcPr>
            <w:tcW w:w="2140" w:type="dxa"/>
            <w:tcBorders>
              <w:top w:val="nil"/>
              <w:left w:val="nil"/>
              <w:bottom w:val="nil"/>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United Kingdom</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-1.325</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-3.16</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0.007</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0.32</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0.129</w:t>
            </w:r>
          </w:p>
        </w:tc>
      </w:tr>
      <w:tr w:rsidR="005A06CB" w:rsidRPr="00F76A80" w:rsidTr="00D0485F">
        <w:trPr>
          <w:trHeight w:val="255"/>
          <w:jc w:val="center"/>
        </w:trPr>
        <w:tc>
          <w:tcPr>
            <w:tcW w:w="214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United States</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-1.177</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-3.82</w:t>
            </w:r>
          </w:p>
        </w:tc>
        <w:tc>
          <w:tcPr>
            <w:tcW w:w="1189"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0.012</w:t>
            </w:r>
          </w:p>
        </w:tc>
        <w:tc>
          <w:tcPr>
            <w:tcW w:w="971"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0.77</w:t>
            </w:r>
          </w:p>
        </w:tc>
        <w:tc>
          <w:tcPr>
            <w:tcW w:w="1080" w:type="dxa"/>
            <w:tcBorders>
              <w:top w:val="nil"/>
              <w:left w:val="nil"/>
              <w:bottom w:val="nil"/>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0.126</w:t>
            </w:r>
          </w:p>
        </w:tc>
      </w:tr>
      <w:tr w:rsidR="005A06CB" w:rsidRPr="00F76A80" w:rsidTr="00D0485F">
        <w:trPr>
          <w:trHeight w:val="255"/>
          <w:jc w:val="center"/>
        </w:trPr>
        <w:tc>
          <w:tcPr>
            <w:tcW w:w="2140" w:type="dxa"/>
            <w:tcBorders>
              <w:top w:val="nil"/>
              <w:left w:val="nil"/>
              <w:bottom w:val="single" w:sz="4" w:space="0" w:color="auto"/>
              <w:right w:val="nil"/>
            </w:tcBorders>
            <w:shd w:val="clear" w:color="auto" w:fill="auto"/>
            <w:vAlign w:val="center"/>
            <w:hideMark/>
          </w:tcPr>
          <w:p w:rsidR="005A06CB" w:rsidRPr="00F76A80" w:rsidRDefault="005A06CB" w:rsidP="00D0485F">
            <w:pPr>
              <w:spacing w:after="0" w:line="240" w:lineRule="auto"/>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Developed (6)</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-1.100</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b/>
                <w:bCs/>
                <w:color w:val="000000"/>
                <w:sz w:val="20"/>
                <w:szCs w:val="20"/>
              </w:rPr>
            </w:pPr>
            <w:r w:rsidRPr="00F76A80">
              <w:rPr>
                <w:rFonts w:ascii="Times New Roman" w:eastAsia="Times New Roman" w:hAnsi="Times New Roman" w:cs="Times New Roman"/>
                <w:b/>
                <w:bCs/>
                <w:color w:val="000000"/>
                <w:sz w:val="20"/>
                <w:szCs w:val="20"/>
              </w:rPr>
              <w:t>-4.41</w:t>
            </w:r>
          </w:p>
        </w:tc>
        <w:tc>
          <w:tcPr>
            <w:tcW w:w="1189"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0.007</w:t>
            </w:r>
          </w:p>
        </w:tc>
        <w:tc>
          <w:tcPr>
            <w:tcW w:w="971"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0.55</w:t>
            </w:r>
          </w:p>
        </w:tc>
        <w:tc>
          <w:tcPr>
            <w:tcW w:w="1080" w:type="dxa"/>
            <w:tcBorders>
              <w:top w:val="nil"/>
              <w:left w:val="nil"/>
              <w:bottom w:val="single" w:sz="4" w:space="0" w:color="auto"/>
              <w:right w:val="nil"/>
            </w:tcBorders>
            <w:shd w:val="clear" w:color="auto" w:fill="auto"/>
            <w:noWrap/>
            <w:vAlign w:val="center"/>
            <w:hideMark/>
          </w:tcPr>
          <w:p w:rsidR="005A06CB" w:rsidRPr="00F76A80" w:rsidRDefault="005A06CB" w:rsidP="00D0485F">
            <w:pPr>
              <w:spacing w:after="0" w:line="240" w:lineRule="auto"/>
              <w:jc w:val="center"/>
              <w:rPr>
                <w:rFonts w:ascii="Times New Roman" w:eastAsia="Times New Roman" w:hAnsi="Times New Roman" w:cs="Times New Roman"/>
                <w:color w:val="000000"/>
                <w:sz w:val="20"/>
                <w:szCs w:val="20"/>
              </w:rPr>
            </w:pPr>
            <w:r w:rsidRPr="00F76A80">
              <w:rPr>
                <w:rFonts w:ascii="Times New Roman" w:eastAsia="Times New Roman" w:hAnsi="Times New Roman" w:cs="Times New Roman"/>
                <w:color w:val="000000"/>
                <w:sz w:val="20"/>
                <w:szCs w:val="20"/>
              </w:rPr>
              <w:t>0.181</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and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sidRPr="00336849">
        <w:rPr>
          <w:rFonts w:ascii="Times New Roman" w:hAnsi="Times New Roman" w:cs="Times New Roman"/>
          <w:sz w:val="18"/>
          <w:szCs w:val="18"/>
        </w:rPr>
        <w:t xml:space="preserve">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Z</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w:t>
      </w:r>
      <w:r>
        <w:rPr>
          <w:rFonts w:ascii="Times New Roman" w:hAnsi="Times New Roman" w:cs="Times New Roman"/>
          <w:sz w:val="18"/>
          <w:szCs w:val="18"/>
        </w:rPr>
        <w:t xml:space="preserve">are nominal </w:t>
      </w:r>
      <w:r w:rsidRPr="001221C6">
        <w:rPr>
          <w:rFonts w:ascii="Times New Roman" w:hAnsi="Times New Roman" w:cs="Times New Roman"/>
          <w:sz w:val="18"/>
          <w:szCs w:val="18"/>
        </w:rPr>
        <w:t>bond</w:t>
      </w:r>
      <w:r>
        <w:rPr>
          <w:rFonts w:ascii="Times New Roman" w:hAnsi="Times New Roman" w:cs="Times New Roman"/>
          <w:sz w:val="18"/>
          <w:szCs w:val="18"/>
        </w:rPr>
        <w:t xml:space="preserve"> excess</w:t>
      </w:r>
      <w:r w:rsidRPr="001221C6">
        <w:rPr>
          <w:rFonts w:ascii="Times New Roman" w:hAnsi="Times New Roman" w:cs="Times New Roman"/>
          <w:sz w:val="18"/>
          <w:szCs w:val="18"/>
        </w:rPr>
        <w:t xml:space="preserve"> returns at the monthly</w:t>
      </w:r>
      <w:r>
        <w:rPr>
          <w:rFonts w:ascii="Times New Roman" w:hAnsi="Times New Roman" w:cs="Times New Roman"/>
          <w:sz w:val="18"/>
          <w:szCs w:val="18"/>
        </w:rPr>
        <w:t xml:space="preserve"> frequency (Panel A) and quarterly frequency (Panel B), while</w:t>
      </w:r>
      <w:r w:rsidRPr="001221C6">
        <w:rPr>
          <w:rFonts w:ascii="Times New Roman" w:hAnsi="Times New Roman" w:cs="Times New Roman"/>
          <w:sz w:val="18"/>
          <w:szCs w:val="18"/>
        </w:rPr>
        <w:t xml:space="preserve"> X is the</w:t>
      </w:r>
      <w:r>
        <w:rPr>
          <w:rFonts w:ascii="Times New Roman" w:hAnsi="Times New Roman" w:cs="Times New Roman"/>
          <w:sz w:val="18"/>
          <w:szCs w:val="18"/>
        </w:rPr>
        <w:t xml:space="preserve"> inflation rate recorded in United States and Z </w:t>
      </w:r>
      <w:r w:rsidRPr="006C0856">
        <w:rPr>
          <w:rFonts w:ascii="Times New Roman" w:hAnsi="Times New Roman" w:cs="Times New Roman"/>
          <w:sz w:val="18"/>
          <w:szCs w:val="18"/>
        </w:rPr>
        <w:t>is set equal to the 12 monthly values from the Kamstra, Kramer, and Levi (2014) paper.</w:t>
      </w:r>
      <w:r>
        <w:rPr>
          <w:rFonts w:ascii="Times New Roman" w:hAnsi="Times New Roman" w:cs="Times New Roman"/>
          <w:sz w:val="18"/>
          <w:szCs w:val="18"/>
        </w:rPr>
        <w:t xml:space="preserve"> </w:t>
      </w:r>
      <w:r w:rsidRPr="00CE22F6">
        <w:rPr>
          <w:rFonts w:ascii="Times New Roman" w:hAnsi="Times New Roman" w:cs="Times New Roman"/>
          <w:sz w:val="18"/>
          <w:szCs w:val="18"/>
        </w:rPr>
        <w:t>At the quarter</w:t>
      </w:r>
      <w:r w:rsidR="00FB132C">
        <w:rPr>
          <w:rFonts w:ascii="Times New Roman" w:hAnsi="Times New Roman" w:cs="Times New Roman"/>
          <w:sz w:val="18"/>
          <w:szCs w:val="18"/>
        </w:rPr>
        <w:t xml:space="preserve">ly frequency Z is built as </w:t>
      </w:r>
      <w:r w:rsidRPr="00CE22F6">
        <w:rPr>
          <w:rFonts w:ascii="Times New Roman" w:hAnsi="Times New Roman" w:cs="Times New Roman"/>
          <w:sz w:val="18"/>
          <w:szCs w:val="18"/>
        </w:rPr>
        <w:t>the average of the 3 monthly values in each quarter.</w:t>
      </w:r>
      <w:r>
        <w:rPr>
          <w:rFonts w:ascii="Times New Roman" w:hAnsi="Times New Roman" w:cs="Times New Roman"/>
          <w:sz w:val="18"/>
          <w:szCs w:val="18"/>
        </w:rPr>
        <w:t xml:space="preserve"> </w:t>
      </w:r>
      <w:r w:rsidR="00FB132C" w:rsidRPr="00523B5F">
        <w:rPr>
          <w:rFonts w:ascii="Times New Roman" w:hAnsi="Times New Roman" w:cs="Times New Roman"/>
          <w:sz w:val="18"/>
          <w:szCs w:val="18"/>
        </w:rPr>
        <w:t xml:space="preserve">The Developed portfolio is based on equally-weighting the </w:t>
      </w:r>
      <w:r w:rsidR="00FB132C">
        <w:rPr>
          <w:rFonts w:ascii="Times New Roman" w:hAnsi="Times New Roman" w:cs="Times New Roman"/>
          <w:sz w:val="18"/>
          <w:szCs w:val="18"/>
        </w:rPr>
        <w:t>six countries provided data are available</w:t>
      </w:r>
      <w:r w:rsidR="00FB132C" w:rsidRPr="00523B5F">
        <w:rPr>
          <w:rFonts w:ascii="Times New Roman" w:hAnsi="Times New Roman" w:cs="Times New Roman"/>
          <w:sz w:val="18"/>
          <w:szCs w:val="18"/>
        </w:rPr>
        <w:t>. The analysis</w:t>
      </w:r>
      <w:r w:rsidR="00FB132C">
        <w:rPr>
          <w:rFonts w:ascii="Times New Roman" w:hAnsi="Times New Roman" w:cs="Times New Roman"/>
          <w:sz w:val="18"/>
          <w:szCs w:val="18"/>
        </w:rPr>
        <w:t xml:space="preserve"> is conducted on the samples </w:t>
      </w:r>
      <w:r w:rsidR="00FB132C" w:rsidRPr="00523B5F">
        <w:rPr>
          <w:rFonts w:ascii="Times New Roman" w:hAnsi="Times New Roman" w:cs="Times New Roman"/>
          <w:sz w:val="18"/>
          <w:szCs w:val="18"/>
        </w:rPr>
        <w:t xml:space="preserve">of </w:t>
      </w:r>
      <w:r w:rsidR="00FB132C">
        <w:rPr>
          <w:rFonts w:ascii="Times New Roman" w:hAnsi="Times New Roman" w:cs="Times New Roman"/>
          <w:sz w:val="18"/>
          <w:szCs w:val="18"/>
        </w:rPr>
        <w:t xml:space="preserve">nominal bond returns as depicted in Table 3.1.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3F0AA3">
        <w:rPr>
          <w:rFonts w:ascii="Times New Roman" w:eastAsia="Times New Roman" w:hAnsi="Times New Roman" w:cs="Times New Roman"/>
          <w:color w:val="4F81BD"/>
          <w:sz w:val="18"/>
          <w:szCs w:val="18"/>
        </w:rPr>
        <w:t>Blue</w:t>
      </w:r>
      <w:r w:rsidRPr="003F0AA3">
        <w:rPr>
          <w:rFonts w:ascii="Times New Roman" w:eastAsia="Times New Roman" w:hAnsi="Times New Roman" w:cs="Times New Roman"/>
          <w:color w:val="4F81BD"/>
          <w:sz w:val="20"/>
          <w:szCs w:val="20"/>
        </w:rPr>
        <w:t xml:space="preserve"> </w:t>
      </w:r>
      <w:r w:rsidRPr="001221C6">
        <w:rPr>
          <w:rFonts w:ascii="Times New Roman" w:hAnsi="Times New Roman" w:cs="Times New Roman"/>
          <w:sz w:val="18"/>
          <w:szCs w:val="18"/>
        </w:rPr>
        <w:t>at 10% significance level.</w:t>
      </w:r>
    </w:p>
    <w:p w:rsidR="005A06CB" w:rsidRDefault="005A06CB" w:rsidP="005A06CB">
      <w:pPr>
        <w:spacing w:line="360" w:lineRule="auto"/>
        <w:ind w:firstLine="720"/>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results at the quarterly frequency reinforce the hypothesis that the seasonality in bond returns is driven by the seasonality in inflation rate. The U</w:t>
      </w:r>
      <w:r w:rsidR="00FB132C">
        <w:rPr>
          <w:rFonts w:ascii="Times New Roman" w:hAnsi="Times New Roman" w:cs="Times New Roman"/>
        </w:rPr>
        <w:t>.</w:t>
      </w:r>
      <w:r>
        <w:rPr>
          <w:rFonts w:ascii="Times New Roman" w:hAnsi="Times New Roman" w:cs="Times New Roman"/>
        </w:rPr>
        <w:t>S</w:t>
      </w:r>
      <w:r w:rsidR="00FB132C">
        <w:rPr>
          <w:rFonts w:ascii="Times New Roman" w:hAnsi="Times New Roman" w:cs="Times New Roman"/>
        </w:rPr>
        <w:t>.</w:t>
      </w:r>
      <w:r>
        <w:rPr>
          <w:rFonts w:ascii="Times New Roman" w:hAnsi="Times New Roman" w:cs="Times New Roman"/>
        </w:rPr>
        <w:t xml:space="preserve"> inflation rate gains statistical significance at 5% level for all countries and SAD factor does not have explanatory power for the considered bond markets. The results of residual tests from </w:t>
      </w:r>
      <w:r w:rsidR="003F0AA3">
        <w:rPr>
          <w:rFonts w:ascii="Times New Roman" w:hAnsi="Times New Roman" w:cs="Times New Roman"/>
        </w:rPr>
        <w:t>Table 4.16</w:t>
      </w:r>
      <w:r>
        <w:rPr>
          <w:rFonts w:ascii="Times New Roman" w:hAnsi="Times New Roman" w:cs="Times New Roman"/>
        </w:rPr>
        <w:t xml:space="preserve"> show that at monthly frequency SAD adds value to US inflation rate compensating for the noise behavioural of inflation rate and the uncertain reaction of bond prices to inflation rate. There is no seasonality in the residuals. The same conclusion holds at the quarterly frequency, but the rejection of the null hypothesis that the dummy coefficient is zero is stronger. This is due to the fact that the t-statistic are close to zero, lower than at monthly frequency.</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 </w:t>
      </w:r>
    </w:p>
    <w:p w:rsidR="005A06CB" w:rsidRDefault="005A06CB" w:rsidP="003F0AA3">
      <w:pPr>
        <w:spacing w:after="120" w:line="360" w:lineRule="auto"/>
        <w:ind w:firstLine="720"/>
        <w:jc w:val="center"/>
        <w:rPr>
          <w:rFonts w:ascii="Times New Roman" w:hAnsi="Times New Roman" w:cs="Times New Roman"/>
        </w:rPr>
      </w:pPr>
      <w:r>
        <w:rPr>
          <w:rFonts w:ascii="Times New Roman" w:hAnsi="Times New Roman" w:cs="Times New Roman"/>
        </w:rPr>
        <w:t xml:space="preserve">Table </w:t>
      </w:r>
      <w:r w:rsidR="003F0AA3">
        <w:rPr>
          <w:rFonts w:ascii="Times New Roman" w:hAnsi="Times New Roman" w:cs="Times New Roman"/>
        </w:rPr>
        <w:t>4.16</w:t>
      </w:r>
      <w:r>
        <w:rPr>
          <w:rFonts w:ascii="Times New Roman" w:hAnsi="Times New Roman" w:cs="Times New Roman"/>
        </w:rPr>
        <w:t>: Seasonality in SAD and inflation-corrected bond returns</w:t>
      </w:r>
    </w:p>
    <w:tbl>
      <w:tblPr>
        <w:tblW w:w="3320" w:type="dxa"/>
        <w:jc w:val="center"/>
        <w:tblInd w:w="97" w:type="dxa"/>
        <w:tblLook w:val="04A0"/>
      </w:tblPr>
      <w:tblGrid>
        <w:gridCol w:w="2320"/>
        <w:gridCol w:w="1000"/>
      </w:tblGrid>
      <w:tr w:rsidR="005A06CB" w:rsidRPr="00611859" w:rsidTr="00D0485F">
        <w:trPr>
          <w:trHeight w:val="270"/>
          <w:jc w:val="center"/>
        </w:trPr>
        <w:tc>
          <w:tcPr>
            <w:tcW w:w="2320" w:type="dxa"/>
            <w:vMerge w:val="restart"/>
            <w:tcBorders>
              <w:top w:val="single" w:sz="4" w:space="0" w:color="auto"/>
              <w:left w:val="nil"/>
              <w:bottom w:val="single" w:sz="4" w:space="0" w:color="000000"/>
              <w:right w:val="nil"/>
            </w:tcBorders>
            <w:shd w:val="clear" w:color="auto" w:fill="auto"/>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lastRenderedPageBreak/>
              <w:t>SAD and U</w:t>
            </w:r>
            <w:r w:rsidR="00FB132C">
              <w:rPr>
                <w:rFonts w:ascii="Times New Roman" w:eastAsia="Times New Roman" w:hAnsi="Times New Roman" w:cs="Times New Roman"/>
                <w:color w:val="291C00"/>
                <w:sz w:val="20"/>
                <w:szCs w:val="20"/>
                <w:lang w:val="en-GB" w:eastAsia="en-GB"/>
              </w:rPr>
              <w:t>.</w:t>
            </w:r>
            <w:r w:rsidRPr="00611859">
              <w:rPr>
                <w:rFonts w:ascii="Times New Roman" w:eastAsia="Times New Roman" w:hAnsi="Times New Roman" w:cs="Times New Roman"/>
                <w:color w:val="291C00"/>
                <w:sz w:val="20"/>
                <w:szCs w:val="20"/>
                <w:lang w:val="en-GB" w:eastAsia="en-GB"/>
              </w:rPr>
              <w:t>S</w:t>
            </w:r>
            <w:r w:rsidR="00FB132C">
              <w:rPr>
                <w:rFonts w:ascii="Times New Roman" w:eastAsia="Times New Roman" w:hAnsi="Times New Roman" w:cs="Times New Roman"/>
                <w:color w:val="291C00"/>
                <w:sz w:val="20"/>
                <w:szCs w:val="20"/>
                <w:lang w:val="en-GB" w:eastAsia="en-GB"/>
              </w:rPr>
              <w:t>.</w:t>
            </w:r>
            <w:r w:rsidRPr="00611859">
              <w:rPr>
                <w:rFonts w:ascii="Times New Roman" w:eastAsia="Times New Roman" w:hAnsi="Times New Roman" w:cs="Times New Roman"/>
                <w:color w:val="291C00"/>
                <w:sz w:val="20"/>
                <w:szCs w:val="20"/>
                <w:lang w:val="en-GB" w:eastAsia="en-GB"/>
              </w:rPr>
              <w:t xml:space="preserve"> Inflation-corrected Bond Returns</w:t>
            </w:r>
          </w:p>
        </w:tc>
        <w:tc>
          <w:tcPr>
            <w:tcW w:w="1000" w:type="dxa"/>
            <w:vMerge w:val="restart"/>
            <w:tcBorders>
              <w:top w:val="single" w:sz="4" w:space="0" w:color="auto"/>
              <w:left w:val="nil"/>
              <w:bottom w:val="single" w:sz="4" w:space="0" w:color="000000"/>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H1 H2</w:t>
            </w:r>
          </w:p>
        </w:tc>
      </w:tr>
      <w:tr w:rsidR="005A06CB" w:rsidRPr="00611859" w:rsidTr="00D0485F">
        <w:trPr>
          <w:trHeight w:val="480"/>
          <w:jc w:val="center"/>
        </w:trPr>
        <w:tc>
          <w:tcPr>
            <w:tcW w:w="2320" w:type="dxa"/>
            <w:vMerge/>
            <w:tcBorders>
              <w:top w:val="single" w:sz="4" w:space="0" w:color="auto"/>
              <w:left w:val="nil"/>
              <w:bottom w:val="single" w:sz="4" w:space="0" w:color="000000"/>
              <w:right w:val="nil"/>
            </w:tcBorders>
            <w:vAlign w:val="center"/>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p>
        </w:tc>
        <w:tc>
          <w:tcPr>
            <w:tcW w:w="1000" w:type="dxa"/>
            <w:vMerge/>
            <w:tcBorders>
              <w:top w:val="single" w:sz="4" w:space="0" w:color="auto"/>
              <w:left w:val="nil"/>
              <w:bottom w:val="single" w:sz="4" w:space="0" w:color="000000"/>
              <w:right w:val="nil"/>
            </w:tcBorders>
            <w:vAlign w:val="center"/>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p>
        </w:tc>
      </w:tr>
      <w:tr w:rsidR="005A06CB" w:rsidRPr="00611859" w:rsidTr="00D0485F">
        <w:trPr>
          <w:trHeight w:val="225"/>
          <w:jc w:val="center"/>
        </w:trPr>
        <w:tc>
          <w:tcPr>
            <w:tcW w:w="3320" w:type="dxa"/>
            <w:gridSpan w:val="2"/>
            <w:tcBorders>
              <w:top w:val="single" w:sz="4" w:space="0" w:color="auto"/>
              <w:left w:val="nil"/>
              <w:bottom w:val="single" w:sz="4" w:space="0" w:color="auto"/>
              <w:right w:val="nil"/>
            </w:tcBorders>
            <w:shd w:val="clear" w:color="auto" w:fill="auto"/>
            <w:vAlign w:val="center"/>
            <w:hideMark/>
          </w:tcPr>
          <w:p w:rsidR="005A06CB" w:rsidRPr="00611859" w:rsidRDefault="005A06CB" w:rsidP="00D0485F">
            <w:pPr>
              <w:spacing w:after="0" w:line="240" w:lineRule="auto"/>
              <w:rPr>
                <w:rFonts w:ascii="Times New Roman" w:eastAsia="Times New Roman" w:hAnsi="Times New Roman" w:cs="Times New Roman"/>
                <w:i/>
                <w:iCs/>
                <w:color w:val="291C00"/>
                <w:sz w:val="20"/>
                <w:szCs w:val="20"/>
                <w:lang w:val="en-GB" w:eastAsia="en-GB"/>
              </w:rPr>
            </w:pPr>
            <w:r w:rsidRPr="00611859">
              <w:rPr>
                <w:rFonts w:ascii="Times New Roman" w:eastAsia="Times New Roman" w:hAnsi="Times New Roman" w:cs="Times New Roman"/>
                <w:i/>
                <w:iCs/>
                <w:color w:val="291C00"/>
                <w:sz w:val="20"/>
                <w:szCs w:val="20"/>
                <w:lang w:val="en-GB" w:eastAsia="en-GB"/>
              </w:rPr>
              <w:t>Panel A: Monthly frequency</w:t>
            </w:r>
          </w:p>
        </w:tc>
      </w:tr>
      <w:tr w:rsidR="005A06CB" w:rsidRPr="00611859"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Australia</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0.73</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Canada</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-0.25</w:t>
            </w:r>
          </w:p>
        </w:tc>
      </w:tr>
      <w:tr w:rsidR="005A06CB" w:rsidRPr="00611859"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Germany</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0.33</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Japan</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0.76</w:t>
            </w:r>
          </w:p>
        </w:tc>
      </w:tr>
      <w:tr w:rsidR="005A06CB" w:rsidRPr="00611859"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United Kingdom</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0.45</w:t>
            </w:r>
          </w:p>
        </w:tc>
      </w:tr>
      <w:tr w:rsidR="005A06CB" w:rsidRPr="00611859"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United States</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-0.70</w:t>
            </w:r>
          </w:p>
        </w:tc>
      </w:tr>
      <w:tr w:rsidR="005A06CB" w:rsidRPr="00611859" w:rsidTr="00D0485F">
        <w:trPr>
          <w:trHeight w:val="225"/>
          <w:jc w:val="center"/>
        </w:trPr>
        <w:tc>
          <w:tcPr>
            <w:tcW w:w="2320" w:type="dxa"/>
            <w:tcBorders>
              <w:top w:val="nil"/>
              <w:left w:val="nil"/>
              <w:bottom w:val="single" w:sz="4" w:space="0" w:color="auto"/>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Developed (6)</w:t>
            </w:r>
          </w:p>
        </w:tc>
        <w:tc>
          <w:tcPr>
            <w:tcW w:w="1000" w:type="dxa"/>
            <w:tcBorders>
              <w:top w:val="nil"/>
              <w:left w:val="nil"/>
              <w:bottom w:val="single" w:sz="4" w:space="0" w:color="auto"/>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0.10</w:t>
            </w:r>
          </w:p>
        </w:tc>
      </w:tr>
      <w:tr w:rsidR="005A06CB" w:rsidRPr="00611859" w:rsidTr="00D0485F">
        <w:trPr>
          <w:trHeight w:val="240"/>
          <w:jc w:val="center"/>
        </w:trPr>
        <w:tc>
          <w:tcPr>
            <w:tcW w:w="3320" w:type="dxa"/>
            <w:gridSpan w:val="2"/>
            <w:tcBorders>
              <w:top w:val="single" w:sz="4" w:space="0" w:color="auto"/>
              <w:left w:val="nil"/>
              <w:bottom w:val="single" w:sz="4" w:space="0" w:color="auto"/>
              <w:right w:val="nil"/>
            </w:tcBorders>
            <w:shd w:val="clear" w:color="auto" w:fill="auto"/>
            <w:vAlign w:val="center"/>
            <w:hideMark/>
          </w:tcPr>
          <w:p w:rsidR="005A06CB" w:rsidRPr="00611859" w:rsidRDefault="005A06CB" w:rsidP="00D0485F">
            <w:pPr>
              <w:spacing w:after="0" w:line="240" w:lineRule="auto"/>
              <w:rPr>
                <w:rFonts w:ascii="Times New Roman" w:eastAsia="Times New Roman" w:hAnsi="Times New Roman" w:cs="Times New Roman"/>
                <w:i/>
                <w:iCs/>
                <w:color w:val="291C00"/>
                <w:sz w:val="20"/>
                <w:szCs w:val="20"/>
                <w:lang w:val="en-GB" w:eastAsia="en-GB"/>
              </w:rPr>
            </w:pPr>
            <w:r w:rsidRPr="00611859">
              <w:rPr>
                <w:rFonts w:ascii="Times New Roman" w:eastAsia="Times New Roman" w:hAnsi="Times New Roman" w:cs="Times New Roman"/>
                <w:i/>
                <w:iCs/>
                <w:color w:val="291C00"/>
                <w:sz w:val="20"/>
                <w:szCs w:val="20"/>
                <w:lang w:val="en-GB" w:eastAsia="en-GB"/>
              </w:rPr>
              <w:t>Panel B: Quarterly frequency</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Australia</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-0.28</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Canada</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-0.10</w:t>
            </w:r>
          </w:p>
        </w:tc>
      </w:tr>
      <w:tr w:rsidR="005A06CB" w:rsidRPr="00611859" w:rsidTr="00D0485F">
        <w:trPr>
          <w:trHeight w:val="240"/>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Germany</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-0.02</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Japan</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0.38</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United Kingdom</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0.29</w:t>
            </w:r>
          </w:p>
        </w:tc>
      </w:tr>
      <w:tr w:rsidR="005A06CB" w:rsidRPr="00611859" w:rsidTr="00D0485F">
        <w:trPr>
          <w:trHeight w:val="255"/>
          <w:jc w:val="center"/>
        </w:trPr>
        <w:tc>
          <w:tcPr>
            <w:tcW w:w="2320" w:type="dxa"/>
            <w:tcBorders>
              <w:top w:val="nil"/>
              <w:left w:val="nil"/>
              <w:bottom w:val="nil"/>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United States</w:t>
            </w:r>
          </w:p>
        </w:tc>
        <w:tc>
          <w:tcPr>
            <w:tcW w:w="1000" w:type="dxa"/>
            <w:tcBorders>
              <w:top w:val="nil"/>
              <w:left w:val="nil"/>
              <w:bottom w:val="nil"/>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-0.40</w:t>
            </w:r>
          </w:p>
        </w:tc>
      </w:tr>
      <w:tr w:rsidR="005A06CB" w:rsidRPr="00611859" w:rsidTr="00D0485F">
        <w:trPr>
          <w:trHeight w:val="255"/>
          <w:jc w:val="center"/>
        </w:trPr>
        <w:tc>
          <w:tcPr>
            <w:tcW w:w="2320" w:type="dxa"/>
            <w:tcBorders>
              <w:top w:val="nil"/>
              <w:left w:val="nil"/>
              <w:bottom w:val="single" w:sz="4" w:space="0" w:color="auto"/>
              <w:right w:val="nil"/>
            </w:tcBorders>
            <w:shd w:val="clear" w:color="auto" w:fill="auto"/>
            <w:noWrap/>
            <w:vAlign w:val="bottom"/>
            <w:hideMark/>
          </w:tcPr>
          <w:p w:rsidR="005A06CB" w:rsidRPr="00611859" w:rsidRDefault="005A06CB" w:rsidP="00D0485F">
            <w:pPr>
              <w:spacing w:after="0" w:line="240" w:lineRule="auto"/>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Developed (6)</w:t>
            </w:r>
          </w:p>
        </w:tc>
        <w:tc>
          <w:tcPr>
            <w:tcW w:w="1000" w:type="dxa"/>
            <w:tcBorders>
              <w:top w:val="nil"/>
              <w:left w:val="nil"/>
              <w:bottom w:val="single" w:sz="4" w:space="0" w:color="auto"/>
              <w:right w:val="nil"/>
            </w:tcBorders>
            <w:shd w:val="clear" w:color="auto" w:fill="auto"/>
            <w:noWrap/>
            <w:vAlign w:val="center"/>
            <w:hideMark/>
          </w:tcPr>
          <w:p w:rsidR="005A06CB" w:rsidRPr="00611859" w:rsidRDefault="005A06CB" w:rsidP="00D0485F">
            <w:pPr>
              <w:spacing w:after="0" w:line="240" w:lineRule="auto"/>
              <w:jc w:val="center"/>
              <w:rPr>
                <w:rFonts w:ascii="Times New Roman" w:eastAsia="Times New Roman" w:hAnsi="Times New Roman" w:cs="Times New Roman"/>
                <w:color w:val="291C00"/>
                <w:sz w:val="20"/>
                <w:szCs w:val="20"/>
                <w:lang w:val="en-GB" w:eastAsia="en-GB"/>
              </w:rPr>
            </w:pPr>
            <w:r w:rsidRPr="00611859">
              <w:rPr>
                <w:rFonts w:ascii="Times New Roman" w:eastAsia="Times New Roman" w:hAnsi="Times New Roman" w:cs="Times New Roman"/>
                <w:color w:val="291C00"/>
                <w:sz w:val="20"/>
                <w:szCs w:val="20"/>
                <w:lang w:val="en-GB" w:eastAsia="en-GB"/>
              </w:rPr>
              <w:t>-0.08</w:t>
            </w:r>
          </w:p>
        </w:tc>
      </w:tr>
    </w:tbl>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i/>
          <w:sz w:val="18"/>
          <w:szCs w:val="18"/>
        </w:rPr>
        <w:t>Notes</w:t>
      </w:r>
      <w:r w:rsidRPr="00CE22F6">
        <w:rPr>
          <w:rFonts w:ascii="Times New Roman" w:hAnsi="Times New Roman" w:cs="Times New Roman"/>
          <w:sz w:val="18"/>
          <w:szCs w:val="18"/>
        </w:rPr>
        <w:t xml:space="preserve">: This table shows t-values based on Newey-West standard errors for the β in the regression </w:t>
      </w:r>
    </w:p>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t>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α + βX</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ε</w:t>
      </w:r>
      <w:r w:rsidRPr="00CE22F6">
        <w:rPr>
          <w:rFonts w:ascii="Times New Roman" w:hAnsi="Times New Roman" w:cs="Times New Roman"/>
          <w:sz w:val="18"/>
          <w:szCs w:val="18"/>
          <w:vertAlign w:val="subscript"/>
        </w:rPr>
        <w:t>t</w:t>
      </w:r>
    </w:p>
    <w:p w:rsidR="003F0AA3" w:rsidRPr="001221C6" w:rsidRDefault="005A06CB" w:rsidP="003F0AA3">
      <w:pPr>
        <w:pStyle w:val="NoSpacing"/>
        <w:jc w:val="both"/>
        <w:rPr>
          <w:rFonts w:ascii="Times New Roman" w:hAnsi="Times New Roman" w:cs="Times New Roman"/>
          <w:sz w:val="18"/>
          <w:szCs w:val="18"/>
        </w:rPr>
      </w:pPr>
      <w:r w:rsidRPr="00CE22F6">
        <w:rPr>
          <w:rFonts w:ascii="Times New Roman" w:hAnsi="Times New Roman" w:cs="Times New Roman"/>
          <w:sz w:val="18"/>
          <w:szCs w:val="18"/>
        </w:rPr>
        <w:t>where 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are residual bond</w:t>
      </w:r>
      <w:r w:rsidR="00FB132C">
        <w:rPr>
          <w:rFonts w:ascii="Times New Roman" w:hAnsi="Times New Roman" w:cs="Times New Roman"/>
          <w:sz w:val="18"/>
          <w:szCs w:val="18"/>
        </w:rPr>
        <w:t xml:space="preserve"> excess</w:t>
      </w:r>
      <w:r w:rsidRPr="00CE22F6">
        <w:rPr>
          <w:rFonts w:ascii="Times New Roman" w:hAnsi="Times New Roman" w:cs="Times New Roman"/>
          <w:sz w:val="18"/>
          <w:szCs w:val="18"/>
        </w:rPr>
        <w:t xml:space="preserve"> returns </w:t>
      </w:r>
      <w:r>
        <w:rPr>
          <w:rFonts w:ascii="Times New Roman" w:hAnsi="Times New Roman" w:cs="Times New Roman"/>
          <w:sz w:val="18"/>
          <w:szCs w:val="18"/>
        </w:rPr>
        <w:t>from the regression of</w:t>
      </w:r>
      <w:r w:rsidRPr="00CE22F6">
        <w:rPr>
          <w:rFonts w:ascii="Times New Roman" w:hAnsi="Times New Roman" w:cs="Times New Roman"/>
          <w:sz w:val="18"/>
          <w:szCs w:val="18"/>
        </w:rPr>
        <w:t xml:space="preserve"> </w:t>
      </w:r>
      <w:r>
        <w:rPr>
          <w:rFonts w:ascii="Times New Roman" w:hAnsi="Times New Roman" w:cs="Times New Roman"/>
          <w:sz w:val="18"/>
          <w:szCs w:val="18"/>
        </w:rPr>
        <w:t>nominal</w:t>
      </w:r>
      <w:r w:rsidRPr="00CE22F6">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Pr="00CE22F6">
        <w:rPr>
          <w:rFonts w:ascii="Times New Roman" w:hAnsi="Times New Roman" w:cs="Times New Roman"/>
          <w:sz w:val="18"/>
          <w:szCs w:val="18"/>
        </w:rPr>
        <w:t xml:space="preserve">returns on </w:t>
      </w:r>
      <w:r>
        <w:rPr>
          <w:rFonts w:ascii="Times New Roman" w:hAnsi="Times New Roman" w:cs="Times New Roman"/>
          <w:sz w:val="18"/>
          <w:szCs w:val="18"/>
        </w:rPr>
        <w:t>US</w:t>
      </w:r>
      <w:r w:rsidRPr="00CE22F6">
        <w:rPr>
          <w:rFonts w:ascii="Times New Roman" w:hAnsi="Times New Roman" w:cs="Times New Roman"/>
          <w:sz w:val="18"/>
          <w:szCs w:val="18"/>
        </w:rPr>
        <w:t xml:space="preserve"> inflation</w:t>
      </w:r>
      <w:r>
        <w:rPr>
          <w:rFonts w:ascii="Times New Roman" w:hAnsi="Times New Roman" w:cs="Times New Roman"/>
          <w:sz w:val="18"/>
          <w:szCs w:val="18"/>
        </w:rPr>
        <w:t xml:space="preserve"> and SAD factor</w:t>
      </w:r>
      <w:r w:rsidR="00FB132C">
        <w:rPr>
          <w:rFonts w:ascii="Times New Roman" w:hAnsi="Times New Roman" w:cs="Times New Roman"/>
          <w:sz w:val="18"/>
          <w:szCs w:val="18"/>
        </w:rPr>
        <w:t xml:space="preserve"> (from Table 4.15)</w:t>
      </w:r>
      <w:r w:rsidRPr="00CE22F6">
        <w:rPr>
          <w:rFonts w:ascii="Times New Roman" w:hAnsi="Times New Roman" w:cs="Times New Roman"/>
          <w:sz w:val="18"/>
          <w:szCs w:val="18"/>
        </w:rPr>
        <w:t xml:space="preserve">. X </w:t>
      </w:r>
      <w:r w:rsidR="00FB132C">
        <w:rPr>
          <w:rFonts w:ascii="Times New Roman" w:hAnsi="Times New Roman" w:cs="Times New Roman"/>
          <w:sz w:val="18"/>
          <w:szCs w:val="18"/>
        </w:rPr>
        <w:t xml:space="preserve">is a dummy to capture for </w:t>
      </w:r>
      <w:r w:rsidRPr="00CE22F6">
        <w:rPr>
          <w:rFonts w:ascii="Times New Roman" w:hAnsi="Times New Roman" w:cs="Times New Roman"/>
          <w:sz w:val="18"/>
          <w:szCs w:val="18"/>
        </w:rPr>
        <w:t>H1 H2</w:t>
      </w:r>
      <w:r w:rsidR="00FB132C">
        <w:rPr>
          <w:rFonts w:ascii="Times New Roman" w:hAnsi="Times New Roman" w:cs="Times New Roman"/>
          <w:sz w:val="18"/>
          <w:szCs w:val="18"/>
        </w:rPr>
        <w:t xml:space="preserve"> effect. Accordingly,</w:t>
      </w:r>
      <w:r w:rsidRPr="00CE22F6">
        <w:rPr>
          <w:rFonts w:ascii="Times New Roman" w:hAnsi="Times New Roman" w:cs="Times New Roman"/>
          <w:sz w:val="18"/>
          <w:szCs w:val="18"/>
        </w:rPr>
        <w:t xml:space="preserve"> X takes on the value of 1 for July to December and 0 otherwise</w:t>
      </w:r>
      <w:r w:rsidR="00FB132C">
        <w:rPr>
          <w:rFonts w:ascii="Times New Roman" w:hAnsi="Times New Roman" w:cs="Times New Roman"/>
          <w:sz w:val="18"/>
          <w:szCs w:val="18"/>
        </w:rPr>
        <w:t xml:space="preserve"> at monthly frequency and 1 for Q3 and Q4 and 0 for Q1 and Q2 at quarterly frequency</w:t>
      </w:r>
      <w:r w:rsidRPr="00CE22F6">
        <w:rPr>
          <w:rFonts w:ascii="Times New Roman" w:hAnsi="Times New Roman" w:cs="Times New Roman"/>
          <w:sz w:val="18"/>
          <w:szCs w:val="18"/>
        </w:rPr>
        <w:t xml:space="preserve">. </w:t>
      </w:r>
      <w:r w:rsidR="00FB132C" w:rsidRPr="00523B5F">
        <w:rPr>
          <w:rFonts w:ascii="Times New Roman" w:hAnsi="Times New Roman" w:cs="Times New Roman"/>
          <w:sz w:val="18"/>
          <w:szCs w:val="18"/>
        </w:rPr>
        <w:t xml:space="preserve">The Developed portfolio is based on equally-weighting the </w:t>
      </w:r>
      <w:r w:rsidR="00FB132C">
        <w:rPr>
          <w:rFonts w:ascii="Times New Roman" w:hAnsi="Times New Roman" w:cs="Times New Roman"/>
          <w:sz w:val="18"/>
          <w:szCs w:val="18"/>
        </w:rPr>
        <w:t>six countries provided data are available</w:t>
      </w:r>
      <w:r w:rsidR="00FB132C" w:rsidRPr="00523B5F">
        <w:rPr>
          <w:rFonts w:ascii="Times New Roman" w:hAnsi="Times New Roman" w:cs="Times New Roman"/>
          <w:sz w:val="18"/>
          <w:szCs w:val="18"/>
        </w:rPr>
        <w:t>. The analysis</w:t>
      </w:r>
      <w:r w:rsidR="00FB132C">
        <w:rPr>
          <w:rFonts w:ascii="Times New Roman" w:hAnsi="Times New Roman" w:cs="Times New Roman"/>
          <w:sz w:val="18"/>
          <w:szCs w:val="18"/>
        </w:rPr>
        <w:t xml:space="preserve"> is conducted on the samples </w:t>
      </w:r>
      <w:r w:rsidR="00FB132C" w:rsidRPr="00523B5F">
        <w:rPr>
          <w:rFonts w:ascii="Times New Roman" w:hAnsi="Times New Roman" w:cs="Times New Roman"/>
          <w:sz w:val="18"/>
          <w:szCs w:val="18"/>
        </w:rPr>
        <w:t xml:space="preserve">of </w:t>
      </w:r>
      <w:r w:rsidR="00FB132C">
        <w:rPr>
          <w:rFonts w:ascii="Times New Roman" w:hAnsi="Times New Roman" w:cs="Times New Roman"/>
          <w:sz w:val="18"/>
          <w:szCs w:val="18"/>
        </w:rPr>
        <w:t xml:space="preserve">nominal bond returns as depicted in Table 3.1. </w:t>
      </w:r>
      <w:r w:rsidR="003F0AA3" w:rsidRPr="001221C6">
        <w:rPr>
          <w:rFonts w:ascii="Times New Roman" w:hAnsi="Times New Roman" w:cs="Times New Roman"/>
          <w:sz w:val="18"/>
          <w:szCs w:val="18"/>
        </w:rPr>
        <w:t xml:space="preserve">The numbers in </w:t>
      </w:r>
      <w:r w:rsidR="003F0AA3" w:rsidRPr="001221C6">
        <w:rPr>
          <w:rFonts w:ascii="Times New Roman" w:hAnsi="Times New Roman" w:cs="Times New Roman"/>
          <w:b/>
          <w:sz w:val="18"/>
          <w:szCs w:val="18"/>
        </w:rPr>
        <w:t>Bold</w:t>
      </w:r>
      <w:r w:rsidR="003F0AA3" w:rsidRPr="001221C6">
        <w:rPr>
          <w:rFonts w:ascii="Times New Roman" w:hAnsi="Times New Roman" w:cs="Times New Roman"/>
          <w:sz w:val="18"/>
          <w:szCs w:val="18"/>
        </w:rPr>
        <w:t xml:space="preserve"> show statistical significance at 5% significance level, while those in </w:t>
      </w:r>
      <w:r w:rsidR="003F0AA3" w:rsidRPr="003F0AA3">
        <w:rPr>
          <w:rFonts w:ascii="Times New Roman" w:eastAsia="Times New Roman" w:hAnsi="Times New Roman" w:cs="Times New Roman"/>
          <w:color w:val="4F81BD"/>
          <w:sz w:val="18"/>
          <w:szCs w:val="18"/>
        </w:rPr>
        <w:t>Blue</w:t>
      </w:r>
      <w:r w:rsidR="003F0AA3" w:rsidRPr="003F0AA3">
        <w:rPr>
          <w:rFonts w:ascii="Times New Roman" w:eastAsia="Times New Roman" w:hAnsi="Times New Roman" w:cs="Times New Roman"/>
          <w:color w:val="4F81BD"/>
          <w:sz w:val="20"/>
          <w:szCs w:val="20"/>
        </w:rPr>
        <w:t xml:space="preserve"> </w:t>
      </w:r>
      <w:r w:rsidR="003F0AA3" w:rsidRPr="001221C6">
        <w:rPr>
          <w:rFonts w:ascii="Times New Roman" w:hAnsi="Times New Roman" w:cs="Times New Roman"/>
          <w:sz w:val="18"/>
          <w:szCs w:val="18"/>
        </w:rPr>
        <w:t>at 10% significance level.</w:t>
      </w:r>
    </w:p>
    <w:p w:rsidR="005A06CB" w:rsidRPr="00CE22F6" w:rsidRDefault="005A06CB" w:rsidP="005A06CB">
      <w:pPr>
        <w:pStyle w:val="NoSpacing"/>
        <w:jc w:val="both"/>
        <w:rPr>
          <w:rFonts w:ascii="Times New Roman" w:hAnsi="Times New Roman" w:cs="Times New Roman"/>
          <w:sz w:val="18"/>
          <w:szCs w:val="18"/>
        </w:rPr>
      </w:pPr>
    </w:p>
    <w:p w:rsidR="005A06CB" w:rsidRDefault="005A06CB" w:rsidP="005A06CB">
      <w:pPr>
        <w:pStyle w:val="NoSpacing"/>
        <w:rPr>
          <w:rFonts w:ascii="Times New Roman" w:hAnsi="Times New Roman" w:cs="Times New Roman"/>
          <w:i/>
          <w:sz w:val="18"/>
          <w:szCs w:val="18"/>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analysis carried above was focused on an international sample in order to check the validity of results on six liquid and large bond markets. This section is dedicated to the SAD factor introduced by KKL as there were signs that the factor is relevant for some countries (Canada, Germany and </w:t>
      </w:r>
      <w:r w:rsidR="00FB132C">
        <w:rPr>
          <w:rFonts w:ascii="Times New Roman" w:hAnsi="Times New Roman" w:cs="Times New Roman"/>
        </w:rPr>
        <w:t xml:space="preserve">the </w:t>
      </w:r>
      <w:r>
        <w:rPr>
          <w:rFonts w:ascii="Times New Roman" w:hAnsi="Times New Roman" w:cs="Times New Roman"/>
        </w:rPr>
        <w:t>United States). Given that the interaction of SAD hypothesis and inflation rate was tested on samples which start in January 1980 the earliest, the investigation of a longer data set as the one used by KKL</w:t>
      </w:r>
      <w:r w:rsidR="00FB132C">
        <w:rPr>
          <w:rFonts w:ascii="Times New Roman" w:hAnsi="Times New Roman" w:cs="Times New Roman"/>
        </w:rPr>
        <w:t>(2014)</w:t>
      </w:r>
      <w:r>
        <w:rPr>
          <w:rFonts w:ascii="Times New Roman" w:hAnsi="Times New Roman" w:cs="Times New Roman"/>
        </w:rPr>
        <w:t xml:space="preserve"> which covers 1952-2007 is an additional robustness check. </w:t>
      </w:r>
      <w:r w:rsidRPr="00E10864">
        <w:rPr>
          <w:rFonts w:ascii="Times New Roman" w:hAnsi="Times New Roman" w:cs="Times New Roman"/>
        </w:rPr>
        <w:t xml:space="preserve">The recent data sample is characterized by </w:t>
      </w:r>
      <w:r>
        <w:rPr>
          <w:rFonts w:ascii="Times New Roman" w:hAnsi="Times New Roman" w:cs="Times New Roman"/>
        </w:rPr>
        <w:t>falling interest rates</w:t>
      </w:r>
      <w:r w:rsidRPr="00E10864">
        <w:rPr>
          <w:rFonts w:ascii="Times New Roman" w:hAnsi="Times New Roman" w:cs="Times New Roman"/>
        </w:rPr>
        <w:t>, while the period before 1980s by rising yields and</w:t>
      </w:r>
      <w:r w:rsidR="003F0AA3">
        <w:rPr>
          <w:rFonts w:ascii="Times New Roman" w:hAnsi="Times New Roman" w:cs="Times New Roman"/>
        </w:rPr>
        <w:t xml:space="preserve"> inflation, as shown in Figure A.2</w:t>
      </w:r>
      <w:r w:rsidRPr="00E10864">
        <w:rPr>
          <w:rFonts w:ascii="Times New Roman" w:hAnsi="Times New Roman" w:cs="Times New Roman"/>
        </w:rPr>
        <w:t xml:space="preserve"> from the Appendix</w:t>
      </w:r>
      <w:r w:rsidR="003F0AA3">
        <w:rPr>
          <w:rFonts w:ascii="Times New Roman" w:hAnsi="Times New Roman" w:cs="Times New Roman"/>
        </w:rPr>
        <w:t xml:space="preserve"> A</w:t>
      </w:r>
      <w:r w:rsidRPr="00E10864">
        <w:rPr>
          <w:rFonts w:ascii="Times New Roman" w:hAnsi="Times New Roman" w:cs="Times New Roman"/>
        </w:rPr>
        <w:t>.</w:t>
      </w:r>
      <w:r>
        <w:rPr>
          <w:rFonts w:ascii="Times New Roman" w:hAnsi="Times New Roman" w:cs="Times New Roman"/>
        </w:rPr>
        <w:t xml:space="preserve"> Accordingly, I conduct the same analysis on the bond returns with the maturities chosen by KKL (20Y, 10Y, 7Y and 5Y) as in section 4.1 and 4.2.  </w:t>
      </w:r>
    </w:p>
    <w:p w:rsidR="005A06C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 xml:space="preserve">I first test the existence of seasonality in bond returns at both monthly and quarterly frequency. </w:t>
      </w:r>
    </w:p>
    <w:p w:rsidR="005A06CB" w:rsidRDefault="003F0AA3" w:rsidP="003F0AA3">
      <w:pPr>
        <w:spacing w:after="120" w:line="360" w:lineRule="auto"/>
        <w:jc w:val="center"/>
        <w:rPr>
          <w:rFonts w:ascii="Times New Roman" w:hAnsi="Times New Roman" w:cs="Times New Roman"/>
        </w:rPr>
      </w:pPr>
      <w:r>
        <w:rPr>
          <w:rFonts w:ascii="Times New Roman" w:hAnsi="Times New Roman" w:cs="Times New Roman"/>
        </w:rPr>
        <w:t>Table 4.17</w:t>
      </w:r>
      <w:r w:rsidR="005A06CB">
        <w:rPr>
          <w:rFonts w:ascii="Times New Roman" w:hAnsi="Times New Roman" w:cs="Times New Roman"/>
        </w:rPr>
        <w:t>: Seasonal tests on U</w:t>
      </w:r>
      <w:r w:rsidR="00BE3880">
        <w:rPr>
          <w:rFonts w:ascii="Times New Roman" w:hAnsi="Times New Roman" w:cs="Times New Roman"/>
        </w:rPr>
        <w:t>.</w:t>
      </w:r>
      <w:r w:rsidR="005A06CB">
        <w:rPr>
          <w:rFonts w:ascii="Times New Roman" w:hAnsi="Times New Roman" w:cs="Times New Roman"/>
        </w:rPr>
        <w:t>S</w:t>
      </w:r>
      <w:r w:rsidR="00BE3880">
        <w:rPr>
          <w:rFonts w:ascii="Times New Roman" w:hAnsi="Times New Roman" w:cs="Times New Roman"/>
        </w:rPr>
        <w:t>.</w:t>
      </w:r>
      <w:r w:rsidR="005A06CB">
        <w:rPr>
          <w:rFonts w:ascii="Times New Roman" w:hAnsi="Times New Roman" w:cs="Times New Roman"/>
        </w:rPr>
        <w:t xml:space="preserve"> CRSP Bond Returns</w:t>
      </w:r>
    </w:p>
    <w:tbl>
      <w:tblPr>
        <w:tblW w:w="4880" w:type="dxa"/>
        <w:jc w:val="center"/>
        <w:tblInd w:w="93" w:type="dxa"/>
        <w:tblLook w:val="04A0"/>
      </w:tblPr>
      <w:tblGrid>
        <w:gridCol w:w="2420"/>
        <w:gridCol w:w="1320"/>
        <w:gridCol w:w="1140"/>
      </w:tblGrid>
      <w:tr w:rsidR="005A06CB" w:rsidRPr="0032465C" w:rsidTr="00D0485F">
        <w:trPr>
          <w:trHeight w:val="435"/>
          <w:jc w:val="center"/>
        </w:trPr>
        <w:tc>
          <w:tcPr>
            <w:tcW w:w="2420" w:type="dxa"/>
            <w:vMerge w:val="restart"/>
            <w:tcBorders>
              <w:top w:val="single" w:sz="4" w:space="0" w:color="auto"/>
              <w:left w:val="nil"/>
              <w:bottom w:val="nil"/>
              <w:right w:val="nil"/>
            </w:tcBorders>
            <w:shd w:val="clear" w:color="auto" w:fill="auto"/>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U</w:t>
            </w:r>
            <w:r w:rsidR="00BE3880">
              <w:rPr>
                <w:rFonts w:ascii="Times New Roman" w:eastAsia="Times New Roman" w:hAnsi="Times New Roman" w:cs="Times New Roman"/>
                <w:color w:val="000000"/>
                <w:sz w:val="20"/>
                <w:szCs w:val="20"/>
              </w:rPr>
              <w:t>.</w:t>
            </w:r>
            <w:r w:rsidRPr="0032465C">
              <w:rPr>
                <w:rFonts w:ascii="Times New Roman" w:eastAsia="Times New Roman" w:hAnsi="Times New Roman" w:cs="Times New Roman"/>
                <w:color w:val="000000"/>
                <w:sz w:val="20"/>
                <w:szCs w:val="20"/>
              </w:rPr>
              <w:t>S</w:t>
            </w:r>
            <w:r w:rsidR="00BE3880">
              <w:rPr>
                <w:rFonts w:ascii="Times New Roman" w:eastAsia="Times New Roman" w:hAnsi="Times New Roman" w:cs="Times New Roman"/>
                <w:color w:val="000000"/>
                <w:sz w:val="20"/>
                <w:szCs w:val="20"/>
              </w:rPr>
              <w:t>.</w:t>
            </w:r>
            <w:r w:rsidRPr="0032465C">
              <w:rPr>
                <w:rFonts w:ascii="Times New Roman" w:eastAsia="Times New Roman" w:hAnsi="Times New Roman" w:cs="Times New Roman"/>
                <w:color w:val="000000"/>
                <w:sz w:val="20"/>
                <w:szCs w:val="20"/>
              </w:rPr>
              <w:t xml:space="preserve"> CRSP Bond Excess Returns 1952-2007</w:t>
            </w:r>
          </w:p>
        </w:tc>
        <w:tc>
          <w:tcPr>
            <w:tcW w:w="1320" w:type="dxa"/>
            <w:vMerge w:val="restart"/>
            <w:tcBorders>
              <w:top w:val="single" w:sz="4" w:space="0" w:color="auto"/>
              <w:left w:val="nil"/>
              <w:bottom w:val="nil"/>
              <w:right w:val="nil"/>
            </w:tcBorders>
            <w:shd w:val="clear" w:color="auto" w:fill="auto"/>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H1 H2</w:t>
            </w:r>
          </w:p>
        </w:tc>
        <w:tc>
          <w:tcPr>
            <w:tcW w:w="1140" w:type="dxa"/>
            <w:vMerge w:val="restart"/>
            <w:tcBorders>
              <w:top w:val="single" w:sz="4" w:space="0" w:color="auto"/>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SAD</w:t>
            </w:r>
          </w:p>
        </w:tc>
      </w:tr>
      <w:tr w:rsidR="005A06CB" w:rsidRPr="0032465C" w:rsidTr="00D0485F">
        <w:trPr>
          <w:trHeight w:val="230"/>
          <w:jc w:val="center"/>
        </w:trPr>
        <w:tc>
          <w:tcPr>
            <w:tcW w:w="2420" w:type="dxa"/>
            <w:vMerge/>
            <w:tcBorders>
              <w:top w:val="single" w:sz="4" w:space="0" w:color="auto"/>
              <w:left w:val="nil"/>
              <w:bottom w:val="nil"/>
              <w:right w:val="nil"/>
            </w:tcBorders>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p>
        </w:tc>
        <w:tc>
          <w:tcPr>
            <w:tcW w:w="1320" w:type="dxa"/>
            <w:vMerge/>
            <w:tcBorders>
              <w:top w:val="single" w:sz="4" w:space="0" w:color="auto"/>
              <w:left w:val="nil"/>
              <w:bottom w:val="nil"/>
              <w:right w:val="nil"/>
            </w:tcBorders>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p>
        </w:tc>
        <w:tc>
          <w:tcPr>
            <w:tcW w:w="1140" w:type="dxa"/>
            <w:vMerge/>
            <w:tcBorders>
              <w:top w:val="single" w:sz="4" w:space="0" w:color="auto"/>
              <w:left w:val="nil"/>
              <w:bottom w:val="nil"/>
              <w:right w:val="nil"/>
            </w:tcBorders>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p>
        </w:tc>
      </w:tr>
      <w:tr w:rsidR="005A06CB" w:rsidRPr="0032465C" w:rsidTr="00D0485F">
        <w:trPr>
          <w:trHeight w:val="240"/>
          <w:jc w:val="center"/>
        </w:trPr>
        <w:tc>
          <w:tcPr>
            <w:tcW w:w="3740" w:type="dxa"/>
            <w:gridSpan w:val="2"/>
            <w:tcBorders>
              <w:top w:val="single" w:sz="4" w:space="0" w:color="auto"/>
              <w:left w:val="nil"/>
              <w:bottom w:val="single" w:sz="4" w:space="0" w:color="auto"/>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i/>
                <w:iCs/>
                <w:color w:val="000000"/>
                <w:sz w:val="20"/>
                <w:szCs w:val="20"/>
              </w:rPr>
            </w:pPr>
            <w:r w:rsidRPr="0032465C">
              <w:rPr>
                <w:rFonts w:ascii="Times New Roman" w:eastAsia="Times New Roman" w:hAnsi="Times New Roman" w:cs="Times New Roman"/>
                <w:i/>
                <w:iCs/>
                <w:color w:val="000000"/>
                <w:sz w:val="20"/>
                <w:szCs w:val="20"/>
              </w:rPr>
              <w:t>Panel A: Monthly frequency</w:t>
            </w:r>
          </w:p>
        </w:tc>
        <w:tc>
          <w:tcPr>
            <w:tcW w:w="1140" w:type="dxa"/>
            <w:tcBorders>
              <w:top w:val="single" w:sz="4" w:space="0" w:color="auto"/>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 </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20-year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1.30</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2.23</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10-year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1.57</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2.39</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lastRenderedPageBreak/>
              <w:t>7-year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2.38</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2.87</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5-year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4F81BD"/>
                <w:sz w:val="20"/>
                <w:szCs w:val="20"/>
              </w:rPr>
            </w:pPr>
            <w:r w:rsidRPr="0032465C">
              <w:rPr>
                <w:rFonts w:ascii="Times New Roman" w:eastAsia="Times New Roman" w:hAnsi="Times New Roman" w:cs="Times New Roman"/>
                <w:color w:val="4F81BD"/>
                <w:sz w:val="20"/>
                <w:szCs w:val="20"/>
              </w:rPr>
              <w:t>1.88</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2.78</w:t>
            </w:r>
          </w:p>
        </w:tc>
      </w:tr>
      <w:tr w:rsidR="005A06CB" w:rsidRPr="0032465C" w:rsidTr="00D0485F">
        <w:trPr>
          <w:trHeight w:val="240"/>
          <w:jc w:val="center"/>
        </w:trPr>
        <w:tc>
          <w:tcPr>
            <w:tcW w:w="2420" w:type="dxa"/>
            <w:tcBorders>
              <w:top w:val="nil"/>
              <w:left w:val="nil"/>
              <w:bottom w:val="single" w:sz="4" w:space="0" w:color="auto"/>
              <w:right w:val="nil"/>
            </w:tcBorders>
            <w:shd w:val="clear" w:color="auto" w:fill="auto"/>
            <w:noWrap/>
            <w:vAlign w:val="bottom"/>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Average</w:t>
            </w:r>
          </w:p>
        </w:tc>
        <w:tc>
          <w:tcPr>
            <w:tcW w:w="1320" w:type="dxa"/>
            <w:tcBorders>
              <w:top w:val="nil"/>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4F81BD"/>
                <w:sz w:val="20"/>
                <w:szCs w:val="20"/>
              </w:rPr>
            </w:pPr>
            <w:r w:rsidRPr="0032465C">
              <w:rPr>
                <w:rFonts w:ascii="Times New Roman" w:eastAsia="Times New Roman" w:hAnsi="Times New Roman" w:cs="Times New Roman"/>
                <w:color w:val="4F81BD"/>
                <w:sz w:val="20"/>
                <w:szCs w:val="20"/>
              </w:rPr>
              <w:t>1.76</w:t>
            </w:r>
          </w:p>
        </w:tc>
        <w:tc>
          <w:tcPr>
            <w:tcW w:w="1140" w:type="dxa"/>
            <w:tcBorders>
              <w:top w:val="nil"/>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2.58</w:t>
            </w:r>
          </w:p>
        </w:tc>
      </w:tr>
      <w:tr w:rsidR="005A06CB" w:rsidRPr="0032465C" w:rsidTr="00D0485F">
        <w:trPr>
          <w:trHeight w:val="240"/>
          <w:jc w:val="center"/>
        </w:trPr>
        <w:tc>
          <w:tcPr>
            <w:tcW w:w="3740" w:type="dxa"/>
            <w:gridSpan w:val="2"/>
            <w:tcBorders>
              <w:top w:val="single" w:sz="4" w:space="0" w:color="auto"/>
              <w:left w:val="nil"/>
              <w:bottom w:val="single" w:sz="4" w:space="0" w:color="auto"/>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i/>
                <w:iCs/>
                <w:color w:val="000000"/>
                <w:sz w:val="20"/>
                <w:szCs w:val="20"/>
              </w:rPr>
            </w:pPr>
            <w:r w:rsidRPr="0032465C">
              <w:rPr>
                <w:rFonts w:ascii="Times New Roman" w:eastAsia="Times New Roman" w:hAnsi="Times New Roman" w:cs="Times New Roman"/>
                <w:i/>
                <w:iCs/>
                <w:color w:val="000000"/>
                <w:sz w:val="20"/>
                <w:szCs w:val="20"/>
              </w:rPr>
              <w:t>Panel B: Quarterly frequency</w:t>
            </w:r>
          </w:p>
        </w:tc>
        <w:tc>
          <w:tcPr>
            <w:tcW w:w="1140" w:type="dxa"/>
            <w:tcBorders>
              <w:top w:val="nil"/>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 </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20-year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1.36</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1.45</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10-year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1.59</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1.32</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7-year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2.47</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2.57</w:t>
            </w:r>
          </w:p>
        </w:tc>
      </w:tr>
      <w:tr w:rsidR="005A06CB" w:rsidRPr="0032465C" w:rsidTr="00D0485F">
        <w:trPr>
          <w:trHeight w:val="240"/>
          <w:jc w:val="center"/>
        </w:trPr>
        <w:tc>
          <w:tcPr>
            <w:tcW w:w="2420" w:type="dxa"/>
            <w:tcBorders>
              <w:top w:val="nil"/>
              <w:left w:val="nil"/>
              <w:bottom w:val="nil"/>
              <w:right w:val="nil"/>
            </w:tcBorders>
            <w:shd w:val="clear" w:color="auto" w:fill="auto"/>
            <w:vAlign w:val="center"/>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5-year</w:t>
            </w:r>
          </w:p>
        </w:tc>
        <w:tc>
          <w:tcPr>
            <w:tcW w:w="132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4F81BD"/>
                <w:sz w:val="20"/>
                <w:szCs w:val="20"/>
              </w:rPr>
            </w:pPr>
            <w:r w:rsidRPr="0032465C">
              <w:rPr>
                <w:rFonts w:ascii="Times New Roman" w:eastAsia="Times New Roman" w:hAnsi="Times New Roman" w:cs="Times New Roman"/>
                <w:color w:val="4F81BD"/>
                <w:sz w:val="20"/>
                <w:szCs w:val="20"/>
              </w:rPr>
              <w:t>1.85</w:t>
            </w:r>
          </w:p>
        </w:tc>
        <w:tc>
          <w:tcPr>
            <w:tcW w:w="1140" w:type="dxa"/>
            <w:tcBorders>
              <w:top w:val="nil"/>
              <w:left w:val="nil"/>
              <w:bottom w:val="nil"/>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b/>
                <w:bCs/>
                <w:color w:val="000000"/>
                <w:sz w:val="20"/>
                <w:szCs w:val="20"/>
              </w:rPr>
            </w:pPr>
            <w:r w:rsidRPr="0032465C">
              <w:rPr>
                <w:rFonts w:ascii="Times New Roman" w:eastAsia="Times New Roman" w:hAnsi="Times New Roman" w:cs="Times New Roman"/>
                <w:b/>
                <w:bCs/>
                <w:color w:val="000000"/>
                <w:sz w:val="20"/>
                <w:szCs w:val="20"/>
              </w:rPr>
              <w:t>1.97</w:t>
            </w:r>
          </w:p>
        </w:tc>
      </w:tr>
      <w:tr w:rsidR="005A06CB" w:rsidRPr="0032465C" w:rsidTr="00D0485F">
        <w:trPr>
          <w:trHeight w:val="240"/>
          <w:jc w:val="center"/>
        </w:trPr>
        <w:tc>
          <w:tcPr>
            <w:tcW w:w="2420" w:type="dxa"/>
            <w:tcBorders>
              <w:top w:val="nil"/>
              <w:left w:val="nil"/>
              <w:bottom w:val="single" w:sz="4" w:space="0" w:color="auto"/>
              <w:right w:val="nil"/>
            </w:tcBorders>
            <w:shd w:val="clear" w:color="auto" w:fill="auto"/>
            <w:noWrap/>
            <w:vAlign w:val="bottom"/>
            <w:hideMark/>
          </w:tcPr>
          <w:p w:rsidR="005A06CB" w:rsidRPr="0032465C" w:rsidRDefault="005A06CB" w:rsidP="00D0485F">
            <w:pPr>
              <w:spacing w:after="0" w:line="240" w:lineRule="auto"/>
              <w:rPr>
                <w:rFonts w:ascii="Times New Roman" w:eastAsia="Times New Roman" w:hAnsi="Times New Roman" w:cs="Times New Roman"/>
                <w:color w:val="000000"/>
                <w:sz w:val="20"/>
                <w:szCs w:val="20"/>
              </w:rPr>
            </w:pPr>
            <w:r w:rsidRPr="0032465C">
              <w:rPr>
                <w:rFonts w:ascii="Times New Roman" w:eastAsia="Times New Roman" w:hAnsi="Times New Roman" w:cs="Times New Roman"/>
                <w:color w:val="000000"/>
                <w:sz w:val="20"/>
                <w:szCs w:val="20"/>
              </w:rPr>
              <w:t>Average</w:t>
            </w:r>
          </w:p>
        </w:tc>
        <w:tc>
          <w:tcPr>
            <w:tcW w:w="1320" w:type="dxa"/>
            <w:tcBorders>
              <w:top w:val="nil"/>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4F81BD"/>
                <w:sz w:val="20"/>
                <w:szCs w:val="20"/>
              </w:rPr>
            </w:pPr>
            <w:r w:rsidRPr="0032465C">
              <w:rPr>
                <w:rFonts w:ascii="Times New Roman" w:eastAsia="Times New Roman" w:hAnsi="Times New Roman" w:cs="Times New Roman"/>
                <w:color w:val="4F81BD"/>
                <w:sz w:val="20"/>
                <w:szCs w:val="20"/>
              </w:rPr>
              <w:t>1.81</w:t>
            </w:r>
          </w:p>
        </w:tc>
        <w:tc>
          <w:tcPr>
            <w:tcW w:w="1140" w:type="dxa"/>
            <w:tcBorders>
              <w:top w:val="nil"/>
              <w:left w:val="nil"/>
              <w:bottom w:val="single" w:sz="4" w:space="0" w:color="auto"/>
              <w:right w:val="nil"/>
            </w:tcBorders>
            <w:shd w:val="clear" w:color="auto" w:fill="auto"/>
            <w:noWrap/>
            <w:vAlign w:val="center"/>
            <w:hideMark/>
          </w:tcPr>
          <w:p w:rsidR="005A06CB" w:rsidRPr="0032465C" w:rsidRDefault="005A06CB" w:rsidP="00D0485F">
            <w:pPr>
              <w:spacing w:after="0" w:line="240" w:lineRule="auto"/>
              <w:jc w:val="center"/>
              <w:rPr>
                <w:rFonts w:ascii="Times New Roman" w:eastAsia="Times New Roman" w:hAnsi="Times New Roman" w:cs="Times New Roman"/>
                <w:color w:val="4F81BD"/>
                <w:sz w:val="20"/>
                <w:szCs w:val="20"/>
              </w:rPr>
            </w:pPr>
            <w:r w:rsidRPr="0032465C">
              <w:rPr>
                <w:rFonts w:ascii="Times New Roman" w:eastAsia="Times New Roman" w:hAnsi="Times New Roman" w:cs="Times New Roman"/>
                <w:color w:val="4F81BD"/>
                <w:sz w:val="20"/>
                <w:szCs w:val="20"/>
              </w:rPr>
              <w:t>1.80</w:t>
            </w:r>
          </w:p>
        </w:tc>
      </w:tr>
    </w:tbl>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 t-values based on Newey-West standard errors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5A06CB" w:rsidRDefault="005A06CB" w:rsidP="003F0AA3">
      <w:pPr>
        <w:pStyle w:val="NoSpacing"/>
        <w:jc w:val="both"/>
        <w:rPr>
          <w:rFonts w:ascii="Times New Roman" w:hAnsi="Times New Roman" w:cs="Times New Roman"/>
          <w:sz w:val="18"/>
          <w:szCs w:val="18"/>
        </w:rPr>
      </w:pPr>
      <w:r>
        <w:rPr>
          <w:rFonts w:ascii="Times New Roman" w:hAnsi="Times New Roman" w:cs="Times New Roman"/>
          <w:sz w:val="18"/>
          <w:szCs w:val="18"/>
        </w:rPr>
        <w:t>where Y are US CRSP Bond Excess Returns for the sample 1952-2007, as considered by Kamstra, Kramer and Levi (2014) at the monthly frequency (Panel A) and quarterly frequency (Panel B).</w:t>
      </w:r>
      <w:r w:rsidRPr="006C0856">
        <w:rPr>
          <w:rFonts w:ascii="Times New Roman" w:hAnsi="Times New Roman" w:cs="Times New Roman"/>
          <w:sz w:val="18"/>
          <w:szCs w:val="18"/>
        </w:rPr>
        <w:t xml:space="preserve"> X depends on t</w:t>
      </w:r>
      <w:r>
        <w:rPr>
          <w:rFonts w:ascii="Times New Roman" w:hAnsi="Times New Roman" w:cs="Times New Roman"/>
          <w:sz w:val="18"/>
          <w:szCs w:val="18"/>
        </w:rPr>
        <w:t>he seasonal pattern tested. In case of H</w:t>
      </w:r>
      <w:r w:rsidRPr="006C0856">
        <w:rPr>
          <w:rFonts w:ascii="Times New Roman" w:hAnsi="Times New Roman" w:cs="Times New Roman"/>
          <w:sz w:val="18"/>
          <w:szCs w:val="18"/>
        </w:rPr>
        <w:t>1 H2</w:t>
      </w:r>
      <w:r>
        <w:rPr>
          <w:rFonts w:ascii="Times New Roman" w:hAnsi="Times New Roman" w:cs="Times New Roman"/>
          <w:sz w:val="18"/>
          <w:szCs w:val="18"/>
        </w:rPr>
        <w:t>,</w:t>
      </w:r>
      <w:r w:rsidRPr="006C0856">
        <w:rPr>
          <w:rFonts w:ascii="Times New Roman" w:hAnsi="Times New Roman" w:cs="Times New Roman"/>
          <w:sz w:val="18"/>
          <w:szCs w:val="18"/>
        </w:rPr>
        <w:t xml:space="preserve"> X is a dummy that takes on the value of 1 for July to December and 0 otherwise. For SAD</w:t>
      </w:r>
      <w:r>
        <w:rPr>
          <w:rFonts w:ascii="Times New Roman" w:hAnsi="Times New Roman" w:cs="Times New Roman"/>
          <w:sz w:val="18"/>
          <w:szCs w:val="18"/>
        </w:rPr>
        <w:t>, X</w:t>
      </w:r>
      <w:r w:rsidRPr="006C0856">
        <w:rPr>
          <w:rFonts w:ascii="Times New Roman" w:hAnsi="Times New Roman" w:cs="Times New Roman"/>
          <w:sz w:val="18"/>
          <w:szCs w:val="18"/>
        </w:rPr>
        <w:t xml:space="preserve"> is set equal to the 12 monthly values from the Kamstra, Kramer, and Levi (2014) paper. </w:t>
      </w:r>
      <w:r>
        <w:rPr>
          <w:rFonts w:ascii="Times New Roman" w:hAnsi="Times New Roman" w:cs="Times New Roman"/>
          <w:sz w:val="18"/>
          <w:szCs w:val="18"/>
        </w:rPr>
        <w:t xml:space="preserve">Average stands for an equally-weighted portfolio made up of four maturities: 20Y, 10Y, 7Y and 5Y. </w:t>
      </w:r>
      <w:r w:rsidR="003F0AA3" w:rsidRPr="001221C6">
        <w:rPr>
          <w:rFonts w:ascii="Times New Roman" w:hAnsi="Times New Roman" w:cs="Times New Roman"/>
          <w:sz w:val="18"/>
          <w:szCs w:val="18"/>
        </w:rPr>
        <w:t xml:space="preserve">The numbers in </w:t>
      </w:r>
      <w:r w:rsidR="003F0AA3" w:rsidRPr="001221C6">
        <w:rPr>
          <w:rFonts w:ascii="Times New Roman" w:hAnsi="Times New Roman" w:cs="Times New Roman"/>
          <w:b/>
          <w:sz w:val="18"/>
          <w:szCs w:val="18"/>
        </w:rPr>
        <w:t>Bold</w:t>
      </w:r>
      <w:r w:rsidR="003F0AA3" w:rsidRPr="001221C6">
        <w:rPr>
          <w:rFonts w:ascii="Times New Roman" w:hAnsi="Times New Roman" w:cs="Times New Roman"/>
          <w:sz w:val="18"/>
          <w:szCs w:val="18"/>
        </w:rPr>
        <w:t xml:space="preserve"> show statistical significance at 5% significance level, while those in </w:t>
      </w:r>
      <w:r w:rsidR="003F0AA3" w:rsidRPr="003F0AA3">
        <w:rPr>
          <w:rFonts w:ascii="Times New Roman" w:eastAsia="Times New Roman" w:hAnsi="Times New Roman" w:cs="Times New Roman"/>
          <w:color w:val="4F81BD"/>
          <w:sz w:val="18"/>
          <w:szCs w:val="18"/>
        </w:rPr>
        <w:t>Blue</w:t>
      </w:r>
      <w:r w:rsidR="003F0AA3" w:rsidRPr="003F0AA3">
        <w:rPr>
          <w:rFonts w:ascii="Times New Roman" w:eastAsia="Times New Roman" w:hAnsi="Times New Roman" w:cs="Times New Roman"/>
          <w:color w:val="4F81BD"/>
          <w:sz w:val="20"/>
          <w:szCs w:val="20"/>
        </w:rPr>
        <w:t xml:space="preserve"> </w:t>
      </w:r>
      <w:r w:rsidR="003F0AA3" w:rsidRPr="001221C6">
        <w:rPr>
          <w:rFonts w:ascii="Times New Roman" w:hAnsi="Times New Roman" w:cs="Times New Roman"/>
          <w:sz w:val="18"/>
          <w:szCs w:val="18"/>
        </w:rPr>
        <w:t>at 10% significance level.</w:t>
      </w:r>
    </w:p>
    <w:p w:rsidR="003F0AA3" w:rsidRPr="003F0AA3" w:rsidRDefault="003F0AA3" w:rsidP="003F0AA3">
      <w:pPr>
        <w:pStyle w:val="NoSpacing"/>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average portfolio exhibits both H1 H2 and SAD patterns at both monthly and quarterly level. The SAD factor is stronger than inflation at monthly frequency.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In what concerns H1 H2 effect, 5Y and 7Y US Treasuries display higher returns in the second part of the year, while the difference in returns between January-June and July-December in case of 10Y and 20Y Treasuries is not statistically significant. However, the t-statistics are positive in line the other maturities. The weaker results for long maturities could be due to moves in the curve (steepening or flattening) which seem to be stronger in the first part of the</w:t>
      </w:r>
      <w:r w:rsidR="003F0AA3">
        <w:rPr>
          <w:rFonts w:ascii="Times New Roman" w:hAnsi="Times New Roman" w:cs="Times New Roman"/>
        </w:rPr>
        <w:t xml:space="preserve"> sample. As depicted in Figure A.2</w:t>
      </w:r>
      <w:r>
        <w:rPr>
          <w:rFonts w:ascii="Times New Roman" w:hAnsi="Times New Roman" w:cs="Times New Roman"/>
        </w:rPr>
        <w:t xml:space="preserve"> from the Appendix</w:t>
      </w:r>
      <w:r w:rsidR="003F0AA3">
        <w:rPr>
          <w:rFonts w:ascii="Times New Roman" w:hAnsi="Times New Roman" w:cs="Times New Roman"/>
        </w:rPr>
        <w:t xml:space="preserve"> A</w:t>
      </w:r>
      <w:r>
        <w:rPr>
          <w:rFonts w:ascii="Times New Roman" w:hAnsi="Times New Roman" w:cs="Times New Roman"/>
        </w:rPr>
        <w:t>, this could be due to lower volatility in bond returns during 1952-1979 compared to 1980-2013. The weaker results in case of 10Y and 20Y are interesting for further research.</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results of regressions of US CRSP Bond Excess Returns o</w:t>
      </w:r>
      <w:r w:rsidR="003F0AA3">
        <w:rPr>
          <w:rFonts w:ascii="Times New Roman" w:hAnsi="Times New Roman" w:cs="Times New Roman"/>
        </w:rPr>
        <w:t>n U</w:t>
      </w:r>
      <w:r w:rsidR="00BE3880">
        <w:rPr>
          <w:rFonts w:ascii="Times New Roman" w:hAnsi="Times New Roman" w:cs="Times New Roman"/>
        </w:rPr>
        <w:t>.</w:t>
      </w:r>
      <w:r w:rsidR="003F0AA3">
        <w:rPr>
          <w:rFonts w:ascii="Times New Roman" w:hAnsi="Times New Roman" w:cs="Times New Roman"/>
        </w:rPr>
        <w:t>S</w:t>
      </w:r>
      <w:r w:rsidR="00BE3880">
        <w:rPr>
          <w:rFonts w:ascii="Times New Roman" w:hAnsi="Times New Roman" w:cs="Times New Roman"/>
        </w:rPr>
        <w:t>.</w:t>
      </w:r>
      <w:r w:rsidR="003F0AA3">
        <w:rPr>
          <w:rFonts w:ascii="Times New Roman" w:hAnsi="Times New Roman" w:cs="Times New Roman"/>
        </w:rPr>
        <w:t xml:space="preserve"> inflation rate from Table 4.18</w:t>
      </w:r>
      <w:r>
        <w:rPr>
          <w:rFonts w:ascii="Times New Roman" w:hAnsi="Times New Roman" w:cs="Times New Roman"/>
        </w:rPr>
        <w:t xml:space="preserve"> confirm that a higher level of inflation leads to lower bond returns. The coefficients are statistically significant at both monthly and quarterly frequency, and an improvement in the power of t-test and R</w:t>
      </w:r>
      <w:r w:rsidRPr="004253FA">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is visible at the lower frequency. For example, for the average portfolio the t-statistics increases in absolute terms to -4.23 from -2.65 recorded at monthly frequency. R</w:t>
      </w:r>
      <w:r w:rsidRPr="004253FA">
        <w:rPr>
          <w:rFonts w:ascii="Times New Roman" w:hAnsi="Times New Roman" w:cs="Times New Roman"/>
          <w:vertAlign w:val="superscript"/>
        </w:rPr>
        <w:t>2</w:t>
      </w:r>
      <w:r>
        <w:rPr>
          <w:rFonts w:ascii="Times New Roman" w:hAnsi="Times New Roman" w:cs="Times New Roman"/>
          <w:vertAlign w:val="superscript"/>
        </w:rPr>
        <w:t xml:space="preserve"> </w:t>
      </w:r>
      <w:r>
        <w:rPr>
          <w:rFonts w:ascii="Times New Roman" w:hAnsi="Times New Roman" w:cs="Times New Roman"/>
        </w:rPr>
        <w:t>also goes up from 1.3% to 6.4%.</w:t>
      </w:r>
    </w:p>
    <w:p w:rsidR="005A06CB" w:rsidRDefault="005A06CB" w:rsidP="005A06CB">
      <w:pPr>
        <w:pStyle w:val="NoSpacing"/>
        <w:jc w:val="center"/>
        <w:rPr>
          <w:rFonts w:ascii="Times New Roman" w:hAnsi="Times New Roman" w:cs="Times New Roman"/>
        </w:rPr>
      </w:pPr>
    </w:p>
    <w:p w:rsidR="005A06CB" w:rsidRDefault="005A06CB" w:rsidP="003F0AA3">
      <w:pPr>
        <w:pStyle w:val="NoSpacing"/>
        <w:spacing w:after="120" w:line="360" w:lineRule="auto"/>
        <w:jc w:val="center"/>
        <w:rPr>
          <w:rFonts w:ascii="Times New Roman" w:hAnsi="Times New Roman" w:cs="Times New Roman"/>
        </w:rPr>
      </w:pPr>
      <w:r w:rsidRPr="00467C8E">
        <w:rPr>
          <w:rFonts w:ascii="Times New Roman" w:hAnsi="Times New Roman" w:cs="Times New Roman"/>
        </w:rPr>
        <w:t xml:space="preserve">Table </w:t>
      </w:r>
      <w:r w:rsidR="003F0AA3">
        <w:rPr>
          <w:rFonts w:ascii="Times New Roman" w:hAnsi="Times New Roman" w:cs="Times New Roman"/>
        </w:rPr>
        <w:t>4.18</w:t>
      </w:r>
      <w:r w:rsidR="00BE3880">
        <w:rPr>
          <w:rFonts w:ascii="Times New Roman" w:hAnsi="Times New Roman" w:cs="Times New Roman"/>
        </w:rPr>
        <w:t>: The relationship between U.S. CRSP Bond Returns and I</w:t>
      </w:r>
      <w:r w:rsidRPr="00467C8E">
        <w:rPr>
          <w:rFonts w:ascii="Times New Roman" w:hAnsi="Times New Roman" w:cs="Times New Roman"/>
        </w:rPr>
        <w:t>nflation</w:t>
      </w:r>
      <w:r w:rsidR="00BE3880">
        <w:rPr>
          <w:rFonts w:ascii="Times New Roman" w:hAnsi="Times New Roman" w:cs="Times New Roman"/>
        </w:rPr>
        <w:t xml:space="preserve"> Rate</w:t>
      </w:r>
    </w:p>
    <w:tbl>
      <w:tblPr>
        <w:tblW w:w="5280" w:type="dxa"/>
        <w:jc w:val="center"/>
        <w:tblInd w:w="93" w:type="dxa"/>
        <w:tblLook w:val="04A0"/>
      </w:tblPr>
      <w:tblGrid>
        <w:gridCol w:w="2600"/>
        <w:gridCol w:w="880"/>
        <w:gridCol w:w="900"/>
        <w:gridCol w:w="900"/>
      </w:tblGrid>
      <w:tr w:rsidR="005A06CB" w:rsidRPr="004253FA" w:rsidTr="00D0485F">
        <w:trPr>
          <w:trHeight w:val="330"/>
          <w:jc w:val="center"/>
        </w:trPr>
        <w:tc>
          <w:tcPr>
            <w:tcW w:w="2600" w:type="dxa"/>
            <w:vMerge w:val="restart"/>
            <w:tcBorders>
              <w:top w:val="single" w:sz="4" w:space="0" w:color="auto"/>
              <w:left w:val="nil"/>
              <w:bottom w:val="nil"/>
              <w:right w:val="nil"/>
            </w:tcBorders>
            <w:shd w:val="clear" w:color="auto" w:fill="auto"/>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U</w:t>
            </w:r>
            <w:r w:rsidR="00BE3880">
              <w:rPr>
                <w:rFonts w:ascii="Times New Roman" w:eastAsia="Times New Roman" w:hAnsi="Times New Roman" w:cs="Times New Roman"/>
                <w:color w:val="000000"/>
                <w:sz w:val="20"/>
                <w:szCs w:val="20"/>
              </w:rPr>
              <w:t>.</w:t>
            </w:r>
            <w:r w:rsidRPr="004253FA">
              <w:rPr>
                <w:rFonts w:ascii="Times New Roman" w:eastAsia="Times New Roman" w:hAnsi="Times New Roman" w:cs="Times New Roman"/>
                <w:color w:val="000000"/>
                <w:sz w:val="20"/>
                <w:szCs w:val="20"/>
              </w:rPr>
              <w:t>S</w:t>
            </w:r>
            <w:r w:rsidR="00BE3880">
              <w:rPr>
                <w:rFonts w:ascii="Times New Roman" w:eastAsia="Times New Roman" w:hAnsi="Times New Roman" w:cs="Times New Roman"/>
                <w:color w:val="000000"/>
                <w:sz w:val="20"/>
                <w:szCs w:val="20"/>
              </w:rPr>
              <w:t>.</w:t>
            </w:r>
            <w:r w:rsidRPr="004253FA">
              <w:rPr>
                <w:rFonts w:ascii="Times New Roman" w:eastAsia="Times New Roman" w:hAnsi="Times New Roman" w:cs="Times New Roman"/>
                <w:color w:val="000000"/>
                <w:sz w:val="20"/>
                <w:szCs w:val="20"/>
              </w:rPr>
              <w:t xml:space="preserve"> CRSP Bond Excess Returns 1952-2007</w:t>
            </w:r>
          </w:p>
        </w:tc>
        <w:tc>
          <w:tcPr>
            <w:tcW w:w="1780" w:type="dxa"/>
            <w:gridSpan w:val="2"/>
            <w:tcBorders>
              <w:top w:val="single" w:sz="4" w:space="0" w:color="auto"/>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U</w:t>
            </w:r>
            <w:r w:rsidR="00BE3880">
              <w:rPr>
                <w:rFonts w:ascii="Times New Roman" w:eastAsia="Times New Roman" w:hAnsi="Times New Roman" w:cs="Times New Roman"/>
                <w:color w:val="000000"/>
                <w:sz w:val="20"/>
                <w:szCs w:val="20"/>
              </w:rPr>
              <w:t>.</w:t>
            </w:r>
            <w:r w:rsidRPr="004253FA">
              <w:rPr>
                <w:rFonts w:ascii="Times New Roman" w:eastAsia="Times New Roman" w:hAnsi="Times New Roman" w:cs="Times New Roman"/>
                <w:color w:val="000000"/>
                <w:sz w:val="20"/>
                <w:szCs w:val="20"/>
              </w:rPr>
              <w:t>S</w:t>
            </w:r>
            <w:r w:rsidR="00BE3880">
              <w:rPr>
                <w:rFonts w:ascii="Times New Roman" w:eastAsia="Times New Roman" w:hAnsi="Times New Roman" w:cs="Times New Roman"/>
                <w:color w:val="000000"/>
                <w:sz w:val="20"/>
                <w:szCs w:val="20"/>
              </w:rPr>
              <w:t>.</w:t>
            </w:r>
            <w:r w:rsidRPr="004253FA">
              <w:rPr>
                <w:rFonts w:ascii="Times New Roman" w:eastAsia="Times New Roman" w:hAnsi="Times New Roman" w:cs="Times New Roman"/>
                <w:color w:val="000000"/>
                <w:sz w:val="20"/>
                <w:szCs w:val="20"/>
              </w:rPr>
              <w:t xml:space="preserve"> Inflation Rate</w:t>
            </w:r>
          </w:p>
        </w:tc>
        <w:tc>
          <w:tcPr>
            <w:tcW w:w="900" w:type="dxa"/>
            <w:vMerge w:val="restart"/>
            <w:tcBorders>
              <w:top w:val="single" w:sz="4" w:space="0" w:color="auto"/>
              <w:left w:val="nil"/>
              <w:bottom w:val="single" w:sz="4" w:space="0" w:color="000000"/>
              <w:right w:val="nil"/>
            </w:tcBorders>
            <w:shd w:val="clear" w:color="auto" w:fill="auto"/>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R</w:t>
            </w:r>
            <w:r w:rsidRPr="004253FA">
              <w:rPr>
                <w:rFonts w:ascii="Times New Roman" w:eastAsia="Times New Roman" w:hAnsi="Times New Roman" w:cs="Times New Roman"/>
                <w:color w:val="000000"/>
                <w:sz w:val="20"/>
                <w:szCs w:val="20"/>
                <w:vertAlign w:val="superscript"/>
              </w:rPr>
              <w:t>2</w:t>
            </w:r>
          </w:p>
        </w:tc>
      </w:tr>
      <w:tr w:rsidR="005A06CB" w:rsidRPr="004253FA" w:rsidTr="00D0485F">
        <w:trPr>
          <w:trHeight w:val="285"/>
          <w:jc w:val="center"/>
        </w:trPr>
        <w:tc>
          <w:tcPr>
            <w:tcW w:w="2600" w:type="dxa"/>
            <w:vMerge/>
            <w:tcBorders>
              <w:top w:val="single" w:sz="4" w:space="0" w:color="auto"/>
              <w:left w:val="nil"/>
              <w:bottom w:val="nil"/>
              <w:right w:val="nil"/>
            </w:tcBorders>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p>
        </w:tc>
        <w:tc>
          <w:tcPr>
            <w:tcW w:w="88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β</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t-stat</w:t>
            </w:r>
          </w:p>
        </w:tc>
        <w:tc>
          <w:tcPr>
            <w:tcW w:w="900" w:type="dxa"/>
            <w:vMerge/>
            <w:tcBorders>
              <w:top w:val="single" w:sz="4" w:space="0" w:color="auto"/>
              <w:left w:val="nil"/>
              <w:bottom w:val="single" w:sz="4" w:space="0" w:color="000000"/>
              <w:right w:val="nil"/>
            </w:tcBorders>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p>
        </w:tc>
      </w:tr>
      <w:tr w:rsidR="005A06CB" w:rsidRPr="004253FA" w:rsidTr="00D0485F">
        <w:trPr>
          <w:trHeight w:val="255"/>
          <w:jc w:val="center"/>
        </w:trPr>
        <w:tc>
          <w:tcPr>
            <w:tcW w:w="3480" w:type="dxa"/>
            <w:gridSpan w:val="2"/>
            <w:tcBorders>
              <w:top w:val="single" w:sz="4" w:space="0" w:color="auto"/>
              <w:left w:val="nil"/>
              <w:bottom w:val="single" w:sz="4" w:space="0" w:color="auto"/>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i/>
                <w:iCs/>
                <w:color w:val="000000"/>
                <w:sz w:val="20"/>
                <w:szCs w:val="20"/>
              </w:rPr>
            </w:pPr>
            <w:r w:rsidRPr="004253FA">
              <w:rPr>
                <w:rFonts w:ascii="Times New Roman" w:eastAsia="Times New Roman" w:hAnsi="Times New Roman" w:cs="Times New Roman"/>
                <w:i/>
                <w:iCs/>
                <w:color w:val="000000"/>
                <w:sz w:val="20"/>
                <w:szCs w:val="20"/>
              </w:rPr>
              <w:t>Panel A: Monthly frequency</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 </w:t>
            </w:r>
          </w:p>
        </w:tc>
        <w:tc>
          <w:tcPr>
            <w:tcW w:w="900" w:type="dxa"/>
            <w:tcBorders>
              <w:top w:val="nil"/>
              <w:left w:val="nil"/>
              <w:bottom w:val="single" w:sz="4" w:space="0" w:color="auto"/>
              <w:right w:val="nil"/>
            </w:tcBorders>
            <w:shd w:val="clear" w:color="auto" w:fill="auto"/>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 </w:t>
            </w:r>
          </w:p>
        </w:tc>
      </w:tr>
      <w:tr w:rsidR="005A06CB" w:rsidRPr="004253FA" w:rsidTr="00D0485F">
        <w:trPr>
          <w:trHeight w:val="255"/>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20-year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-1.040</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-3.15</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0.018</w:t>
            </w:r>
          </w:p>
        </w:tc>
      </w:tr>
      <w:tr w:rsidR="005A06CB" w:rsidRPr="004253FA" w:rsidTr="00D0485F">
        <w:trPr>
          <w:trHeight w:val="255"/>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10-year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-0.572</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-2.24</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0.008</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7-year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-0.520</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-2.43</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0.010</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5-year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-0.401</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-2.11</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0.009</w:t>
            </w:r>
          </w:p>
        </w:tc>
      </w:tr>
      <w:tr w:rsidR="005A06CB" w:rsidRPr="004253FA"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Average</w:t>
            </w:r>
          </w:p>
        </w:tc>
        <w:tc>
          <w:tcPr>
            <w:tcW w:w="88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-0.633</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-2.65</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0.013</w:t>
            </w:r>
          </w:p>
        </w:tc>
      </w:tr>
      <w:tr w:rsidR="005A06CB" w:rsidRPr="004253FA" w:rsidTr="00D0485F">
        <w:trPr>
          <w:trHeight w:val="240"/>
          <w:jc w:val="center"/>
        </w:trPr>
        <w:tc>
          <w:tcPr>
            <w:tcW w:w="3480" w:type="dxa"/>
            <w:gridSpan w:val="2"/>
            <w:tcBorders>
              <w:top w:val="single" w:sz="4" w:space="0" w:color="auto"/>
              <w:left w:val="nil"/>
              <w:bottom w:val="single" w:sz="4" w:space="0" w:color="auto"/>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i/>
                <w:iCs/>
                <w:color w:val="000000"/>
                <w:sz w:val="20"/>
                <w:szCs w:val="20"/>
              </w:rPr>
            </w:pPr>
            <w:r w:rsidRPr="004253FA">
              <w:rPr>
                <w:rFonts w:ascii="Times New Roman" w:eastAsia="Times New Roman" w:hAnsi="Times New Roman" w:cs="Times New Roman"/>
                <w:i/>
                <w:iCs/>
                <w:color w:val="000000"/>
                <w:sz w:val="20"/>
                <w:szCs w:val="20"/>
              </w:rPr>
              <w:t>Panel B: Quarterly frequency</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 </w:t>
            </w:r>
          </w:p>
        </w:tc>
        <w:tc>
          <w:tcPr>
            <w:tcW w:w="900" w:type="dxa"/>
            <w:tcBorders>
              <w:top w:val="nil"/>
              <w:left w:val="nil"/>
              <w:bottom w:val="single" w:sz="4" w:space="0" w:color="auto"/>
              <w:right w:val="nil"/>
            </w:tcBorders>
            <w:shd w:val="clear" w:color="auto" w:fill="auto"/>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 </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20-year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-1.613</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-4.50</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0.076</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lastRenderedPageBreak/>
              <w:t>10-year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-1.095</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-3.99</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0.055</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7-year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-0.916</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-4.00</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0.056</w:t>
            </w:r>
          </w:p>
        </w:tc>
      </w:tr>
      <w:tr w:rsidR="005A06CB" w:rsidRPr="004253FA" w:rsidTr="00D0485F">
        <w:trPr>
          <w:trHeight w:val="240"/>
          <w:jc w:val="center"/>
        </w:trPr>
        <w:tc>
          <w:tcPr>
            <w:tcW w:w="2600" w:type="dxa"/>
            <w:tcBorders>
              <w:top w:val="nil"/>
              <w:left w:val="nil"/>
              <w:bottom w:val="nil"/>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5-year</w:t>
            </w:r>
          </w:p>
        </w:tc>
        <w:tc>
          <w:tcPr>
            <w:tcW w:w="88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-0.741</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-3.63</w:t>
            </w:r>
          </w:p>
        </w:tc>
        <w:tc>
          <w:tcPr>
            <w:tcW w:w="900" w:type="dxa"/>
            <w:tcBorders>
              <w:top w:val="nil"/>
              <w:left w:val="nil"/>
              <w:bottom w:val="nil"/>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0.050</w:t>
            </w:r>
          </w:p>
        </w:tc>
      </w:tr>
      <w:tr w:rsidR="005A06CB" w:rsidRPr="004253FA" w:rsidTr="00D0485F">
        <w:trPr>
          <w:trHeight w:val="255"/>
          <w:jc w:val="center"/>
        </w:trPr>
        <w:tc>
          <w:tcPr>
            <w:tcW w:w="2600" w:type="dxa"/>
            <w:tcBorders>
              <w:top w:val="nil"/>
              <w:left w:val="nil"/>
              <w:bottom w:val="single" w:sz="4" w:space="0" w:color="auto"/>
              <w:right w:val="nil"/>
            </w:tcBorders>
            <w:shd w:val="clear" w:color="auto" w:fill="auto"/>
            <w:vAlign w:val="center"/>
            <w:hideMark/>
          </w:tcPr>
          <w:p w:rsidR="005A06CB" w:rsidRPr="004253FA" w:rsidRDefault="005A06CB" w:rsidP="00D0485F">
            <w:pPr>
              <w:spacing w:after="0" w:line="240" w:lineRule="auto"/>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Average</w:t>
            </w:r>
          </w:p>
        </w:tc>
        <w:tc>
          <w:tcPr>
            <w:tcW w:w="88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-1.091</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b/>
                <w:bCs/>
                <w:color w:val="000000"/>
                <w:sz w:val="20"/>
                <w:szCs w:val="20"/>
              </w:rPr>
            </w:pPr>
            <w:r w:rsidRPr="004253FA">
              <w:rPr>
                <w:rFonts w:ascii="Times New Roman" w:eastAsia="Times New Roman" w:hAnsi="Times New Roman" w:cs="Times New Roman"/>
                <w:b/>
                <w:bCs/>
                <w:color w:val="000000"/>
                <w:sz w:val="20"/>
                <w:szCs w:val="20"/>
              </w:rPr>
              <w:t>-4.23</w:t>
            </w:r>
          </w:p>
        </w:tc>
        <w:tc>
          <w:tcPr>
            <w:tcW w:w="900" w:type="dxa"/>
            <w:tcBorders>
              <w:top w:val="nil"/>
              <w:left w:val="nil"/>
              <w:bottom w:val="single" w:sz="4" w:space="0" w:color="auto"/>
              <w:right w:val="nil"/>
            </w:tcBorders>
            <w:shd w:val="clear" w:color="auto" w:fill="auto"/>
            <w:noWrap/>
            <w:vAlign w:val="center"/>
            <w:hideMark/>
          </w:tcPr>
          <w:p w:rsidR="005A06CB" w:rsidRPr="004253FA" w:rsidRDefault="005A06CB" w:rsidP="00D0485F">
            <w:pPr>
              <w:spacing w:after="0" w:line="240" w:lineRule="auto"/>
              <w:jc w:val="center"/>
              <w:rPr>
                <w:rFonts w:ascii="Times New Roman" w:eastAsia="Times New Roman" w:hAnsi="Times New Roman" w:cs="Times New Roman"/>
                <w:color w:val="000000"/>
                <w:sz w:val="20"/>
                <w:szCs w:val="20"/>
              </w:rPr>
            </w:pPr>
            <w:r w:rsidRPr="004253FA">
              <w:rPr>
                <w:rFonts w:ascii="Times New Roman" w:eastAsia="Times New Roman" w:hAnsi="Times New Roman" w:cs="Times New Roman"/>
                <w:color w:val="000000"/>
                <w:sz w:val="20"/>
                <w:szCs w:val="20"/>
              </w:rPr>
              <w:t>0.064</w:t>
            </w:r>
          </w:p>
        </w:tc>
      </w:tr>
    </w:tbl>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w:t>
      </w:r>
      <w:r>
        <w:rPr>
          <w:rFonts w:ascii="Times New Roman" w:hAnsi="Times New Roman" w:cs="Times New Roman"/>
          <w:sz w:val="18"/>
          <w:szCs w:val="18"/>
        </w:rPr>
        <w:t xml:space="preserve">nd t-values based on Newey-West </w:t>
      </w:r>
      <w:r w:rsidRPr="001221C6">
        <w:rPr>
          <w:rFonts w:ascii="Times New Roman" w:hAnsi="Times New Roman" w:cs="Times New Roman"/>
          <w:sz w:val="18"/>
          <w:szCs w:val="18"/>
        </w:rPr>
        <w:t xml:space="preserve">standard errors for the β in the regression </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3F0AA3" w:rsidRDefault="005A06CB" w:rsidP="003F0AA3">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w:t>
      </w:r>
      <w:r>
        <w:rPr>
          <w:rFonts w:ascii="Times New Roman" w:hAnsi="Times New Roman" w:cs="Times New Roman"/>
          <w:sz w:val="18"/>
          <w:szCs w:val="18"/>
        </w:rPr>
        <w:t>are US CRSP Bond Excess Returns for the sample 1952-2007, as considered by Kamstra, Kramer and Levi (2014) at the monthly frequency (Panel A) and quarterly frequency (Panel B).</w:t>
      </w:r>
      <w:r w:rsidRPr="006C0856">
        <w:rPr>
          <w:rFonts w:ascii="Times New Roman" w:hAnsi="Times New Roman" w:cs="Times New Roman"/>
          <w:sz w:val="18"/>
          <w:szCs w:val="18"/>
        </w:rPr>
        <w:t xml:space="preserve"> </w:t>
      </w:r>
      <w:r>
        <w:rPr>
          <w:rFonts w:ascii="Times New Roman" w:hAnsi="Times New Roman" w:cs="Times New Roman"/>
          <w:sz w:val="18"/>
          <w:szCs w:val="18"/>
        </w:rPr>
        <w:t>X is the</w:t>
      </w:r>
      <w:r w:rsidRPr="001221C6">
        <w:rPr>
          <w:rFonts w:ascii="Times New Roman" w:hAnsi="Times New Roman" w:cs="Times New Roman"/>
          <w:sz w:val="18"/>
          <w:szCs w:val="18"/>
        </w:rPr>
        <w:t xml:space="preserve"> inflation </w:t>
      </w:r>
      <w:r>
        <w:rPr>
          <w:rFonts w:ascii="Times New Roman" w:hAnsi="Times New Roman" w:cs="Times New Roman"/>
          <w:sz w:val="18"/>
          <w:szCs w:val="18"/>
        </w:rPr>
        <w:t xml:space="preserve">rate which was recorded in United States. Average stands for an equally-weighted portfolio made up of four maturities: 20Y, 10Y, 7Y and 5Y. </w:t>
      </w:r>
      <w:r w:rsidR="003F0AA3" w:rsidRPr="001221C6">
        <w:rPr>
          <w:rFonts w:ascii="Times New Roman" w:hAnsi="Times New Roman" w:cs="Times New Roman"/>
          <w:sz w:val="18"/>
          <w:szCs w:val="18"/>
        </w:rPr>
        <w:t xml:space="preserve">The numbers in </w:t>
      </w:r>
      <w:r w:rsidR="003F0AA3" w:rsidRPr="001221C6">
        <w:rPr>
          <w:rFonts w:ascii="Times New Roman" w:hAnsi="Times New Roman" w:cs="Times New Roman"/>
          <w:b/>
          <w:sz w:val="18"/>
          <w:szCs w:val="18"/>
        </w:rPr>
        <w:t>Bold</w:t>
      </w:r>
      <w:r w:rsidR="003F0AA3" w:rsidRPr="001221C6">
        <w:rPr>
          <w:rFonts w:ascii="Times New Roman" w:hAnsi="Times New Roman" w:cs="Times New Roman"/>
          <w:sz w:val="18"/>
          <w:szCs w:val="18"/>
        </w:rPr>
        <w:t xml:space="preserve"> show statistical significance at 5% significance level, while those in </w:t>
      </w:r>
      <w:r w:rsidR="003F0AA3" w:rsidRPr="003F0AA3">
        <w:rPr>
          <w:rFonts w:ascii="Times New Roman" w:eastAsia="Times New Roman" w:hAnsi="Times New Roman" w:cs="Times New Roman"/>
          <w:color w:val="4F81BD"/>
          <w:sz w:val="18"/>
          <w:szCs w:val="18"/>
        </w:rPr>
        <w:t>Blue</w:t>
      </w:r>
      <w:r w:rsidR="003F0AA3" w:rsidRPr="003F0AA3">
        <w:rPr>
          <w:rFonts w:ascii="Times New Roman" w:eastAsia="Times New Roman" w:hAnsi="Times New Roman" w:cs="Times New Roman"/>
          <w:color w:val="4F81BD"/>
          <w:sz w:val="20"/>
          <w:szCs w:val="20"/>
        </w:rPr>
        <w:t xml:space="preserve"> </w:t>
      </w:r>
      <w:r w:rsidR="003F0AA3" w:rsidRPr="001221C6">
        <w:rPr>
          <w:rFonts w:ascii="Times New Roman" w:hAnsi="Times New Roman" w:cs="Times New Roman"/>
          <w:sz w:val="18"/>
          <w:szCs w:val="18"/>
        </w:rPr>
        <w:t>at 10% significance level.</w:t>
      </w:r>
    </w:p>
    <w:p w:rsidR="005A06CB" w:rsidRDefault="005A06CB" w:rsidP="005A06CB">
      <w:pPr>
        <w:pStyle w:val="NoSpacing"/>
        <w:spacing w:line="360" w:lineRule="auto"/>
        <w:jc w:val="both"/>
        <w:rPr>
          <w:rFonts w:ascii="Times New Roman" w:hAnsi="Times New Roman" w:cs="Times New Roman"/>
        </w:rPr>
      </w:pPr>
      <w:r>
        <w:rPr>
          <w:rFonts w:ascii="Times New Roman" w:hAnsi="Times New Roman" w:cs="Times New Roman"/>
        </w:rPr>
        <w:tab/>
        <w:t xml:space="preserve"> </w:t>
      </w:r>
    </w:p>
    <w:p w:rsidR="005A06CB" w:rsidRPr="00EC7AB5" w:rsidRDefault="005A06CB" w:rsidP="005A06CB">
      <w:pPr>
        <w:pStyle w:val="NoSpacing"/>
        <w:spacing w:line="360" w:lineRule="auto"/>
        <w:ind w:firstLine="720"/>
        <w:jc w:val="both"/>
        <w:rPr>
          <w:rFonts w:ascii="Times New Roman" w:hAnsi="Times New Roman" w:cs="Times New Roman"/>
        </w:rPr>
      </w:pPr>
      <w:r>
        <w:rPr>
          <w:rFonts w:ascii="Times New Roman" w:hAnsi="Times New Roman" w:cs="Times New Roman"/>
        </w:rPr>
        <w:t xml:space="preserve">For both frequencies, the magnitude of the coefficient is positively related with the maturity of the fixed-income instrument. Accordingly, for monthly returns, the coefficient increases in absolute terms from </w:t>
      </w:r>
      <w:r w:rsidRPr="00EC7AB5">
        <w:rPr>
          <w:rFonts w:ascii="Times New Roman" w:eastAsia="Times New Roman" w:hAnsi="Times New Roman" w:cs="Times New Roman"/>
          <w:color w:val="000000"/>
        </w:rPr>
        <w:t>-0.401</w:t>
      </w:r>
      <w:r>
        <w:rPr>
          <w:rFonts w:ascii="Times New Roman" w:eastAsia="Times New Roman" w:hAnsi="Times New Roman" w:cs="Times New Roman"/>
          <w:color w:val="000000"/>
        </w:rPr>
        <w:t xml:space="preserve"> for 5-year</w:t>
      </w:r>
      <w:r w:rsidRPr="00EC7AB5">
        <w:rPr>
          <w:rFonts w:ascii="Times New Roman" w:eastAsia="Times New Roman" w:hAnsi="Times New Roman" w:cs="Times New Roman"/>
          <w:color w:val="000000"/>
        </w:rPr>
        <w:t xml:space="preserve"> to -1.040</w:t>
      </w:r>
      <w:r>
        <w:rPr>
          <w:rFonts w:ascii="Times New Roman" w:eastAsia="Times New Roman" w:hAnsi="Times New Roman" w:cs="Times New Roman"/>
          <w:color w:val="000000"/>
        </w:rPr>
        <w:t xml:space="preserve"> for 20-year US Treasuries. This is also observed by </w:t>
      </w:r>
      <w:r w:rsidRPr="00EC7AB5">
        <w:rPr>
          <w:rFonts w:ascii="Times New Roman" w:hAnsi="Times New Roman" w:cs="Times New Roman"/>
        </w:rPr>
        <w:t>Balduzzi, Elton and Green (2001)</w:t>
      </w:r>
      <w:r>
        <w:rPr>
          <w:rFonts w:ascii="Times New Roman" w:hAnsi="Times New Roman" w:cs="Times New Roman"/>
        </w:rPr>
        <w:t xml:space="preserve"> when investigating the reaction of US T-bills and Treasuries on 26 economic announcements. The outcome could be explained by the fact that the duration (the sensitivity of bond prices to interest rate changes) increases with the maturity.</w:t>
      </w:r>
    </w:p>
    <w:p w:rsidR="005A06CB" w:rsidRDefault="005A06CB" w:rsidP="005A06CB">
      <w:pPr>
        <w:pStyle w:val="NoSpacing"/>
        <w:spacing w:line="360" w:lineRule="auto"/>
        <w:jc w:val="both"/>
        <w:rPr>
          <w:rFonts w:ascii="Times New Roman" w:hAnsi="Times New Roman" w:cs="Times New Roman"/>
        </w:rPr>
      </w:pPr>
    </w:p>
    <w:p w:rsidR="00BC7F37" w:rsidRDefault="00BC7F37" w:rsidP="005A06CB">
      <w:pPr>
        <w:pStyle w:val="NoSpacing"/>
        <w:spacing w:line="360" w:lineRule="auto"/>
        <w:jc w:val="both"/>
        <w:rPr>
          <w:rFonts w:ascii="Times New Roman" w:hAnsi="Times New Roman" w:cs="Times New Roman"/>
        </w:rPr>
      </w:pPr>
    </w:p>
    <w:p w:rsidR="00BC7F37" w:rsidRDefault="00BC7F37" w:rsidP="005A06CB">
      <w:pPr>
        <w:pStyle w:val="NoSpacing"/>
        <w:spacing w:line="360" w:lineRule="auto"/>
        <w:jc w:val="both"/>
        <w:rPr>
          <w:rFonts w:ascii="Times New Roman" w:hAnsi="Times New Roman" w:cs="Times New Roman"/>
        </w:rPr>
      </w:pPr>
    </w:p>
    <w:p w:rsidR="005A06CB" w:rsidRDefault="003F0AA3" w:rsidP="003F0AA3">
      <w:pPr>
        <w:spacing w:after="120" w:line="360" w:lineRule="auto"/>
        <w:jc w:val="center"/>
        <w:rPr>
          <w:rFonts w:ascii="Times New Roman" w:hAnsi="Times New Roman" w:cs="Times New Roman"/>
        </w:rPr>
      </w:pPr>
      <w:r>
        <w:rPr>
          <w:rFonts w:ascii="Times New Roman" w:hAnsi="Times New Roman" w:cs="Times New Roman"/>
        </w:rPr>
        <w:t>Table 4.19</w:t>
      </w:r>
      <w:r w:rsidR="005A06CB">
        <w:rPr>
          <w:rFonts w:ascii="Times New Roman" w:hAnsi="Times New Roman" w:cs="Times New Roman"/>
        </w:rPr>
        <w:t>:</w:t>
      </w:r>
      <w:r w:rsidR="00BE3880">
        <w:rPr>
          <w:rFonts w:ascii="Times New Roman" w:hAnsi="Times New Roman" w:cs="Times New Roman"/>
        </w:rPr>
        <w:t xml:space="preserve"> Seasonality in Inflation-corrected Bond R</w:t>
      </w:r>
      <w:r w:rsidR="005A06CB">
        <w:rPr>
          <w:rFonts w:ascii="Times New Roman" w:hAnsi="Times New Roman" w:cs="Times New Roman"/>
        </w:rPr>
        <w:t>eturns</w:t>
      </w:r>
    </w:p>
    <w:tbl>
      <w:tblPr>
        <w:tblW w:w="4880" w:type="dxa"/>
        <w:jc w:val="center"/>
        <w:tblInd w:w="93" w:type="dxa"/>
        <w:tblLook w:val="04A0"/>
      </w:tblPr>
      <w:tblGrid>
        <w:gridCol w:w="2420"/>
        <w:gridCol w:w="1320"/>
        <w:gridCol w:w="1140"/>
      </w:tblGrid>
      <w:tr w:rsidR="005A06CB" w:rsidRPr="004F43D0" w:rsidTr="00D0485F">
        <w:trPr>
          <w:trHeight w:val="435"/>
          <w:jc w:val="center"/>
        </w:trPr>
        <w:tc>
          <w:tcPr>
            <w:tcW w:w="2420" w:type="dxa"/>
            <w:vMerge w:val="restart"/>
            <w:tcBorders>
              <w:top w:val="single" w:sz="4" w:space="0" w:color="auto"/>
              <w:left w:val="nil"/>
              <w:bottom w:val="nil"/>
              <w:right w:val="nil"/>
            </w:tcBorders>
            <w:shd w:val="clear" w:color="auto" w:fill="auto"/>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I</w:t>
            </w:r>
            <w:r w:rsidRPr="004F43D0">
              <w:rPr>
                <w:rFonts w:ascii="Times New Roman" w:eastAsia="Times New Roman" w:hAnsi="Times New Roman" w:cs="Times New Roman"/>
                <w:color w:val="000000"/>
                <w:sz w:val="20"/>
                <w:szCs w:val="20"/>
              </w:rPr>
              <w:t>nflation-corrected bond returns</w:t>
            </w:r>
          </w:p>
        </w:tc>
        <w:tc>
          <w:tcPr>
            <w:tcW w:w="1320" w:type="dxa"/>
            <w:vMerge w:val="restart"/>
            <w:tcBorders>
              <w:top w:val="single" w:sz="4" w:space="0" w:color="auto"/>
              <w:left w:val="nil"/>
              <w:bottom w:val="nil"/>
              <w:right w:val="nil"/>
            </w:tcBorders>
            <w:shd w:val="clear" w:color="auto" w:fill="auto"/>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H1 H2</w:t>
            </w:r>
          </w:p>
        </w:tc>
        <w:tc>
          <w:tcPr>
            <w:tcW w:w="1140" w:type="dxa"/>
            <w:vMerge w:val="restart"/>
            <w:tcBorders>
              <w:top w:val="single" w:sz="4" w:space="0" w:color="auto"/>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SAD</w:t>
            </w:r>
          </w:p>
        </w:tc>
      </w:tr>
      <w:tr w:rsidR="005A06CB" w:rsidRPr="004F43D0" w:rsidTr="00D0485F">
        <w:trPr>
          <w:trHeight w:val="230"/>
          <w:jc w:val="center"/>
        </w:trPr>
        <w:tc>
          <w:tcPr>
            <w:tcW w:w="2420" w:type="dxa"/>
            <w:vMerge/>
            <w:tcBorders>
              <w:top w:val="single" w:sz="4" w:space="0" w:color="auto"/>
              <w:left w:val="nil"/>
              <w:bottom w:val="nil"/>
              <w:right w:val="nil"/>
            </w:tcBorders>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p>
        </w:tc>
        <w:tc>
          <w:tcPr>
            <w:tcW w:w="1320" w:type="dxa"/>
            <w:vMerge/>
            <w:tcBorders>
              <w:top w:val="single" w:sz="4" w:space="0" w:color="auto"/>
              <w:left w:val="nil"/>
              <w:bottom w:val="nil"/>
              <w:right w:val="nil"/>
            </w:tcBorders>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p>
        </w:tc>
        <w:tc>
          <w:tcPr>
            <w:tcW w:w="1140" w:type="dxa"/>
            <w:vMerge/>
            <w:tcBorders>
              <w:top w:val="single" w:sz="4" w:space="0" w:color="auto"/>
              <w:left w:val="nil"/>
              <w:bottom w:val="nil"/>
              <w:right w:val="nil"/>
            </w:tcBorders>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p>
        </w:tc>
      </w:tr>
      <w:tr w:rsidR="005A06CB" w:rsidRPr="004F43D0" w:rsidTr="00D0485F">
        <w:trPr>
          <w:trHeight w:val="240"/>
          <w:jc w:val="center"/>
        </w:trPr>
        <w:tc>
          <w:tcPr>
            <w:tcW w:w="3740" w:type="dxa"/>
            <w:gridSpan w:val="2"/>
            <w:tcBorders>
              <w:top w:val="single" w:sz="4" w:space="0" w:color="auto"/>
              <w:left w:val="nil"/>
              <w:bottom w:val="single" w:sz="4" w:space="0" w:color="auto"/>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i/>
                <w:iCs/>
                <w:color w:val="000000"/>
                <w:sz w:val="20"/>
                <w:szCs w:val="20"/>
              </w:rPr>
            </w:pPr>
            <w:r w:rsidRPr="004F43D0">
              <w:rPr>
                <w:rFonts w:ascii="Times New Roman" w:eastAsia="Times New Roman" w:hAnsi="Times New Roman" w:cs="Times New Roman"/>
                <w:i/>
                <w:iCs/>
                <w:color w:val="000000"/>
                <w:sz w:val="20"/>
                <w:szCs w:val="20"/>
              </w:rPr>
              <w:t>Panel A: Monthly frequency</w:t>
            </w:r>
          </w:p>
        </w:tc>
        <w:tc>
          <w:tcPr>
            <w:tcW w:w="1140" w:type="dxa"/>
            <w:tcBorders>
              <w:top w:val="single" w:sz="4" w:space="0" w:color="auto"/>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 </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20-year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0.76</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2.00</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10-year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1.22</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2.21</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7-year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1.98</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2.68</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5-year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1.52</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2.60</w:t>
            </w:r>
          </w:p>
        </w:tc>
      </w:tr>
      <w:tr w:rsidR="005A06CB" w:rsidRPr="004F43D0" w:rsidTr="00D0485F">
        <w:trPr>
          <w:trHeight w:val="240"/>
          <w:jc w:val="center"/>
        </w:trPr>
        <w:tc>
          <w:tcPr>
            <w:tcW w:w="2420" w:type="dxa"/>
            <w:tcBorders>
              <w:top w:val="nil"/>
              <w:left w:val="nil"/>
              <w:bottom w:val="single" w:sz="4" w:space="0" w:color="auto"/>
              <w:right w:val="nil"/>
            </w:tcBorders>
            <w:shd w:val="clear" w:color="auto" w:fill="auto"/>
            <w:noWrap/>
            <w:vAlign w:val="bottom"/>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Average</w:t>
            </w:r>
          </w:p>
        </w:tc>
        <w:tc>
          <w:tcPr>
            <w:tcW w:w="1320" w:type="dxa"/>
            <w:tcBorders>
              <w:top w:val="nil"/>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1.33</w:t>
            </w:r>
          </w:p>
        </w:tc>
        <w:tc>
          <w:tcPr>
            <w:tcW w:w="1140" w:type="dxa"/>
            <w:tcBorders>
              <w:top w:val="nil"/>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b/>
                <w:bCs/>
                <w:color w:val="000000"/>
                <w:sz w:val="20"/>
                <w:szCs w:val="20"/>
              </w:rPr>
            </w:pPr>
            <w:r w:rsidRPr="004F43D0">
              <w:rPr>
                <w:rFonts w:ascii="Times New Roman" w:eastAsia="Times New Roman" w:hAnsi="Times New Roman" w:cs="Times New Roman"/>
                <w:b/>
                <w:bCs/>
                <w:color w:val="000000"/>
                <w:sz w:val="20"/>
                <w:szCs w:val="20"/>
              </w:rPr>
              <w:t>2.37</w:t>
            </w:r>
          </w:p>
        </w:tc>
      </w:tr>
      <w:tr w:rsidR="005A06CB" w:rsidRPr="004F43D0" w:rsidTr="00D0485F">
        <w:trPr>
          <w:trHeight w:val="240"/>
          <w:jc w:val="center"/>
        </w:trPr>
        <w:tc>
          <w:tcPr>
            <w:tcW w:w="3740" w:type="dxa"/>
            <w:gridSpan w:val="2"/>
            <w:tcBorders>
              <w:top w:val="single" w:sz="4" w:space="0" w:color="auto"/>
              <w:left w:val="nil"/>
              <w:bottom w:val="single" w:sz="4" w:space="0" w:color="auto"/>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i/>
                <w:iCs/>
                <w:color w:val="000000"/>
                <w:sz w:val="20"/>
                <w:szCs w:val="20"/>
              </w:rPr>
            </w:pPr>
            <w:r w:rsidRPr="004F43D0">
              <w:rPr>
                <w:rFonts w:ascii="Times New Roman" w:eastAsia="Times New Roman" w:hAnsi="Times New Roman" w:cs="Times New Roman"/>
                <w:i/>
                <w:iCs/>
                <w:color w:val="000000"/>
                <w:sz w:val="20"/>
                <w:szCs w:val="20"/>
              </w:rPr>
              <w:t>Panel B: Quarterly frequency</w:t>
            </w:r>
          </w:p>
        </w:tc>
        <w:tc>
          <w:tcPr>
            <w:tcW w:w="1140" w:type="dxa"/>
            <w:tcBorders>
              <w:top w:val="nil"/>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 </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20-year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0.47</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0.73</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10-year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0.91</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0.74</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7-year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4F81BD"/>
                <w:sz w:val="20"/>
                <w:szCs w:val="20"/>
              </w:rPr>
            </w:pPr>
            <w:r w:rsidRPr="004F43D0">
              <w:rPr>
                <w:rFonts w:ascii="Times New Roman" w:eastAsia="Times New Roman" w:hAnsi="Times New Roman" w:cs="Times New Roman"/>
                <w:color w:val="4F81BD"/>
                <w:sz w:val="20"/>
                <w:szCs w:val="20"/>
              </w:rPr>
              <w:t>1.71</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4F81BD"/>
                <w:sz w:val="20"/>
                <w:szCs w:val="20"/>
              </w:rPr>
            </w:pPr>
            <w:r w:rsidRPr="004F43D0">
              <w:rPr>
                <w:rFonts w:ascii="Times New Roman" w:eastAsia="Times New Roman" w:hAnsi="Times New Roman" w:cs="Times New Roman"/>
                <w:color w:val="4F81BD"/>
                <w:sz w:val="20"/>
                <w:szCs w:val="20"/>
              </w:rPr>
              <w:t>1.92</w:t>
            </w:r>
          </w:p>
        </w:tc>
      </w:tr>
      <w:tr w:rsidR="005A06CB" w:rsidRPr="004F43D0" w:rsidTr="00D0485F">
        <w:trPr>
          <w:trHeight w:val="240"/>
          <w:jc w:val="center"/>
        </w:trPr>
        <w:tc>
          <w:tcPr>
            <w:tcW w:w="2420" w:type="dxa"/>
            <w:tcBorders>
              <w:top w:val="nil"/>
              <w:left w:val="nil"/>
              <w:bottom w:val="nil"/>
              <w:right w:val="nil"/>
            </w:tcBorders>
            <w:shd w:val="clear" w:color="auto" w:fill="auto"/>
            <w:vAlign w:val="center"/>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5-year</w:t>
            </w:r>
          </w:p>
        </w:tc>
        <w:tc>
          <w:tcPr>
            <w:tcW w:w="132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1.17</w:t>
            </w:r>
          </w:p>
        </w:tc>
        <w:tc>
          <w:tcPr>
            <w:tcW w:w="1140" w:type="dxa"/>
            <w:tcBorders>
              <w:top w:val="nil"/>
              <w:left w:val="nil"/>
              <w:bottom w:val="nil"/>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1.36</w:t>
            </w:r>
          </w:p>
        </w:tc>
      </w:tr>
      <w:tr w:rsidR="005A06CB" w:rsidRPr="004F43D0" w:rsidTr="00D0485F">
        <w:trPr>
          <w:trHeight w:val="240"/>
          <w:jc w:val="center"/>
        </w:trPr>
        <w:tc>
          <w:tcPr>
            <w:tcW w:w="2420" w:type="dxa"/>
            <w:tcBorders>
              <w:top w:val="nil"/>
              <w:left w:val="nil"/>
              <w:bottom w:val="single" w:sz="4" w:space="0" w:color="auto"/>
              <w:right w:val="nil"/>
            </w:tcBorders>
            <w:shd w:val="clear" w:color="auto" w:fill="auto"/>
            <w:noWrap/>
            <w:vAlign w:val="bottom"/>
            <w:hideMark/>
          </w:tcPr>
          <w:p w:rsidR="005A06CB" w:rsidRPr="004F43D0" w:rsidRDefault="005A06CB" w:rsidP="00D0485F">
            <w:pPr>
              <w:spacing w:after="0" w:line="240" w:lineRule="auto"/>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Average</w:t>
            </w:r>
          </w:p>
        </w:tc>
        <w:tc>
          <w:tcPr>
            <w:tcW w:w="1320" w:type="dxa"/>
            <w:tcBorders>
              <w:top w:val="nil"/>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1.03</w:t>
            </w:r>
          </w:p>
        </w:tc>
        <w:tc>
          <w:tcPr>
            <w:tcW w:w="1140" w:type="dxa"/>
            <w:tcBorders>
              <w:top w:val="nil"/>
              <w:left w:val="nil"/>
              <w:bottom w:val="single" w:sz="4" w:space="0" w:color="auto"/>
              <w:right w:val="nil"/>
            </w:tcBorders>
            <w:shd w:val="clear" w:color="auto" w:fill="auto"/>
            <w:noWrap/>
            <w:vAlign w:val="center"/>
            <w:hideMark/>
          </w:tcPr>
          <w:p w:rsidR="005A06CB" w:rsidRPr="004F43D0" w:rsidRDefault="005A06CB" w:rsidP="00D0485F">
            <w:pPr>
              <w:spacing w:after="0" w:line="240" w:lineRule="auto"/>
              <w:jc w:val="center"/>
              <w:rPr>
                <w:rFonts w:ascii="Times New Roman" w:eastAsia="Times New Roman" w:hAnsi="Times New Roman" w:cs="Times New Roman"/>
                <w:color w:val="000000"/>
                <w:sz w:val="20"/>
                <w:szCs w:val="20"/>
              </w:rPr>
            </w:pPr>
            <w:r w:rsidRPr="004F43D0">
              <w:rPr>
                <w:rFonts w:ascii="Times New Roman" w:eastAsia="Times New Roman" w:hAnsi="Times New Roman" w:cs="Times New Roman"/>
                <w:color w:val="000000"/>
                <w:sz w:val="20"/>
                <w:szCs w:val="20"/>
              </w:rPr>
              <w:t>1.14</w:t>
            </w:r>
          </w:p>
        </w:tc>
      </w:tr>
    </w:tbl>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i/>
          <w:sz w:val="18"/>
          <w:szCs w:val="18"/>
        </w:rPr>
        <w:t>Notes</w:t>
      </w:r>
      <w:r w:rsidRPr="00CE22F6">
        <w:rPr>
          <w:rFonts w:ascii="Times New Roman" w:hAnsi="Times New Roman" w:cs="Times New Roman"/>
          <w:sz w:val="18"/>
          <w:szCs w:val="18"/>
        </w:rPr>
        <w:t xml:space="preserve">: This table shows t-values based on Newey-West standard errors for the β in the regression </w:t>
      </w:r>
    </w:p>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t>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α + βX</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ε</w:t>
      </w:r>
      <w:r w:rsidRPr="00CE22F6">
        <w:rPr>
          <w:rFonts w:ascii="Times New Roman" w:hAnsi="Times New Roman" w:cs="Times New Roman"/>
          <w:sz w:val="18"/>
          <w:szCs w:val="18"/>
          <w:vertAlign w:val="subscript"/>
        </w:rPr>
        <w:t>t</w:t>
      </w:r>
    </w:p>
    <w:p w:rsidR="005A06CB"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sz w:val="18"/>
          <w:szCs w:val="18"/>
        </w:rPr>
        <w:t>where 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are residual excess bond returns from the regression of </w:t>
      </w:r>
      <w:r>
        <w:rPr>
          <w:rFonts w:ascii="Times New Roman" w:hAnsi="Times New Roman" w:cs="Times New Roman"/>
          <w:sz w:val="18"/>
          <w:szCs w:val="18"/>
        </w:rPr>
        <w:t xml:space="preserve">monthly US CRSP bond excess returns (Panel A) or </w:t>
      </w:r>
      <w:r w:rsidRPr="00CE22F6">
        <w:rPr>
          <w:rFonts w:ascii="Times New Roman" w:hAnsi="Times New Roman" w:cs="Times New Roman"/>
          <w:sz w:val="18"/>
          <w:szCs w:val="18"/>
        </w:rPr>
        <w:t xml:space="preserve">quarterly </w:t>
      </w:r>
      <w:r>
        <w:rPr>
          <w:rFonts w:ascii="Times New Roman" w:hAnsi="Times New Roman" w:cs="Times New Roman"/>
          <w:sz w:val="18"/>
          <w:szCs w:val="18"/>
        </w:rPr>
        <w:t>US CRSP</w:t>
      </w:r>
      <w:r w:rsidRPr="00CE22F6">
        <w:rPr>
          <w:rFonts w:ascii="Times New Roman" w:hAnsi="Times New Roman" w:cs="Times New Roman"/>
          <w:sz w:val="18"/>
          <w:szCs w:val="18"/>
        </w:rPr>
        <w:t xml:space="preserve"> bond </w:t>
      </w:r>
      <w:r>
        <w:rPr>
          <w:rFonts w:ascii="Times New Roman" w:hAnsi="Times New Roman" w:cs="Times New Roman"/>
          <w:sz w:val="18"/>
          <w:szCs w:val="18"/>
        </w:rPr>
        <w:t xml:space="preserve">excess </w:t>
      </w:r>
      <w:r w:rsidRPr="00CE22F6">
        <w:rPr>
          <w:rFonts w:ascii="Times New Roman" w:hAnsi="Times New Roman" w:cs="Times New Roman"/>
          <w:sz w:val="18"/>
          <w:szCs w:val="18"/>
        </w:rPr>
        <w:t>returns</w:t>
      </w:r>
      <w:r>
        <w:rPr>
          <w:rFonts w:ascii="Times New Roman" w:hAnsi="Times New Roman" w:cs="Times New Roman"/>
          <w:sz w:val="18"/>
          <w:szCs w:val="18"/>
        </w:rPr>
        <w:t xml:space="preserve"> (Panel B)</w:t>
      </w:r>
      <w:r w:rsidRPr="00CE22F6">
        <w:rPr>
          <w:rFonts w:ascii="Times New Roman" w:hAnsi="Times New Roman" w:cs="Times New Roman"/>
          <w:sz w:val="18"/>
          <w:szCs w:val="18"/>
        </w:rPr>
        <w:t xml:space="preserve"> on US inflation</w:t>
      </w:r>
      <w:r w:rsidR="00BE3880">
        <w:rPr>
          <w:rFonts w:ascii="Times New Roman" w:hAnsi="Times New Roman" w:cs="Times New Roman"/>
          <w:sz w:val="18"/>
          <w:szCs w:val="18"/>
        </w:rPr>
        <w:t xml:space="preserve"> (Table 4.18)</w:t>
      </w:r>
      <w:r w:rsidRPr="00CE22F6">
        <w:rPr>
          <w:rFonts w:ascii="Times New Roman" w:hAnsi="Times New Roman" w:cs="Times New Roman"/>
          <w:sz w:val="18"/>
          <w:szCs w:val="18"/>
        </w:rPr>
        <w:t xml:space="preserve">. X depends on the seasonal pattern tested. For H1 H2 X is a dummy that takes on the value of 1 for July to December and 0 otherwise. For SAD it is set equal to the 12 monthly values from the Kamstra, Kramer, and Levi (2014) paper. </w:t>
      </w:r>
      <w:r w:rsidR="00BE3880">
        <w:rPr>
          <w:rFonts w:ascii="Times New Roman" w:hAnsi="Times New Roman" w:cs="Times New Roman"/>
          <w:sz w:val="18"/>
          <w:szCs w:val="18"/>
        </w:rPr>
        <w:t>At the quarterly frequency I</w:t>
      </w:r>
      <w:r w:rsidR="00BE3880" w:rsidRPr="00BE3880">
        <w:rPr>
          <w:rFonts w:ascii="Times New Roman" w:hAnsi="Times New Roman" w:cs="Times New Roman"/>
          <w:sz w:val="18"/>
          <w:szCs w:val="18"/>
        </w:rPr>
        <w:t xml:space="preserve"> take the average of the 3 monthly values in each quarter.</w:t>
      </w:r>
      <w:r w:rsidR="00BE3880">
        <w:rPr>
          <w:rFonts w:ascii="Times New Roman" w:hAnsi="Times New Roman" w:cs="Times New Roman"/>
          <w:sz w:val="18"/>
          <w:szCs w:val="18"/>
        </w:rPr>
        <w:t xml:space="preserve"> </w:t>
      </w:r>
      <w:r>
        <w:rPr>
          <w:rFonts w:ascii="Times New Roman" w:hAnsi="Times New Roman" w:cs="Times New Roman"/>
          <w:sz w:val="18"/>
          <w:szCs w:val="18"/>
        </w:rPr>
        <w:t xml:space="preserve">Average stands for an equally-weighted portfolio made up of four maturities: 20Y, 10Y, 7Y and 5Y. 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3F0AA3">
        <w:rPr>
          <w:rFonts w:ascii="Times New Roman" w:eastAsia="Times New Roman" w:hAnsi="Times New Roman" w:cs="Times New Roman"/>
          <w:color w:val="4F81BD"/>
          <w:sz w:val="18"/>
          <w:szCs w:val="18"/>
        </w:rPr>
        <w:t xml:space="preserve">Blue </w:t>
      </w:r>
      <w:r>
        <w:rPr>
          <w:rFonts w:ascii="Times New Roman" w:hAnsi="Times New Roman" w:cs="Times New Roman"/>
          <w:sz w:val="18"/>
          <w:szCs w:val="18"/>
        </w:rPr>
        <w:t>at 10% significance level.</w:t>
      </w:r>
    </w:p>
    <w:p w:rsidR="005A06CB" w:rsidRPr="00CE22F6" w:rsidRDefault="005A06CB" w:rsidP="005A06CB">
      <w:pPr>
        <w:pStyle w:val="NoSpacing"/>
        <w:jc w:val="both"/>
        <w:rPr>
          <w:rFonts w:ascii="Times New Roman" w:hAnsi="Times New Roman" w:cs="Times New Roman"/>
          <w:sz w:val="18"/>
          <w:szCs w:val="18"/>
        </w:rPr>
      </w:pPr>
    </w:p>
    <w:p w:rsidR="005A06C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According to resul</w:t>
      </w:r>
      <w:r w:rsidR="003F0AA3">
        <w:rPr>
          <w:rFonts w:ascii="Times New Roman" w:hAnsi="Times New Roman" w:cs="Times New Roman"/>
        </w:rPr>
        <w:t>ts from Table 4.19</w:t>
      </w:r>
      <w:r>
        <w:rPr>
          <w:rFonts w:ascii="Times New Roman" w:hAnsi="Times New Roman" w:cs="Times New Roman"/>
        </w:rPr>
        <w:t xml:space="preserve">, at monthly frequency the SAD effect is significant for the average and all four maturities of inflation-corrected bond returns. At a quarterly frequency the SAD </w:t>
      </w:r>
      <w:r>
        <w:rPr>
          <w:rFonts w:ascii="Times New Roman" w:hAnsi="Times New Roman" w:cs="Times New Roman"/>
        </w:rPr>
        <w:lastRenderedPageBreak/>
        <w:t xml:space="preserve">effect disappears, except for a significant result for the 7-year maturity. This is in line with the results based on the international data set </w:t>
      </w:r>
      <w:r w:rsidRPr="007A001C">
        <w:rPr>
          <w:rFonts w:ascii="Times New Roman" w:hAnsi="Times New Roman" w:cs="Times New Roman"/>
        </w:rPr>
        <w:t xml:space="preserve">from </w:t>
      </w:r>
      <w:r w:rsidR="007A001C" w:rsidRPr="007A001C">
        <w:rPr>
          <w:rFonts w:ascii="Times New Roman" w:hAnsi="Times New Roman" w:cs="Times New Roman"/>
        </w:rPr>
        <w:t>Table 4.9 and 4.13</w:t>
      </w:r>
      <w:r w:rsidR="007A001C">
        <w:rPr>
          <w:rFonts w:ascii="Times New Roman" w:hAnsi="Times New Roman" w:cs="Times New Roman"/>
        </w:rPr>
        <w:t xml:space="preserve"> (right-side panel)</w:t>
      </w:r>
      <w:r w:rsidRPr="007A001C">
        <w:rPr>
          <w:rFonts w:ascii="Times New Roman" w:hAnsi="Times New Roman" w:cs="Times New Roman"/>
        </w:rPr>
        <w:t>.</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same conclusion can be drawn when considering the joint regression with U</w:t>
      </w:r>
      <w:r w:rsidR="007A001C">
        <w:rPr>
          <w:rFonts w:ascii="Times New Roman" w:hAnsi="Times New Roman" w:cs="Times New Roman"/>
        </w:rPr>
        <w:t>.</w:t>
      </w:r>
      <w:r>
        <w:rPr>
          <w:rFonts w:ascii="Times New Roman" w:hAnsi="Times New Roman" w:cs="Times New Roman"/>
        </w:rPr>
        <w:t>S</w:t>
      </w:r>
      <w:r w:rsidR="007A001C">
        <w:rPr>
          <w:rFonts w:ascii="Times New Roman" w:hAnsi="Times New Roman" w:cs="Times New Roman"/>
        </w:rPr>
        <w:t>.</w:t>
      </w:r>
      <w:r>
        <w:rPr>
          <w:rFonts w:ascii="Times New Roman" w:hAnsi="Times New Roman" w:cs="Times New Roman"/>
        </w:rPr>
        <w:t xml:space="preserve"> inflation rate and SAD as explanatory variables for US Bond Excess Returns. As shown in Ta</w:t>
      </w:r>
      <w:r w:rsidR="002F62E3">
        <w:rPr>
          <w:rFonts w:ascii="Times New Roman" w:hAnsi="Times New Roman" w:cs="Times New Roman"/>
        </w:rPr>
        <w:t>ble 4.20</w:t>
      </w:r>
      <w:r>
        <w:rPr>
          <w:rFonts w:ascii="Times New Roman" w:hAnsi="Times New Roman" w:cs="Times New Roman"/>
        </w:rPr>
        <w:t>, at the monthly frequency both U</w:t>
      </w:r>
      <w:r w:rsidR="007A001C">
        <w:rPr>
          <w:rFonts w:ascii="Times New Roman" w:hAnsi="Times New Roman" w:cs="Times New Roman"/>
        </w:rPr>
        <w:t>.</w:t>
      </w:r>
      <w:r>
        <w:rPr>
          <w:rFonts w:ascii="Times New Roman" w:hAnsi="Times New Roman" w:cs="Times New Roman"/>
        </w:rPr>
        <w:t>S</w:t>
      </w:r>
      <w:r w:rsidR="007A001C">
        <w:rPr>
          <w:rFonts w:ascii="Times New Roman" w:hAnsi="Times New Roman" w:cs="Times New Roman"/>
        </w:rPr>
        <w:t>.</w:t>
      </w:r>
      <w:r>
        <w:rPr>
          <w:rFonts w:ascii="Times New Roman" w:hAnsi="Times New Roman" w:cs="Times New Roman"/>
        </w:rPr>
        <w:t xml:space="preserve"> inflation and the SAD factor are statistically significant. Interestingly, for the long maturity of 20Y and the average portfolio, the t-statistic is higher for inflation rate compared to the SAD factor in absolute terms. </w:t>
      </w:r>
    </w:p>
    <w:p w:rsidR="005A06CB" w:rsidRDefault="005A06CB" w:rsidP="005A06CB">
      <w:pPr>
        <w:spacing w:line="360" w:lineRule="auto"/>
        <w:ind w:firstLine="720"/>
        <w:jc w:val="both"/>
        <w:rPr>
          <w:rFonts w:ascii="Times New Roman" w:hAnsi="Times New Roman" w:cs="Times New Roman"/>
        </w:rPr>
      </w:pPr>
      <w:r>
        <w:rPr>
          <w:rFonts w:ascii="Times New Roman" w:hAnsi="Times New Roman" w:cs="Times New Roman"/>
        </w:rPr>
        <w:t xml:space="preserve"> The inflation rate gains statistical significance when decreasing the frequency to quarterly data. The SAD factor does not have explanatory power at a quarterly frequency with the exception of 7Y U</w:t>
      </w:r>
      <w:r w:rsidR="007A001C">
        <w:rPr>
          <w:rFonts w:ascii="Times New Roman" w:hAnsi="Times New Roman" w:cs="Times New Roman"/>
        </w:rPr>
        <w:t>.</w:t>
      </w:r>
      <w:r>
        <w:rPr>
          <w:rFonts w:ascii="Times New Roman" w:hAnsi="Times New Roman" w:cs="Times New Roman"/>
        </w:rPr>
        <w:t>S</w:t>
      </w:r>
      <w:r w:rsidR="007A001C">
        <w:rPr>
          <w:rFonts w:ascii="Times New Roman" w:hAnsi="Times New Roman" w:cs="Times New Roman"/>
        </w:rPr>
        <w:t>.</w:t>
      </w:r>
      <w:r>
        <w:rPr>
          <w:rFonts w:ascii="Times New Roman" w:hAnsi="Times New Roman" w:cs="Times New Roman"/>
        </w:rPr>
        <w:t xml:space="preserve"> Treasuries. This analysis confirms the results when using US Datastream indices that in case of the U</w:t>
      </w:r>
      <w:r w:rsidR="007A001C">
        <w:rPr>
          <w:rFonts w:ascii="Times New Roman" w:hAnsi="Times New Roman" w:cs="Times New Roman"/>
        </w:rPr>
        <w:t>.</w:t>
      </w:r>
      <w:r>
        <w:rPr>
          <w:rFonts w:ascii="Times New Roman" w:hAnsi="Times New Roman" w:cs="Times New Roman"/>
        </w:rPr>
        <w:t>S</w:t>
      </w:r>
      <w:r w:rsidR="007A001C">
        <w:rPr>
          <w:rFonts w:ascii="Times New Roman" w:hAnsi="Times New Roman" w:cs="Times New Roman"/>
        </w:rPr>
        <w:t>.,</w:t>
      </w:r>
      <w:r>
        <w:rPr>
          <w:rFonts w:ascii="Times New Roman" w:hAnsi="Times New Roman" w:cs="Times New Roman"/>
        </w:rPr>
        <w:t xml:space="preserve"> the SAD effect seems to explain the seasonality of monthly bond returns, but is subsumed by the inflation seasonal on a quarterly basis.</w:t>
      </w:r>
    </w:p>
    <w:p w:rsidR="00BC7F37" w:rsidRDefault="00BC7F37" w:rsidP="005A06CB">
      <w:pPr>
        <w:spacing w:line="360" w:lineRule="auto"/>
        <w:ind w:firstLine="720"/>
        <w:jc w:val="both"/>
        <w:rPr>
          <w:rFonts w:ascii="Times New Roman" w:hAnsi="Times New Roman" w:cs="Times New Roman"/>
        </w:rPr>
      </w:pPr>
    </w:p>
    <w:p w:rsidR="00BC7F37" w:rsidRDefault="00BC7F37" w:rsidP="005A06CB">
      <w:pPr>
        <w:spacing w:line="360" w:lineRule="auto"/>
        <w:ind w:firstLine="720"/>
        <w:jc w:val="both"/>
        <w:rPr>
          <w:rFonts w:ascii="Times New Roman" w:hAnsi="Times New Roman" w:cs="Times New Roman"/>
        </w:rPr>
      </w:pPr>
    </w:p>
    <w:p w:rsidR="005A06CB" w:rsidRDefault="005A06CB" w:rsidP="00B44C7C">
      <w:pPr>
        <w:spacing w:after="120" w:line="360" w:lineRule="auto"/>
        <w:jc w:val="center"/>
        <w:rPr>
          <w:rFonts w:ascii="Times New Roman" w:hAnsi="Times New Roman" w:cs="Times New Roman"/>
        </w:rPr>
      </w:pPr>
      <w:r>
        <w:rPr>
          <w:rFonts w:ascii="Times New Roman" w:hAnsi="Times New Roman" w:cs="Times New Roman"/>
        </w:rPr>
        <w:t xml:space="preserve">Table </w:t>
      </w:r>
      <w:r w:rsidR="00B44C7C">
        <w:rPr>
          <w:rFonts w:ascii="Times New Roman" w:hAnsi="Times New Roman" w:cs="Times New Roman"/>
        </w:rPr>
        <w:t>4.20</w:t>
      </w:r>
      <w:r>
        <w:rPr>
          <w:rFonts w:ascii="Times New Roman" w:hAnsi="Times New Roman" w:cs="Times New Roman"/>
        </w:rPr>
        <w:t>: Interaction of US inflation rate with SAD</w:t>
      </w:r>
    </w:p>
    <w:tbl>
      <w:tblPr>
        <w:tblW w:w="7260" w:type="dxa"/>
        <w:jc w:val="center"/>
        <w:tblInd w:w="93" w:type="dxa"/>
        <w:tblLook w:val="04A0"/>
      </w:tblPr>
      <w:tblGrid>
        <w:gridCol w:w="2600"/>
        <w:gridCol w:w="980"/>
        <w:gridCol w:w="800"/>
        <w:gridCol w:w="1013"/>
        <w:gridCol w:w="907"/>
        <w:gridCol w:w="960"/>
      </w:tblGrid>
      <w:tr w:rsidR="005A06CB" w:rsidRPr="00CC713C" w:rsidTr="00D0485F">
        <w:trPr>
          <w:trHeight w:val="330"/>
          <w:jc w:val="center"/>
        </w:trPr>
        <w:tc>
          <w:tcPr>
            <w:tcW w:w="2600" w:type="dxa"/>
            <w:vMerge w:val="restart"/>
            <w:tcBorders>
              <w:top w:val="single" w:sz="4" w:space="0" w:color="auto"/>
              <w:left w:val="nil"/>
              <w:bottom w:val="nil"/>
              <w:right w:val="nil"/>
            </w:tcBorders>
            <w:shd w:val="clear" w:color="auto" w:fill="auto"/>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US CRSP Bond Excess Returns 1952-2007</w:t>
            </w:r>
          </w:p>
        </w:tc>
        <w:tc>
          <w:tcPr>
            <w:tcW w:w="1780" w:type="dxa"/>
            <w:gridSpan w:val="2"/>
            <w:tcBorders>
              <w:top w:val="single" w:sz="4" w:space="0" w:color="auto"/>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US Inflation Rate</w:t>
            </w:r>
          </w:p>
        </w:tc>
        <w:tc>
          <w:tcPr>
            <w:tcW w:w="1920" w:type="dxa"/>
            <w:gridSpan w:val="2"/>
            <w:tcBorders>
              <w:top w:val="single" w:sz="4" w:space="0" w:color="auto"/>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SAD</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R</w:t>
            </w:r>
            <w:r w:rsidRPr="00CC713C">
              <w:rPr>
                <w:rFonts w:ascii="Times New Roman" w:eastAsia="Times New Roman" w:hAnsi="Times New Roman" w:cs="Times New Roman"/>
                <w:color w:val="000000"/>
                <w:sz w:val="20"/>
                <w:szCs w:val="20"/>
                <w:vertAlign w:val="superscript"/>
              </w:rPr>
              <w:t>2</w:t>
            </w:r>
          </w:p>
        </w:tc>
      </w:tr>
      <w:tr w:rsidR="005A06CB" w:rsidRPr="00CC713C" w:rsidTr="00D0485F">
        <w:trPr>
          <w:trHeight w:val="285"/>
          <w:jc w:val="center"/>
        </w:trPr>
        <w:tc>
          <w:tcPr>
            <w:tcW w:w="2600" w:type="dxa"/>
            <w:vMerge/>
            <w:tcBorders>
              <w:top w:val="single" w:sz="4" w:space="0" w:color="auto"/>
              <w:left w:val="nil"/>
              <w:bottom w:val="nil"/>
              <w:right w:val="nil"/>
            </w:tcBorders>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p>
        </w:tc>
        <w:tc>
          <w:tcPr>
            <w:tcW w:w="98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β</w:t>
            </w:r>
            <w:r w:rsidRPr="00CC713C">
              <w:rPr>
                <w:rFonts w:ascii="Times New Roman" w:eastAsia="Times New Roman" w:hAnsi="Times New Roman" w:cs="Times New Roman"/>
                <w:color w:val="000000"/>
                <w:sz w:val="20"/>
                <w:szCs w:val="20"/>
                <w:vertAlign w:val="subscript"/>
              </w:rPr>
              <w:t>1</w:t>
            </w:r>
          </w:p>
        </w:tc>
        <w:tc>
          <w:tcPr>
            <w:tcW w:w="80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t-stat</w:t>
            </w:r>
          </w:p>
        </w:tc>
        <w:tc>
          <w:tcPr>
            <w:tcW w:w="1013"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β</w:t>
            </w:r>
            <w:r w:rsidRPr="00CC713C">
              <w:rPr>
                <w:rFonts w:ascii="Times New Roman" w:eastAsia="Times New Roman" w:hAnsi="Times New Roman" w:cs="Times New Roman"/>
                <w:color w:val="000000"/>
                <w:sz w:val="20"/>
                <w:szCs w:val="20"/>
                <w:vertAlign w:val="subscript"/>
              </w:rPr>
              <w:t>2</w:t>
            </w:r>
          </w:p>
        </w:tc>
        <w:tc>
          <w:tcPr>
            <w:tcW w:w="907"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t-stat</w:t>
            </w:r>
          </w:p>
        </w:tc>
        <w:tc>
          <w:tcPr>
            <w:tcW w:w="960" w:type="dxa"/>
            <w:vMerge/>
            <w:tcBorders>
              <w:top w:val="single" w:sz="4" w:space="0" w:color="auto"/>
              <w:left w:val="nil"/>
              <w:bottom w:val="single" w:sz="4" w:space="0" w:color="000000"/>
              <w:right w:val="nil"/>
            </w:tcBorders>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p>
        </w:tc>
      </w:tr>
      <w:tr w:rsidR="005A06CB" w:rsidRPr="00CC713C" w:rsidTr="00D0485F">
        <w:trPr>
          <w:trHeight w:val="255"/>
          <w:jc w:val="center"/>
        </w:trPr>
        <w:tc>
          <w:tcPr>
            <w:tcW w:w="2600" w:type="dxa"/>
            <w:tcBorders>
              <w:top w:val="single" w:sz="4" w:space="0" w:color="auto"/>
              <w:left w:val="nil"/>
              <w:bottom w:val="single" w:sz="4" w:space="0" w:color="auto"/>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i/>
                <w:iCs/>
                <w:color w:val="000000"/>
                <w:sz w:val="20"/>
                <w:szCs w:val="20"/>
              </w:rPr>
            </w:pPr>
            <w:r w:rsidRPr="00CC713C">
              <w:rPr>
                <w:rFonts w:ascii="Times New Roman" w:eastAsia="Times New Roman" w:hAnsi="Times New Roman" w:cs="Times New Roman"/>
                <w:i/>
                <w:iCs/>
                <w:color w:val="000000"/>
                <w:sz w:val="20"/>
                <w:szCs w:val="20"/>
              </w:rPr>
              <w:t>Panel A: Monthly frequency</w:t>
            </w:r>
          </w:p>
        </w:tc>
        <w:tc>
          <w:tcPr>
            <w:tcW w:w="98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80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1013"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907"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r>
      <w:tr w:rsidR="005A06CB" w:rsidRPr="00CC713C" w:rsidTr="00D0485F">
        <w:trPr>
          <w:trHeight w:val="255"/>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20-year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-0.994</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-2.92</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0.009</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1.98</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0.024</w:t>
            </w:r>
          </w:p>
        </w:tc>
      </w:tr>
      <w:tr w:rsidR="005A06CB" w:rsidRPr="00CC713C" w:rsidTr="00D0485F">
        <w:trPr>
          <w:trHeight w:val="255"/>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10-year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-0.528</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-2.02</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0.009</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2.22</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0.016</w:t>
            </w:r>
          </w:p>
        </w:tc>
      </w:tr>
      <w:tr w:rsidR="005A06CB" w:rsidRPr="00CC713C" w:rsidTr="00D0485F">
        <w:trPr>
          <w:trHeight w:val="240"/>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7-year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-0.478</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-2.19</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0.008</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2.69</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0.020</w:t>
            </w:r>
          </w:p>
        </w:tc>
      </w:tr>
      <w:tr w:rsidR="005A06CB" w:rsidRPr="00CC713C" w:rsidTr="00D0485F">
        <w:trPr>
          <w:trHeight w:val="240"/>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5-year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-0.367</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4F81BD"/>
                <w:sz w:val="20"/>
                <w:szCs w:val="20"/>
              </w:rPr>
            </w:pPr>
            <w:r w:rsidRPr="00CC713C">
              <w:rPr>
                <w:rFonts w:ascii="Times New Roman" w:eastAsia="Times New Roman" w:hAnsi="Times New Roman" w:cs="Times New Roman"/>
                <w:color w:val="4F81BD"/>
                <w:sz w:val="20"/>
                <w:szCs w:val="20"/>
              </w:rPr>
              <w:t>-1.90</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0.007</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2.60</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0.018</w:t>
            </w:r>
          </w:p>
        </w:tc>
      </w:tr>
      <w:tr w:rsidR="005A06CB" w:rsidRPr="00CC713C"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Average</w:t>
            </w:r>
          </w:p>
        </w:tc>
        <w:tc>
          <w:tcPr>
            <w:tcW w:w="98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-0.592</w:t>
            </w:r>
          </w:p>
        </w:tc>
        <w:tc>
          <w:tcPr>
            <w:tcW w:w="80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-2.41</w:t>
            </w:r>
          </w:p>
        </w:tc>
        <w:tc>
          <w:tcPr>
            <w:tcW w:w="1013"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0.008</w:t>
            </w:r>
          </w:p>
        </w:tc>
        <w:tc>
          <w:tcPr>
            <w:tcW w:w="907"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2.37</w:t>
            </w:r>
          </w:p>
        </w:tc>
        <w:tc>
          <w:tcPr>
            <w:tcW w:w="96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0.021</w:t>
            </w:r>
          </w:p>
        </w:tc>
      </w:tr>
      <w:tr w:rsidR="005A06CB" w:rsidRPr="00CC713C"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i/>
                <w:iCs/>
                <w:color w:val="000000"/>
                <w:sz w:val="20"/>
                <w:szCs w:val="20"/>
              </w:rPr>
            </w:pPr>
            <w:r w:rsidRPr="00CC713C">
              <w:rPr>
                <w:rFonts w:ascii="Times New Roman" w:eastAsia="Times New Roman" w:hAnsi="Times New Roman" w:cs="Times New Roman"/>
                <w:i/>
                <w:iCs/>
                <w:color w:val="000000"/>
                <w:sz w:val="20"/>
                <w:szCs w:val="20"/>
              </w:rPr>
              <w:t>Panel B: Quarterly frequency</w:t>
            </w:r>
          </w:p>
        </w:tc>
        <w:tc>
          <w:tcPr>
            <w:tcW w:w="98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80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1013"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907"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 </w:t>
            </w:r>
          </w:p>
        </w:tc>
      </w:tr>
      <w:tr w:rsidR="005A06CB" w:rsidRPr="00CC713C" w:rsidTr="00D0485F">
        <w:trPr>
          <w:trHeight w:val="240"/>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20-year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-1.574</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-4.26</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0.013</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0.72</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0.078</w:t>
            </w:r>
          </w:p>
        </w:tc>
      </w:tr>
      <w:tr w:rsidR="005A06CB" w:rsidRPr="00CC713C" w:rsidTr="00D0485F">
        <w:trPr>
          <w:trHeight w:val="240"/>
          <w:jc w:val="center"/>
        </w:trPr>
        <w:tc>
          <w:tcPr>
            <w:tcW w:w="2600" w:type="dxa"/>
            <w:tcBorders>
              <w:top w:val="nil"/>
              <w:left w:val="nil"/>
              <w:bottom w:val="nil"/>
              <w:right w:val="nil"/>
            </w:tcBorders>
            <w:shd w:val="clear" w:color="auto" w:fill="auto"/>
            <w:noWrap/>
            <w:vAlign w:val="bottom"/>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10-year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-1.060</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-3.86</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0.011</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0.76</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0.057</w:t>
            </w:r>
          </w:p>
        </w:tc>
      </w:tr>
      <w:tr w:rsidR="005A06CB" w:rsidRPr="00CC713C" w:rsidTr="00D0485F">
        <w:trPr>
          <w:trHeight w:val="240"/>
          <w:jc w:val="center"/>
        </w:trPr>
        <w:tc>
          <w:tcPr>
            <w:tcW w:w="2600" w:type="dxa"/>
            <w:tcBorders>
              <w:top w:val="nil"/>
              <w:left w:val="nil"/>
              <w:bottom w:val="nil"/>
              <w:right w:val="nil"/>
            </w:tcBorders>
            <w:shd w:val="clear" w:color="auto" w:fill="auto"/>
            <w:noWrap/>
            <w:vAlign w:val="bottom"/>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7-year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-0.848</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-3.70</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0.022</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1.97</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0.067</w:t>
            </w:r>
          </w:p>
        </w:tc>
      </w:tr>
      <w:tr w:rsidR="005A06CB" w:rsidRPr="00CC713C" w:rsidTr="00D0485F">
        <w:trPr>
          <w:trHeight w:val="240"/>
          <w:jc w:val="center"/>
        </w:trPr>
        <w:tc>
          <w:tcPr>
            <w:tcW w:w="2600" w:type="dxa"/>
            <w:tcBorders>
              <w:top w:val="nil"/>
              <w:left w:val="nil"/>
              <w:bottom w:val="nil"/>
              <w:right w:val="nil"/>
            </w:tcBorders>
            <w:shd w:val="clear" w:color="auto" w:fill="auto"/>
            <w:vAlign w:val="center"/>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5-year</w:t>
            </w:r>
          </w:p>
        </w:tc>
        <w:tc>
          <w:tcPr>
            <w:tcW w:w="98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-0.698</w:t>
            </w:r>
          </w:p>
        </w:tc>
        <w:tc>
          <w:tcPr>
            <w:tcW w:w="80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-3.38</w:t>
            </w:r>
          </w:p>
        </w:tc>
        <w:tc>
          <w:tcPr>
            <w:tcW w:w="1013"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0.014</w:t>
            </w:r>
          </w:p>
        </w:tc>
        <w:tc>
          <w:tcPr>
            <w:tcW w:w="907"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1.39</w:t>
            </w:r>
          </w:p>
        </w:tc>
        <w:tc>
          <w:tcPr>
            <w:tcW w:w="960" w:type="dxa"/>
            <w:tcBorders>
              <w:top w:val="nil"/>
              <w:left w:val="nil"/>
              <w:bottom w:val="nil"/>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0.056</w:t>
            </w:r>
          </w:p>
        </w:tc>
      </w:tr>
      <w:tr w:rsidR="005A06CB" w:rsidRPr="00CC713C" w:rsidTr="00D0485F">
        <w:trPr>
          <w:trHeight w:val="255"/>
          <w:jc w:val="center"/>
        </w:trPr>
        <w:tc>
          <w:tcPr>
            <w:tcW w:w="2600" w:type="dxa"/>
            <w:tcBorders>
              <w:top w:val="nil"/>
              <w:left w:val="nil"/>
              <w:bottom w:val="single" w:sz="4" w:space="0" w:color="auto"/>
              <w:right w:val="nil"/>
            </w:tcBorders>
            <w:shd w:val="clear" w:color="auto" w:fill="auto"/>
            <w:noWrap/>
            <w:vAlign w:val="bottom"/>
            <w:hideMark/>
          </w:tcPr>
          <w:p w:rsidR="005A06CB" w:rsidRPr="00CC713C" w:rsidRDefault="005A06CB" w:rsidP="00D0485F">
            <w:pPr>
              <w:spacing w:after="0" w:line="240" w:lineRule="auto"/>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Average</w:t>
            </w:r>
          </w:p>
        </w:tc>
        <w:tc>
          <w:tcPr>
            <w:tcW w:w="98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-1.045</w:t>
            </w:r>
          </w:p>
        </w:tc>
        <w:tc>
          <w:tcPr>
            <w:tcW w:w="80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b/>
                <w:bCs/>
                <w:color w:val="000000"/>
                <w:sz w:val="20"/>
                <w:szCs w:val="20"/>
              </w:rPr>
            </w:pPr>
            <w:r w:rsidRPr="00CC713C">
              <w:rPr>
                <w:rFonts w:ascii="Times New Roman" w:eastAsia="Times New Roman" w:hAnsi="Times New Roman" w:cs="Times New Roman"/>
                <w:b/>
                <w:bCs/>
                <w:color w:val="000000"/>
                <w:sz w:val="20"/>
                <w:szCs w:val="20"/>
              </w:rPr>
              <w:t>-4.00</w:t>
            </w:r>
          </w:p>
        </w:tc>
        <w:tc>
          <w:tcPr>
            <w:tcW w:w="1013"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0.015</w:t>
            </w:r>
          </w:p>
        </w:tc>
        <w:tc>
          <w:tcPr>
            <w:tcW w:w="907"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1.15</w:t>
            </w:r>
          </w:p>
        </w:tc>
        <w:tc>
          <w:tcPr>
            <w:tcW w:w="960" w:type="dxa"/>
            <w:tcBorders>
              <w:top w:val="nil"/>
              <w:left w:val="nil"/>
              <w:bottom w:val="single" w:sz="4" w:space="0" w:color="auto"/>
              <w:right w:val="nil"/>
            </w:tcBorders>
            <w:shd w:val="clear" w:color="auto" w:fill="auto"/>
            <w:noWrap/>
            <w:vAlign w:val="center"/>
            <w:hideMark/>
          </w:tcPr>
          <w:p w:rsidR="005A06CB" w:rsidRPr="00CC713C" w:rsidRDefault="005A06CB" w:rsidP="00D0485F">
            <w:pPr>
              <w:spacing w:after="0" w:line="240" w:lineRule="auto"/>
              <w:jc w:val="center"/>
              <w:rPr>
                <w:rFonts w:ascii="Times New Roman" w:eastAsia="Times New Roman" w:hAnsi="Times New Roman" w:cs="Times New Roman"/>
                <w:color w:val="000000"/>
                <w:sz w:val="20"/>
                <w:szCs w:val="20"/>
              </w:rPr>
            </w:pPr>
            <w:r w:rsidRPr="00CC713C">
              <w:rPr>
                <w:rFonts w:ascii="Times New Roman" w:eastAsia="Times New Roman" w:hAnsi="Times New Roman" w:cs="Times New Roman"/>
                <w:color w:val="000000"/>
                <w:sz w:val="20"/>
                <w:szCs w:val="20"/>
              </w:rPr>
              <w:t>0.068</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and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sidRPr="00336849">
        <w:rPr>
          <w:rFonts w:ascii="Times New Roman" w:hAnsi="Times New Roman" w:cs="Times New Roman"/>
          <w:sz w:val="18"/>
          <w:szCs w:val="18"/>
        </w:rPr>
        <w:t xml:space="preserve">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Z</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w:t>
      </w:r>
      <w:r>
        <w:rPr>
          <w:rFonts w:ascii="Times New Roman" w:hAnsi="Times New Roman" w:cs="Times New Roman"/>
          <w:sz w:val="18"/>
          <w:szCs w:val="18"/>
        </w:rPr>
        <w:t>are US CRSP Nominal Bond Excess Returns for the sample 1952-2007, as considered by Kamstra, Kramer and Levi (2014) at the monthly frequency (Panel A) and quarterly frequency (Panel B), while</w:t>
      </w:r>
      <w:r w:rsidRPr="001221C6">
        <w:rPr>
          <w:rFonts w:ascii="Times New Roman" w:hAnsi="Times New Roman" w:cs="Times New Roman"/>
          <w:sz w:val="18"/>
          <w:szCs w:val="18"/>
        </w:rPr>
        <w:t xml:space="preserve"> X is the</w:t>
      </w:r>
      <w:r>
        <w:rPr>
          <w:rFonts w:ascii="Times New Roman" w:hAnsi="Times New Roman" w:cs="Times New Roman"/>
          <w:sz w:val="18"/>
          <w:szCs w:val="18"/>
        </w:rPr>
        <w:t xml:space="preserve"> inflation rate recorded in United States and Z </w:t>
      </w:r>
      <w:r w:rsidRPr="006C0856">
        <w:rPr>
          <w:rFonts w:ascii="Times New Roman" w:hAnsi="Times New Roman" w:cs="Times New Roman"/>
          <w:sz w:val="18"/>
          <w:szCs w:val="18"/>
        </w:rPr>
        <w:t>is set equal to the 12 monthly values from the Kamstra, Kramer, and Levi (2014) paper.</w:t>
      </w:r>
      <w:r>
        <w:rPr>
          <w:rFonts w:ascii="Times New Roman" w:hAnsi="Times New Roman" w:cs="Times New Roman"/>
          <w:sz w:val="18"/>
          <w:szCs w:val="18"/>
        </w:rPr>
        <w:t xml:space="preserve"> </w:t>
      </w:r>
      <w:r w:rsidR="007A001C">
        <w:rPr>
          <w:rFonts w:ascii="Times New Roman" w:hAnsi="Times New Roman" w:cs="Times New Roman"/>
          <w:sz w:val="18"/>
          <w:szCs w:val="18"/>
        </w:rPr>
        <w:t>At the quarterly frequency I</w:t>
      </w:r>
      <w:r w:rsidRPr="00CE22F6">
        <w:rPr>
          <w:rFonts w:ascii="Times New Roman" w:hAnsi="Times New Roman" w:cs="Times New Roman"/>
          <w:sz w:val="18"/>
          <w:szCs w:val="18"/>
        </w:rPr>
        <w:t xml:space="preserve"> take the average of the 3 monthly values in each quarter.</w:t>
      </w:r>
      <w:r>
        <w:rPr>
          <w:rFonts w:ascii="Times New Roman" w:hAnsi="Times New Roman" w:cs="Times New Roman"/>
          <w:sz w:val="18"/>
          <w:szCs w:val="18"/>
        </w:rPr>
        <w:t xml:space="preserve"> Average stands for an equally-weighted portfolio made up of four maturities: 20Y, 10Y, 7Y and 5Y. 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2F62E3">
        <w:rPr>
          <w:rFonts w:ascii="Times New Roman" w:eastAsia="Times New Roman" w:hAnsi="Times New Roman" w:cs="Times New Roman"/>
          <w:color w:val="4F81BD"/>
          <w:sz w:val="18"/>
          <w:szCs w:val="18"/>
        </w:rPr>
        <w:t>Blue</w:t>
      </w:r>
      <w:r w:rsidRPr="002F62E3">
        <w:rPr>
          <w:rFonts w:ascii="Times New Roman" w:hAnsi="Times New Roman" w:cs="Times New Roman"/>
          <w:sz w:val="18"/>
          <w:szCs w:val="18"/>
        </w:rPr>
        <w:t xml:space="preserve"> </w:t>
      </w:r>
      <w:r>
        <w:rPr>
          <w:rFonts w:ascii="Times New Roman" w:hAnsi="Times New Roman" w:cs="Times New Roman"/>
          <w:sz w:val="18"/>
          <w:szCs w:val="18"/>
        </w:rPr>
        <w:t>at 10% significance level.</w:t>
      </w:r>
    </w:p>
    <w:p w:rsidR="005A06CB" w:rsidRDefault="005A06CB" w:rsidP="005A06CB">
      <w:pPr>
        <w:pStyle w:val="NoSpacing"/>
        <w:jc w:val="both"/>
        <w:rPr>
          <w:rFonts w:ascii="Times New Roman" w:hAnsi="Times New Roman" w:cs="Times New Roman"/>
          <w:sz w:val="18"/>
          <w:szCs w:val="18"/>
        </w:rPr>
      </w:pPr>
    </w:p>
    <w:p w:rsidR="005A06CB" w:rsidRPr="001221C6" w:rsidRDefault="005A06CB" w:rsidP="005A06CB">
      <w:pPr>
        <w:pStyle w:val="NoSpacing"/>
        <w:jc w:val="both"/>
        <w:rPr>
          <w:rFonts w:ascii="Times New Roman" w:hAnsi="Times New Roman" w:cs="Times New Roman"/>
          <w:sz w:val="18"/>
          <w:szCs w:val="18"/>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Given the above results, when accounting for the noise in inflation rate and the uncertain timing of the incorporation of the inflation rate in bond prices, I can conclude that the seasonal pattern in the </w:t>
      </w:r>
      <w:r>
        <w:rPr>
          <w:rFonts w:ascii="Times New Roman" w:hAnsi="Times New Roman" w:cs="Times New Roman"/>
        </w:rPr>
        <w:lastRenderedPageBreak/>
        <w:t xml:space="preserve">consumer price index can explain the seasonal pattern in US Treasuries at a quarterly frequency as shown before. Moreover, the results are consistent across maturities.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Even though KKL tests models in which they also include inflation rate, they find seasonality in the residuals and thus conclude that the seasonality in bond returns is related to the cycle in risk aversion triggered by the daylight fluctuations. There are four reasons which can explain the different conclusion of this analysis from the one of </w:t>
      </w:r>
      <w:r w:rsidRPr="00B54417">
        <w:rPr>
          <w:rFonts w:ascii="Times New Roman" w:hAnsi="Times New Roman" w:cs="Times New Roman"/>
        </w:rPr>
        <w:t>Kamstra, Kramer, and Levi (2014)</w:t>
      </w:r>
      <w:r>
        <w:rPr>
          <w:rFonts w:ascii="Times New Roman" w:hAnsi="Times New Roman" w:cs="Times New Roman"/>
        </w:rPr>
        <w:t xml:space="preserve">.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First, the analysis of KKL (2014) is based on monthly data and it focuses on the U</w:t>
      </w:r>
      <w:r w:rsidR="00274E17">
        <w:rPr>
          <w:rFonts w:ascii="Times New Roman" w:hAnsi="Times New Roman" w:cs="Times New Roman"/>
        </w:rPr>
        <w:t>.</w:t>
      </w:r>
      <w:r>
        <w:rPr>
          <w:rFonts w:ascii="Times New Roman" w:hAnsi="Times New Roman" w:cs="Times New Roman"/>
        </w:rPr>
        <w:t>S</w:t>
      </w:r>
      <w:r w:rsidR="00274E17">
        <w:rPr>
          <w:rFonts w:ascii="Times New Roman" w:hAnsi="Times New Roman" w:cs="Times New Roman"/>
        </w:rPr>
        <w:t>.</w:t>
      </w:r>
      <w:r>
        <w:rPr>
          <w:rFonts w:ascii="Times New Roman" w:hAnsi="Times New Roman" w:cs="Times New Roman"/>
        </w:rPr>
        <w:t xml:space="preserve"> government bond market, while the current analysis considers six large bond markets including the U</w:t>
      </w:r>
      <w:r w:rsidR="00274E17">
        <w:rPr>
          <w:rFonts w:ascii="Times New Roman" w:hAnsi="Times New Roman" w:cs="Times New Roman"/>
        </w:rPr>
        <w:t>.</w:t>
      </w:r>
      <w:r>
        <w:rPr>
          <w:rFonts w:ascii="Times New Roman" w:hAnsi="Times New Roman" w:cs="Times New Roman"/>
        </w:rPr>
        <w:t>S</w:t>
      </w:r>
      <w:r w:rsidR="00274E17">
        <w:rPr>
          <w:rFonts w:ascii="Times New Roman" w:hAnsi="Times New Roman" w:cs="Times New Roman"/>
        </w:rPr>
        <w:t>.</w:t>
      </w:r>
      <w:r>
        <w:rPr>
          <w:rFonts w:ascii="Times New Roman" w:hAnsi="Times New Roman" w:cs="Times New Roman"/>
        </w:rPr>
        <w:t xml:space="preserve"> both at a monthly and a quarterly data frequency. Considering a lower frequency helps smoothing the noise in inflation rate which is visible in Figure 4.1 (due to different specific events such as spikes in oil prices, different weights of prices of volatile goods).</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Second, even though they consider inflation rate as a candidate for the drivers in seasonality, the specified models do not purely focus on the inflation rate, but include several macroeconomic variables at the same time (GDP growth, industrial production, unemployment rate, inflation based on PPI).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Third, they only look at</w:t>
      </w:r>
      <w:r w:rsidR="00274E17">
        <w:rPr>
          <w:rFonts w:ascii="Times New Roman" w:hAnsi="Times New Roman" w:cs="Times New Roman"/>
        </w:rPr>
        <w:t xml:space="preserve"> the</w:t>
      </w:r>
      <w:r>
        <w:rPr>
          <w:rFonts w:ascii="Times New Roman" w:hAnsi="Times New Roman" w:cs="Times New Roman"/>
        </w:rPr>
        <w:t xml:space="preserve"> contemporaneous link between monthly inflation rate and bond returns. As shown in section 4.2.2.1, both contemporaneous and lead inflation have an impact on nominal bond prices.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Fourth, the seasonal variable developed by </w:t>
      </w:r>
      <w:r w:rsidRPr="00B54417">
        <w:rPr>
          <w:rFonts w:ascii="Times New Roman" w:hAnsi="Times New Roman" w:cs="Times New Roman"/>
        </w:rPr>
        <w:t>Kamstra, Kramer, and Levi (2014)</w:t>
      </w:r>
      <w:r>
        <w:rPr>
          <w:rFonts w:ascii="Times New Roman" w:hAnsi="Times New Roman" w:cs="Times New Roman"/>
        </w:rPr>
        <w:t xml:space="preserve"> comprises only 12 values, while I use the time series of the inflation rate. It would be interesting to study the relationship between the SAD effect and bond returns through time. In case of the 12-value SAD variable, the statistical significance can be the result of a coincidence of outliers of the SAD variable and bond returns in the same month. Potentially there could also be other variables with a similar pattern for which we could find statistical significance without a real link between bond returns and those variables. Jacobsen and Marquering (2009) point out such examples: ice cream consumption or airline travel patterns. Also related to the construction of the SAD variable is the fact that it is North America based and it is difficult to use the same measure for Southern Hemisphere countries for which the seasons are reversed. One might argue that the current analysis also uses a U</w:t>
      </w:r>
      <w:r w:rsidR="00274E17">
        <w:rPr>
          <w:rFonts w:ascii="Times New Roman" w:hAnsi="Times New Roman" w:cs="Times New Roman"/>
        </w:rPr>
        <w:t>.</w:t>
      </w:r>
      <w:r>
        <w:rPr>
          <w:rFonts w:ascii="Times New Roman" w:hAnsi="Times New Roman" w:cs="Times New Roman"/>
        </w:rPr>
        <w:t>S</w:t>
      </w:r>
      <w:r w:rsidR="00274E17">
        <w:rPr>
          <w:rFonts w:ascii="Times New Roman" w:hAnsi="Times New Roman" w:cs="Times New Roman"/>
        </w:rPr>
        <w:t>.</w:t>
      </w:r>
      <w:r>
        <w:rPr>
          <w:rFonts w:ascii="Times New Roman" w:hAnsi="Times New Roman" w:cs="Times New Roman"/>
        </w:rPr>
        <w:t xml:space="preserve"> based inflation measure. The reason for this is that U</w:t>
      </w:r>
      <w:r w:rsidR="00274E17">
        <w:rPr>
          <w:rFonts w:ascii="Times New Roman" w:hAnsi="Times New Roman" w:cs="Times New Roman"/>
        </w:rPr>
        <w:t>.</w:t>
      </w:r>
      <w:r>
        <w:rPr>
          <w:rFonts w:ascii="Times New Roman" w:hAnsi="Times New Roman" w:cs="Times New Roman"/>
        </w:rPr>
        <w:t>S</w:t>
      </w:r>
      <w:r w:rsidR="00274E17">
        <w:rPr>
          <w:rFonts w:ascii="Times New Roman" w:hAnsi="Times New Roman" w:cs="Times New Roman"/>
        </w:rPr>
        <w:t>.</w:t>
      </w:r>
      <w:r>
        <w:rPr>
          <w:rFonts w:ascii="Times New Roman" w:hAnsi="Times New Roman" w:cs="Times New Roman"/>
        </w:rPr>
        <w:t xml:space="preserve"> inflation rate is relevant for U</w:t>
      </w:r>
      <w:r w:rsidR="0006465D">
        <w:rPr>
          <w:rFonts w:ascii="Times New Roman" w:hAnsi="Times New Roman" w:cs="Times New Roman"/>
        </w:rPr>
        <w:t>.</w:t>
      </w:r>
      <w:r>
        <w:rPr>
          <w:rFonts w:ascii="Times New Roman" w:hAnsi="Times New Roman" w:cs="Times New Roman"/>
        </w:rPr>
        <w:t>S</w:t>
      </w:r>
      <w:r w:rsidR="0006465D">
        <w:rPr>
          <w:rFonts w:ascii="Times New Roman" w:hAnsi="Times New Roman" w:cs="Times New Roman"/>
        </w:rPr>
        <w:t>.</w:t>
      </w:r>
      <w:r>
        <w:rPr>
          <w:rFonts w:ascii="Times New Roman" w:hAnsi="Times New Roman" w:cs="Times New Roman"/>
        </w:rPr>
        <w:t xml:space="preserve"> monetary policy which influences markets worldwide given its size and relation to </w:t>
      </w:r>
      <w:r w:rsidR="0006465D">
        <w:rPr>
          <w:rFonts w:ascii="Times New Roman" w:hAnsi="Times New Roman" w:cs="Times New Roman"/>
        </w:rPr>
        <w:t>the largest economy of the world. Evidence from the literature on this is available in Section 4.2.2.1</w:t>
      </w:r>
      <w:r>
        <w:rPr>
          <w:rFonts w:ascii="Times New Roman" w:hAnsi="Times New Roman" w:cs="Times New Roman"/>
        </w:rPr>
        <w:t xml:space="preserve">.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  </w:t>
      </w:r>
    </w:p>
    <w:p w:rsidR="005A06CB" w:rsidRDefault="005A06CB" w:rsidP="005A06CB">
      <w:pPr>
        <w:spacing w:line="360" w:lineRule="auto"/>
        <w:ind w:firstLine="720"/>
        <w:rPr>
          <w:rFonts w:ascii="Times New Roman" w:hAnsi="Times New Roman" w:cs="Times New Roman"/>
        </w:rPr>
      </w:pPr>
    </w:p>
    <w:p w:rsidR="005A06CB" w:rsidRDefault="005A06CB" w:rsidP="005A06CB">
      <w:pPr>
        <w:pStyle w:val="Heading2"/>
        <w:ind w:left="180"/>
      </w:pPr>
      <w:bookmarkStart w:id="51" w:name="_Toc396762717"/>
      <w:r>
        <w:t>4.5 Other considered explanations</w:t>
      </w:r>
      <w:bookmarkEnd w:id="51"/>
    </w:p>
    <w:p w:rsidR="005A06CB" w:rsidRDefault="005A06CB" w:rsidP="005A06CB"/>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literature puts forward alternative hypotheses for seasonality, but only a few papers also empirically test these explanations. I have analysed three of these alternatives and present the key results in this section. As the studies focus on stock return patterns, the explanations have been adapted from the equity literature.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First, as there is no January effect, the explanations for government bond returns associated with this pattern can be ruled out (parking the proceeds hypothesis of Clayton, Delozier and </w:t>
      </w:r>
      <w:r w:rsidRPr="00EE3FD2">
        <w:rPr>
          <w:rFonts w:ascii="Times New Roman" w:hAnsi="Times New Roman" w:cs="Times New Roman"/>
        </w:rPr>
        <w:t>Ehrhardt (1989)</w:t>
      </w:r>
      <w:r>
        <w:rPr>
          <w:rFonts w:ascii="Times New Roman" w:hAnsi="Times New Roman" w:cs="Times New Roman"/>
        </w:rPr>
        <w:t xml:space="preserve">, agency problems explanation of </w:t>
      </w:r>
      <w:r w:rsidRPr="00EE3FD2">
        <w:rPr>
          <w:rFonts w:ascii="Times New Roman" w:hAnsi="Times New Roman" w:cs="Times New Roman"/>
        </w:rPr>
        <w:t>Athanassakos (2006)</w:t>
      </w:r>
      <w:r w:rsidR="0006465D">
        <w:rPr>
          <w:rStyle w:val="FootnoteReference"/>
          <w:rFonts w:ascii="Times New Roman" w:hAnsi="Times New Roman" w:cs="Times New Roman"/>
        </w:rPr>
        <w:footnoteReference w:id="49"/>
      </w:r>
      <w:r>
        <w:rPr>
          <w:rFonts w:ascii="Times New Roman" w:hAnsi="Times New Roman" w:cs="Times New Roman"/>
        </w:rPr>
        <w:t xml:space="preserve">). </w:t>
      </w:r>
    </w:p>
    <w:p w:rsidR="00936DC1" w:rsidRDefault="00936DC1" w:rsidP="005A06CB">
      <w:pPr>
        <w:spacing w:after="0" w:line="360" w:lineRule="auto"/>
        <w:ind w:firstLine="720"/>
        <w:jc w:val="both"/>
        <w:rPr>
          <w:rFonts w:ascii="Times New Roman" w:hAnsi="Times New Roman" w:cs="Times New Roman"/>
        </w:rPr>
      </w:pPr>
    </w:p>
    <w:p w:rsidR="00936DC1" w:rsidRDefault="00936DC1" w:rsidP="00936DC1">
      <w:pPr>
        <w:pStyle w:val="Heading3"/>
      </w:pPr>
      <w:bookmarkStart w:id="52" w:name="_Toc396762718"/>
      <w:r>
        <w:t>4.5.1 Annual cycle of economic activity</w:t>
      </w:r>
      <w:bookmarkEnd w:id="52"/>
    </w:p>
    <w:p w:rsidR="00936DC1" w:rsidRDefault="00936DC1" w:rsidP="00936DC1">
      <w:pPr>
        <w:spacing w:after="0" w:line="360" w:lineRule="auto"/>
        <w:jc w:val="both"/>
        <w:rPr>
          <w:rFonts w:ascii="Times New Roman" w:hAnsi="Times New Roman" w:cs="Times New Roman"/>
        </w:rPr>
      </w:pPr>
    </w:p>
    <w:p w:rsidR="005A06CB" w:rsidRDefault="005A06CB" w:rsidP="00945302">
      <w:pPr>
        <w:spacing w:after="0" w:line="360" w:lineRule="auto"/>
        <w:ind w:firstLine="720"/>
        <w:jc w:val="both"/>
        <w:rPr>
          <w:rFonts w:ascii="Times New Roman" w:hAnsi="Times New Roman" w:cs="Times New Roman"/>
        </w:rPr>
      </w:pPr>
      <w:r>
        <w:rPr>
          <w:rFonts w:ascii="Times New Roman" w:hAnsi="Times New Roman" w:cs="Times New Roman"/>
        </w:rPr>
        <w:t xml:space="preserve">The hypothesis of Ogden (2003) regarding the existence of an annual cycle of economic activity has been tested using variables which display a seasonal pattern and are representative for economic trends such as: Gross Domestic Product (GDP), industrial production, unemployment rate. These indicators are also used in the literature (Ogden (2003), </w:t>
      </w:r>
      <w:r w:rsidRPr="007075BF">
        <w:rPr>
          <w:rFonts w:ascii="Times New Roman" w:hAnsi="Times New Roman" w:cs="Times New Roman"/>
        </w:rPr>
        <w:t>Gerlach (2007)</w:t>
      </w:r>
      <w:r>
        <w:rPr>
          <w:rFonts w:ascii="Times New Roman" w:hAnsi="Times New Roman" w:cs="Times New Roman"/>
        </w:rPr>
        <w:t>) as they are closely monitored by central banks for their monetary policy decisions which in turn can affect bond prices. Goldberg and Leonard</w:t>
      </w:r>
      <w:r w:rsidRPr="003D6FD7">
        <w:rPr>
          <w:rFonts w:ascii="Times New Roman" w:hAnsi="Times New Roman" w:cs="Times New Roman"/>
        </w:rPr>
        <w:t xml:space="preserve"> (2003)</w:t>
      </w:r>
      <w:r w:rsidR="0006465D">
        <w:rPr>
          <w:rFonts w:ascii="Times New Roman" w:hAnsi="Times New Roman" w:cs="Times New Roman"/>
        </w:rPr>
        <w:t xml:space="preserve"> also</w:t>
      </w:r>
      <w:r>
        <w:rPr>
          <w:rFonts w:ascii="Times New Roman" w:hAnsi="Times New Roman" w:cs="Times New Roman"/>
        </w:rPr>
        <w:t xml:space="preserve"> showed that US indicators capturing </w:t>
      </w:r>
      <w:r w:rsidRPr="003D6FD7">
        <w:rPr>
          <w:rFonts w:ascii="Times New Roman" w:hAnsi="Times New Roman" w:cs="Times New Roman"/>
        </w:rPr>
        <w:t>labo</w:t>
      </w:r>
      <w:r>
        <w:rPr>
          <w:rFonts w:ascii="Times New Roman" w:hAnsi="Times New Roman" w:cs="Times New Roman"/>
        </w:rPr>
        <w:t xml:space="preserve">r market conditions (payrolls, unemployment rate and initial jobless claims), output (GDP growth), and </w:t>
      </w:r>
      <w:r w:rsidRPr="003D6FD7">
        <w:rPr>
          <w:rFonts w:ascii="Times New Roman" w:hAnsi="Times New Roman" w:cs="Times New Roman"/>
        </w:rPr>
        <w:t>consumer confidence</w:t>
      </w:r>
      <w:r>
        <w:rPr>
          <w:rFonts w:ascii="Times New Roman" w:hAnsi="Times New Roman" w:cs="Times New Roman"/>
        </w:rPr>
        <w:t xml:space="preserve"> (</w:t>
      </w:r>
      <w:r w:rsidRPr="001E75B1">
        <w:rPr>
          <w:rFonts w:ascii="Times New Roman" w:hAnsi="Times New Roman" w:cs="Times New Roman"/>
        </w:rPr>
        <w:t>Michigan</w:t>
      </w:r>
      <w:r>
        <w:rPr>
          <w:rFonts w:ascii="Times New Roman" w:hAnsi="Times New Roman" w:cs="Times New Roman"/>
        </w:rPr>
        <w:t xml:space="preserve"> </w:t>
      </w:r>
      <w:r w:rsidRPr="001E75B1">
        <w:rPr>
          <w:rFonts w:ascii="Times New Roman" w:hAnsi="Times New Roman" w:cs="Times New Roman"/>
        </w:rPr>
        <w:t>and Conference Board consumer confidence</w:t>
      </w:r>
      <w:r>
        <w:rPr>
          <w:rFonts w:ascii="Times New Roman" w:hAnsi="Times New Roman" w:cs="Times New Roman"/>
        </w:rPr>
        <w:t>)</w:t>
      </w:r>
      <w:r w:rsidRPr="003D6FD7">
        <w:rPr>
          <w:rFonts w:ascii="Times New Roman" w:hAnsi="Times New Roman" w:cs="Times New Roman"/>
        </w:rPr>
        <w:t xml:space="preserve"> had the strongest effects on </w:t>
      </w:r>
      <w:r>
        <w:rPr>
          <w:rFonts w:ascii="Times New Roman" w:hAnsi="Times New Roman" w:cs="Times New Roman"/>
        </w:rPr>
        <w:t xml:space="preserve">US and German </w:t>
      </w:r>
      <w:r w:rsidRPr="003D6FD7">
        <w:rPr>
          <w:rFonts w:ascii="Times New Roman" w:hAnsi="Times New Roman" w:cs="Times New Roman"/>
        </w:rPr>
        <w:t>yield</w:t>
      </w:r>
      <w:r>
        <w:rPr>
          <w:rFonts w:ascii="Times New Roman" w:hAnsi="Times New Roman" w:cs="Times New Roman"/>
        </w:rPr>
        <w:t xml:space="preserve"> </w:t>
      </w:r>
      <w:r w:rsidRPr="003D6FD7">
        <w:rPr>
          <w:rFonts w:ascii="Times New Roman" w:hAnsi="Times New Roman" w:cs="Times New Roman"/>
        </w:rPr>
        <w:t>changes.</w:t>
      </w:r>
      <w:r>
        <w:rPr>
          <w:rFonts w:ascii="Times New Roman" w:hAnsi="Times New Roman" w:cs="Times New Roman"/>
        </w:rPr>
        <w:t xml:space="preserve"> The impact of Producer Price Index (PPI – another measure of inflation which captures the prices charged by producers)</w:t>
      </w:r>
      <w:r w:rsidRPr="00617586">
        <w:rPr>
          <w:rFonts w:ascii="Times New Roman" w:hAnsi="Times New Roman" w:cs="Times New Roman"/>
        </w:rPr>
        <w:t xml:space="preserve"> and employment announcements</w:t>
      </w:r>
      <w:r>
        <w:rPr>
          <w:rFonts w:ascii="Times New Roman" w:hAnsi="Times New Roman" w:cs="Times New Roman"/>
        </w:rPr>
        <w:t xml:space="preserve"> on the volatility of the bond market is highlighted by Jones, Lamont and Lumsdaine (1998).</w:t>
      </w:r>
      <w:r w:rsidR="00945302">
        <w:rPr>
          <w:rFonts w:ascii="Times New Roman" w:hAnsi="Times New Roman" w:cs="Times New Roman"/>
        </w:rPr>
        <w:t xml:space="preserve"> Ang and Piazzesi (2003) discovered that GDP data surprises affect bond prices for all maturities and has an impact on both the level and the shape of the bond yield curve. </w:t>
      </w:r>
      <w:r w:rsidR="00945302" w:rsidRPr="00945302">
        <w:rPr>
          <w:rFonts w:ascii="Times New Roman" w:hAnsi="Times New Roman" w:cs="Times New Roman"/>
        </w:rPr>
        <w:t>This supports the hypothesis that real economy indicators affect bond prices.</w:t>
      </w:r>
    </w:p>
    <w:p w:rsidR="005A06CB" w:rsidRDefault="005A06CB" w:rsidP="00191CBB">
      <w:pPr>
        <w:spacing w:after="0" w:line="360" w:lineRule="auto"/>
        <w:ind w:firstLine="720"/>
        <w:jc w:val="both"/>
        <w:rPr>
          <w:rFonts w:ascii="Times New Roman" w:hAnsi="Times New Roman" w:cs="Times New Roman"/>
        </w:rPr>
      </w:pPr>
      <w:r>
        <w:rPr>
          <w:rFonts w:ascii="Times New Roman" w:hAnsi="Times New Roman" w:cs="Times New Roman"/>
        </w:rPr>
        <w:t>The gross domestic product which tracks the dynamics of the economy displays recurrent movements across the year. Ogden (2003) documents</w:t>
      </w:r>
      <w:r w:rsidRPr="00DE4AF2">
        <w:rPr>
          <w:rFonts w:ascii="Times New Roman" w:hAnsi="Times New Roman" w:cs="Times New Roman"/>
        </w:rPr>
        <w:t xml:space="preserve"> </w:t>
      </w:r>
      <w:r>
        <w:rPr>
          <w:rFonts w:ascii="Times New Roman" w:hAnsi="Times New Roman" w:cs="Times New Roman"/>
        </w:rPr>
        <w:t>such an annual cycle for the</w:t>
      </w:r>
      <w:r w:rsidRPr="00DE4AF2">
        <w:rPr>
          <w:rFonts w:ascii="Times New Roman" w:hAnsi="Times New Roman" w:cs="Times New Roman"/>
        </w:rPr>
        <w:t xml:space="preserve"> US economy. Accordingly, the peak of investment and industrial production growth is recorded at mid-year, while personal consumption growth attains its maximum in October-December</w:t>
      </w:r>
      <w:r>
        <w:rPr>
          <w:rFonts w:ascii="Times New Roman" w:hAnsi="Times New Roman" w:cs="Times New Roman"/>
        </w:rPr>
        <w:t xml:space="preserve">, probably caused by the holiday season. </w:t>
      </w:r>
      <w:r w:rsidR="005333D1" w:rsidRPr="005333D1">
        <w:rPr>
          <w:rFonts w:ascii="Times New Roman" w:hAnsi="Times New Roman" w:cs="Times New Roman"/>
        </w:rPr>
        <w:t>However, Ogden (2003)’s analysis is different from the one considered in this paper. I am focusing on the contemporaneous relationship, while h</w:t>
      </w:r>
      <w:r w:rsidR="005333D1">
        <w:rPr>
          <w:rFonts w:ascii="Times New Roman" w:hAnsi="Times New Roman" w:cs="Times New Roman"/>
        </w:rPr>
        <w:t xml:space="preserve">e investigates the predictive power of stock market returns for macroeconomic conditions (the link between stock returns and the macroeconomic indicators for the subsequent six months).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lastRenderedPageBreak/>
        <w:t xml:space="preserve">Unemployment rate also displays seasonality due to temporary fluctuation in employment in different sectors of the economy. Cook and Korn (1991) and Krueger and </w:t>
      </w:r>
      <w:r w:rsidRPr="006F56BF">
        <w:rPr>
          <w:rFonts w:ascii="Times New Roman" w:hAnsi="Times New Roman" w:cs="Times New Roman"/>
        </w:rPr>
        <w:t xml:space="preserve">Fortson </w:t>
      </w:r>
      <w:r>
        <w:rPr>
          <w:rFonts w:ascii="Times New Roman" w:hAnsi="Times New Roman" w:cs="Times New Roman"/>
        </w:rPr>
        <w:t xml:space="preserve">(2003) underline the importance of employment data for US bond market (nonfarm payrolls report) starting with 1980. </w:t>
      </w:r>
      <w:r w:rsidRPr="00813593">
        <w:rPr>
          <w:rFonts w:ascii="Times New Roman" w:hAnsi="Times New Roman" w:cs="Times New Roman"/>
        </w:rPr>
        <w:t>The choice of the indicators is reinforced by the conclusion of Fleming and Remolona (1999) that labour and inflation data trigger a reaction on US bond market.</w:t>
      </w:r>
      <w:r>
        <w:rPr>
          <w:rFonts w:ascii="Times New Roman" w:hAnsi="Times New Roman" w:cs="Times New Roman"/>
        </w:rPr>
        <w:t xml:space="preserve">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Industrial production is a business cycle indicator which is taken into consideration for forecasting GDP dynamics (given that it is available at a higher frequency) and for monetary policy decisions</w:t>
      </w:r>
      <w:r>
        <w:rPr>
          <w:rStyle w:val="FootnoteReference"/>
          <w:rFonts w:ascii="Times New Roman" w:hAnsi="Times New Roman" w:cs="Times New Roman"/>
        </w:rPr>
        <w:footnoteReference w:id="50"/>
      </w:r>
      <w:r>
        <w:rPr>
          <w:rFonts w:ascii="Times New Roman" w:hAnsi="Times New Roman" w:cs="Times New Roman"/>
        </w:rPr>
        <w:t>. For GDP and industrial production, I use volume indices which capture the changes in economic and industrial output respectively after adjusting for the price fluctuations.</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expectation is that there is a negative relationship between economic growth rates and bond returns as good economic performance is consistent with rising interest rates. Given that industrial output is a component of the GDP, a negative sign is also expected for the coefficient which captures the impact of industrial production growth on bond returns.</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Inversely, the unemployment rate is positively correlated with the bond returns. A higher unemployment rate is consistent with poor economic conditions and decreasing interest rates in an attempt of central banks to stimulate the economy with loose monetary policy. A lower discount rate results in higher bond prices and thus higher returns. Thus, a positive coefficient is expected from the regression.</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I will apply the same methodology as I have used for the inflation rate. I will first look at the seasonal pattern in indicators and then analyse whether they can explain the seasonality of bond returns. The results of these analyses are based on </w:t>
      </w:r>
      <w:r w:rsidRPr="00DB60A9">
        <w:rPr>
          <w:rFonts w:ascii="Times New Roman" w:hAnsi="Times New Roman" w:cs="Times New Roman"/>
        </w:rPr>
        <w:t>JP Morgan total return ind</w:t>
      </w:r>
      <w:r>
        <w:rPr>
          <w:rFonts w:ascii="Times New Roman" w:hAnsi="Times New Roman" w:cs="Times New Roman"/>
        </w:rPr>
        <w:t>ices</w:t>
      </w:r>
      <w:r w:rsidRPr="00DB60A9">
        <w:rPr>
          <w:rFonts w:ascii="Times New Roman" w:hAnsi="Times New Roman" w:cs="Times New Roman"/>
        </w:rPr>
        <w:t xml:space="preserve"> for the period </w:t>
      </w:r>
      <w:r>
        <w:rPr>
          <w:rFonts w:ascii="Times New Roman" w:hAnsi="Times New Roman" w:cs="Times New Roman"/>
        </w:rPr>
        <w:t xml:space="preserve">January </w:t>
      </w:r>
      <w:r w:rsidRPr="00737786">
        <w:rPr>
          <w:rFonts w:ascii="Times New Roman" w:hAnsi="Times New Roman" w:cs="Times New Roman"/>
        </w:rPr>
        <w:t>1986</w:t>
      </w:r>
      <w:r>
        <w:rPr>
          <w:rFonts w:ascii="Times New Roman" w:hAnsi="Times New Roman" w:cs="Times New Roman"/>
        </w:rPr>
        <w:t xml:space="preserve"> – December </w:t>
      </w:r>
      <w:r w:rsidRPr="00737786">
        <w:rPr>
          <w:rFonts w:ascii="Times New Roman" w:hAnsi="Times New Roman" w:cs="Times New Roman"/>
        </w:rPr>
        <w:t>2013</w:t>
      </w:r>
      <w:r w:rsidRPr="00DB60A9">
        <w:rPr>
          <w:rFonts w:ascii="Times New Roman" w:hAnsi="Times New Roman" w:cs="Times New Roman"/>
        </w:rPr>
        <w:t xml:space="preserve"> extracted from Bloomberg. The data</w:t>
      </w:r>
      <w:r>
        <w:rPr>
          <w:rFonts w:ascii="Times New Roman" w:hAnsi="Times New Roman" w:cs="Times New Roman"/>
        </w:rPr>
        <w:t xml:space="preserve"> set is extended for another eleven</w:t>
      </w:r>
      <w:r w:rsidRPr="00DB60A9">
        <w:rPr>
          <w:rFonts w:ascii="Times New Roman" w:hAnsi="Times New Roman" w:cs="Times New Roman"/>
        </w:rPr>
        <w:t xml:space="preserve"> years in the past, considering Thompson Financial Datastream source for January 1980 – December 1985 and a broker for January 1975 – December 1979.</w:t>
      </w:r>
      <w:r>
        <w:rPr>
          <w:rFonts w:ascii="Times New Roman" w:hAnsi="Times New Roman" w:cs="Times New Roman"/>
        </w:rPr>
        <w:t xml:space="preserve"> While the key results of the paper are based on public data (Datastream), here I use an extended sample as it is interesting to investigate the ‘70s given accentuated volatility during that period</w:t>
      </w:r>
      <w:r>
        <w:rPr>
          <w:rStyle w:val="FootnoteReference"/>
          <w:rFonts w:ascii="Times New Roman" w:hAnsi="Times New Roman" w:cs="Times New Roman"/>
        </w:rPr>
        <w:footnoteReference w:id="51"/>
      </w:r>
      <w:r>
        <w:rPr>
          <w:rFonts w:ascii="Times New Roman" w:hAnsi="Times New Roman" w:cs="Times New Roman"/>
        </w:rPr>
        <w:t xml:space="preserve">.  </w:t>
      </w:r>
    </w:p>
    <w:p w:rsidR="005A06CB" w:rsidRDefault="005A06CB" w:rsidP="005A06CB">
      <w:pPr>
        <w:spacing w:after="0" w:line="360" w:lineRule="auto"/>
        <w:ind w:firstLine="720"/>
        <w:jc w:val="both"/>
        <w:rPr>
          <w:rFonts w:ascii="Times New Roman" w:hAnsi="Times New Roman" w:cs="Times New Roman"/>
        </w:rPr>
      </w:pPr>
    </w:p>
    <w:p w:rsidR="005A06CB" w:rsidRDefault="002F62E3" w:rsidP="002F62E3">
      <w:pPr>
        <w:spacing w:after="120" w:line="360" w:lineRule="auto"/>
        <w:jc w:val="center"/>
        <w:rPr>
          <w:rFonts w:ascii="Times New Roman" w:hAnsi="Times New Roman" w:cs="Times New Roman"/>
        </w:rPr>
      </w:pPr>
      <w:r>
        <w:rPr>
          <w:rFonts w:ascii="Times New Roman" w:hAnsi="Times New Roman" w:cs="Times New Roman"/>
        </w:rPr>
        <w:t>Table 4.21</w:t>
      </w:r>
      <w:r w:rsidR="00107E73">
        <w:rPr>
          <w:rFonts w:ascii="Times New Roman" w:hAnsi="Times New Roman" w:cs="Times New Roman"/>
        </w:rPr>
        <w:t>: Seasonality in Economic I</w:t>
      </w:r>
      <w:r w:rsidR="005A06CB">
        <w:rPr>
          <w:rFonts w:ascii="Times New Roman" w:hAnsi="Times New Roman" w:cs="Times New Roman"/>
        </w:rPr>
        <w:t>ndicators</w:t>
      </w:r>
    </w:p>
    <w:tbl>
      <w:tblPr>
        <w:tblW w:w="6900" w:type="dxa"/>
        <w:jc w:val="center"/>
        <w:tblInd w:w="93" w:type="dxa"/>
        <w:tblLook w:val="04A0"/>
      </w:tblPr>
      <w:tblGrid>
        <w:gridCol w:w="1880"/>
        <w:gridCol w:w="1320"/>
        <w:gridCol w:w="2100"/>
        <w:gridCol w:w="1600"/>
      </w:tblGrid>
      <w:tr w:rsidR="005A06CB" w:rsidRPr="00AF2589" w:rsidTr="00D0485F">
        <w:trPr>
          <w:trHeight w:val="240"/>
          <w:jc w:val="center"/>
        </w:trPr>
        <w:tc>
          <w:tcPr>
            <w:tcW w:w="1880" w:type="dxa"/>
            <w:vMerge w:val="restart"/>
            <w:tcBorders>
              <w:top w:val="single" w:sz="4" w:space="0" w:color="auto"/>
              <w:left w:val="nil"/>
              <w:bottom w:val="nil"/>
              <w:right w:val="nil"/>
            </w:tcBorders>
            <w:shd w:val="clear" w:color="auto" w:fill="auto"/>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H1 H2 Effect</w:t>
            </w:r>
          </w:p>
        </w:tc>
        <w:tc>
          <w:tcPr>
            <w:tcW w:w="1320" w:type="dxa"/>
            <w:vMerge w:val="restart"/>
            <w:tcBorders>
              <w:top w:val="single" w:sz="4" w:space="0" w:color="auto"/>
              <w:left w:val="nil"/>
              <w:bottom w:val="single" w:sz="4" w:space="0" w:color="000000"/>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 xml:space="preserve">GDP </w:t>
            </w:r>
          </w:p>
        </w:tc>
        <w:tc>
          <w:tcPr>
            <w:tcW w:w="2100" w:type="dxa"/>
            <w:vMerge w:val="restart"/>
            <w:tcBorders>
              <w:top w:val="single" w:sz="4" w:space="0" w:color="auto"/>
              <w:left w:val="nil"/>
              <w:bottom w:val="single" w:sz="4" w:space="0" w:color="000000"/>
              <w:right w:val="nil"/>
            </w:tcBorders>
            <w:shd w:val="clear" w:color="auto" w:fill="auto"/>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Change in Unemployment Rate</w:t>
            </w:r>
          </w:p>
        </w:tc>
        <w:tc>
          <w:tcPr>
            <w:tcW w:w="1600" w:type="dxa"/>
            <w:vMerge w:val="restart"/>
            <w:tcBorders>
              <w:top w:val="single" w:sz="4" w:space="0" w:color="auto"/>
              <w:left w:val="nil"/>
              <w:bottom w:val="single" w:sz="4" w:space="0" w:color="000000"/>
              <w:right w:val="nil"/>
            </w:tcBorders>
            <w:shd w:val="clear" w:color="auto" w:fill="auto"/>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 xml:space="preserve">Industrial Production </w:t>
            </w:r>
          </w:p>
        </w:tc>
      </w:tr>
      <w:tr w:rsidR="005A06CB" w:rsidRPr="00AF2589" w:rsidTr="00D0485F">
        <w:trPr>
          <w:trHeight w:val="240"/>
          <w:jc w:val="center"/>
        </w:trPr>
        <w:tc>
          <w:tcPr>
            <w:tcW w:w="1880" w:type="dxa"/>
            <w:vMerge/>
            <w:tcBorders>
              <w:top w:val="single" w:sz="4" w:space="0" w:color="auto"/>
              <w:left w:val="nil"/>
              <w:bottom w:val="nil"/>
              <w:right w:val="nil"/>
            </w:tcBorders>
            <w:vAlign w:val="center"/>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p>
        </w:tc>
        <w:tc>
          <w:tcPr>
            <w:tcW w:w="1320" w:type="dxa"/>
            <w:vMerge/>
            <w:tcBorders>
              <w:top w:val="single" w:sz="4" w:space="0" w:color="auto"/>
              <w:left w:val="nil"/>
              <w:bottom w:val="single" w:sz="4" w:space="0" w:color="000000"/>
              <w:right w:val="nil"/>
            </w:tcBorders>
            <w:vAlign w:val="center"/>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p>
        </w:tc>
        <w:tc>
          <w:tcPr>
            <w:tcW w:w="2100" w:type="dxa"/>
            <w:vMerge/>
            <w:tcBorders>
              <w:top w:val="single" w:sz="4" w:space="0" w:color="auto"/>
              <w:left w:val="nil"/>
              <w:bottom w:val="single" w:sz="4" w:space="0" w:color="000000"/>
              <w:right w:val="nil"/>
            </w:tcBorders>
            <w:vAlign w:val="center"/>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p>
        </w:tc>
        <w:tc>
          <w:tcPr>
            <w:tcW w:w="1600" w:type="dxa"/>
            <w:vMerge/>
            <w:tcBorders>
              <w:top w:val="single" w:sz="4" w:space="0" w:color="auto"/>
              <w:left w:val="nil"/>
              <w:bottom w:val="single" w:sz="4" w:space="0" w:color="000000"/>
              <w:right w:val="nil"/>
            </w:tcBorders>
            <w:vAlign w:val="center"/>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p>
        </w:tc>
      </w:tr>
      <w:tr w:rsidR="005A06CB" w:rsidRPr="00AF2589" w:rsidTr="00D0485F">
        <w:trPr>
          <w:trHeight w:val="225"/>
          <w:jc w:val="center"/>
        </w:trPr>
        <w:tc>
          <w:tcPr>
            <w:tcW w:w="3200" w:type="dxa"/>
            <w:gridSpan w:val="2"/>
            <w:tcBorders>
              <w:top w:val="single" w:sz="4" w:space="0" w:color="auto"/>
              <w:left w:val="nil"/>
              <w:bottom w:val="single" w:sz="4" w:space="0" w:color="auto"/>
              <w:right w:val="nil"/>
            </w:tcBorders>
            <w:shd w:val="clear" w:color="auto" w:fill="auto"/>
            <w:vAlign w:val="center"/>
            <w:hideMark/>
          </w:tcPr>
          <w:p w:rsidR="005A06CB" w:rsidRPr="00AF2589" w:rsidRDefault="005A06CB" w:rsidP="00D0485F">
            <w:pPr>
              <w:spacing w:after="0" w:line="240" w:lineRule="auto"/>
              <w:rPr>
                <w:rFonts w:ascii="Times New Roman" w:eastAsia="Times New Roman" w:hAnsi="Times New Roman" w:cs="Times New Roman"/>
                <w:i/>
                <w:iCs/>
                <w:color w:val="291C00"/>
                <w:sz w:val="20"/>
                <w:szCs w:val="20"/>
              </w:rPr>
            </w:pPr>
            <w:r w:rsidRPr="00AF2589">
              <w:rPr>
                <w:rFonts w:ascii="Times New Roman" w:eastAsia="Times New Roman" w:hAnsi="Times New Roman" w:cs="Times New Roman"/>
                <w:i/>
                <w:iCs/>
                <w:color w:val="291C00"/>
                <w:sz w:val="20"/>
                <w:szCs w:val="20"/>
              </w:rPr>
              <w:t>Quarterly frequency</w:t>
            </w:r>
          </w:p>
        </w:tc>
        <w:tc>
          <w:tcPr>
            <w:tcW w:w="2100" w:type="dxa"/>
            <w:tcBorders>
              <w:top w:val="nil"/>
              <w:left w:val="nil"/>
              <w:bottom w:val="single" w:sz="4" w:space="0" w:color="auto"/>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 </w:t>
            </w:r>
          </w:p>
        </w:tc>
        <w:tc>
          <w:tcPr>
            <w:tcW w:w="1600" w:type="dxa"/>
            <w:tcBorders>
              <w:top w:val="nil"/>
              <w:left w:val="nil"/>
              <w:bottom w:val="single" w:sz="4" w:space="0" w:color="auto"/>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 </w:t>
            </w:r>
          </w:p>
        </w:tc>
      </w:tr>
      <w:tr w:rsidR="005A06CB" w:rsidRPr="00AF2589"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Australia</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13.10</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-4.27</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6.64</w:t>
            </w:r>
          </w:p>
        </w:tc>
      </w:tr>
      <w:tr w:rsidR="005A06CB" w:rsidRPr="00AF2589" w:rsidTr="00D0485F">
        <w:trPr>
          <w:trHeight w:val="255"/>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Canada</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6.62</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-7.26</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AF2589"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Germany</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6.34</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-1.04</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3.69</w:t>
            </w:r>
          </w:p>
        </w:tc>
      </w:tr>
      <w:tr w:rsidR="005A06CB" w:rsidRPr="00AF2589" w:rsidTr="00D0485F">
        <w:trPr>
          <w:trHeight w:val="255"/>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lastRenderedPageBreak/>
              <w:t>Japan</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12.56</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-6.19</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00A2BD"/>
                <w:sz w:val="20"/>
                <w:szCs w:val="20"/>
              </w:rPr>
            </w:pPr>
            <w:r w:rsidRPr="002F62E3">
              <w:rPr>
                <w:rFonts w:ascii="Times New Roman" w:eastAsia="Times New Roman" w:hAnsi="Times New Roman" w:cs="Times New Roman"/>
                <w:color w:val="4F81BD"/>
                <w:sz w:val="20"/>
                <w:szCs w:val="20"/>
              </w:rPr>
              <w:t>-1.68</w:t>
            </w:r>
          </w:p>
        </w:tc>
      </w:tr>
      <w:tr w:rsidR="005A06CB" w:rsidRPr="00AF2589"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United Kingdom</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21.71</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-0.44</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9.95</w:t>
            </w:r>
          </w:p>
        </w:tc>
      </w:tr>
      <w:tr w:rsidR="005A06CB" w:rsidRPr="00AF2589"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United States</w:t>
            </w:r>
          </w:p>
        </w:tc>
        <w:tc>
          <w:tcPr>
            <w:tcW w:w="132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0.38</w:t>
            </w:r>
          </w:p>
        </w:tc>
        <w:tc>
          <w:tcPr>
            <w:tcW w:w="21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-4.30</w:t>
            </w:r>
          </w:p>
        </w:tc>
        <w:tc>
          <w:tcPr>
            <w:tcW w:w="1600" w:type="dxa"/>
            <w:tcBorders>
              <w:top w:val="nil"/>
              <w:left w:val="nil"/>
              <w:bottom w:val="nil"/>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0.98</w:t>
            </w:r>
          </w:p>
        </w:tc>
      </w:tr>
      <w:tr w:rsidR="005A06CB" w:rsidRPr="00AF2589" w:rsidTr="00D0485F">
        <w:trPr>
          <w:trHeight w:val="225"/>
          <w:jc w:val="center"/>
        </w:trPr>
        <w:tc>
          <w:tcPr>
            <w:tcW w:w="1880" w:type="dxa"/>
            <w:tcBorders>
              <w:top w:val="nil"/>
              <w:left w:val="nil"/>
              <w:bottom w:val="single" w:sz="4" w:space="0" w:color="auto"/>
              <w:right w:val="nil"/>
            </w:tcBorders>
            <w:shd w:val="clear" w:color="auto" w:fill="auto"/>
            <w:noWrap/>
            <w:vAlign w:val="bottom"/>
            <w:hideMark/>
          </w:tcPr>
          <w:p w:rsidR="005A06CB" w:rsidRPr="00AF2589" w:rsidRDefault="005A06CB" w:rsidP="00D0485F">
            <w:pPr>
              <w:spacing w:after="0" w:line="240" w:lineRule="auto"/>
              <w:rPr>
                <w:rFonts w:ascii="Times New Roman" w:eastAsia="Times New Roman" w:hAnsi="Times New Roman" w:cs="Times New Roman"/>
                <w:color w:val="291C00"/>
                <w:sz w:val="20"/>
                <w:szCs w:val="20"/>
              </w:rPr>
            </w:pPr>
            <w:r w:rsidRPr="00AF2589">
              <w:rPr>
                <w:rFonts w:ascii="Times New Roman" w:eastAsia="Times New Roman" w:hAnsi="Times New Roman" w:cs="Times New Roman"/>
                <w:color w:val="291C00"/>
                <w:sz w:val="20"/>
                <w:szCs w:val="20"/>
              </w:rPr>
              <w:t>Developed (6)</w:t>
            </w:r>
          </w:p>
        </w:tc>
        <w:tc>
          <w:tcPr>
            <w:tcW w:w="1320" w:type="dxa"/>
            <w:tcBorders>
              <w:top w:val="nil"/>
              <w:left w:val="nil"/>
              <w:bottom w:val="single" w:sz="4" w:space="0" w:color="auto"/>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14.56</w:t>
            </w:r>
          </w:p>
        </w:tc>
        <w:tc>
          <w:tcPr>
            <w:tcW w:w="2100" w:type="dxa"/>
            <w:tcBorders>
              <w:top w:val="nil"/>
              <w:left w:val="nil"/>
              <w:bottom w:val="single" w:sz="4" w:space="0" w:color="auto"/>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-5.40</w:t>
            </w:r>
          </w:p>
        </w:tc>
        <w:tc>
          <w:tcPr>
            <w:tcW w:w="1600" w:type="dxa"/>
            <w:tcBorders>
              <w:top w:val="nil"/>
              <w:left w:val="nil"/>
              <w:bottom w:val="single" w:sz="4" w:space="0" w:color="auto"/>
              <w:right w:val="nil"/>
            </w:tcBorders>
            <w:shd w:val="clear" w:color="auto" w:fill="auto"/>
            <w:noWrap/>
            <w:vAlign w:val="center"/>
            <w:hideMark/>
          </w:tcPr>
          <w:p w:rsidR="005A06CB" w:rsidRPr="00AF2589" w:rsidRDefault="005A06CB" w:rsidP="00D0485F">
            <w:pPr>
              <w:spacing w:after="0" w:line="240" w:lineRule="auto"/>
              <w:jc w:val="center"/>
              <w:rPr>
                <w:rFonts w:ascii="Times New Roman" w:eastAsia="Times New Roman" w:hAnsi="Times New Roman" w:cs="Times New Roman"/>
                <w:b/>
                <w:bCs/>
                <w:color w:val="291C00"/>
                <w:sz w:val="20"/>
                <w:szCs w:val="20"/>
              </w:rPr>
            </w:pPr>
            <w:r w:rsidRPr="00AF2589">
              <w:rPr>
                <w:rFonts w:ascii="Times New Roman" w:eastAsia="Times New Roman" w:hAnsi="Times New Roman" w:cs="Times New Roman"/>
                <w:b/>
                <w:bCs/>
                <w:color w:val="291C00"/>
                <w:sz w:val="20"/>
                <w:szCs w:val="20"/>
              </w:rPr>
              <w:t>7.62</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are </w:t>
      </w:r>
      <w:r>
        <w:rPr>
          <w:rFonts w:ascii="Times New Roman" w:hAnsi="Times New Roman" w:cs="Times New Roman"/>
          <w:sz w:val="18"/>
          <w:szCs w:val="18"/>
        </w:rPr>
        <w:t>non-seasonally adjusted real GDP QoQ growth rates (left panel), the change in non-seasonally adjusted unemployment rates (middle panel) and industrial output</w:t>
      </w:r>
      <w:r w:rsidR="00191CBB">
        <w:rPr>
          <w:rFonts w:ascii="Times New Roman" w:hAnsi="Times New Roman" w:cs="Times New Roman"/>
          <w:sz w:val="18"/>
          <w:szCs w:val="18"/>
        </w:rPr>
        <w:t xml:space="preserve"> QoQ growth</w:t>
      </w:r>
      <w:r>
        <w:rPr>
          <w:rFonts w:ascii="Times New Roman" w:hAnsi="Times New Roman" w:cs="Times New Roman"/>
          <w:sz w:val="18"/>
          <w:szCs w:val="18"/>
        </w:rPr>
        <w:t xml:space="preserve"> (right panel) at quarterly frequency</w:t>
      </w:r>
      <w:r w:rsidRPr="001221C6">
        <w:rPr>
          <w:rFonts w:ascii="Times New Roman" w:hAnsi="Times New Roman" w:cs="Times New Roman"/>
          <w:sz w:val="18"/>
          <w:szCs w:val="18"/>
        </w:rPr>
        <w:t xml:space="preserve">. </w:t>
      </w:r>
      <w:r>
        <w:rPr>
          <w:rFonts w:ascii="Times New Roman" w:hAnsi="Times New Roman" w:cs="Times New Roman"/>
          <w:sz w:val="18"/>
          <w:szCs w:val="18"/>
        </w:rPr>
        <w:t>The unemployment rates are constructed as the 3-month average of monthly rates. Details about the data and the sampl</w:t>
      </w:r>
      <w:r w:rsidR="00BA6A04">
        <w:rPr>
          <w:rFonts w:ascii="Times New Roman" w:hAnsi="Times New Roman" w:cs="Times New Roman"/>
          <w:sz w:val="18"/>
          <w:szCs w:val="18"/>
        </w:rPr>
        <w:t>e period can be found in Table A.9, A.10 and A.11 in the Appendix A</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X </w:t>
      </w:r>
      <w:r>
        <w:rPr>
          <w:rFonts w:ascii="Times New Roman" w:hAnsi="Times New Roman" w:cs="Times New Roman"/>
          <w:sz w:val="18"/>
          <w:szCs w:val="18"/>
        </w:rPr>
        <w:t xml:space="preserve">is the dummy variable to capture the </w:t>
      </w:r>
      <w:r w:rsidRPr="001221C6">
        <w:rPr>
          <w:rFonts w:ascii="Times New Roman" w:hAnsi="Times New Roman" w:cs="Times New Roman"/>
          <w:sz w:val="18"/>
          <w:szCs w:val="18"/>
        </w:rPr>
        <w:t>H1 H2</w:t>
      </w:r>
      <w:r>
        <w:rPr>
          <w:rFonts w:ascii="Times New Roman" w:hAnsi="Times New Roman" w:cs="Times New Roman"/>
          <w:sz w:val="18"/>
          <w:szCs w:val="18"/>
        </w:rPr>
        <w:t xml:space="preserve"> effect which </w:t>
      </w:r>
      <w:r w:rsidRPr="001221C6">
        <w:rPr>
          <w:rFonts w:ascii="Times New Roman" w:hAnsi="Times New Roman" w:cs="Times New Roman"/>
          <w:sz w:val="18"/>
          <w:szCs w:val="18"/>
        </w:rPr>
        <w:t xml:space="preserve">takes on the value of 1 for </w:t>
      </w:r>
      <w:r w:rsidR="00BA6A04">
        <w:rPr>
          <w:rFonts w:ascii="Times New Roman" w:hAnsi="Times New Roman" w:cs="Times New Roman"/>
          <w:sz w:val="18"/>
          <w:szCs w:val="18"/>
        </w:rPr>
        <w:t xml:space="preserve">Q3 and Q4 </w:t>
      </w:r>
      <w:r w:rsidRPr="001221C6">
        <w:rPr>
          <w:rFonts w:ascii="Times New Roman" w:hAnsi="Times New Roman" w:cs="Times New Roman"/>
          <w:sz w:val="18"/>
          <w:szCs w:val="18"/>
        </w:rPr>
        <w:t>and 0 otherwise.</w:t>
      </w:r>
      <w:r>
        <w:rPr>
          <w:rFonts w:ascii="Times New Roman" w:hAnsi="Times New Roman" w:cs="Times New Roman"/>
          <w:sz w:val="18"/>
          <w:szCs w:val="18"/>
        </w:rPr>
        <w:t xml:space="preserve"> </w:t>
      </w:r>
      <w:r w:rsidR="00BA6A04" w:rsidRPr="00BA6A04">
        <w:rPr>
          <w:rFonts w:ascii="Times New Roman" w:hAnsi="Times New Roman" w:cs="Times New Roman"/>
          <w:sz w:val="18"/>
          <w:szCs w:val="18"/>
        </w:rPr>
        <w:t>The Developed portfolio is based on equally-weighting the six countries provid</w:t>
      </w:r>
      <w:r w:rsidR="00BA6A04">
        <w:rPr>
          <w:rFonts w:ascii="Times New Roman" w:hAnsi="Times New Roman" w:cs="Times New Roman"/>
          <w:sz w:val="18"/>
          <w:szCs w:val="18"/>
        </w:rPr>
        <w:t xml:space="preserve">ed data are available.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2F62E3">
        <w:rPr>
          <w:rFonts w:ascii="Times New Roman" w:eastAsia="Times New Roman" w:hAnsi="Times New Roman" w:cs="Times New Roman"/>
          <w:color w:val="4F81BD"/>
          <w:sz w:val="18"/>
          <w:szCs w:val="18"/>
        </w:rPr>
        <w:t xml:space="preserve">Blue </w:t>
      </w:r>
      <w:r w:rsidRPr="001221C6">
        <w:rPr>
          <w:rFonts w:ascii="Times New Roman" w:hAnsi="Times New Roman" w:cs="Times New Roman"/>
          <w:sz w:val="18"/>
          <w:szCs w:val="18"/>
        </w:rPr>
        <w:t>at 10% significance level.</w:t>
      </w:r>
    </w:p>
    <w:p w:rsidR="005A06CB" w:rsidRDefault="005A06CB" w:rsidP="005A06CB">
      <w:pPr>
        <w:spacing w:after="0" w:line="360" w:lineRule="auto"/>
        <w:ind w:firstLine="720"/>
        <w:jc w:val="center"/>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A look at the seasonal tests performed on gr</w:t>
      </w:r>
      <w:r w:rsidR="002F62E3">
        <w:rPr>
          <w:rFonts w:ascii="Times New Roman" w:hAnsi="Times New Roman" w:cs="Times New Roman"/>
        </w:rPr>
        <w:t>owth rates (displayed in Table 4.21</w:t>
      </w:r>
      <w:r>
        <w:rPr>
          <w:rFonts w:ascii="Times New Roman" w:hAnsi="Times New Roman" w:cs="Times New Roman"/>
        </w:rPr>
        <w:t xml:space="preserve">) shows that GDP QoQ rates are statistically significant higher in the second part of the year (with the exception of the US GDP). This is in line with the pattern observed on bond returns, but not in line with economic theory which suggests that high bond returns take place during poor economic conditions. This means that instead of removing the seasonal pattern, the GDP variable would exacerbate the seasonality pattern.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An inspection of the stationarity of the unemployment data using an ADF test indicates that the null hypothesis of the series containing a unit root cannot be rejected. Thus, the analysis will be based on the change in unemployment rate. The unemployment rate is available at a monthly frequency, so I use the three-month change consistent with the regressions on the inflation rate.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results of the sea</w:t>
      </w:r>
      <w:r w:rsidR="002F62E3">
        <w:rPr>
          <w:rFonts w:ascii="Times New Roman" w:hAnsi="Times New Roman" w:cs="Times New Roman"/>
        </w:rPr>
        <w:t>sonal tests displayed in Table 4.21</w:t>
      </w:r>
      <w:r>
        <w:rPr>
          <w:rFonts w:ascii="Times New Roman" w:hAnsi="Times New Roman" w:cs="Times New Roman"/>
        </w:rPr>
        <w:t xml:space="preserve"> show that with the exception of Germany and United Kingdom, the changes in unemployment rates display significant H1 H2 effect. The changes in unemployment rates are lower in the second half of the year, a pattern which is complementary with the one observed in bond returns.</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seasonal pattern of industrial production is not consistent and statistically significant across countries (different sign in case of Japan and not statistically significant for United Kingdom).</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w:t>
      </w:r>
      <w:r w:rsidR="002F62E3">
        <w:rPr>
          <w:rFonts w:ascii="Times New Roman" w:hAnsi="Times New Roman" w:cs="Times New Roman"/>
        </w:rPr>
        <w:t>e results centralized in Table 4.22</w:t>
      </w:r>
      <w:r>
        <w:rPr>
          <w:rFonts w:ascii="Times New Roman" w:hAnsi="Times New Roman" w:cs="Times New Roman"/>
        </w:rPr>
        <w:t xml:space="preserve"> show that the coefficients when regressing bond returns on each of the macroeconomic indicators (GDP growth, unemployment rate change and industrial production</w:t>
      </w:r>
      <w:r>
        <w:rPr>
          <w:rStyle w:val="FootnoteReference"/>
          <w:rFonts w:ascii="Times New Roman" w:hAnsi="Times New Roman" w:cs="Times New Roman"/>
        </w:rPr>
        <w:footnoteReference w:id="52"/>
      </w:r>
      <w:r>
        <w:rPr>
          <w:rFonts w:ascii="Times New Roman" w:hAnsi="Times New Roman" w:cs="Times New Roman"/>
        </w:rPr>
        <w:t>) are often not significant and carry mixed signs.  Thus, the hypothesis that the seas</w:t>
      </w:r>
      <w:r w:rsidR="00BA6A04">
        <w:rPr>
          <w:rFonts w:ascii="Times New Roman" w:hAnsi="Times New Roman" w:cs="Times New Roman"/>
        </w:rPr>
        <w:t>onal pattern in bond returns is</w:t>
      </w:r>
      <w:r>
        <w:rPr>
          <w:rFonts w:ascii="Times New Roman" w:hAnsi="Times New Roman" w:cs="Times New Roman"/>
        </w:rPr>
        <w:t xml:space="preserve"> explained by the cycle of the considered economic indicators is rejected. This suggests that the macroeconomic indicators are less important for government bonds than inflation. This is explained by the fact that changes in the inflation rate may trigger direct actions from central banks in order to stabilise inflation around the assumed target, while economic dynamics are envisaged, but the chance of a direct reaction from the central bank is lower as most central banks have a unique mandate to support a stable level of consumer prices.  </w:t>
      </w:r>
    </w:p>
    <w:p w:rsidR="005A06CB" w:rsidRDefault="005A06CB" w:rsidP="005A06CB">
      <w:pPr>
        <w:spacing w:after="0" w:line="360" w:lineRule="auto"/>
        <w:rPr>
          <w:rFonts w:ascii="Times New Roman" w:hAnsi="Times New Roman" w:cs="Times New Roman"/>
        </w:rPr>
      </w:pPr>
    </w:p>
    <w:p w:rsidR="005A06CB" w:rsidRDefault="002F62E3" w:rsidP="002F62E3">
      <w:pPr>
        <w:spacing w:after="120" w:line="360" w:lineRule="auto"/>
        <w:jc w:val="center"/>
        <w:rPr>
          <w:rFonts w:ascii="Times New Roman" w:hAnsi="Times New Roman" w:cs="Times New Roman"/>
        </w:rPr>
      </w:pPr>
      <w:r>
        <w:rPr>
          <w:rFonts w:ascii="Times New Roman" w:hAnsi="Times New Roman" w:cs="Times New Roman"/>
        </w:rPr>
        <w:t>Table 4.22</w:t>
      </w:r>
      <w:r w:rsidR="005A06CB">
        <w:rPr>
          <w:rFonts w:ascii="Times New Roman" w:hAnsi="Times New Roman" w:cs="Times New Roman"/>
        </w:rPr>
        <w:t xml:space="preserve">: </w:t>
      </w:r>
      <w:r w:rsidR="005A06CB" w:rsidRPr="00467C8E">
        <w:rPr>
          <w:rFonts w:ascii="Times New Roman" w:hAnsi="Times New Roman" w:cs="Times New Roman"/>
        </w:rPr>
        <w:t>The relationship be</w:t>
      </w:r>
      <w:r w:rsidR="00107E73">
        <w:rPr>
          <w:rFonts w:ascii="Times New Roman" w:hAnsi="Times New Roman" w:cs="Times New Roman"/>
        </w:rPr>
        <w:t>tween Bond Returns and Economic I</w:t>
      </w:r>
      <w:r w:rsidR="005A06CB">
        <w:rPr>
          <w:rFonts w:ascii="Times New Roman" w:hAnsi="Times New Roman" w:cs="Times New Roman"/>
        </w:rPr>
        <w:t>ndicators</w:t>
      </w:r>
    </w:p>
    <w:tbl>
      <w:tblPr>
        <w:tblW w:w="9060" w:type="dxa"/>
        <w:jc w:val="center"/>
        <w:tblInd w:w="93" w:type="dxa"/>
        <w:tblLook w:val="04A0"/>
      </w:tblPr>
      <w:tblGrid>
        <w:gridCol w:w="1880"/>
        <w:gridCol w:w="1080"/>
        <w:gridCol w:w="1080"/>
        <w:gridCol w:w="1431"/>
        <w:gridCol w:w="1169"/>
        <w:gridCol w:w="1332"/>
        <w:gridCol w:w="1088"/>
      </w:tblGrid>
      <w:tr w:rsidR="005A06CB" w:rsidRPr="00D2414D" w:rsidTr="00D0485F">
        <w:trPr>
          <w:trHeight w:val="270"/>
          <w:jc w:val="center"/>
        </w:trPr>
        <w:tc>
          <w:tcPr>
            <w:tcW w:w="1880" w:type="dxa"/>
            <w:vMerge w:val="restart"/>
            <w:tcBorders>
              <w:top w:val="single" w:sz="4" w:space="0" w:color="auto"/>
              <w:left w:val="nil"/>
              <w:bottom w:val="nil"/>
              <w:right w:val="nil"/>
            </w:tcBorders>
            <w:shd w:val="clear" w:color="auto" w:fill="auto"/>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Nominal Bond Excess Returns</w:t>
            </w:r>
          </w:p>
        </w:tc>
        <w:tc>
          <w:tcPr>
            <w:tcW w:w="2160" w:type="dxa"/>
            <w:gridSpan w:val="2"/>
            <w:tcBorders>
              <w:top w:val="single" w:sz="4" w:space="0" w:color="auto"/>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xml:space="preserve">GDP </w:t>
            </w:r>
          </w:p>
        </w:tc>
        <w:tc>
          <w:tcPr>
            <w:tcW w:w="2600" w:type="dxa"/>
            <w:gridSpan w:val="2"/>
            <w:tcBorders>
              <w:top w:val="single" w:sz="4" w:space="0" w:color="auto"/>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xml:space="preserve">Change in Unemployment Rate </w:t>
            </w:r>
          </w:p>
        </w:tc>
        <w:tc>
          <w:tcPr>
            <w:tcW w:w="2420" w:type="dxa"/>
            <w:gridSpan w:val="2"/>
            <w:tcBorders>
              <w:top w:val="single" w:sz="4" w:space="0" w:color="auto"/>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xml:space="preserve">Industrial Production </w:t>
            </w:r>
          </w:p>
        </w:tc>
      </w:tr>
      <w:tr w:rsidR="005A06CB" w:rsidRPr="00D2414D" w:rsidTr="00D0485F">
        <w:trPr>
          <w:trHeight w:val="240"/>
          <w:jc w:val="center"/>
        </w:trPr>
        <w:tc>
          <w:tcPr>
            <w:tcW w:w="1880" w:type="dxa"/>
            <w:vMerge/>
            <w:tcBorders>
              <w:top w:val="single" w:sz="4" w:space="0" w:color="auto"/>
              <w:left w:val="nil"/>
              <w:bottom w:val="nil"/>
              <w:right w:val="nil"/>
            </w:tcBorders>
            <w:vAlign w:val="center"/>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p>
        </w:tc>
        <w:tc>
          <w:tcPr>
            <w:tcW w:w="1080"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β</w:t>
            </w:r>
          </w:p>
        </w:tc>
        <w:tc>
          <w:tcPr>
            <w:tcW w:w="1080"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t-stat</w:t>
            </w:r>
          </w:p>
        </w:tc>
        <w:tc>
          <w:tcPr>
            <w:tcW w:w="1431"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β</w:t>
            </w:r>
          </w:p>
        </w:tc>
        <w:tc>
          <w:tcPr>
            <w:tcW w:w="1169"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t-stat</w:t>
            </w:r>
          </w:p>
        </w:tc>
        <w:tc>
          <w:tcPr>
            <w:tcW w:w="1332"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β</w:t>
            </w:r>
          </w:p>
        </w:tc>
        <w:tc>
          <w:tcPr>
            <w:tcW w:w="1088"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000000"/>
                <w:sz w:val="20"/>
                <w:szCs w:val="20"/>
              </w:rPr>
            </w:pPr>
            <w:r w:rsidRPr="00D2414D">
              <w:rPr>
                <w:rFonts w:ascii="Times New Roman" w:eastAsia="Times New Roman" w:hAnsi="Times New Roman" w:cs="Times New Roman"/>
                <w:color w:val="000000"/>
                <w:sz w:val="20"/>
                <w:szCs w:val="20"/>
              </w:rPr>
              <w:t>t-stat</w:t>
            </w:r>
          </w:p>
        </w:tc>
      </w:tr>
      <w:tr w:rsidR="005A06CB" w:rsidRPr="00D2414D" w:rsidTr="00D0485F">
        <w:trPr>
          <w:trHeight w:val="225"/>
          <w:jc w:val="center"/>
        </w:trPr>
        <w:tc>
          <w:tcPr>
            <w:tcW w:w="2960" w:type="dxa"/>
            <w:gridSpan w:val="2"/>
            <w:tcBorders>
              <w:top w:val="single" w:sz="4" w:space="0" w:color="auto"/>
              <w:left w:val="nil"/>
              <w:bottom w:val="single" w:sz="4" w:space="0" w:color="auto"/>
              <w:right w:val="nil"/>
            </w:tcBorders>
            <w:shd w:val="clear" w:color="auto" w:fill="auto"/>
            <w:vAlign w:val="center"/>
            <w:hideMark/>
          </w:tcPr>
          <w:p w:rsidR="005A06CB" w:rsidRPr="00D2414D" w:rsidRDefault="005A06CB" w:rsidP="00D0485F">
            <w:pPr>
              <w:spacing w:after="0" w:line="240" w:lineRule="auto"/>
              <w:rPr>
                <w:rFonts w:ascii="Times New Roman" w:eastAsia="Times New Roman" w:hAnsi="Times New Roman" w:cs="Times New Roman"/>
                <w:i/>
                <w:iCs/>
                <w:color w:val="291C00"/>
                <w:sz w:val="20"/>
                <w:szCs w:val="20"/>
              </w:rPr>
            </w:pPr>
            <w:r w:rsidRPr="00D2414D">
              <w:rPr>
                <w:rFonts w:ascii="Times New Roman" w:eastAsia="Times New Roman" w:hAnsi="Times New Roman" w:cs="Times New Roman"/>
                <w:i/>
                <w:iCs/>
                <w:color w:val="291C00"/>
                <w:sz w:val="20"/>
                <w:szCs w:val="20"/>
              </w:rPr>
              <w:t>National indicator</w:t>
            </w:r>
          </w:p>
        </w:tc>
        <w:tc>
          <w:tcPr>
            <w:tcW w:w="1080"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w:t>
            </w:r>
          </w:p>
        </w:tc>
        <w:tc>
          <w:tcPr>
            <w:tcW w:w="1431"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w:t>
            </w:r>
          </w:p>
        </w:tc>
        <w:tc>
          <w:tcPr>
            <w:tcW w:w="1169"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w:t>
            </w:r>
          </w:p>
        </w:tc>
        <w:tc>
          <w:tcPr>
            <w:tcW w:w="1332"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w:t>
            </w:r>
          </w:p>
        </w:tc>
        <w:tc>
          <w:tcPr>
            <w:tcW w:w="1088"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 </w:t>
            </w:r>
          </w:p>
        </w:tc>
      </w:tr>
      <w:tr w:rsidR="005A06CB" w:rsidRPr="00D2414D"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Australia</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0.064</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1.47</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-0.005</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-1.10</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0.073</w:t>
            </w: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1.39</w:t>
            </w:r>
          </w:p>
        </w:tc>
      </w:tr>
      <w:tr w:rsidR="005A06CB" w:rsidRPr="00D2414D" w:rsidTr="00D0485F">
        <w:trPr>
          <w:trHeight w:val="255"/>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Canada</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-0.088</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-0.75</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-0.002</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-0.33</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D2414D"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Germany</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-0.009</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-0.14</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0.002</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0.67</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-0.042</w:t>
            </w: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-0.93</w:t>
            </w:r>
          </w:p>
        </w:tc>
      </w:tr>
      <w:tr w:rsidR="005A06CB" w:rsidRPr="00D2414D" w:rsidTr="00D0485F">
        <w:trPr>
          <w:trHeight w:val="255"/>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Japan</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0.030</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0.67</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0.004</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0.52</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0.010</w:t>
            </w: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0.34</w:t>
            </w:r>
          </w:p>
        </w:tc>
      </w:tr>
      <w:tr w:rsidR="005A06CB" w:rsidRPr="00D2414D"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United Kingdom</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-0.081</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-0.64</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0.016</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b/>
                <w:bCs/>
                <w:color w:val="291C00"/>
                <w:sz w:val="20"/>
                <w:szCs w:val="20"/>
              </w:rPr>
            </w:pPr>
            <w:r w:rsidRPr="00D2414D">
              <w:rPr>
                <w:rFonts w:ascii="Times New Roman" w:eastAsia="Times New Roman" w:hAnsi="Times New Roman" w:cs="Times New Roman"/>
                <w:b/>
                <w:bCs/>
                <w:color w:val="291C00"/>
                <w:sz w:val="20"/>
                <w:szCs w:val="20"/>
              </w:rPr>
              <w:t>2.47</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0.113</w:t>
            </w: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b/>
                <w:bCs/>
                <w:color w:val="291C00"/>
                <w:sz w:val="20"/>
                <w:szCs w:val="20"/>
              </w:rPr>
            </w:pPr>
            <w:r w:rsidRPr="00D2414D">
              <w:rPr>
                <w:rFonts w:ascii="Times New Roman" w:eastAsia="Times New Roman" w:hAnsi="Times New Roman" w:cs="Times New Roman"/>
                <w:b/>
                <w:bCs/>
                <w:color w:val="291C00"/>
                <w:sz w:val="20"/>
                <w:szCs w:val="20"/>
              </w:rPr>
              <w:t>2.23</w:t>
            </w:r>
          </w:p>
        </w:tc>
      </w:tr>
      <w:tr w:rsidR="005A06CB" w:rsidRPr="00D2414D" w:rsidTr="00D0485F">
        <w:trPr>
          <w:trHeight w:val="240"/>
          <w:jc w:val="center"/>
        </w:trPr>
        <w:tc>
          <w:tcPr>
            <w:tcW w:w="1880" w:type="dxa"/>
            <w:tcBorders>
              <w:top w:val="nil"/>
              <w:left w:val="nil"/>
              <w:bottom w:val="nil"/>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United States</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-1.817</w:t>
            </w:r>
          </w:p>
        </w:tc>
        <w:tc>
          <w:tcPr>
            <w:tcW w:w="1080"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b/>
                <w:bCs/>
                <w:color w:val="291C00"/>
                <w:sz w:val="20"/>
                <w:szCs w:val="20"/>
              </w:rPr>
            </w:pPr>
            <w:r w:rsidRPr="00D2414D">
              <w:rPr>
                <w:rFonts w:ascii="Times New Roman" w:eastAsia="Times New Roman" w:hAnsi="Times New Roman" w:cs="Times New Roman"/>
                <w:b/>
                <w:bCs/>
                <w:color w:val="291C00"/>
                <w:sz w:val="20"/>
                <w:szCs w:val="20"/>
              </w:rPr>
              <w:t>-4.59</w:t>
            </w:r>
          </w:p>
        </w:tc>
        <w:tc>
          <w:tcPr>
            <w:tcW w:w="1431"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-0.002</w:t>
            </w:r>
          </w:p>
        </w:tc>
        <w:tc>
          <w:tcPr>
            <w:tcW w:w="1169"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-0.41</w:t>
            </w:r>
          </w:p>
        </w:tc>
        <w:tc>
          <w:tcPr>
            <w:tcW w:w="1332"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-0.616</w:t>
            </w:r>
          </w:p>
        </w:tc>
        <w:tc>
          <w:tcPr>
            <w:tcW w:w="1088" w:type="dxa"/>
            <w:tcBorders>
              <w:top w:val="nil"/>
              <w:left w:val="nil"/>
              <w:bottom w:val="nil"/>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b/>
                <w:bCs/>
                <w:color w:val="291C00"/>
                <w:sz w:val="20"/>
                <w:szCs w:val="20"/>
              </w:rPr>
            </w:pPr>
            <w:r w:rsidRPr="00D2414D">
              <w:rPr>
                <w:rFonts w:ascii="Times New Roman" w:eastAsia="Times New Roman" w:hAnsi="Times New Roman" w:cs="Times New Roman"/>
                <w:b/>
                <w:bCs/>
                <w:color w:val="291C00"/>
                <w:sz w:val="20"/>
                <w:szCs w:val="20"/>
              </w:rPr>
              <w:t>-2.31</w:t>
            </w:r>
          </w:p>
        </w:tc>
      </w:tr>
      <w:tr w:rsidR="005A06CB" w:rsidRPr="00D2414D" w:rsidTr="00D0485F">
        <w:trPr>
          <w:trHeight w:val="225"/>
          <w:jc w:val="center"/>
        </w:trPr>
        <w:tc>
          <w:tcPr>
            <w:tcW w:w="1880" w:type="dxa"/>
            <w:tcBorders>
              <w:top w:val="nil"/>
              <w:left w:val="nil"/>
              <w:bottom w:val="single" w:sz="4" w:space="0" w:color="auto"/>
              <w:right w:val="nil"/>
            </w:tcBorders>
            <w:shd w:val="clear" w:color="auto" w:fill="auto"/>
            <w:noWrap/>
            <w:vAlign w:val="bottom"/>
            <w:hideMark/>
          </w:tcPr>
          <w:p w:rsidR="005A06CB" w:rsidRPr="00D2414D" w:rsidRDefault="005A06CB" w:rsidP="00D0485F">
            <w:pPr>
              <w:spacing w:after="0" w:line="240" w:lineRule="auto"/>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Developed (6)</w:t>
            </w:r>
          </w:p>
        </w:tc>
        <w:tc>
          <w:tcPr>
            <w:tcW w:w="1080"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0.055</w:t>
            </w:r>
          </w:p>
        </w:tc>
        <w:tc>
          <w:tcPr>
            <w:tcW w:w="1080"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0.91</w:t>
            </w:r>
          </w:p>
        </w:tc>
        <w:tc>
          <w:tcPr>
            <w:tcW w:w="1431"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0.001</w:t>
            </w:r>
          </w:p>
        </w:tc>
        <w:tc>
          <w:tcPr>
            <w:tcW w:w="1169"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0.20</w:t>
            </w:r>
          </w:p>
        </w:tc>
        <w:tc>
          <w:tcPr>
            <w:tcW w:w="1332"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-0.129</w:t>
            </w:r>
          </w:p>
        </w:tc>
        <w:tc>
          <w:tcPr>
            <w:tcW w:w="1088" w:type="dxa"/>
            <w:tcBorders>
              <w:top w:val="nil"/>
              <w:left w:val="nil"/>
              <w:bottom w:val="single" w:sz="4" w:space="0" w:color="auto"/>
              <w:right w:val="nil"/>
            </w:tcBorders>
            <w:shd w:val="clear" w:color="auto" w:fill="auto"/>
            <w:noWrap/>
            <w:vAlign w:val="center"/>
            <w:hideMark/>
          </w:tcPr>
          <w:p w:rsidR="005A06CB" w:rsidRPr="00D2414D" w:rsidRDefault="005A06CB" w:rsidP="00D0485F">
            <w:pPr>
              <w:spacing w:after="0" w:line="240" w:lineRule="auto"/>
              <w:jc w:val="center"/>
              <w:rPr>
                <w:rFonts w:ascii="Times New Roman" w:eastAsia="Times New Roman" w:hAnsi="Times New Roman" w:cs="Times New Roman"/>
                <w:color w:val="291C00"/>
                <w:sz w:val="20"/>
                <w:szCs w:val="20"/>
              </w:rPr>
            </w:pPr>
            <w:r w:rsidRPr="00D2414D">
              <w:rPr>
                <w:rFonts w:ascii="Times New Roman" w:eastAsia="Times New Roman" w:hAnsi="Times New Roman" w:cs="Times New Roman"/>
                <w:color w:val="291C00"/>
                <w:sz w:val="20"/>
                <w:szCs w:val="20"/>
              </w:rPr>
              <w:t>-1.12</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Pr>
          <w:rFonts w:ascii="Times New Roman" w:hAnsi="Times New Roman" w:cs="Times New Roman"/>
          <w:sz w:val="18"/>
          <w:szCs w:val="18"/>
        </w:rPr>
        <w:t xml:space="preserve"> </w:t>
      </w:r>
      <w:r w:rsidRPr="001221C6">
        <w:rPr>
          <w:rFonts w:ascii="Times New Roman" w:hAnsi="Times New Roman" w:cs="Times New Roman"/>
          <w:sz w:val="18"/>
          <w:szCs w:val="18"/>
        </w:rPr>
        <w:t>+</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2F62E3" w:rsidRDefault="005A06CB" w:rsidP="002F62E3">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w:t>
      </w:r>
      <w:r>
        <w:rPr>
          <w:rFonts w:ascii="Times New Roman" w:hAnsi="Times New Roman" w:cs="Times New Roman"/>
          <w:sz w:val="18"/>
          <w:szCs w:val="18"/>
        </w:rPr>
        <w:t xml:space="preserve">are </w:t>
      </w:r>
      <w:r w:rsidRPr="00AA5B53">
        <w:rPr>
          <w:rFonts w:ascii="Times New Roman" w:hAnsi="Times New Roman" w:cs="Times New Roman"/>
          <w:sz w:val="18"/>
          <w:szCs w:val="18"/>
        </w:rPr>
        <w:t xml:space="preserve">Nominal Bond Excess Returns </w:t>
      </w:r>
      <w:r>
        <w:rPr>
          <w:rFonts w:ascii="Times New Roman" w:hAnsi="Times New Roman" w:cs="Times New Roman"/>
          <w:sz w:val="18"/>
          <w:szCs w:val="18"/>
        </w:rPr>
        <w:t xml:space="preserve">based on an extended sample of </w:t>
      </w:r>
      <w:r w:rsidRPr="00AA5B53">
        <w:rPr>
          <w:rFonts w:ascii="Times New Roman" w:hAnsi="Times New Roman" w:cs="Times New Roman"/>
          <w:sz w:val="18"/>
          <w:szCs w:val="18"/>
        </w:rPr>
        <w:t>JP Morgan</w:t>
      </w:r>
      <w:r>
        <w:rPr>
          <w:rFonts w:ascii="Times New Roman" w:hAnsi="Times New Roman" w:cs="Times New Roman"/>
          <w:sz w:val="18"/>
          <w:szCs w:val="18"/>
        </w:rPr>
        <w:t xml:space="preserve"> total returns indices for the period 1975-2013, while</w:t>
      </w:r>
      <w:r w:rsidRPr="001221C6">
        <w:rPr>
          <w:rFonts w:ascii="Times New Roman" w:hAnsi="Times New Roman" w:cs="Times New Roman"/>
          <w:sz w:val="18"/>
          <w:szCs w:val="18"/>
        </w:rPr>
        <w:t xml:space="preserve"> X is the</w:t>
      </w:r>
      <w:r>
        <w:rPr>
          <w:rFonts w:ascii="Times New Roman" w:hAnsi="Times New Roman" w:cs="Times New Roman"/>
          <w:sz w:val="18"/>
          <w:szCs w:val="18"/>
        </w:rPr>
        <w:t xml:space="preserve"> non-seasonally adjusted GDP growth rate (left panel), the change in non-seasonally adjusted unemployment rate (middle panel) or the non-seasonally adjusted industrial production (right panel) for each country. The analysis is carried out at a quarterly frequency. The results for Canada are missing in case of the industrial production as a similar volume index was not found. Developed stands for an equally-weighted portfolio made up of all six countries provided that the data are available.</w:t>
      </w:r>
      <w:r w:rsidR="00BA6A04">
        <w:rPr>
          <w:rFonts w:ascii="Times New Roman" w:hAnsi="Times New Roman" w:cs="Times New Roman"/>
          <w:sz w:val="18"/>
          <w:szCs w:val="18"/>
        </w:rPr>
        <w:t xml:space="preserve"> Details about the sample of macroeconomic indicators can be found in Table A.9, A.10 and A.11 from the Appendix A.</w:t>
      </w:r>
      <w:r>
        <w:rPr>
          <w:rFonts w:ascii="Times New Roman" w:hAnsi="Times New Roman" w:cs="Times New Roman"/>
          <w:sz w:val="18"/>
          <w:szCs w:val="18"/>
        </w:rPr>
        <w:t xml:space="preserve"> </w:t>
      </w:r>
      <w:r w:rsidR="002F62E3">
        <w:rPr>
          <w:rFonts w:ascii="Times New Roman" w:hAnsi="Times New Roman" w:cs="Times New Roman"/>
          <w:sz w:val="18"/>
          <w:szCs w:val="18"/>
        </w:rPr>
        <w:t xml:space="preserve">The numbers in </w:t>
      </w:r>
      <w:r w:rsidR="002F62E3" w:rsidRPr="00D0262F">
        <w:rPr>
          <w:rFonts w:ascii="Times New Roman" w:hAnsi="Times New Roman" w:cs="Times New Roman"/>
          <w:b/>
          <w:sz w:val="18"/>
          <w:szCs w:val="18"/>
        </w:rPr>
        <w:t>Bold</w:t>
      </w:r>
      <w:r w:rsidR="002F62E3">
        <w:rPr>
          <w:rFonts w:ascii="Times New Roman" w:hAnsi="Times New Roman" w:cs="Times New Roman"/>
          <w:sz w:val="18"/>
          <w:szCs w:val="18"/>
        </w:rPr>
        <w:t xml:space="preserve"> show statistical significance at 5% significance level, while those in </w:t>
      </w:r>
      <w:r w:rsidR="002F62E3" w:rsidRPr="002F62E3">
        <w:rPr>
          <w:rFonts w:ascii="Times New Roman" w:eastAsia="Times New Roman" w:hAnsi="Times New Roman" w:cs="Times New Roman"/>
          <w:color w:val="4F81BD"/>
          <w:sz w:val="18"/>
          <w:szCs w:val="18"/>
        </w:rPr>
        <w:t>Blue</w:t>
      </w:r>
      <w:r w:rsidR="002F62E3" w:rsidRPr="002F62E3">
        <w:rPr>
          <w:rFonts w:ascii="Times New Roman" w:hAnsi="Times New Roman" w:cs="Times New Roman"/>
          <w:sz w:val="18"/>
          <w:szCs w:val="18"/>
        </w:rPr>
        <w:t xml:space="preserve"> </w:t>
      </w:r>
      <w:r w:rsidR="002F62E3">
        <w:rPr>
          <w:rFonts w:ascii="Times New Roman" w:hAnsi="Times New Roman" w:cs="Times New Roman"/>
          <w:sz w:val="18"/>
          <w:szCs w:val="18"/>
        </w:rPr>
        <w:t>at 10% significance level.</w:t>
      </w:r>
    </w:p>
    <w:p w:rsidR="005A06CB" w:rsidRDefault="005A06CB" w:rsidP="005A06CB">
      <w:pPr>
        <w:pStyle w:val="NoSpacing"/>
        <w:jc w:val="both"/>
        <w:rPr>
          <w:rFonts w:ascii="Times New Roman" w:hAnsi="Times New Roman" w:cs="Times New Roman"/>
          <w:sz w:val="18"/>
          <w:szCs w:val="18"/>
        </w:rPr>
      </w:pPr>
    </w:p>
    <w:p w:rsidR="005A06CB" w:rsidRDefault="005A06CB" w:rsidP="005A06CB">
      <w:pPr>
        <w:spacing w:after="0" w:line="360" w:lineRule="auto"/>
        <w:ind w:firstLine="720"/>
        <w:jc w:val="both"/>
        <w:rPr>
          <w:rFonts w:ascii="Times New Roman" w:hAnsi="Times New Roman" w:cs="Times New Roman"/>
        </w:rPr>
      </w:pPr>
    </w:p>
    <w:p w:rsidR="00936DC1" w:rsidRPr="00936DC1" w:rsidRDefault="00936DC1" w:rsidP="00936DC1">
      <w:pPr>
        <w:pStyle w:val="Heading3"/>
      </w:pPr>
      <w:bookmarkStart w:id="53" w:name="_Toc396762719"/>
      <w:r w:rsidRPr="00936DC1">
        <w:t xml:space="preserve">4.5.2 </w:t>
      </w:r>
      <w:r w:rsidR="002F62E3">
        <w:t xml:space="preserve">The </w:t>
      </w:r>
      <w:r w:rsidRPr="00936DC1">
        <w:t>Optimism cycle</w:t>
      </w:r>
      <w:bookmarkEnd w:id="53"/>
    </w:p>
    <w:p w:rsidR="00936DC1" w:rsidRDefault="00936DC1" w:rsidP="005A06CB">
      <w:pPr>
        <w:spacing w:after="0" w:line="360" w:lineRule="auto"/>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The second tested hypothesis is related to a cycle of optimism which influences inve</w:t>
      </w:r>
      <w:r w:rsidR="00955683">
        <w:rPr>
          <w:rFonts w:ascii="Times New Roman" w:hAnsi="Times New Roman" w:cs="Times New Roman"/>
        </w:rPr>
        <w:t>stment decisions (Doeswijk (2008</w:t>
      </w:r>
      <w:r>
        <w:rPr>
          <w:rFonts w:ascii="Times New Roman" w:hAnsi="Times New Roman" w:cs="Times New Roman"/>
        </w:rPr>
        <w:t xml:space="preserve">) and </w:t>
      </w:r>
      <w:r w:rsidRPr="00A07B02">
        <w:rPr>
          <w:rFonts w:ascii="Times New Roman" w:hAnsi="Times New Roman" w:cs="Times New Roman"/>
        </w:rPr>
        <w:t>Shigeki, Takashi, Katsuhiko (2011)</w:t>
      </w:r>
      <w:r>
        <w:rPr>
          <w:rFonts w:ascii="Times New Roman" w:hAnsi="Times New Roman" w:cs="Times New Roman"/>
        </w:rPr>
        <w:t>). Doeswijk (200</w:t>
      </w:r>
      <w:r w:rsidR="00955683">
        <w:rPr>
          <w:rFonts w:ascii="Times New Roman" w:hAnsi="Times New Roman" w:cs="Times New Roman"/>
        </w:rPr>
        <w:t>8</w:t>
      </w:r>
      <w:r>
        <w:rPr>
          <w:rFonts w:ascii="Times New Roman" w:hAnsi="Times New Roman" w:cs="Times New Roman"/>
        </w:rPr>
        <w:t xml:space="preserve">) uses specific measures to capture the sentiment of equity analysis and investors: </w:t>
      </w:r>
      <w:r w:rsidRPr="00EB50F3">
        <w:rPr>
          <w:rFonts w:ascii="Times New Roman" w:hAnsi="Times New Roman" w:cs="Times New Roman"/>
        </w:rPr>
        <w:t>earnings growth estimates for the MSCI World index</w:t>
      </w:r>
      <w:r>
        <w:rPr>
          <w:rFonts w:ascii="Times New Roman" w:hAnsi="Times New Roman" w:cs="Times New Roman"/>
        </w:rPr>
        <w:t xml:space="preserve"> and </w:t>
      </w:r>
      <w:r w:rsidRPr="00EB50F3">
        <w:rPr>
          <w:rFonts w:ascii="Times New Roman" w:hAnsi="Times New Roman" w:cs="Times New Roman"/>
        </w:rPr>
        <w:t>monthly average initial returns of public offerings</w:t>
      </w:r>
      <w:r>
        <w:rPr>
          <w:rFonts w:ascii="Times New Roman" w:hAnsi="Times New Roman" w:cs="Times New Roman"/>
        </w:rPr>
        <w:t xml:space="preserve">. </w:t>
      </w:r>
      <w:r w:rsidRPr="00EB50F3">
        <w:rPr>
          <w:rFonts w:ascii="Times New Roman" w:hAnsi="Times New Roman" w:cs="Times New Roman"/>
        </w:rPr>
        <w:t>Shigeki, Takashi, Katsuhiko (2011)</w:t>
      </w:r>
      <w:r>
        <w:rPr>
          <w:rFonts w:ascii="Times New Roman" w:hAnsi="Times New Roman" w:cs="Times New Roman"/>
        </w:rPr>
        <w:t xml:space="preserve"> do not empirically test the </w:t>
      </w:r>
      <w:r w:rsidRPr="00EB50F3">
        <w:rPr>
          <w:rFonts w:ascii="Times New Roman" w:hAnsi="Times New Roman" w:cs="Times New Roman"/>
        </w:rPr>
        <w:t>“Dekansho-bushi effect”</w:t>
      </w:r>
      <w:r>
        <w:rPr>
          <w:rFonts w:ascii="Times New Roman" w:hAnsi="Times New Roman" w:cs="Times New Roman"/>
        </w:rPr>
        <w:t>. In these conditions, the current research brings a novel approach as it is based on sentiment proxies coming from two different methodologies: surveys and market related data.</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I use consumer confidence data and a measure of implied volatility for stock options, the VIX index</w:t>
      </w:r>
      <w:r>
        <w:rPr>
          <w:rStyle w:val="FootnoteReference"/>
          <w:rFonts w:ascii="Times New Roman" w:hAnsi="Times New Roman" w:cs="Times New Roman"/>
        </w:rPr>
        <w:footnoteReference w:id="53"/>
      </w:r>
      <w:r>
        <w:rPr>
          <w:rFonts w:ascii="Times New Roman" w:hAnsi="Times New Roman" w:cs="Times New Roman"/>
        </w:rPr>
        <w:t>, in order to gauge investor sentiment</w:t>
      </w:r>
      <w:r>
        <w:rPr>
          <w:rStyle w:val="FootnoteReference"/>
          <w:rFonts w:ascii="Times New Roman" w:hAnsi="Times New Roman" w:cs="Times New Roman"/>
        </w:rPr>
        <w:footnoteReference w:id="54"/>
      </w:r>
      <w:r>
        <w:rPr>
          <w:rFonts w:ascii="Times New Roman" w:hAnsi="Times New Roman" w:cs="Times New Roman"/>
        </w:rPr>
        <w:t xml:space="preserve">. The use of the former measure has the advantage of being based on survey data which is not related to market dynamics. The </w:t>
      </w:r>
      <w:r>
        <w:rPr>
          <w:rFonts w:ascii="Times New Roman" w:hAnsi="Times New Roman" w:cs="Times New Roman"/>
          <w:color w:val="000000"/>
        </w:rPr>
        <w:t>VIX index measures the implied volatility of S&amp;P 500 index options and it is seen as a global proxy for risk appetite</w:t>
      </w:r>
      <w:r>
        <w:rPr>
          <w:rStyle w:val="FootnoteReference"/>
          <w:rFonts w:ascii="Times New Roman" w:hAnsi="Times New Roman" w:cs="Times New Roman"/>
          <w:color w:val="000000"/>
        </w:rPr>
        <w:footnoteReference w:id="55"/>
      </w:r>
      <w:r>
        <w:rPr>
          <w:rFonts w:ascii="Times New Roman" w:hAnsi="Times New Roman" w:cs="Times New Roman"/>
          <w:color w:val="000000"/>
        </w:rPr>
        <w:t xml:space="preserve">. </w:t>
      </w:r>
      <w:r>
        <w:rPr>
          <w:rFonts w:ascii="Times New Roman" w:hAnsi="Times New Roman" w:cs="Times New Roman"/>
        </w:rPr>
        <w:t xml:space="preserve">Low(er) consumer sentiment values and high(er) volatility are perceived as a low(er) appetite for risk which favours </w:t>
      </w:r>
      <w:r>
        <w:rPr>
          <w:rFonts w:ascii="Times New Roman" w:hAnsi="Times New Roman" w:cs="Times New Roman"/>
        </w:rPr>
        <w:lastRenderedPageBreak/>
        <w:t xml:space="preserve">government bond returns. Accordingly, the sign of the consumer sentiment measure should be negative. The link between the VIX and bond returns should be positive. </w:t>
      </w:r>
      <w:r w:rsidRPr="001A3A69">
        <w:rPr>
          <w:rFonts w:ascii="Times New Roman" w:hAnsi="Times New Roman" w:cs="Times New Roman"/>
        </w:rPr>
        <w:t>Anderson</w:t>
      </w:r>
      <w:r>
        <w:rPr>
          <w:rFonts w:ascii="Times New Roman" w:hAnsi="Times New Roman" w:cs="Times New Roman"/>
        </w:rPr>
        <w:t xml:space="preserve">, </w:t>
      </w:r>
      <w:r w:rsidRPr="004C49CF">
        <w:rPr>
          <w:rFonts w:ascii="Times New Roman" w:hAnsi="Times New Roman" w:cs="Times New Roman"/>
        </w:rPr>
        <w:t>Krylova and Vahamaa (200</w:t>
      </w:r>
      <w:r w:rsidR="00962E47">
        <w:rPr>
          <w:rFonts w:ascii="Times New Roman" w:hAnsi="Times New Roman" w:cs="Times New Roman"/>
        </w:rPr>
        <w:t>8</w:t>
      </w:r>
      <w:r w:rsidRPr="004C49CF">
        <w:rPr>
          <w:rFonts w:ascii="Times New Roman" w:hAnsi="Times New Roman" w:cs="Times New Roman"/>
        </w:rPr>
        <w:t xml:space="preserve">) </w:t>
      </w:r>
      <w:r w:rsidRPr="001A3A69">
        <w:rPr>
          <w:rFonts w:ascii="Times New Roman" w:hAnsi="Times New Roman" w:cs="Times New Roman"/>
        </w:rPr>
        <w:t xml:space="preserve">show that when implied volatility (as measured by the VIX) is high, then stock and Treasury bond returns tend to become more negatively correlated. </w:t>
      </w:r>
      <w:r w:rsidR="00962E47">
        <w:rPr>
          <w:rFonts w:ascii="Times New Roman" w:hAnsi="Times New Roman" w:cs="Times New Roman"/>
        </w:rPr>
        <w:t xml:space="preserve">Connolly, </w:t>
      </w:r>
      <w:r w:rsidRPr="001A3A69">
        <w:rPr>
          <w:rFonts w:ascii="Times New Roman" w:hAnsi="Times New Roman" w:cs="Times New Roman"/>
        </w:rPr>
        <w:t>Stivers</w:t>
      </w:r>
      <w:r w:rsidR="00962E47">
        <w:rPr>
          <w:rFonts w:ascii="Times New Roman" w:hAnsi="Times New Roman" w:cs="Times New Roman"/>
        </w:rPr>
        <w:t xml:space="preserve"> and</w:t>
      </w:r>
      <w:r>
        <w:rPr>
          <w:rFonts w:ascii="Times New Roman" w:hAnsi="Times New Roman" w:cs="Times New Roman"/>
        </w:rPr>
        <w:t xml:space="preserve"> Sun (2005)</w:t>
      </w:r>
      <w:r w:rsidRPr="001A3A69">
        <w:rPr>
          <w:rFonts w:ascii="Times New Roman" w:hAnsi="Times New Roman" w:cs="Times New Roman"/>
        </w:rPr>
        <w:t xml:space="preserve"> find similar findings and argue that if periods with high stock uncertainty – and thus high volatility – tend to be characterised by more frequent investor revisions of stock risk and the relative attractiveness of stocks versus bonds, then higher stock market uncertainty is likely to fuel a negative stock-bond correlation. In this way, increased stock market volatility decreases stock returns </w:t>
      </w:r>
      <w:r>
        <w:rPr>
          <w:rFonts w:ascii="Times New Roman" w:hAnsi="Times New Roman" w:cs="Times New Roman"/>
        </w:rPr>
        <w:t>(as shown by Antonakakis, Chatziantoniou and Filis (</w:t>
      </w:r>
      <w:r w:rsidRPr="004C49CF">
        <w:rPr>
          <w:rFonts w:ascii="Times New Roman" w:hAnsi="Times New Roman" w:cs="Times New Roman"/>
        </w:rPr>
        <w:t>2013)</w:t>
      </w:r>
      <w:r>
        <w:rPr>
          <w:rFonts w:ascii="Times New Roman" w:hAnsi="Times New Roman" w:cs="Times New Roman"/>
        </w:rPr>
        <w:t>)</w:t>
      </w:r>
      <w:r w:rsidRPr="001A3A69">
        <w:rPr>
          <w:rFonts w:ascii="Times New Roman" w:hAnsi="Times New Roman" w:cs="Times New Roman"/>
        </w:rPr>
        <w:t xml:space="preserve"> and increases bond returns </w:t>
      </w:r>
      <w:r>
        <w:rPr>
          <w:rFonts w:ascii="Times New Roman" w:hAnsi="Times New Roman" w:cs="Times New Roman"/>
        </w:rPr>
        <w:t>(Jubinski and</w:t>
      </w:r>
      <w:r w:rsidRPr="004C49CF">
        <w:rPr>
          <w:rFonts w:ascii="Times New Roman" w:hAnsi="Times New Roman" w:cs="Times New Roman"/>
        </w:rPr>
        <w:t xml:space="preserve"> Li</w:t>
      </w:r>
      <w:r>
        <w:rPr>
          <w:rFonts w:ascii="Times New Roman" w:hAnsi="Times New Roman" w:cs="Times New Roman"/>
        </w:rPr>
        <w:t xml:space="preserve">pton (2012)) </w:t>
      </w:r>
      <w:r w:rsidRPr="001A3A69">
        <w:rPr>
          <w:rFonts w:ascii="Times New Roman" w:hAnsi="Times New Roman" w:cs="Times New Roman"/>
        </w:rPr>
        <w:t>– a response that is consistent with a flight-to-quality.</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Based on the evidence from the literature, I expect that accentuated volatility (high VIX levels and a rising VIX) is positive for bond returns.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As both indicators of consumer confidence and volatility are not stationary, I use the change in their levels. This does not change the expected relationship between bond returns and sentiment indicators.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As expected, consumer optimism tends to increase in the first half of the year, favouring high returns of risky assets and low bond returns. The pattern observed on the </w:t>
      </w:r>
      <w:r w:rsidR="009C2309">
        <w:rPr>
          <w:rFonts w:ascii="Times New Roman" w:hAnsi="Times New Roman" w:cs="Times New Roman"/>
        </w:rPr>
        <w:t>changes in VIX (shown in Table 4.23</w:t>
      </w:r>
      <w:r>
        <w:rPr>
          <w:rFonts w:ascii="Times New Roman" w:hAnsi="Times New Roman" w:cs="Times New Roman"/>
        </w:rPr>
        <w:t>) is also consistent with theory. Accordingly, stock volatility is more accentuated in the second part of the year which increases the interest of investors in fixed income instruments</w:t>
      </w:r>
      <w:r>
        <w:rPr>
          <w:rStyle w:val="FootnoteReference"/>
          <w:rFonts w:ascii="Times New Roman" w:hAnsi="Times New Roman" w:cs="Times New Roman"/>
        </w:rPr>
        <w:footnoteReference w:id="56"/>
      </w:r>
      <w:r>
        <w:rPr>
          <w:rFonts w:ascii="Times New Roman" w:hAnsi="Times New Roman" w:cs="Times New Roman"/>
        </w:rPr>
        <w:t xml:space="preserve"> and translates into higher bond returns. </w:t>
      </w:r>
    </w:p>
    <w:p w:rsidR="005A06CB" w:rsidRDefault="009C2309" w:rsidP="009C2309">
      <w:pPr>
        <w:spacing w:after="120" w:line="360" w:lineRule="auto"/>
        <w:jc w:val="center"/>
        <w:rPr>
          <w:rFonts w:ascii="Times New Roman" w:hAnsi="Times New Roman" w:cs="Times New Roman"/>
        </w:rPr>
      </w:pPr>
      <w:r>
        <w:rPr>
          <w:rFonts w:ascii="Times New Roman" w:hAnsi="Times New Roman" w:cs="Times New Roman"/>
        </w:rPr>
        <w:t>Table 4.23</w:t>
      </w:r>
      <w:r w:rsidR="00107E73">
        <w:rPr>
          <w:rFonts w:ascii="Times New Roman" w:hAnsi="Times New Roman" w:cs="Times New Roman"/>
        </w:rPr>
        <w:t>: Seasonality in Sentiment I</w:t>
      </w:r>
      <w:r w:rsidR="005A06CB">
        <w:rPr>
          <w:rFonts w:ascii="Times New Roman" w:hAnsi="Times New Roman" w:cs="Times New Roman"/>
        </w:rPr>
        <w:t>ndicators</w:t>
      </w:r>
    </w:p>
    <w:tbl>
      <w:tblPr>
        <w:tblW w:w="5660" w:type="dxa"/>
        <w:jc w:val="center"/>
        <w:tblInd w:w="93" w:type="dxa"/>
        <w:tblLook w:val="04A0"/>
      </w:tblPr>
      <w:tblGrid>
        <w:gridCol w:w="1920"/>
        <w:gridCol w:w="2120"/>
        <w:gridCol w:w="1620"/>
      </w:tblGrid>
      <w:tr w:rsidR="005A06CB" w:rsidRPr="00EB50F3" w:rsidTr="00D0485F">
        <w:trPr>
          <w:trHeight w:val="240"/>
          <w:jc w:val="center"/>
        </w:trPr>
        <w:tc>
          <w:tcPr>
            <w:tcW w:w="1920" w:type="dxa"/>
            <w:vMerge w:val="restart"/>
            <w:tcBorders>
              <w:top w:val="single" w:sz="4" w:space="0" w:color="auto"/>
              <w:left w:val="nil"/>
              <w:bottom w:val="nil"/>
              <w:right w:val="nil"/>
            </w:tcBorders>
            <w:shd w:val="clear" w:color="auto" w:fill="auto"/>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H1 H2 Effect</w:t>
            </w:r>
          </w:p>
        </w:tc>
        <w:tc>
          <w:tcPr>
            <w:tcW w:w="2120" w:type="dxa"/>
            <w:vMerge w:val="restart"/>
            <w:tcBorders>
              <w:top w:val="single" w:sz="4" w:space="0" w:color="auto"/>
              <w:left w:val="nil"/>
              <w:bottom w:val="single" w:sz="4" w:space="0" w:color="000000"/>
              <w:right w:val="nil"/>
            </w:tcBorders>
            <w:shd w:val="clear" w:color="auto" w:fill="auto"/>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Change in Consumer Confidence</w:t>
            </w:r>
          </w:p>
        </w:tc>
        <w:tc>
          <w:tcPr>
            <w:tcW w:w="1620" w:type="dxa"/>
            <w:vMerge w:val="restart"/>
            <w:tcBorders>
              <w:top w:val="single" w:sz="4" w:space="0" w:color="auto"/>
              <w:left w:val="nil"/>
              <w:bottom w:val="single" w:sz="4" w:space="0" w:color="000000"/>
              <w:right w:val="nil"/>
            </w:tcBorders>
            <w:shd w:val="clear" w:color="auto" w:fill="auto"/>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Change in VIX</w:t>
            </w:r>
          </w:p>
        </w:tc>
      </w:tr>
      <w:tr w:rsidR="005A06CB" w:rsidRPr="00EB50F3" w:rsidTr="00D0485F">
        <w:trPr>
          <w:trHeight w:val="240"/>
          <w:jc w:val="center"/>
        </w:trPr>
        <w:tc>
          <w:tcPr>
            <w:tcW w:w="1920" w:type="dxa"/>
            <w:vMerge/>
            <w:tcBorders>
              <w:top w:val="single" w:sz="4" w:space="0" w:color="auto"/>
              <w:left w:val="nil"/>
              <w:bottom w:val="nil"/>
              <w:right w:val="nil"/>
            </w:tcBorders>
            <w:vAlign w:val="center"/>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p>
        </w:tc>
        <w:tc>
          <w:tcPr>
            <w:tcW w:w="2120" w:type="dxa"/>
            <w:vMerge/>
            <w:tcBorders>
              <w:top w:val="single" w:sz="4" w:space="0" w:color="auto"/>
              <w:left w:val="nil"/>
              <w:bottom w:val="single" w:sz="4" w:space="0" w:color="000000"/>
              <w:right w:val="nil"/>
            </w:tcBorders>
            <w:vAlign w:val="center"/>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p>
        </w:tc>
        <w:tc>
          <w:tcPr>
            <w:tcW w:w="1620" w:type="dxa"/>
            <w:vMerge/>
            <w:tcBorders>
              <w:top w:val="single" w:sz="4" w:space="0" w:color="auto"/>
              <w:left w:val="nil"/>
              <w:bottom w:val="single" w:sz="4" w:space="0" w:color="000000"/>
              <w:right w:val="nil"/>
            </w:tcBorders>
            <w:vAlign w:val="center"/>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p>
        </w:tc>
      </w:tr>
      <w:tr w:rsidR="005A06CB" w:rsidRPr="00EB50F3" w:rsidTr="00D0485F">
        <w:trPr>
          <w:trHeight w:val="225"/>
          <w:jc w:val="center"/>
        </w:trPr>
        <w:tc>
          <w:tcPr>
            <w:tcW w:w="1920" w:type="dxa"/>
            <w:tcBorders>
              <w:top w:val="single" w:sz="4" w:space="0" w:color="auto"/>
              <w:left w:val="nil"/>
              <w:bottom w:val="single" w:sz="4" w:space="0" w:color="auto"/>
              <w:right w:val="nil"/>
            </w:tcBorders>
            <w:shd w:val="clear" w:color="auto" w:fill="auto"/>
            <w:vAlign w:val="center"/>
            <w:hideMark/>
          </w:tcPr>
          <w:p w:rsidR="005A06CB" w:rsidRPr="00EB50F3" w:rsidRDefault="005A06CB" w:rsidP="00D0485F">
            <w:pPr>
              <w:spacing w:after="0" w:line="240" w:lineRule="auto"/>
              <w:rPr>
                <w:rFonts w:ascii="Times New Roman" w:eastAsia="Times New Roman" w:hAnsi="Times New Roman" w:cs="Times New Roman"/>
                <w:i/>
                <w:iCs/>
                <w:color w:val="291C00"/>
                <w:sz w:val="20"/>
                <w:szCs w:val="20"/>
              </w:rPr>
            </w:pPr>
            <w:r w:rsidRPr="00EB50F3">
              <w:rPr>
                <w:rFonts w:ascii="Times New Roman" w:eastAsia="Times New Roman" w:hAnsi="Times New Roman" w:cs="Times New Roman"/>
                <w:i/>
                <w:iCs/>
                <w:color w:val="291C00"/>
                <w:sz w:val="20"/>
                <w:szCs w:val="20"/>
              </w:rPr>
              <w:t>Quarterly frequency</w:t>
            </w:r>
          </w:p>
        </w:tc>
        <w:tc>
          <w:tcPr>
            <w:tcW w:w="2120" w:type="dxa"/>
            <w:tcBorders>
              <w:top w:val="nil"/>
              <w:left w:val="nil"/>
              <w:bottom w:val="single" w:sz="4" w:space="0" w:color="auto"/>
              <w:right w:val="nil"/>
            </w:tcBorders>
            <w:shd w:val="clear" w:color="auto" w:fill="auto"/>
            <w:vAlign w:val="center"/>
            <w:hideMark/>
          </w:tcPr>
          <w:p w:rsidR="005A06CB" w:rsidRPr="00EB50F3" w:rsidRDefault="005A06CB" w:rsidP="00D0485F">
            <w:pPr>
              <w:spacing w:after="0" w:line="240" w:lineRule="auto"/>
              <w:rPr>
                <w:rFonts w:ascii="Times New Roman" w:eastAsia="Times New Roman" w:hAnsi="Times New Roman" w:cs="Times New Roman"/>
                <w:i/>
                <w:iCs/>
                <w:color w:val="291C00"/>
                <w:sz w:val="20"/>
                <w:szCs w:val="20"/>
              </w:rPr>
            </w:pPr>
            <w:r w:rsidRPr="00EB50F3">
              <w:rPr>
                <w:rFonts w:ascii="Times New Roman" w:eastAsia="Times New Roman" w:hAnsi="Times New Roman" w:cs="Times New Roman"/>
                <w:i/>
                <w:iCs/>
                <w:color w:val="291C00"/>
                <w:sz w:val="20"/>
                <w:szCs w:val="20"/>
              </w:rPr>
              <w:t> </w:t>
            </w:r>
          </w:p>
        </w:tc>
        <w:tc>
          <w:tcPr>
            <w:tcW w:w="1620" w:type="dxa"/>
            <w:tcBorders>
              <w:top w:val="nil"/>
              <w:left w:val="nil"/>
              <w:bottom w:val="single" w:sz="4" w:space="0" w:color="auto"/>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 </w:t>
            </w:r>
          </w:p>
        </w:tc>
      </w:tr>
      <w:tr w:rsidR="005A06CB" w:rsidRPr="00EB50F3"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Australia</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-0.15</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EB50F3" w:rsidTr="00D0485F">
        <w:trPr>
          <w:trHeight w:val="255"/>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Canada</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-1.52</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EB50F3"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Germany</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00A2BD"/>
                <w:sz w:val="20"/>
                <w:szCs w:val="20"/>
              </w:rPr>
            </w:pPr>
            <w:r w:rsidRPr="00EB50F3">
              <w:rPr>
                <w:rFonts w:ascii="Times New Roman" w:eastAsia="Times New Roman" w:hAnsi="Times New Roman" w:cs="Times New Roman"/>
                <w:color w:val="00A2BD"/>
                <w:sz w:val="20"/>
                <w:szCs w:val="20"/>
              </w:rPr>
              <w:t>-1.92</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EB50F3" w:rsidTr="00D0485F">
        <w:trPr>
          <w:trHeight w:val="255"/>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Japan</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b/>
                <w:bCs/>
                <w:color w:val="291C00"/>
                <w:sz w:val="20"/>
                <w:szCs w:val="20"/>
              </w:rPr>
            </w:pPr>
            <w:r w:rsidRPr="00EB50F3">
              <w:rPr>
                <w:rFonts w:ascii="Times New Roman" w:eastAsia="Times New Roman" w:hAnsi="Times New Roman" w:cs="Times New Roman"/>
                <w:b/>
                <w:bCs/>
                <w:color w:val="291C00"/>
                <w:sz w:val="20"/>
                <w:szCs w:val="20"/>
              </w:rPr>
              <w:t>-2.91</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EB50F3"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United Kingdom</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b/>
                <w:bCs/>
                <w:color w:val="291C00"/>
                <w:sz w:val="20"/>
                <w:szCs w:val="20"/>
              </w:rPr>
            </w:pPr>
            <w:r w:rsidRPr="00EB50F3">
              <w:rPr>
                <w:rFonts w:ascii="Times New Roman" w:eastAsia="Times New Roman" w:hAnsi="Times New Roman" w:cs="Times New Roman"/>
                <w:b/>
                <w:bCs/>
                <w:color w:val="291C00"/>
                <w:sz w:val="20"/>
                <w:szCs w:val="20"/>
              </w:rPr>
              <w:t>-2.60</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EB50F3" w:rsidTr="00D0485F">
        <w:trPr>
          <w:trHeight w:val="240"/>
          <w:jc w:val="center"/>
        </w:trPr>
        <w:tc>
          <w:tcPr>
            <w:tcW w:w="1920" w:type="dxa"/>
            <w:tcBorders>
              <w:top w:val="nil"/>
              <w:left w:val="nil"/>
              <w:bottom w:val="nil"/>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United States</w:t>
            </w:r>
          </w:p>
        </w:tc>
        <w:tc>
          <w:tcPr>
            <w:tcW w:w="21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b/>
                <w:bCs/>
                <w:color w:val="291C00"/>
                <w:sz w:val="20"/>
                <w:szCs w:val="20"/>
              </w:rPr>
            </w:pPr>
            <w:r w:rsidRPr="00EB50F3">
              <w:rPr>
                <w:rFonts w:ascii="Times New Roman" w:eastAsia="Times New Roman" w:hAnsi="Times New Roman" w:cs="Times New Roman"/>
                <w:b/>
                <w:bCs/>
                <w:color w:val="291C00"/>
                <w:sz w:val="20"/>
                <w:szCs w:val="20"/>
              </w:rPr>
              <w:t>-2.49</w:t>
            </w:r>
          </w:p>
        </w:tc>
        <w:tc>
          <w:tcPr>
            <w:tcW w:w="1620" w:type="dxa"/>
            <w:tcBorders>
              <w:top w:val="nil"/>
              <w:left w:val="nil"/>
              <w:bottom w:val="nil"/>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b/>
                <w:bCs/>
                <w:color w:val="291C00"/>
                <w:sz w:val="20"/>
                <w:szCs w:val="20"/>
              </w:rPr>
            </w:pPr>
            <w:r w:rsidRPr="00EB50F3">
              <w:rPr>
                <w:rFonts w:ascii="Times New Roman" w:eastAsia="Times New Roman" w:hAnsi="Times New Roman" w:cs="Times New Roman"/>
                <w:b/>
                <w:bCs/>
                <w:color w:val="291C00"/>
                <w:sz w:val="20"/>
                <w:szCs w:val="20"/>
              </w:rPr>
              <w:t>2.64</w:t>
            </w:r>
          </w:p>
        </w:tc>
      </w:tr>
      <w:tr w:rsidR="005A06CB" w:rsidRPr="00EB50F3" w:rsidTr="00D0485F">
        <w:trPr>
          <w:trHeight w:val="225"/>
          <w:jc w:val="center"/>
        </w:trPr>
        <w:tc>
          <w:tcPr>
            <w:tcW w:w="1920" w:type="dxa"/>
            <w:tcBorders>
              <w:top w:val="nil"/>
              <w:left w:val="nil"/>
              <w:bottom w:val="single" w:sz="4" w:space="0" w:color="auto"/>
              <w:right w:val="nil"/>
            </w:tcBorders>
            <w:shd w:val="clear" w:color="auto" w:fill="auto"/>
            <w:noWrap/>
            <w:vAlign w:val="bottom"/>
            <w:hideMark/>
          </w:tcPr>
          <w:p w:rsidR="005A06CB" w:rsidRPr="00EB50F3" w:rsidRDefault="005A06CB" w:rsidP="00D0485F">
            <w:pPr>
              <w:spacing w:after="0" w:line="240" w:lineRule="auto"/>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Developed (6)</w:t>
            </w:r>
          </w:p>
        </w:tc>
        <w:tc>
          <w:tcPr>
            <w:tcW w:w="2120" w:type="dxa"/>
            <w:tcBorders>
              <w:top w:val="nil"/>
              <w:left w:val="nil"/>
              <w:bottom w:val="single" w:sz="4" w:space="0" w:color="auto"/>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 </w:t>
            </w:r>
          </w:p>
        </w:tc>
        <w:tc>
          <w:tcPr>
            <w:tcW w:w="1620" w:type="dxa"/>
            <w:tcBorders>
              <w:top w:val="nil"/>
              <w:left w:val="nil"/>
              <w:bottom w:val="single" w:sz="4" w:space="0" w:color="auto"/>
              <w:right w:val="nil"/>
            </w:tcBorders>
            <w:shd w:val="clear" w:color="auto" w:fill="auto"/>
            <w:noWrap/>
            <w:vAlign w:val="center"/>
            <w:hideMark/>
          </w:tcPr>
          <w:p w:rsidR="005A06CB" w:rsidRPr="00EB50F3" w:rsidRDefault="005A06CB" w:rsidP="00D0485F">
            <w:pPr>
              <w:spacing w:after="0" w:line="240" w:lineRule="auto"/>
              <w:jc w:val="center"/>
              <w:rPr>
                <w:rFonts w:ascii="Times New Roman" w:eastAsia="Times New Roman" w:hAnsi="Times New Roman" w:cs="Times New Roman"/>
                <w:color w:val="291C00"/>
                <w:sz w:val="20"/>
                <w:szCs w:val="20"/>
              </w:rPr>
            </w:pPr>
            <w:r w:rsidRPr="00EB50F3">
              <w:rPr>
                <w:rFonts w:ascii="Times New Roman" w:eastAsia="Times New Roman" w:hAnsi="Times New Roman" w:cs="Times New Roman"/>
                <w:color w:val="291C00"/>
                <w:sz w:val="20"/>
                <w:szCs w:val="20"/>
              </w:rPr>
              <w:t> </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are </w:t>
      </w:r>
      <w:r>
        <w:rPr>
          <w:rFonts w:ascii="Times New Roman" w:hAnsi="Times New Roman" w:cs="Times New Roman"/>
          <w:sz w:val="18"/>
          <w:szCs w:val="18"/>
        </w:rPr>
        <w:t>differences in Consumer Confidence indicators (left panel) and Chicago Board Options Exchange Volatility Index (VIX - right panel) at quarterly frequency</w:t>
      </w:r>
      <w:r w:rsidRPr="001221C6">
        <w:rPr>
          <w:rFonts w:ascii="Times New Roman" w:hAnsi="Times New Roman" w:cs="Times New Roman"/>
          <w:sz w:val="18"/>
          <w:szCs w:val="18"/>
        </w:rPr>
        <w:t xml:space="preserve">. </w:t>
      </w:r>
      <w:r>
        <w:rPr>
          <w:rFonts w:ascii="Times New Roman" w:hAnsi="Times New Roman" w:cs="Times New Roman"/>
          <w:sz w:val="18"/>
          <w:szCs w:val="18"/>
        </w:rPr>
        <w:t>These sentiment indicators are constructed as the 3-month average of monthly rates. Details about the data and the sample period can be found in Ta</w:t>
      </w:r>
      <w:r w:rsidR="009C2309">
        <w:rPr>
          <w:rFonts w:ascii="Times New Roman" w:hAnsi="Times New Roman" w:cs="Times New Roman"/>
          <w:sz w:val="18"/>
          <w:szCs w:val="18"/>
        </w:rPr>
        <w:t>ble A.12</w:t>
      </w:r>
      <w:r w:rsidR="00962E47">
        <w:rPr>
          <w:rFonts w:ascii="Times New Roman" w:hAnsi="Times New Roman" w:cs="Times New Roman"/>
          <w:sz w:val="18"/>
          <w:szCs w:val="18"/>
        </w:rPr>
        <w:t xml:space="preserve"> and A.13</w:t>
      </w:r>
      <w:r>
        <w:rPr>
          <w:rFonts w:ascii="Times New Roman" w:hAnsi="Times New Roman" w:cs="Times New Roman"/>
          <w:sz w:val="18"/>
          <w:szCs w:val="18"/>
        </w:rPr>
        <w:t xml:space="preserve"> in the Appendix</w:t>
      </w:r>
      <w:r w:rsidR="009C2309">
        <w:rPr>
          <w:rFonts w:ascii="Times New Roman" w:hAnsi="Times New Roman" w:cs="Times New Roman"/>
          <w:sz w:val="18"/>
          <w:szCs w:val="18"/>
        </w:rPr>
        <w:t xml:space="preserve"> A</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X </w:t>
      </w:r>
      <w:r>
        <w:rPr>
          <w:rFonts w:ascii="Times New Roman" w:hAnsi="Times New Roman" w:cs="Times New Roman"/>
          <w:sz w:val="18"/>
          <w:szCs w:val="18"/>
        </w:rPr>
        <w:t xml:space="preserve">is the dummy variable to capture the </w:t>
      </w:r>
      <w:r w:rsidRPr="001221C6">
        <w:rPr>
          <w:rFonts w:ascii="Times New Roman" w:hAnsi="Times New Roman" w:cs="Times New Roman"/>
          <w:sz w:val="18"/>
          <w:szCs w:val="18"/>
        </w:rPr>
        <w:t>H1 H2</w:t>
      </w:r>
      <w:r>
        <w:rPr>
          <w:rFonts w:ascii="Times New Roman" w:hAnsi="Times New Roman" w:cs="Times New Roman"/>
          <w:sz w:val="18"/>
          <w:szCs w:val="18"/>
        </w:rPr>
        <w:t xml:space="preserve"> effect which </w:t>
      </w:r>
      <w:r w:rsidRPr="001221C6">
        <w:rPr>
          <w:rFonts w:ascii="Times New Roman" w:hAnsi="Times New Roman" w:cs="Times New Roman"/>
          <w:sz w:val="18"/>
          <w:szCs w:val="18"/>
        </w:rPr>
        <w:t xml:space="preserve">takes on the value of 1 for </w:t>
      </w:r>
      <w:r w:rsidR="00962E47">
        <w:rPr>
          <w:rFonts w:ascii="Times New Roman" w:hAnsi="Times New Roman" w:cs="Times New Roman"/>
          <w:sz w:val="18"/>
          <w:szCs w:val="18"/>
        </w:rPr>
        <w:t xml:space="preserve">Q3 and Q4 and </w:t>
      </w:r>
      <w:r w:rsidRPr="001221C6">
        <w:rPr>
          <w:rFonts w:ascii="Times New Roman" w:hAnsi="Times New Roman" w:cs="Times New Roman"/>
          <w:sz w:val="18"/>
          <w:szCs w:val="18"/>
        </w:rPr>
        <w:t>0 otherwise. The</w:t>
      </w:r>
      <w:r>
        <w:rPr>
          <w:rFonts w:ascii="Times New Roman" w:hAnsi="Times New Roman" w:cs="Times New Roman"/>
          <w:sz w:val="18"/>
          <w:szCs w:val="18"/>
        </w:rPr>
        <w:t xml:space="preserve">re are no results for the </w:t>
      </w:r>
      <w:r w:rsidRPr="001221C6">
        <w:rPr>
          <w:rFonts w:ascii="Times New Roman" w:hAnsi="Times New Roman" w:cs="Times New Roman"/>
          <w:sz w:val="18"/>
          <w:szCs w:val="18"/>
        </w:rPr>
        <w:t xml:space="preserve">Developed portfolio </w:t>
      </w:r>
      <w:r>
        <w:rPr>
          <w:rFonts w:ascii="Times New Roman" w:hAnsi="Times New Roman" w:cs="Times New Roman"/>
          <w:sz w:val="18"/>
          <w:szCs w:val="18"/>
        </w:rPr>
        <w:t xml:space="preserve">(average of all six countries) given inconsistent measures for consumer confidence.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00A2BD"/>
          <w:sz w:val="18"/>
          <w:szCs w:val="18"/>
        </w:rPr>
        <w:t>Blue</w:t>
      </w:r>
      <w:r w:rsidRPr="001221C6">
        <w:rPr>
          <w:rFonts w:ascii="Times New Roman" w:hAnsi="Times New Roman" w:cs="Times New Roman"/>
          <w:sz w:val="18"/>
          <w:szCs w:val="18"/>
        </w:rPr>
        <w:t xml:space="preserve"> at 10% significance level.</w:t>
      </w:r>
    </w:p>
    <w:p w:rsidR="005A06CB" w:rsidRDefault="005A06CB" w:rsidP="005A06CB">
      <w:pPr>
        <w:spacing w:after="0" w:line="360" w:lineRule="auto"/>
        <w:ind w:firstLine="720"/>
        <w:jc w:val="center"/>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A further investigation of the link between bond returns and sentiment indicators show that these sentiment indicators carry the expected sign (negative in case of consumer sentimen</w:t>
      </w:r>
      <w:r w:rsidR="009C2309">
        <w:rPr>
          <w:rFonts w:ascii="Times New Roman" w:hAnsi="Times New Roman" w:cs="Times New Roman"/>
        </w:rPr>
        <w:t xml:space="preserve">t and positive </w:t>
      </w:r>
      <w:r w:rsidR="00962E47">
        <w:rPr>
          <w:rFonts w:ascii="Times New Roman" w:hAnsi="Times New Roman" w:cs="Times New Roman"/>
        </w:rPr>
        <w:t xml:space="preserve">for </w:t>
      </w:r>
      <w:r w:rsidR="009C2309">
        <w:rPr>
          <w:rFonts w:ascii="Times New Roman" w:hAnsi="Times New Roman" w:cs="Times New Roman"/>
        </w:rPr>
        <w:t>VIX). Table 4.24</w:t>
      </w:r>
      <w:r>
        <w:rPr>
          <w:rFonts w:ascii="Times New Roman" w:hAnsi="Times New Roman" w:cs="Times New Roman"/>
        </w:rPr>
        <w:t xml:space="preserve"> also shows that the change in VIX is statistically significant at 1% in all countries with the exception of Japan. The results of the change in consumer sentiment are less strong. The coefficient carries a negative sign, as expected, which is consistent across countries, but it is statistically significant at 5% level only in case of United States and Developed portfolio.   </w:t>
      </w: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r>
    </w:p>
    <w:p w:rsidR="00BC7F37" w:rsidRDefault="00BC7F37" w:rsidP="005A06CB">
      <w:pPr>
        <w:spacing w:after="0" w:line="360" w:lineRule="auto"/>
        <w:jc w:val="both"/>
        <w:rPr>
          <w:rFonts w:ascii="Times New Roman" w:hAnsi="Times New Roman" w:cs="Times New Roman"/>
        </w:rPr>
      </w:pPr>
    </w:p>
    <w:p w:rsidR="00BC7F37" w:rsidRDefault="00BC7F37" w:rsidP="005A06CB">
      <w:pPr>
        <w:spacing w:after="0" w:line="360" w:lineRule="auto"/>
        <w:jc w:val="both"/>
        <w:rPr>
          <w:rFonts w:ascii="Times New Roman" w:hAnsi="Times New Roman" w:cs="Times New Roman"/>
        </w:rPr>
      </w:pPr>
    </w:p>
    <w:p w:rsidR="00BC7F37" w:rsidRDefault="00BC7F37" w:rsidP="005A06CB">
      <w:pPr>
        <w:spacing w:after="0" w:line="360" w:lineRule="auto"/>
        <w:jc w:val="both"/>
        <w:rPr>
          <w:rFonts w:ascii="Times New Roman" w:hAnsi="Times New Roman" w:cs="Times New Roman"/>
        </w:rPr>
      </w:pPr>
    </w:p>
    <w:p w:rsidR="00BC7F37" w:rsidRDefault="00BC7F37" w:rsidP="005A06CB">
      <w:pPr>
        <w:spacing w:after="0" w:line="360" w:lineRule="auto"/>
        <w:jc w:val="both"/>
        <w:rPr>
          <w:rFonts w:ascii="Times New Roman" w:hAnsi="Times New Roman" w:cs="Times New Roman"/>
        </w:rPr>
      </w:pPr>
    </w:p>
    <w:p w:rsidR="005A06CB" w:rsidRDefault="009C2309" w:rsidP="009C2309">
      <w:pPr>
        <w:spacing w:after="120" w:line="360" w:lineRule="auto"/>
        <w:jc w:val="center"/>
        <w:rPr>
          <w:rFonts w:ascii="Times New Roman" w:hAnsi="Times New Roman" w:cs="Times New Roman"/>
        </w:rPr>
      </w:pPr>
      <w:r>
        <w:rPr>
          <w:rFonts w:ascii="Times New Roman" w:hAnsi="Times New Roman" w:cs="Times New Roman"/>
        </w:rPr>
        <w:t>Table 4.24</w:t>
      </w:r>
      <w:r w:rsidR="005A06CB">
        <w:rPr>
          <w:rFonts w:ascii="Times New Roman" w:hAnsi="Times New Roman" w:cs="Times New Roman"/>
        </w:rPr>
        <w:t xml:space="preserve">: </w:t>
      </w:r>
      <w:r w:rsidR="005A06CB" w:rsidRPr="00467C8E">
        <w:rPr>
          <w:rFonts w:ascii="Times New Roman" w:hAnsi="Times New Roman" w:cs="Times New Roman"/>
        </w:rPr>
        <w:t>The relationship be</w:t>
      </w:r>
      <w:r w:rsidR="00107E73">
        <w:rPr>
          <w:rFonts w:ascii="Times New Roman" w:hAnsi="Times New Roman" w:cs="Times New Roman"/>
        </w:rPr>
        <w:t>tween Bond R</w:t>
      </w:r>
      <w:r w:rsidR="005A06CB">
        <w:rPr>
          <w:rFonts w:ascii="Times New Roman" w:hAnsi="Times New Roman" w:cs="Times New Roman"/>
        </w:rPr>
        <w:t xml:space="preserve">eturns and </w:t>
      </w:r>
      <w:r w:rsidR="00107E73">
        <w:rPr>
          <w:rFonts w:ascii="Times New Roman" w:hAnsi="Times New Roman" w:cs="Times New Roman"/>
        </w:rPr>
        <w:t>Sentiment I</w:t>
      </w:r>
      <w:r w:rsidR="005A06CB">
        <w:rPr>
          <w:rFonts w:ascii="Times New Roman" w:hAnsi="Times New Roman" w:cs="Times New Roman"/>
        </w:rPr>
        <w:t>ndicators</w:t>
      </w:r>
    </w:p>
    <w:tbl>
      <w:tblPr>
        <w:tblW w:w="6940" w:type="dxa"/>
        <w:jc w:val="center"/>
        <w:tblInd w:w="93" w:type="dxa"/>
        <w:tblLook w:val="04A0"/>
      </w:tblPr>
      <w:tblGrid>
        <w:gridCol w:w="2020"/>
        <w:gridCol w:w="1480"/>
        <w:gridCol w:w="1280"/>
        <w:gridCol w:w="1240"/>
        <w:gridCol w:w="920"/>
      </w:tblGrid>
      <w:tr w:rsidR="005A06CB" w:rsidRPr="00F232B8" w:rsidTr="00D0485F">
        <w:trPr>
          <w:trHeight w:val="270"/>
          <w:jc w:val="center"/>
        </w:trPr>
        <w:tc>
          <w:tcPr>
            <w:tcW w:w="2020" w:type="dxa"/>
            <w:vMerge w:val="restart"/>
            <w:tcBorders>
              <w:top w:val="single" w:sz="4" w:space="0" w:color="auto"/>
              <w:left w:val="nil"/>
              <w:bottom w:val="nil"/>
              <w:right w:val="nil"/>
            </w:tcBorders>
            <w:shd w:val="clear" w:color="auto" w:fill="auto"/>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Nominal Bond Excess Returns</w:t>
            </w:r>
          </w:p>
        </w:tc>
        <w:tc>
          <w:tcPr>
            <w:tcW w:w="2760" w:type="dxa"/>
            <w:gridSpan w:val="2"/>
            <w:tcBorders>
              <w:top w:val="single" w:sz="4" w:space="0" w:color="auto"/>
              <w:left w:val="nil"/>
              <w:bottom w:val="nil"/>
              <w:right w:val="nil"/>
            </w:tcBorders>
            <w:shd w:val="clear" w:color="auto" w:fill="auto"/>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Change in Consumer Confidence</w:t>
            </w:r>
          </w:p>
        </w:tc>
        <w:tc>
          <w:tcPr>
            <w:tcW w:w="2160" w:type="dxa"/>
            <w:gridSpan w:val="2"/>
            <w:tcBorders>
              <w:top w:val="single" w:sz="4" w:space="0" w:color="auto"/>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Change in VIX</w:t>
            </w:r>
          </w:p>
        </w:tc>
      </w:tr>
      <w:tr w:rsidR="005A06CB" w:rsidRPr="00F232B8" w:rsidTr="00D0485F">
        <w:trPr>
          <w:trHeight w:val="240"/>
          <w:jc w:val="center"/>
        </w:trPr>
        <w:tc>
          <w:tcPr>
            <w:tcW w:w="2020" w:type="dxa"/>
            <w:vMerge/>
            <w:tcBorders>
              <w:top w:val="single" w:sz="4" w:space="0" w:color="auto"/>
              <w:left w:val="nil"/>
              <w:bottom w:val="nil"/>
              <w:right w:val="nil"/>
            </w:tcBorders>
            <w:vAlign w:val="center"/>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p>
        </w:tc>
        <w:tc>
          <w:tcPr>
            <w:tcW w:w="148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0000"/>
                <w:sz w:val="20"/>
                <w:szCs w:val="20"/>
              </w:rPr>
            </w:pPr>
            <w:r w:rsidRPr="00F232B8">
              <w:rPr>
                <w:rFonts w:ascii="Times New Roman" w:eastAsia="Times New Roman" w:hAnsi="Times New Roman" w:cs="Times New Roman"/>
                <w:color w:val="000000"/>
                <w:sz w:val="20"/>
                <w:szCs w:val="20"/>
              </w:rPr>
              <w:t>β</w:t>
            </w:r>
          </w:p>
        </w:tc>
        <w:tc>
          <w:tcPr>
            <w:tcW w:w="128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0000"/>
                <w:sz w:val="20"/>
                <w:szCs w:val="20"/>
              </w:rPr>
            </w:pPr>
            <w:r w:rsidRPr="00F232B8">
              <w:rPr>
                <w:rFonts w:ascii="Times New Roman" w:eastAsia="Times New Roman" w:hAnsi="Times New Roman" w:cs="Times New Roman"/>
                <w:color w:val="000000"/>
                <w:sz w:val="20"/>
                <w:szCs w:val="20"/>
              </w:rPr>
              <w:t>t-stat</w:t>
            </w:r>
          </w:p>
        </w:tc>
        <w:tc>
          <w:tcPr>
            <w:tcW w:w="124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0000"/>
                <w:sz w:val="20"/>
                <w:szCs w:val="20"/>
              </w:rPr>
            </w:pPr>
            <w:r w:rsidRPr="00F232B8">
              <w:rPr>
                <w:rFonts w:ascii="Times New Roman" w:eastAsia="Times New Roman" w:hAnsi="Times New Roman" w:cs="Times New Roman"/>
                <w:color w:val="000000"/>
                <w:sz w:val="20"/>
                <w:szCs w:val="20"/>
              </w:rPr>
              <w:t>β</w:t>
            </w:r>
          </w:p>
        </w:tc>
        <w:tc>
          <w:tcPr>
            <w:tcW w:w="92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0000"/>
                <w:sz w:val="20"/>
                <w:szCs w:val="20"/>
              </w:rPr>
            </w:pPr>
            <w:r w:rsidRPr="00F232B8">
              <w:rPr>
                <w:rFonts w:ascii="Times New Roman" w:eastAsia="Times New Roman" w:hAnsi="Times New Roman" w:cs="Times New Roman"/>
                <w:color w:val="000000"/>
                <w:sz w:val="20"/>
                <w:szCs w:val="20"/>
              </w:rPr>
              <w:t>t-stat</w:t>
            </w:r>
          </w:p>
        </w:tc>
      </w:tr>
      <w:tr w:rsidR="005A06CB" w:rsidRPr="00F232B8" w:rsidTr="00D0485F">
        <w:trPr>
          <w:trHeight w:val="225"/>
          <w:jc w:val="center"/>
        </w:trPr>
        <w:tc>
          <w:tcPr>
            <w:tcW w:w="3500" w:type="dxa"/>
            <w:gridSpan w:val="2"/>
            <w:tcBorders>
              <w:top w:val="single" w:sz="4" w:space="0" w:color="auto"/>
              <w:left w:val="nil"/>
              <w:bottom w:val="single" w:sz="4" w:space="0" w:color="auto"/>
              <w:right w:val="nil"/>
            </w:tcBorders>
            <w:shd w:val="clear" w:color="auto" w:fill="auto"/>
            <w:vAlign w:val="center"/>
            <w:hideMark/>
          </w:tcPr>
          <w:p w:rsidR="005A06CB" w:rsidRPr="00F232B8" w:rsidRDefault="005A06CB" w:rsidP="00D0485F">
            <w:pPr>
              <w:spacing w:after="0" w:line="240" w:lineRule="auto"/>
              <w:rPr>
                <w:rFonts w:ascii="Times New Roman" w:eastAsia="Times New Roman" w:hAnsi="Times New Roman" w:cs="Times New Roman"/>
                <w:i/>
                <w:iCs/>
                <w:color w:val="291C00"/>
                <w:sz w:val="20"/>
                <w:szCs w:val="20"/>
              </w:rPr>
            </w:pPr>
            <w:r w:rsidRPr="00F232B8">
              <w:rPr>
                <w:rFonts w:ascii="Times New Roman" w:eastAsia="Times New Roman" w:hAnsi="Times New Roman" w:cs="Times New Roman"/>
                <w:i/>
                <w:iCs/>
                <w:color w:val="291C00"/>
                <w:sz w:val="20"/>
                <w:szCs w:val="20"/>
              </w:rPr>
              <w:t>US indicator</w:t>
            </w:r>
          </w:p>
        </w:tc>
        <w:tc>
          <w:tcPr>
            <w:tcW w:w="1280" w:type="dxa"/>
            <w:tcBorders>
              <w:top w:val="nil"/>
              <w:left w:val="nil"/>
              <w:bottom w:val="single" w:sz="4" w:space="0" w:color="auto"/>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 </w:t>
            </w:r>
          </w:p>
        </w:tc>
        <w:tc>
          <w:tcPr>
            <w:tcW w:w="1240" w:type="dxa"/>
            <w:tcBorders>
              <w:top w:val="nil"/>
              <w:left w:val="nil"/>
              <w:bottom w:val="single" w:sz="4" w:space="0" w:color="auto"/>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 </w:t>
            </w:r>
          </w:p>
        </w:tc>
        <w:tc>
          <w:tcPr>
            <w:tcW w:w="920" w:type="dxa"/>
            <w:tcBorders>
              <w:top w:val="nil"/>
              <w:left w:val="nil"/>
              <w:bottom w:val="single" w:sz="4" w:space="0" w:color="auto"/>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 </w:t>
            </w:r>
          </w:p>
        </w:tc>
      </w:tr>
      <w:tr w:rsidR="005A06CB" w:rsidRPr="00F232B8" w:rsidTr="00D0485F">
        <w:trPr>
          <w:trHeight w:val="240"/>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Australia</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-0.0002</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-0.56</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0.0020</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4.52</w:t>
            </w:r>
          </w:p>
        </w:tc>
      </w:tr>
      <w:tr w:rsidR="005A06CB" w:rsidRPr="00F232B8" w:rsidTr="00D0485F">
        <w:trPr>
          <w:trHeight w:val="255"/>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Canada</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-0.0018</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A2BD"/>
                <w:sz w:val="20"/>
                <w:szCs w:val="20"/>
              </w:rPr>
            </w:pPr>
            <w:r w:rsidRPr="00F232B8">
              <w:rPr>
                <w:rFonts w:ascii="Times New Roman" w:eastAsia="Times New Roman" w:hAnsi="Times New Roman" w:cs="Times New Roman"/>
                <w:color w:val="00A2BD"/>
                <w:sz w:val="20"/>
                <w:szCs w:val="20"/>
              </w:rPr>
              <w:t>-1.83</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0.0014</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2.80</w:t>
            </w:r>
          </w:p>
        </w:tc>
      </w:tr>
      <w:tr w:rsidR="005A06CB" w:rsidRPr="00F232B8" w:rsidTr="00D0485F">
        <w:trPr>
          <w:trHeight w:val="240"/>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Germany</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-0.0008</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-1.62</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0.0017</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4.16</w:t>
            </w:r>
          </w:p>
        </w:tc>
      </w:tr>
      <w:tr w:rsidR="005A06CB" w:rsidRPr="00F232B8" w:rsidTr="00D0485F">
        <w:trPr>
          <w:trHeight w:val="255"/>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Japan</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-0.0010</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00A2BD"/>
                <w:sz w:val="20"/>
                <w:szCs w:val="20"/>
              </w:rPr>
            </w:pPr>
            <w:r w:rsidRPr="00F232B8">
              <w:rPr>
                <w:rFonts w:ascii="Times New Roman" w:eastAsia="Times New Roman" w:hAnsi="Times New Roman" w:cs="Times New Roman"/>
                <w:color w:val="00A2BD"/>
                <w:sz w:val="20"/>
                <w:szCs w:val="20"/>
              </w:rPr>
              <w:t>-1.89</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0.0007</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1.58</w:t>
            </w:r>
          </w:p>
        </w:tc>
      </w:tr>
      <w:tr w:rsidR="005A06CB" w:rsidRPr="00F232B8" w:rsidTr="00D0485F">
        <w:trPr>
          <w:trHeight w:val="240"/>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United Kingdom</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-0.0005</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-0.88</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0.0020</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3.50</w:t>
            </w:r>
          </w:p>
        </w:tc>
      </w:tr>
      <w:tr w:rsidR="005A06CB" w:rsidRPr="00F232B8" w:rsidTr="00D0485F">
        <w:trPr>
          <w:trHeight w:val="240"/>
          <w:jc w:val="center"/>
        </w:trPr>
        <w:tc>
          <w:tcPr>
            <w:tcW w:w="2020" w:type="dxa"/>
            <w:tcBorders>
              <w:top w:val="nil"/>
              <w:left w:val="nil"/>
              <w:bottom w:val="nil"/>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United States</w:t>
            </w:r>
          </w:p>
        </w:tc>
        <w:tc>
          <w:tcPr>
            <w:tcW w:w="14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-0.0022</w:t>
            </w:r>
          </w:p>
        </w:tc>
        <w:tc>
          <w:tcPr>
            <w:tcW w:w="128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-2.65</w:t>
            </w:r>
          </w:p>
        </w:tc>
        <w:tc>
          <w:tcPr>
            <w:tcW w:w="124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0.0024</w:t>
            </w:r>
          </w:p>
        </w:tc>
        <w:tc>
          <w:tcPr>
            <w:tcW w:w="920" w:type="dxa"/>
            <w:tcBorders>
              <w:top w:val="nil"/>
              <w:left w:val="nil"/>
              <w:bottom w:val="nil"/>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6.16</w:t>
            </w:r>
          </w:p>
        </w:tc>
      </w:tr>
      <w:tr w:rsidR="005A06CB" w:rsidRPr="00F232B8" w:rsidTr="00D0485F">
        <w:trPr>
          <w:trHeight w:val="225"/>
          <w:jc w:val="center"/>
        </w:trPr>
        <w:tc>
          <w:tcPr>
            <w:tcW w:w="2020" w:type="dxa"/>
            <w:tcBorders>
              <w:top w:val="nil"/>
              <w:left w:val="nil"/>
              <w:bottom w:val="single" w:sz="4" w:space="0" w:color="auto"/>
              <w:right w:val="nil"/>
            </w:tcBorders>
            <w:shd w:val="clear" w:color="auto" w:fill="auto"/>
            <w:noWrap/>
            <w:vAlign w:val="bottom"/>
            <w:hideMark/>
          </w:tcPr>
          <w:p w:rsidR="005A06CB" w:rsidRPr="00F232B8" w:rsidRDefault="005A06CB" w:rsidP="00D0485F">
            <w:pPr>
              <w:spacing w:after="0" w:line="240" w:lineRule="auto"/>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Developed (6)</w:t>
            </w:r>
          </w:p>
        </w:tc>
        <w:tc>
          <w:tcPr>
            <w:tcW w:w="148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-0.0011</w:t>
            </w:r>
          </w:p>
        </w:tc>
        <w:tc>
          <w:tcPr>
            <w:tcW w:w="128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-2.03</w:t>
            </w:r>
          </w:p>
        </w:tc>
        <w:tc>
          <w:tcPr>
            <w:tcW w:w="124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color w:val="291C00"/>
                <w:sz w:val="20"/>
                <w:szCs w:val="20"/>
              </w:rPr>
            </w:pPr>
            <w:r w:rsidRPr="00F232B8">
              <w:rPr>
                <w:rFonts w:ascii="Times New Roman" w:eastAsia="Times New Roman" w:hAnsi="Times New Roman" w:cs="Times New Roman"/>
                <w:color w:val="291C00"/>
                <w:sz w:val="20"/>
                <w:szCs w:val="20"/>
              </w:rPr>
              <w:t>0.0017</w:t>
            </w:r>
          </w:p>
        </w:tc>
        <w:tc>
          <w:tcPr>
            <w:tcW w:w="920" w:type="dxa"/>
            <w:tcBorders>
              <w:top w:val="nil"/>
              <w:left w:val="nil"/>
              <w:bottom w:val="single" w:sz="4" w:space="0" w:color="auto"/>
              <w:right w:val="nil"/>
            </w:tcBorders>
            <w:shd w:val="clear" w:color="auto" w:fill="auto"/>
            <w:noWrap/>
            <w:vAlign w:val="center"/>
            <w:hideMark/>
          </w:tcPr>
          <w:p w:rsidR="005A06CB" w:rsidRPr="00F232B8" w:rsidRDefault="005A06CB" w:rsidP="00D0485F">
            <w:pPr>
              <w:spacing w:after="0" w:line="240" w:lineRule="auto"/>
              <w:jc w:val="center"/>
              <w:rPr>
                <w:rFonts w:ascii="Times New Roman" w:eastAsia="Times New Roman" w:hAnsi="Times New Roman" w:cs="Times New Roman"/>
                <w:b/>
                <w:bCs/>
                <w:color w:val="291C00"/>
                <w:sz w:val="20"/>
                <w:szCs w:val="20"/>
              </w:rPr>
            </w:pPr>
            <w:r w:rsidRPr="00F232B8">
              <w:rPr>
                <w:rFonts w:ascii="Times New Roman" w:eastAsia="Times New Roman" w:hAnsi="Times New Roman" w:cs="Times New Roman"/>
                <w:b/>
                <w:bCs/>
                <w:color w:val="291C00"/>
                <w:sz w:val="20"/>
                <w:szCs w:val="20"/>
              </w:rPr>
              <w:t>4.60</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Pr>
          <w:rFonts w:ascii="Times New Roman" w:hAnsi="Times New Roman" w:cs="Times New Roman"/>
          <w:sz w:val="18"/>
          <w:szCs w:val="18"/>
        </w:rPr>
        <w:t xml:space="preserve"> </w:t>
      </w:r>
      <w:r w:rsidRPr="001221C6">
        <w:rPr>
          <w:rFonts w:ascii="Times New Roman" w:hAnsi="Times New Roman" w:cs="Times New Roman"/>
          <w:sz w:val="18"/>
          <w:szCs w:val="18"/>
        </w:rPr>
        <w:t>+</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w:t>
      </w:r>
      <w:r>
        <w:rPr>
          <w:rFonts w:ascii="Times New Roman" w:hAnsi="Times New Roman" w:cs="Times New Roman"/>
          <w:sz w:val="18"/>
          <w:szCs w:val="18"/>
        </w:rPr>
        <w:t xml:space="preserve">are </w:t>
      </w:r>
      <w:r w:rsidRPr="00AA5B53">
        <w:rPr>
          <w:rFonts w:ascii="Times New Roman" w:hAnsi="Times New Roman" w:cs="Times New Roman"/>
          <w:sz w:val="18"/>
          <w:szCs w:val="18"/>
        </w:rPr>
        <w:t xml:space="preserve">Nominal Bond Excess Returns </w:t>
      </w:r>
      <w:r>
        <w:rPr>
          <w:rFonts w:ascii="Times New Roman" w:hAnsi="Times New Roman" w:cs="Times New Roman"/>
          <w:sz w:val="18"/>
          <w:szCs w:val="18"/>
        </w:rPr>
        <w:t xml:space="preserve">based on an extended sample of </w:t>
      </w:r>
      <w:r w:rsidRPr="00AA5B53">
        <w:rPr>
          <w:rFonts w:ascii="Times New Roman" w:hAnsi="Times New Roman" w:cs="Times New Roman"/>
          <w:sz w:val="18"/>
          <w:szCs w:val="18"/>
        </w:rPr>
        <w:t>JP Morgan</w:t>
      </w:r>
      <w:r>
        <w:rPr>
          <w:rFonts w:ascii="Times New Roman" w:hAnsi="Times New Roman" w:cs="Times New Roman"/>
          <w:sz w:val="18"/>
          <w:szCs w:val="18"/>
        </w:rPr>
        <w:t xml:space="preserve"> total returns indices for the period 1975-2013, while</w:t>
      </w:r>
      <w:r w:rsidRPr="001221C6">
        <w:rPr>
          <w:rFonts w:ascii="Times New Roman" w:hAnsi="Times New Roman" w:cs="Times New Roman"/>
          <w:sz w:val="18"/>
          <w:szCs w:val="18"/>
        </w:rPr>
        <w:t xml:space="preserve"> X is the</w:t>
      </w:r>
      <w:r>
        <w:rPr>
          <w:rFonts w:ascii="Times New Roman" w:hAnsi="Times New Roman" w:cs="Times New Roman"/>
          <w:sz w:val="18"/>
          <w:szCs w:val="18"/>
        </w:rPr>
        <w:t xml:space="preserve"> change in US consumer confidence (left panel) and change in VIX (right panel). The analysis is conducted at quarterly frequency. Developed stands for an equally-weighted portfolio made up of all six countries</w:t>
      </w:r>
      <w:r w:rsidR="00107E73">
        <w:rPr>
          <w:rFonts w:ascii="Times New Roman" w:hAnsi="Times New Roman" w:cs="Times New Roman"/>
          <w:sz w:val="18"/>
          <w:szCs w:val="18"/>
        </w:rPr>
        <w:t>, provided data are available</w:t>
      </w:r>
      <w:r>
        <w:rPr>
          <w:rFonts w:ascii="Times New Roman" w:hAnsi="Times New Roman" w:cs="Times New Roman"/>
          <w:sz w:val="18"/>
          <w:szCs w:val="18"/>
        </w:rPr>
        <w:t xml:space="preserve">. </w:t>
      </w:r>
      <w:r w:rsidR="00962E47">
        <w:rPr>
          <w:rFonts w:ascii="Times New Roman" w:hAnsi="Times New Roman" w:cs="Times New Roman"/>
          <w:sz w:val="18"/>
          <w:szCs w:val="18"/>
        </w:rPr>
        <w:t xml:space="preserve">Details about the sample can be found in Table A.12 and A.13 from the Appendix A. </w:t>
      </w:r>
      <w:r>
        <w:rPr>
          <w:rFonts w:ascii="Times New Roman" w:hAnsi="Times New Roman" w:cs="Times New Roman"/>
          <w:sz w:val="18"/>
          <w:szCs w:val="18"/>
        </w:rPr>
        <w:t xml:space="preserve">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00A2BD"/>
          <w:sz w:val="18"/>
          <w:szCs w:val="18"/>
        </w:rPr>
        <w:t>Blue</w:t>
      </w:r>
      <w:r>
        <w:rPr>
          <w:rFonts w:ascii="Times New Roman" w:hAnsi="Times New Roman" w:cs="Times New Roman"/>
          <w:sz w:val="18"/>
          <w:szCs w:val="18"/>
        </w:rPr>
        <w:t xml:space="preserve"> at 10% significance level.</w:t>
      </w:r>
    </w:p>
    <w:p w:rsidR="005A06CB" w:rsidRDefault="005A06CB" w:rsidP="005A06CB">
      <w:pPr>
        <w:spacing w:after="0" w:line="360" w:lineRule="auto"/>
        <w:jc w:val="both"/>
        <w:rPr>
          <w:rFonts w:ascii="Times New Roman" w:hAnsi="Times New Roman" w:cs="Times New Roman"/>
        </w:rPr>
      </w:pP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The seasonality in consumer confidence changes and VIX changes are not able to fully explain the seasonality in bond</w:t>
      </w:r>
      <w:r w:rsidR="00962E47">
        <w:rPr>
          <w:rFonts w:ascii="Times New Roman" w:hAnsi="Times New Roman" w:cs="Times New Roman"/>
        </w:rPr>
        <w:t xml:space="preserve"> returns, as depicted in Table 4.25</w:t>
      </w:r>
      <w:r>
        <w:rPr>
          <w:rFonts w:ascii="Times New Roman" w:hAnsi="Times New Roman" w:cs="Times New Roman"/>
        </w:rPr>
        <w:t xml:space="preserve"> below. Thus, the explanation that the seasonality in sentiment indicators is the driver of H1 H2 pattern is ruled out. Nevertheless, the bond returns corre</w:t>
      </w:r>
      <w:r w:rsidR="00962E47">
        <w:rPr>
          <w:rFonts w:ascii="Times New Roman" w:hAnsi="Times New Roman" w:cs="Times New Roman"/>
        </w:rPr>
        <w:t>cted for the seasonal pattern by each</w:t>
      </w:r>
      <w:r>
        <w:rPr>
          <w:rFonts w:ascii="Times New Roman" w:hAnsi="Times New Roman" w:cs="Times New Roman"/>
        </w:rPr>
        <w:t xml:space="preserve"> sentiment indicators loose the seasonal pattern for some countries and show in general lower t-stats.</w:t>
      </w:r>
    </w:p>
    <w:p w:rsidR="005A06CB" w:rsidRDefault="005A06CB" w:rsidP="005A06CB">
      <w:pPr>
        <w:spacing w:after="0" w:line="360" w:lineRule="auto"/>
        <w:jc w:val="both"/>
        <w:rPr>
          <w:rFonts w:ascii="Times New Roman" w:hAnsi="Times New Roman" w:cs="Times New Roman"/>
        </w:rPr>
      </w:pPr>
    </w:p>
    <w:p w:rsidR="005A06CB" w:rsidRDefault="009C2309" w:rsidP="005A06CB">
      <w:pPr>
        <w:jc w:val="center"/>
        <w:rPr>
          <w:rFonts w:ascii="Times New Roman" w:hAnsi="Times New Roman" w:cs="Times New Roman"/>
        </w:rPr>
      </w:pPr>
      <w:r>
        <w:rPr>
          <w:rFonts w:ascii="Times New Roman" w:hAnsi="Times New Roman" w:cs="Times New Roman"/>
        </w:rPr>
        <w:t>Table 4.25</w:t>
      </w:r>
      <w:r w:rsidR="00107E73">
        <w:rPr>
          <w:rFonts w:ascii="Times New Roman" w:hAnsi="Times New Roman" w:cs="Times New Roman"/>
        </w:rPr>
        <w:t>: Seasonality in Corrected Bond R</w:t>
      </w:r>
      <w:r w:rsidR="005A06CB">
        <w:rPr>
          <w:rFonts w:ascii="Times New Roman" w:hAnsi="Times New Roman" w:cs="Times New Roman"/>
        </w:rPr>
        <w:t>eturns</w:t>
      </w:r>
    </w:p>
    <w:tbl>
      <w:tblPr>
        <w:tblW w:w="6240" w:type="dxa"/>
        <w:jc w:val="center"/>
        <w:tblInd w:w="93" w:type="dxa"/>
        <w:tblLook w:val="04A0"/>
      </w:tblPr>
      <w:tblGrid>
        <w:gridCol w:w="1740"/>
        <w:gridCol w:w="2500"/>
        <w:gridCol w:w="2000"/>
      </w:tblGrid>
      <w:tr w:rsidR="005A06CB" w:rsidRPr="00800C74" w:rsidTr="00D0485F">
        <w:trPr>
          <w:trHeight w:val="420"/>
          <w:jc w:val="center"/>
        </w:trPr>
        <w:tc>
          <w:tcPr>
            <w:tcW w:w="1740" w:type="dxa"/>
            <w:vMerge w:val="restart"/>
            <w:tcBorders>
              <w:top w:val="single" w:sz="4" w:space="0" w:color="auto"/>
              <w:left w:val="nil"/>
              <w:bottom w:val="nil"/>
              <w:right w:val="nil"/>
            </w:tcBorders>
            <w:shd w:val="clear" w:color="auto" w:fill="auto"/>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 xml:space="preserve">Bond Returns corrected </w:t>
            </w:r>
            <w:r w:rsidR="00962E47">
              <w:rPr>
                <w:rFonts w:ascii="Times New Roman" w:eastAsia="Times New Roman" w:hAnsi="Times New Roman" w:cs="Times New Roman"/>
                <w:color w:val="291C00"/>
                <w:sz w:val="20"/>
                <w:szCs w:val="20"/>
              </w:rPr>
              <w:t>by</w:t>
            </w:r>
          </w:p>
        </w:tc>
        <w:tc>
          <w:tcPr>
            <w:tcW w:w="2500" w:type="dxa"/>
            <w:tcBorders>
              <w:top w:val="single" w:sz="4" w:space="0" w:color="auto"/>
              <w:left w:val="nil"/>
              <w:bottom w:val="nil"/>
              <w:right w:val="nil"/>
            </w:tcBorders>
            <w:shd w:val="clear" w:color="auto" w:fill="auto"/>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Change in Consumer Confidence</w:t>
            </w:r>
          </w:p>
        </w:tc>
        <w:tc>
          <w:tcPr>
            <w:tcW w:w="2000" w:type="dxa"/>
            <w:tcBorders>
              <w:top w:val="single" w:sz="4" w:space="0" w:color="auto"/>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Change in VIX</w:t>
            </w:r>
          </w:p>
        </w:tc>
      </w:tr>
      <w:tr w:rsidR="005A06CB" w:rsidRPr="00800C74" w:rsidTr="00D0485F">
        <w:trPr>
          <w:trHeight w:val="255"/>
          <w:jc w:val="center"/>
        </w:trPr>
        <w:tc>
          <w:tcPr>
            <w:tcW w:w="1740" w:type="dxa"/>
            <w:vMerge/>
            <w:tcBorders>
              <w:top w:val="single" w:sz="4" w:space="0" w:color="auto"/>
              <w:left w:val="nil"/>
              <w:bottom w:val="nil"/>
              <w:right w:val="nil"/>
            </w:tcBorders>
            <w:vAlign w:val="center"/>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p>
        </w:tc>
        <w:tc>
          <w:tcPr>
            <w:tcW w:w="2500" w:type="dxa"/>
            <w:tcBorders>
              <w:top w:val="nil"/>
              <w:left w:val="nil"/>
              <w:bottom w:val="single" w:sz="4" w:space="0" w:color="auto"/>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000000"/>
                <w:sz w:val="20"/>
                <w:szCs w:val="20"/>
              </w:rPr>
            </w:pPr>
            <w:r w:rsidRPr="00800C74">
              <w:rPr>
                <w:rFonts w:ascii="Times New Roman" w:eastAsia="Times New Roman" w:hAnsi="Times New Roman" w:cs="Times New Roman"/>
                <w:color w:val="000000"/>
                <w:sz w:val="20"/>
                <w:szCs w:val="20"/>
              </w:rPr>
              <w:t xml:space="preserve">H1 H2 </w:t>
            </w:r>
          </w:p>
        </w:tc>
        <w:tc>
          <w:tcPr>
            <w:tcW w:w="2000" w:type="dxa"/>
            <w:tcBorders>
              <w:top w:val="nil"/>
              <w:left w:val="nil"/>
              <w:bottom w:val="single" w:sz="4" w:space="0" w:color="auto"/>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000000"/>
                <w:sz w:val="20"/>
                <w:szCs w:val="20"/>
              </w:rPr>
            </w:pPr>
            <w:r w:rsidRPr="00800C74">
              <w:rPr>
                <w:rFonts w:ascii="Times New Roman" w:eastAsia="Times New Roman" w:hAnsi="Times New Roman" w:cs="Times New Roman"/>
                <w:color w:val="000000"/>
                <w:sz w:val="20"/>
                <w:szCs w:val="20"/>
              </w:rPr>
              <w:t xml:space="preserve">H1 H2 </w:t>
            </w:r>
          </w:p>
        </w:tc>
      </w:tr>
      <w:tr w:rsidR="005A06CB" w:rsidRPr="00800C74" w:rsidTr="00D0485F">
        <w:trPr>
          <w:trHeight w:val="270"/>
          <w:jc w:val="center"/>
        </w:trPr>
        <w:tc>
          <w:tcPr>
            <w:tcW w:w="4240" w:type="dxa"/>
            <w:gridSpan w:val="2"/>
            <w:tcBorders>
              <w:top w:val="single" w:sz="4" w:space="0" w:color="auto"/>
              <w:left w:val="nil"/>
              <w:bottom w:val="single" w:sz="4" w:space="0" w:color="auto"/>
              <w:right w:val="nil"/>
            </w:tcBorders>
            <w:shd w:val="clear" w:color="auto" w:fill="auto"/>
            <w:vAlign w:val="center"/>
            <w:hideMark/>
          </w:tcPr>
          <w:p w:rsidR="005A06CB" w:rsidRPr="00800C74" w:rsidRDefault="005A06CB" w:rsidP="00D0485F">
            <w:pPr>
              <w:spacing w:after="0" w:line="240" w:lineRule="auto"/>
              <w:rPr>
                <w:rFonts w:ascii="Times New Roman" w:eastAsia="Times New Roman" w:hAnsi="Times New Roman" w:cs="Times New Roman"/>
                <w:i/>
                <w:iCs/>
                <w:color w:val="291C00"/>
                <w:sz w:val="20"/>
                <w:szCs w:val="20"/>
              </w:rPr>
            </w:pPr>
            <w:r w:rsidRPr="00800C74">
              <w:rPr>
                <w:rFonts w:ascii="Times New Roman" w:eastAsia="Times New Roman" w:hAnsi="Times New Roman" w:cs="Times New Roman"/>
                <w:i/>
                <w:iCs/>
                <w:color w:val="291C00"/>
                <w:sz w:val="20"/>
                <w:szCs w:val="20"/>
              </w:rPr>
              <w:t>Quarterly frequency</w:t>
            </w:r>
          </w:p>
        </w:tc>
        <w:tc>
          <w:tcPr>
            <w:tcW w:w="2000" w:type="dxa"/>
            <w:tcBorders>
              <w:top w:val="nil"/>
              <w:left w:val="nil"/>
              <w:bottom w:val="single" w:sz="4" w:space="0" w:color="auto"/>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 </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Australia</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1.63</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1.03</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Canada</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1.56</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b/>
                <w:bCs/>
                <w:color w:val="291C00"/>
                <w:sz w:val="20"/>
                <w:szCs w:val="20"/>
              </w:rPr>
            </w:pPr>
            <w:r w:rsidRPr="00800C74">
              <w:rPr>
                <w:rFonts w:ascii="Times New Roman" w:eastAsia="Times New Roman" w:hAnsi="Times New Roman" w:cs="Times New Roman"/>
                <w:b/>
                <w:bCs/>
                <w:color w:val="291C00"/>
                <w:sz w:val="20"/>
                <w:szCs w:val="20"/>
              </w:rPr>
              <w:t>1.99</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Germany</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b/>
                <w:bCs/>
                <w:color w:val="291C00"/>
                <w:sz w:val="20"/>
                <w:szCs w:val="20"/>
              </w:rPr>
            </w:pPr>
            <w:r w:rsidRPr="00800C74">
              <w:rPr>
                <w:rFonts w:ascii="Times New Roman" w:eastAsia="Times New Roman" w:hAnsi="Times New Roman" w:cs="Times New Roman"/>
                <w:b/>
                <w:bCs/>
                <w:color w:val="291C00"/>
                <w:sz w:val="20"/>
                <w:szCs w:val="20"/>
              </w:rPr>
              <w:t>2.35</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1.33</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Japan</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1.33</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0.60</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United Kingdom</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1.63</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b/>
                <w:bCs/>
                <w:color w:val="291C00"/>
                <w:sz w:val="20"/>
                <w:szCs w:val="20"/>
              </w:rPr>
            </w:pPr>
            <w:r w:rsidRPr="00800C74">
              <w:rPr>
                <w:rFonts w:ascii="Times New Roman" w:eastAsia="Times New Roman" w:hAnsi="Times New Roman" w:cs="Times New Roman"/>
                <w:b/>
                <w:bCs/>
                <w:color w:val="291C00"/>
                <w:sz w:val="20"/>
                <w:szCs w:val="20"/>
              </w:rPr>
              <w:t>2.54</w:t>
            </w:r>
          </w:p>
        </w:tc>
      </w:tr>
      <w:tr w:rsidR="005A06CB" w:rsidRPr="00800C74" w:rsidTr="00D0485F">
        <w:trPr>
          <w:trHeight w:val="255"/>
          <w:jc w:val="center"/>
        </w:trPr>
        <w:tc>
          <w:tcPr>
            <w:tcW w:w="1740" w:type="dxa"/>
            <w:tcBorders>
              <w:top w:val="nil"/>
              <w:left w:val="nil"/>
              <w:bottom w:val="nil"/>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United States</w:t>
            </w:r>
          </w:p>
        </w:tc>
        <w:tc>
          <w:tcPr>
            <w:tcW w:w="25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0.96</w:t>
            </w:r>
          </w:p>
        </w:tc>
        <w:tc>
          <w:tcPr>
            <w:tcW w:w="2000" w:type="dxa"/>
            <w:tcBorders>
              <w:top w:val="nil"/>
              <w:left w:val="nil"/>
              <w:bottom w:val="nil"/>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0.97</w:t>
            </w:r>
          </w:p>
        </w:tc>
      </w:tr>
      <w:tr w:rsidR="005A06CB" w:rsidRPr="00800C74" w:rsidTr="00D0485F">
        <w:trPr>
          <w:trHeight w:val="255"/>
          <w:jc w:val="center"/>
        </w:trPr>
        <w:tc>
          <w:tcPr>
            <w:tcW w:w="1740" w:type="dxa"/>
            <w:tcBorders>
              <w:top w:val="nil"/>
              <w:left w:val="nil"/>
              <w:bottom w:val="single" w:sz="4" w:space="0" w:color="auto"/>
              <w:right w:val="nil"/>
            </w:tcBorders>
            <w:shd w:val="clear" w:color="auto" w:fill="auto"/>
            <w:noWrap/>
            <w:vAlign w:val="bottom"/>
            <w:hideMark/>
          </w:tcPr>
          <w:p w:rsidR="005A06CB" w:rsidRPr="00800C74" w:rsidRDefault="005A06CB" w:rsidP="00D0485F">
            <w:pPr>
              <w:spacing w:after="0" w:line="240" w:lineRule="auto"/>
              <w:rPr>
                <w:rFonts w:ascii="Times New Roman" w:eastAsia="Times New Roman" w:hAnsi="Times New Roman" w:cs="Times New Roman"/>
                <w:color w:val="291C00"/>
                <w:sz w:val="20"/>
                <w:szCs w:val="20"/>
              </w:rPr>
            </w:pPr>
            <w:r w:rsidRPr="00800C74">
              <w:rPr>
                <w:rFonts w:ascii="Times New Roman" w:eastAsia="Times New Roman" w:hAnsi="Times New Roman" w:cs="Times New Roman"/>
                <w:color w:val="291C00"/>
                <w:sz w:val="20"/>
                <w:szCs w:val="20"/>
              </w:rPr>
              <w:t>Developed (6)</w:t>
            </w:r>
          </w:p>
        </w:tc>
        <w:tc>
          <w:tcPr>
            <w:tcW w:w="2500" w:type="dxa"/>
            <w:tcBorders>
              <w:top w:val="nil"/>
              <w:left w:val="nil"/>
              <w:bottom w:val="single" w:sz="4" w:space="0" w:color="auto"/>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00A2BD"/>
                <w:sz w:val="20"/>
                <w:szCs w:val="20"/>
              </w:rPr>
            </w:pPr>
            <w:r w:rsidRPr="00800C74">
              <w:rPr>
                <w:rFonts w:ascii="Times New Roman" w:eastAsia="Times New Roman" w:hAnsi="Times New Roman" w:cs="Times New Roman"/>
                <w:color w:val="00A2BD"/>
                <w:sz w:val="20"/>
                <w:szCs w:val="20"/>
              </w:rPr>
              <w:t>1.94</w:t>
            </w:r>
          </w:p>
        </w:tc>
        <w:tc>
          <w:tcPr>
            <w:tcW w:w="2000" w:type="dxa"/>
            <w:tcBorders>
              <w:top w:val="nil"/>
              <w:left w:val="nil"/>
              <w:bottom w:val="single" w:sz="4" w:space="0" w:color="auto"/>
              <w:right w:val="nil"/>
            </w:tcBorders>
            <w:shd w:val="clear" w:color="auto" w:fill="auto"/>
            <w:noWrap/>
            <w:vAlign w:val="center"/>
            <w:hideMark/>
          </w:tcPr>
          <w:p w:rsidR="005A06CB" w:rsidRPr="00800C74" w:rsidRDefault="005A06CB" w:rsidP="00D0485F">
            <w:pPr>
              <w:spacing w:after="0" w:line="240" w:lineRule="auto"/>
              <w:jc w:val="center"/>
              <w:rPr>
                <w:rFonts w:ascii="Times New Roman" w:eastAsia="Times New Roman" w:hAnsi="Times New Roman" w:cs="Times New Roman"/>
                <w:color w:val="00A2BD"/>
                <w:sz w:val="20"/>
                <w:szCs w:val="20"/>
              </w:rPr>
            </w:pPr>
            <w:r w:rsidRPr="00800C74">
              <w:rPr>
                <w:rFonts w:ascii="Times New Roman" w:eastAsia="Times New Roman" w:hAnsi="Times New Roman" w:cs="Times New Roman"/>
                <w:color w:val="00A2BD"/>
                <w:sz w:val="20"/>
                <w:szCs w:val="20"/>
              </w:rPr>
              <w:t>1.77</w:t>
            </w:r>
          </w:p>
        </w:tc>
      </w:tr>
    </w:tbl>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i/>
          <w:sz w:val="18"/>
          <w:szCs w:val="18"/>
        </w:rPr>
        <w:t>Notes</w:t>
      </w:r>
      <w:r w:rsidRPr="00CE22F6">
        <w:rPr>
          <w:rFonts w:ascii="Times New Roman" w:hAnsi="Times New Roman" w:cs="Times New Roman"/>
          <w:sz w:val="18"/>
          <w:szCs w:val="18"/>
        </w:rPr>
        <w:t xml:space="preserve">: This table shows t-values based on Newey-West standard errors for the β in the regression </w:t>
      </w:r>
    </w:p>
    <w:p w:rsidR="005A06CB" w:rsidRPr="00CE22F6" w:rsidRDefault="005A06CB" w:rsidP="005A06CB">
      <w:pPr>
        <w:pStyle w:val="NoSpacing"/>
        <w:jc w:val="both"/>
        <w:rPr>
          <w:rFonts w:ascii="Times New Roman" w:hAnsi="Times New Roman" w:cs="Times New Roman"/>
          <w:sz w:val="18"/>
          <w:szCs w:val="18"/>
        </w:rPr>
      </w:pP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r>
      <w:r w:rsidRPr="00CE22F6">
        <w:rPr>
          <w:rFonts w:ascii="Times New Roman" w:hAnsi="Times New Roman" w:cs="Times New Roman"/>
          <w:sz w:val="18"/>
          <w:szCs w:val="18"/>
        </w:rPr>
        <w:tab/>
        <w:t>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α + βX</w:t>
      </w:r>
      <w:r w:rsidRPr="00CE22F6">
        <w:rPr>
          <w:rFonts w:ascii="Times New Roman" w:hAnsi="Times New Roman" w:cs="Times New Roman"/>
          <w:sz w:val="18"/>
          <w:szCs w:val="18"/>
          <w:vertAlign w:val="subscript"/>
        </w:rPr>
        <w:t>t</w:t>
      </w:r>
      <w:r w:rsidRPr="00CE22F6">
        <w:rPr>
          <w:rFonts w:ascii="Times New Roman" w:hAnsi="Times New Roman" w:cs="Times New Roman"/>
          <w:sz w:val="18"/>
          <w:szCs w:val="18"/>
        </w:rPr>
        <w:t xml:space="preserve"> + ε</w:t>
      </w:r>
      <w:r w:rsidRPr="00CE22F6">
        <w:rPr>
          <w:rFonts w:ascii="Times New Roman" w:hAnsi="Times New Roman" w:cs="Times New Roman"/>
          <w:sz w:val="18"/>
          <w:szCs w:val="18"/>
          <w:vertAlign w:val="subscript"/>
        </w:rPr>
        <w:t>t</w:t>
      </w:r>
    </w:p>
    <w:p w:rsidR="005A06CB" w:rsidRDefault="005A06CB" w:rsidP="005A06CB">
      <w:pPr>
        <w:pStyle w:val="NoSpacing"/>
        <w:spacing w:after="240"/>
        <w:jc w:val="both"/>
        <w:rPr>
          <w:rFonts w:ascii="Times New Roman" w:hAnsi="Times New Roman" w:cs="Times New Roman"/>
          <w:sz w:val="18"/>
          <w:szCs w:val="18"/>
        </w:rPr>
      </w:pPr>
      <w:r w:rsidRPr="00CE22F6">
        <w:rPr>
          <w:rFonts w:ascii="Times New Roman" w:hAnsi="Times New Roman" w:cs="Times New Roman"/>
          <w:sz w:val="18"/>
          <w:szCs w:val="18"/>
        </w:rPr>
        <w:t>where Y</w:t>
      </w:r>
      <w:r w:rsidRPr="00CE22F6">
        <w:rPr>
          <w:rFonts w:ascii="Times New Roman" w:hAnsi="Times New Roman" w:cs="Times New Roman"/>
          <w:sz w:val="18"/>
          <w:szCs w:val="18"/>
          <w:vertAlign w:val="superscript"/>
        </w:rPr>
        <w:t>e</w:t>
      </w:r>
      <w:r w:rsidRPr="00CE22F6">
        <w:rPr>
          <w:rFonts w:ascii="Times New Roman" w:hAnsi="Times New Roman" w:cs="Times New Roman"/>
          <w:sz w:val="18"/>
          <w:szCs w:val="18"/>
        </w:rPr>
        <w:t xml:space="preserve"> are residual bond</w:t>
      </w:r>
      <w:r w:rsidR="00962E47">
        <w:rPr>
          <w:rFonts w:ascii="Times New Roman" w:hAnsi="Times New Roman" w:cs="Times New Roman"/>
          <w:sz w:val="18"/>
          <w:szCs w:val="18"/>
        </w:rPr>
        <w:t xml:space="preserve"> excess</w:t>
      </w:r>
      <w:r w:rsidRPr="00CE22F6">
        <w:rPr>
          <w:rFonts w:ascii="Times New Roman" w:hAnsi="Times New Roman" w:cs="Times New Roman"/>
          <w:sz w:val="18"/>
          <w:szCs w:val="18"/>
        </w:rPr>
        <w:t xml:space="preserve"> returns from the regression of </w:t>
      </w:r>
      <w:r>
        <w:rPr>
          <w:rFonts w:ascii="Times New Roman" w:hAnsi="Times New Roman" w:cs="Times New Roman"/>
          <w:sz w:val="18"/>
          <w:szCs w:val="18"/>
        </w:rPr>
        <w:t xml:space="preserve">quarterly JP Morgan bond excess returns </w:t>
      </w:r>
      <w:r w:rsidRPr="00CE22F6">
        <w:rPr>
          <w:rFonts w:ascii="Times New Roman" w:hAnsi="Times New Roman" w:cs="Times New Roman"/>
          <w:sz w:val="18"/>
          <w:szCs w:val="18"/>
        </w:rPr>
        <w:t xml:space="preserve">on </w:t>
      </w:r>
      <w:r>
        <w:rPr>
          <w:rFonts w:ascii="Times New Roman" w:hAnsi="Times New Roman" w:cs="Times New Roman"/>
          <w:sz w:val="18"/>
          <w:szCs w:val="18"/>
        </w:rPr>
        <w:t>the change in US consumer confidence (left panel) and on change in VIX (right panel)</w:t>
      </w:r>
      <w:r w:rsidR="00962E47">
        <w:rPr>
          <w:rFonts w:ascii="Times New Roman" w:hAnsi="Times New Roman" w:cs="Times New Roman"/>
          <w:sz w:val="18"/>
          <w:szCs w:val="18"/>
        </w:rPr>
        <w:t xml:space="preserve"> (Table 4.24)</w:t>
      </w:r>
      <w:r w:rsidRPr="00CE22F6">
        <w:rPr>
          <w:rFonts w:ascii="Times New Roman" w:hAnsi="Times New Roman" w:cs="Times New Roman"/>
          <w:sz w:val="18"/>
          <w:szCs w:val="18"/>
        </w:rPr>
        <w:t xml:space="preserve">. </w:t>
      </w:r>
      <w:r>
        <w:rPr>
          <w:rFonts w:ascii="Times New Roman" w:hAnsi="Times New Roman" w:cs="Times New Roman"/>
          <w:sz w:val="18"/>
          <w:szCs w:val="18"/>
        </w:rPr>
        <w:t>These sentiment indicators are constructed as the 3-month average of monthly rates. Details about the data and the sampl</w:t>
      </w:r>
      <w:r w:rsidR="009C2309">
        <w:rPr>
          <w:rFonts w:ascii="Times New Roman" w:hAnsi="Times New Roman" w:cs="Times New Roman"/>
          <w:sz w:val="18"/>
          <w:szCs w:val="18"/>
        </w:rPr>
        <w:t xml:space="preserve">e period can be found in Table </w:t>
      </w:r>
      <w:r w:rsidR="00962E47">
        <w:rPr>
          <w:rFonts w:ascii="Times New Roman" w:hAnsi="Times New Roman" w:cs="Times New Roman"/>
          <w:sz w:val="18"/>
          <w:szCs w:val="18"/>
        </w:rPr>
        <w:t xml:space="preserve">A.12 and </w:t>
      </w:r>
      <w:r w:rsidR="009C2309">
        <w:rPr>
          <w:rFonts w:ascii="Times New Roman" w:hAnsi="Times New Roman" w:cs="Times New Roman"/>
          <w:sz w:val="18"/>
          <w:szCs w:val="18"/>
        </w:rPr>
        <w:t>A.13</w:t>
      </w:r>
      <w:r>
        <w:rPr>
          <w:rFonts w:ascii="Times New Roman" w:hAnsi="Times New Roman" w:cs="Times New Roman"/>
          <w:sz w:val="18"/>
          <w:szCs w:val="18"/>
        </w:rPr>
        <w:t xml:space="preserve"> in the Appendix</w:t>
      </w:r>
      <w:r w:rsidR="009C2309">
        <w:rPr>
          <w:rFonts w:ascii="Times New Roman" w:hAnsi="Times New Roman" w:cs="Times New Roman"/>
          <w:sz w:val="18"/>
          <w:szCs w:val="18"/>
        </w:rPr>
        <w:t xml:space="preserve"> A</w:t>
      </w:r>
      <w:r>
        <w:rPr>
          <w:rFonts w:ascii="Times New Roman" w:hAnsi="Times New Roman" w:cs="Times New Roman"/>
          <w:sz w:val="18"/>
          <w:szCs w:val="18"/>
        </w:rPr>
        <w:t>.</w:t>
      </w:r>
      <w:r w:rsidRPr="00CE22F6">
        <w:rPr>
          <w:rFonts w:ascii="Times New Roman" w:hAnsi="Times New Roman" w:cs="Times New Roman"/>
          <w:sz w:val="18"/>
          <w:szCs w:val="18"/>
        </w:rPr>
        <w:t xml:space="preserve"> X is a dummy </w:t>
      </w:r>
      <w:r w:rsidR="00107E73">
        <w:rPr>
          <w:rFonts w:ascii="Times New Roman" w:hAnsi="Times New Roman" w:cs="Times New Roman"/>
          <w:sz w:val="18"/>
          <w:szCs w:val="18"/>
        </w:rPr>
        <w:t>that captures H1 H2 effect, taking</w:t>
      </w:r>
      <w:r w:rsidRPr="00CE22F6">
        <w:rPr>
          <w:rFonts w:ascii="Times New Roman" w:hAnsi="Times New Roman" w:cs="Times New Roman"/>
          <w:sz w:val="18"/>
          <w:szCs w:val="18"/>
        </w:rPr>
        <w:t xml:space="preserve"> on the value of 1 for </w:t>
      </w:r>
      <w:r w:rsidR="00962E47">
        <w:rPr>
          <w:rFonts w:ascii="Times New Roman" w:hAnsi="Times New Roman" w:cs="Times New Roman"/>
          <w:sz w:val="18"/>
          <w:szCs w:val="18"/>
        </w:rPr>
        <w:t xml:space="preserve">Q3 and Q4 </w:t>
      </w:r>
      <w:r w:rsidRPr="00CE22F6">
        <w:rPr>
          <w:rFonts w:ascii="Times New Roman" w:hAnsi="Times New Roman" w:cs="Times New Roman"/>
          <w:sz w:val="18"/>
          <w:szCs w:val="18"/>
        </w:rPr>
        <w:t xml:space="preserve">and 0 otherwise. </w:t>
      </w:r>
      <w:r w:rsidR="00107E73">
        <w:rPr>
          <w:rFonts w:ascii="Times New Roman" w:hAnsi="Times New Roman" w:cs="Times New Roman"/>
          <w:sz w:val="18"/>
          <w:szCs w:val="18"/>
        </w:rPr>
        <w:t xml:space="preserve">Developed stands for an equally-weighted portfolio made up of all six countries, provided data are available. </w:t>
      </w:r>
      <w:r>
        <w:rPr>
          <w:rFonts w:ascii="Times New Roman" w:hAnsi="Times New Roman" w:cs="Times New Roman"/>
          <w:sz w:val="18"/>
          <w:szCs w:val="18"/>
        </w:rPr>
        <w:t xml:space="preserve">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00A2BD"/>
          <w:sz w:val="18"/>
          <w:szCs w:val="18"/>
        </w:rPr>
        <w:t>Blue</w:t>
      </w:r>
      <w:r>
        <w:rPr>
          <w:rFonts w:ascii="Times New Roman" w:hAnsi="Times New Roman" w:cs="Times New Roman"/>
          <w:sz w:val="18"/>
          <w:szCs w:val="18"/>
        </w:rPr>
        <w:t xml:space="preserve"> at 10% significance level.</w:t>
      </w:r>
    </w:p>
    <w:p w:rsidR="005A06CB" w:rsidRDefault="005A06CB" w:rsidP="005A06CB">
      <w:pPr>
        <w:spacing w:after="0" w:line="360" w:lineRule="auto"/>
        <w:jc w:val="both"/>
        <w:rPr>
          <w:rFonts w:ascii="Times New Roman" w:hAnsi="Times New Roman" w:cs="Times New Roman"/>
        </w:rPr>
      </w:pPr>
    </w:p>
    <w:p w:rsidR="00936DC1" w:rsidRDefault="00936DC1" w:rsidP="00936DC1">
      <w:pPr>
        <w:pStyle w:val="Heading3"/>
      </w:pPr>
      <w:bookmarkStart w:id="54" w:name="_Toc396762720"/>
      <w:r>
        <w:t>4.5.3 Macroeconomic data surprises</w:t>
      </w:r>
      <w:bookmarkEnd w:id="54"/>
    </w:p>
    <w:p w:rsidR="00936DC1" w:rsidRDefault="00936DC1" w:rsidP="005A06CB">
      <w:pPr>
        <w:spacing w:after="0" w:line="360" w:lineRule="auto"/>
        <w:jc w:val="both"/>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Inspired by the discovery of Gerlach (2007) that higher stock returns during autumn are explained by </w:t>
      </w:r>
      <w:r w:rsidRPr="000778B8">
        <w:rPr>
          <w:rFonts w:ascii="Times New Roman" w:hAnsi="Times New Roman" w:cs="Times New Roman"/>
        </w:rPr>
        <w:t>relatively large price movements on ann</w:t>
      </w:r>
      <w:r>
        <w:rPr>
          <w:rFonts w:ascii="Times New Roman" w:hAnsi="Times New Roman" w:cs="Times New Roman"/>
        </w:rPr>
        <w:t>ouncement days of economic data, I use the Citi Economic Surprise Index (CESI)</w:t>
      </w:r>
      <w:r w:rsidR="00E12AF6">
        <w:rPr>
          <w:rFonts w:ascii="Times New Roman" w:hAnsi="Times New Roman" w:cs="Times New Roman"/>
        </w:rPr>
        <w:t xml:space="preserve"> extracted from Bloomberg</w:t>
      </w:r>
      <w:r>
        <w:rPr>
          <w:rFonts w:ascii="Times New Roman" w:hAnsi="Times New Roman" w:cs="Times New Roman"/>
        </w:rPr>
        <w:t xml:space="preserve"> to capture economic data surprises. </w:t>
      </w:r>
      <w:r w:rsidRPr="00124870">
        <w:rPr>
          <w:rFonts w:ascii="Times New Roman" w:hAnsi="Times New Roman" w:cs="Times New Roman"/>
        </w:rPr>
        <w:t xml:space="preserve">This </w:t>
      </w:r>
      <w:r>
        <w:rPr>
          <w:rFonts w:ascii="Times New Roman" w:hAnsi="Times New Roman" w:cs="Times New Roman"/>
        </w:rPr>
        <w:t xml:space="preserve">CESI </w:t>
      </w:r>
      <w:r w:rsidRPr="00124870">
        <w:rPr>
          <w:rFonts w:ascii="Times New Roman" w:hAnsi="Times New Roman" w:cs="Times New Roman"/>
        </w:rPr>
        <w:t>index is defined as weighted historical standard deviations of data surprises where the weights of economic indicators are derived from the impact that these data surprises have on foreign exchange markets.</w:t>
      </w:r>
      <w:r>
        <w:rPr>
          <w:rFonts w:ascii="Times New Roman" w:hAnsi="Times New Roman" w:cs="Times New Roman"/>
        </w:rPr>
        <w:t xml:space="preserve"> Given that relative surprises might be important, I also consider the difference in CESI. </w:t>
      </w:r>
    </w:p>
    <w:p w:rsidR="00962E47"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The analysis of an index of economic data surprises is supported by the findings of </w:t>
      </w:r>
      <w:r w:rsidRPr="00813593">
        <w:rPr>
          <w:rFonts w:ascii="Times New Roman" w:hAnsi="Times New Roman" w:cs="Times New Roman"/>
        </w:rPr>
        <w:t>Balduzzi, Elton and Green (2001)</w:t>
      </w:r>
      <w:r>
        <w:rPr>
          <w:rFonts w:ascii="Times New Roman" w:hAnsi="Times New Roman" w:cs="Times New Roman"/>
        </w:rPr>
        <w:t>. They show t</w:t>
      </w:r>
      <w:r w:rsidRPr="00813593">
        <w:rPr>
          <w:rFonts w:ascii="Times New Roman" w:hAnsi="Times New Roman" w:cs="Times New Roman"/>
        </w:rPr>
        <w:t xml:space="preserve">hat the prices of US T-bills and Treasuries are influenced by the surprise in eight </w:t>
      </w:r>
      <w:r>
        <w:rPr>
          <w:rFonts w:ascii="Times New Roman" w:hAnsi="Times New Roman" w:cs="Times New Roman"/>
        </w:rPr>
        <w:t xml:space="preserve">economic </w:t>
      </w:r>
      <w:r w:rsidRPr="00813593">
        <w:rPr>
          <w:rFonts w:ascii="Times New Roman" w:hAnsi="Times New Roman" w:cs="Times New Roman"/>
        </w:rPr>
        <w:t xml:space="preserve">announcements: </w:t>
      </w:r>
      <w:r w:rsidR="00962E47">
        <w:rPr>
          <w:rFonts w:ascii="Times New Roman" w:hAnsi="Times New Roman" w:cs="Times New Roman"/>
        </w:rPr>
        <w:t xml:space="preserve">e.g. </w:t>
      </w:r>
      <w:r w:rsidRPr="00813593">
        <w:rPr>
          <w:rFonts w:ascii="Times New Roman" w:hAnsi="Times New Roman" w:cs="Times New Roman"/>
        </w:rPr>
        <w:t xml:space="preserve">Nonfarm Payrolls (which capture the employment state of the economy), Consumer Confidence and Durable Goods Orders (which shows the prospects of the industrial component of durable goods). </w:t>
      </w: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 xml:space="preserve">One of the disadvantages of this analysis is the short sample period as CESI is available only starting with the beginning of 2003. The intuition is that a higher CESI is consistent with positive surprises in macroeconomic data and thus with higher interest rates and lower bond returns. </w:t>
      </w:r>
    </w:p>
    <w:p w:rsidR="005A06CB" w:rsidRDefault="005A06CB" w:rsidP="005A06CB">
      <w:pPr>
        <w:spacing w:after="0" w:line="360" w:lineRule="auto"/>
        <w:jc w:val="both"/>
        <w:rPr>
          <w:rFonts w:ascii="Times New Roman" w:hAnsi="Times New Roman" w:cs="Times New Roman"/>
        </w:rPr>
      </w:pPr>
      <w:r>
        <w:rPr>
          <w:rFonts w:ascii="Times New Roman" w:hAnsi="Times New Roman" w:cs="Times New Roman"/>
        </w:rPr>
        <w:tab/>
        <w:t>An investigation of the seasonal pattern in the CESI level</w:t>
      </w:r>
      <w:r w:rsidR="009C2309">
        <w:rPr>
          <w:rFonts w:ascii="Times New Roman" w:hAnsi="Times New Roman" w:cs="Times New Roman"/>
        </w:rPr>
        <w:t xml:space="preserve"> and the change in CESI (Table 4.26</w:t>
      </w:r>
      <w:r>
        <w:rPr>
          <w:rFonts w:ascii="Times New Roman" w:hAnsi="Times New Roman" w:cs="Times New Roman"/>
        </w:rPr>
        <w:t>) shows the rejection of the hypothesis as none of the measures displays an H1 H2 seasonal.</w:t>
      </w:r>
    </w:p>
    <w:p w:rsidR="005A06CB" w:rsidRDefault="005A06CB" w:rsidP="005A06CB">
      <w:pPr>
        <w:spacing w:after="0" w:line="360" w:lineRule="auto"/>
        <w:jc w:val="both"/>
        <w:rPr>
          <w:rFonts w:ascii="Times New Roman" w:hAnsi="Times New Roman" w:cs="Times New Roman"/>
        </w:rPr>
      </w:pPr>
    </w:p>
    <w:p w:rsidR="005A06CB" w:rsidRDefault="009C2309" w:rsidP="009C2309">
      <w:pPr>
        <w:spacing w:after="120" w:line="360" w:lineRule="auto"/>
        <w:jc w:val="center"/>
        <w:rPr>
          <w:rFonts w:ascii="Times New Roman" w:hAnsi="Times New Roman" w:cs="Times New Roman"/>
        </w:rPr>
      </w:pPr>
      <w:r>
        <w:rPr>
          <w:rFonts w:ascii="Times New Roman" w:hAnsi="Times New Roman" w:cs="Times New Roman"/>
        </w:rPr>
        <w:t>Table 4.26</w:t>
      </w:r>
      <w:r w:rsidR="005A06CB">
        <w:rPr>
          <w:rFonts w:ascii="Times New Roman" w:hAnsi="Times New Roman" w:cs="Times New Roman"/>
        </w:rPr>
        <w:t>: Seasonality in CESI</w:t>
      </w:r>
    </w:p>
    <w:tbl>
      <w:tblPr>
        <w:tblW w:w="4620" w:type="dxa"/>
        <w:jc w:val="center"/>
        <w:tblInd w:w="93" w:type="dxa"/>
        <w:tblLook w:val="04A0"/>
      </w:tblPr>
      <w:tblGrid>
        <w:gridCol w:w="1720"/>
        <w:gridCol w:w="1320"/>
        <w:gridCol w:w="1580"/>
      </w:tblGrid>
      <w:tr w:rsidR="005A06CB" w:rsidRPr="005446D6" w:rsidTr="00D0485F">
        <w:trPr>
          <w:trHeight w:val="240"/>
          <w:jc w:val="center"/>
        </w:trPr>
        <w:tc>
          <w:tcPr>
            <w:tcW w:w="1720" w:type="dxa"/>
            <w:vMerge w:val="restart"/>
            <w:tcBorders>
              <w:top w:val="single" w:sz="4" w:space="0" w:color="auto"/>
              <w:left w:val="nil"/>
              <w:bottom w:val="single" w:sz="4" w:space="0" w:color="000000"/>
              <w:right w:val="nil"/>
            </w:tcBorders>
            <w:shd w:val="clear" w:color="auto" w:fill="auto"/>
            <w:noWrap/>
            <w:vAlign w:val="center"/>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Country</w:t>
            </w:r>
          </w:p>
        </w:tc>
        <w:tc>
          <w:tcPr>
            <w:tcW w:w="1320" w:type="dxa"/>
            <w:tcBorders>
              <w:top w:val="single" w:sz="4" w:space="0" w:color="auto"/>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CESI</w:t>
            </w:r>
          </w:p>
        </w:tc>
        <w:tc>
          <w:tcPr>
            <w:tcW w:w="1580" w:type="dxa"/>
            <w:tcBorders>
              <w:top w:val="single" w:sz="4" w:space="0" w:color="auto"/>
              <w:left w:val="nil"/>
              <w:bottom w:val="nil"/>
              <w:right w:val="nil"/>
            </w:tcBorders>
            <w:shd w:val="clear" w:color="auto" w:fill="auto"/>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Change in CESI</w:t>
            </w:r>
          </w:p>
        </w:tc>
      </w:tr>
      <w:tr w:rsidR="005A06CB" w:rsidRPr="005446D6" w:rsidTr="00D0485F">
        <w:trPr>
          <w:trHeight w:val="240"/>
          <w:jc w:val="center"/>
        </w:trPr>
        <w:tc>
          <w:tcPr>
            <w:tcW w:w="1720" w:type="dxa"/>
            <w:vMerge/>
            <w:tcBorders>
              <w:top w:val="single" w:sz="4" w:space="0" w:color="auto"/>
              <w:left w:val="nil"/>
              <w:bottom w:val="single" w:sz="4" w:space="0" w:color="000000"/>
              <w:right w:val="nil"/>
            </w:tcBorders>
            <w:vAlign w:val="center"/>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p>
        </w:tc>
        <w:tc>
          <w:tcPr>
            <w:tcW w:w="1320" w:type="dxa"/>
            <w:tcBorders>
              <w:top w:val="nil"/>
              <w:left w:val="nil"/>
              <w:bottom w:val="single" w:sz="4" w:space="0" w:color="auto"/>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000000"/>
                <w:sz w:val="20"/>
                <w:szCs w:val="20"/>
              </w:rPr>
            </w:pPr>
            <w:r w:rsidRPr="005446D6">
              <w:rPr>
                <w:rFonts w:ascii="Times New Roman" w:eastAsia="Times New Roman" w:hAnsi="Times New Roman" w:cs="Times New Roman"/>
                <w:color w:val="000000"/>
                <w:sz w:val="20"/>
                <w:szCs w:val="20"/>
              </w:rPr>
              <w:t xml:space="preserve">H1 H2 </w:t>
            </w:r>
          </w:p>
        </w:tc>
        <w:tc>
          <w:tcPr>
            <w:tcW w:w="1580" w:type="dxa"/>
            <w:tcBorders>
              <w:top w:val="nil"/>
              <w:left w:val="nil"/>
              <w:bottom w:val="single" w:sz="4" w:space="0" w:color="auto"/>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000000"/>
                <w:sz w:val="20"/>
                <w:szCs w:val="20"/>
              </w:rPr>
            </w:pPr>
            <w:r w:rsidRPr="005446D6">
              <w:rPr>
                <w:rFonts w:ascii="Times New Roman" w:eastAsia="Times New Roman" w:hAnsi="Times New Roman" w:cs="Times New Roman"/>
                <w:color w:val="000000"/>
                <w:sz w:val="20"/>
                <w:szCs w:val="20"/>
              </w:rPr>
              <w:t xml:space="preserve">H1 H2 </w:t>
            </w:r>
          </w:p>
        </w:tc>
      </w:tr>
      <w:tr w:rsidR="005A06CB" w:rsidRPr="005446D6" w:rsidTr="00D0485F">
        <w:trPr>
          <w:trHeight w:val="225"/>
          <w:jc w:val="center"/>
        </w:trPr>
        <w:tc>
          <w:tcPr>
            <w:tcW w:w="3040" w:type="dxa"/>
            <w:gridSpan w:val="2"/>
            <w:tcBorders>
              <w:top w:val="single" w:sz="4" w:space="0" w:color="auto"/>
              <w:left w:val="nil"/>
              <w:bottom w:val="single" w:sz="4" w:space="0" w:color="auto"/>
              <w:right w:val="nil"/>
            </w:tcBorders>
            <w:shd w:val="clear" w:color="auto" w:fill="auto"/>
            <w:vAlign w:val="center"/>
            <w:hideMark/>
          </w:tcPr>
          <w:p w:rsidR="005A06CB" w:rsidRPr="005446D6" w:rsidRDefault="005A06CB" w:rsidP="00D0485F">
            <w:pPr>
              <w:spacing w:after="0" w:line="240" w:lineRule="auto"/>
              <w:rPr>
                <w:rFonts w:ascii="Times New Roman" w:eastAsia="Times New Roman" w:hAnsi="Times New Roman" w:cs="Times New Roman"/>
                <w:i/>
                <w:iCs/>
                <w:color w:val="291C00"/>
                <w:sz w:val="20"/>
                <w:szCs w:val="20"/>
              </w:rPr>
            </w:pPr>
            <w:r w:rsidRPr="005446D6">
              <w:rPr>
                <w:rFonts w:ascii="Times New Roman" w:eastAsia="Times New Roman" w:hAnsi="Times New Roman" w:cs="Times New Roman"/>
                <w:i/>
                <w:iCs/>
                <w:color w:val="291C00"/>
                <w:sz w:val="20"/>
                <w:szCs w:val="20"/>
              </w:rPr>
              <w:lastRenderedPageBreak/>
              <w:t>Quarterly frequency</w:t>
            </w:r>
          </w:p>
        </w:tc>
        <w:tc>
          <w:tcPr>
            <w:tcW w:w="1580" w:type="dxa"/>
            <w:tcBorders>
              <w:top w:val="nil"/>
              <w:left w:val="nil"/>
              <w:bottom w:val="single" w:sz="4" w:space="0" w:color="auto"/>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 </w:t>
            </w:r>
          </w:p>
        </w:tc>
      </w:tr>
      <w:tr w:rsidR="005A06CB" w:rsidRPr="005446D6" w:rsidTr="00D0485F">
        <w:trPr>
          <w:trHeight w:val="240"/>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Australia</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0.10</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-0.18</w:t>
            </w:r>
          </w:p>
        </w:tc>
      </w:tr>
      <w:tr w:rsidR="005A06CB" w:rsidRPr="005446D6" w:rsidTr="00D0485F">
        <w:trPr>
          <w:trHeight w:val="255"/>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Canada</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-0.85</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-1.01</w:t>
            </w:r>
          </w:p>
        </w:tc>
      </w:tr>
      <w:tr w:rsidR="005A06CB" w:rsidRPr="005446D6" w:rsidTr="00D0485F">
        <w:trPr>
          <w:trHeight w:val="240"/>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Germany</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-0.33</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0.33</w:t>
            </w:r>
          </w:p>
        </w:tc>
      </w:tr>
      <w:tr w:rsidR="005A06CB" w:rsidRPr="005446D6" w:rsidTr="00D0485F">
        <w:trPr>
          <w:trHeight w:val="255"/>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Japan</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-0.90</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0.34</w:t>
            </w:r>
          </w:p>
        </w:tc>
      </w:tr>
      <w:tr w:rsidR="005A06CB" w:rsidRPr="005446D6" w:rsidTr="00D0485F">
        <w:trPr>
          <w:trHeight w:val="240"/>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United Kingdom</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1.28</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0.44</w:t>
            </w:r>
          </w:p>
        </w:tc>
      </w:tr>
      <w:tr w:rsidR="005A06CB" w:rsidRPr="005446D6" w:rsidTr="00D0485F">
        <w:trPr>
          <w:trHeight w:val="240"/>
          <w:jc w:val="center"/>
        </w:trPr>
        <w:tc>
          <w:tcPr>
            <w:tcW w:w="1720" w:type="dxa"/>
            <w:tcBorders>
              <w:top w:val="nil"/>
              <w:left w:val="nil"/>
              <w:bottom w:val="nil"/>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United States</w:t>
            </w:r>
          </w:p>
        </w:tc>
        <w:tc>
          <w:tcPr>
            <w:tcW w:w="132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0.80</w:t>
            </w:r>
          </w:p>
        </w:tc>
        <w:tc>
          <w:tcPr>
            <w:tcW w:w="1580" w:type="dxa"/>
            <w:tcBorders>
              <w:top w:val="nil"/>
              <w:left w:val="nil"/>
              <w:bottom w:val="nil"/>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0.39</w:t>
            </w:r>
          </w:p>
        </w:tc>
      </w:tr>
      <w:tr w:rsidR="005A06CB" w:rsidRPr="005446D6" w:rsidTr="00D0485F">
        <w:trPr>
          <w:trHeight w:val="225"/>
          <w:jc w:val="center"/>
        </w:trPr>
        <w:tc>
          <w:tcPr>
            <w:tcW w:w="1720" w:type="dxa"/>
            <w:tcBorders>
              <w:top w:val="nil"/>
              <w:left w:val="nil"/>
              <w:bottom w:val="single" w:sz="4" w:space="0" w:color="auto"/>
              <w:right w:val="nil"/>
            </w:tcBorders>
            <w:shd w:val="clear" w:color="auto" w:fill="auto"/>
            <w:noWrap/>
            <w:vAlign w:val="bottom"/>
            <w:hideMark/>
          </w:tcPr>
          <w:p w:rsidR="005A06CB" w:rsidRPr="005446D6" w:rsidRDefault="005A06CB" w:rsidP="00D0485F">
            <w:pPr>
              <w:spacing w:after="0" w:line="240" w:lineRule="auto"/>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Developed (6)</w:t>
            </w:r>
          </w:p>
        </w:tc>
        <w:tc>
          <w:tcPr>
            <w:tcW w:w="1320" w:type="dxa"/>
            <w:tcBorders>
              <w:top w:val="nil"/>
              <w:left w:val="nil"/>
              <w:bottom w:val="single" w:sz="4" w:space="0" w:color="auto"/>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-0.12</w:t>
            </w:r>
          </w:p>
        </w:tc>
        <w:tc>
          <w:tcPr>
            <w:tcW w:w="1580" w:type="dxa"/>
            <w:tcBorders>
              <w:top w:val="nil"/>
              <w:left w:val="nil"/>
              <w:bottom w:val="single" w:sz="4" w:space="0" w:color="auto"/>
              <w:right w:val="nil"/>
            </w:tcBorders>
            <w:shd w:val="clear" w:color="auto" w:fill="auto"/>
            <w:noWrap/>
            <w:vAlign w:val="center"/>
            <w:hideMark/>
          </w:tcPr>
          <w:p w:rsidR="005A06CB" w:rsidRPr="005446D6" w:rsidRDefault="005A06CB" w:rsidP="00D0485F">
            <w:pPr>
              <w:spacing w:after="0" w:line="240" w:lineRule="auto"/>
              <w:jc w:val="center"/>
              <w:rPr>
                <w:rFonts w:ascii="Times New Roman" w:eastAsia="Times New Roman" w:hAnsi="Times New Roman" w:cs="Times New Roman"/>
                <w:color w:val="291C00"/>
                <w:sz w:val="20"/>
                <w:szCs w:val="20"/>
              </w:rPr>
            </w:pPr>
            <w:r w:rsidRPr="005446D6">
              <w:rPr>
                <w:rFonts w:ascii="Times New Roman" w:eastAsia="Times New Roman" w:hAnsi="Times New Roman" w:cs="Times New Roman"/>
                <w:color w:val="291C00"/>
                <w:sz w:val="20"/>
                <w:szCs w:val="20"/>
              </w:rPr>
              <w:t>0.12</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t-values based on Newey-West standard errors for the β 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5A06CB" w:rsidRPr="001221C6" w:rsidRDefault="005A06CB" w:rsidP="005A06CB">
      <w:pPr>
        <w:pStyle w:val="NoSpacing"/>
        <w:jc w:val="both"/>
        <w:rPr>
          <w:rFonts w:ascii="Times New Roman" w:hAnsi="Times New Roman" w:cs="Times New Roman"/>
          <w:sz w:val="18"/>
          <w:szCs w:val="18"/>
        </w:rPr>
      </w:pPr>
      <w:r w:rsidRPr="001221C6">
        <w:rPr>
          <w:rFonts w:ascii="Times New Roman" w:hAnsi="Times New Roman" w:cs="Times New Roman"/>
          <w:sz w:val="18"/>
          <w:szCs w:val="18"/>
        </w:rPr>
        <w:t xml:space="preserve">where Y are </w:t>
      </w:r>
      <w:r>
        <w:rPr>
          <w:rFonts w:ascii="Times New Roman" w:hAnsi="Times New Roman" w:cs="Times New Roman"/>
          <w:sz w:val="18"/>
          <w:szCs w:val="18"/>
        </w:rPr>
        <w:t xml:space="preserve">CESI values (left panel) and changes in CESI (right panel) </w:t>
      </w:r>
      <w:r w:rsidR="00E12AF6">
        <w:rPr>
          <w:rFonts w:ascii="Times New Roman" w:hAnsi="Times New Roman" w:cs="Times New Roman"/>
          <w:sz w:val="18"/>
          <w:szCs w:val="18"/>
        </w:rPr>
        <w:t xml:space="preserve">for each country </w:t>
      </w:r>
      <w:r>
        <w:rPr>
          <w:rFonts w:ascii="Times New Roman" w:hAnsi="Times New Roman" w:cs="Times New Roman"/>
          <w:sz w:val="18"/>
          <w:szCs w:val="18"/>
        </w:rPr>
        <w:t>at quarterly frequency</w:t>
      </w:r>
      <w:r w:rsidRPr="001221C6">
        <w:rPr>
          <w:rFonts w:ascii="Times New Roman" w:hAnsi="Times New Roman" w:cs="Times New Roman"/>
          <w:sz w:val="18"/>
          <w:szCs w:val="18"/>
        </w:rPr>
        <w:t>.</w:t>
      </w:r>
      <w:r w:rsidR="00E12AF6">
        <w:rPr>
          <w:rFonts w:ascii="Times New Roman" w:hAnsi="Times New Roman" w:cs="Times New Roman"/>
          <w:sz w:val="18"/>
          <w:szCs w:val="18"/>
        </w:rPr>
        <w:t xml:space="preserve"> In case of Germany, I use the Euro Area CESI.</w:t>
      </w:r>
      <w:r w:rsidRPr="001221C6">
        <w:rPr>
          <w:rFonts w:ascii="Times New Roman" w:hAnsi="Times New Roman" w:cs="Times New Roman"/>
          <w:sz w:val="18"/>
          <w:szCs w:val="18"/>
        </w:rPr>
        <w:t xml:space="preserve"> </w:t>
      </w:r>
      <w:r w:rsidR="00107E73" w:rsidRPr="001221C6">
        <w:rPr>
          <w:rFonts w:ascii="Times New Roman" w:hAnsi="Times New Roman" w:cs="Times New Roman"/>
          <w:sz w:val="18"/>
          <w:szCs w:val="18"/>
        </w:rPr>
        <w:t xml:space="preserve">X </w:t>
      </w:r>
      <w:r w:rsidR="00107E73">
        <w:rPr>
          <w:rFonts w:ascii="Times New Roman" w:hAnsi="Times New Roman" w:cs="Times New Roman"/>
          <w:sz w:val="18"/>
          <w:szCs w:val="18"/>
        </w:rPr>
        <w:t xml:space="preserve">is the dummy variable to capture the </w:t>
      </w:r>
      <w:r w:rsidR="00107E73" w:rsidRPr="001221C6">
        <w:rPr>
          <w:rFonts w:ascii="Times New Roman" w:hAnsi="Times New Roman" w:cs="Times New Roman"/>
          <w:sz w:val="18"/>
          <w:szCs w:val="18"/>
        </w:rPr>
        <w:t>H1 H2</w:t>
      </w:r>
      <w:r w:rsidR="00107E73">
        <w:rPr>
          <w:rFonts w:ascii="Times New Roman" w:hAnsi="Times New Roman" w:cs="Times New Roman"/>
          <w:sz w:val="18"/>
          <w:szCs w:val="18"/>
        </w:rPr>
        <w:t xml:space="preserve"> effect which </w:t>
      </w:r>
      <w:r w:rsidR="00107E73" w:rsidRPr="001221C6">
        <w:rPr>
          <w:rFonts w:ascii="Times New Roman" w:hAnsi="Times New Roman" w:cs="Times New Roman"/>
          <w:sz w:val="18"/>
          <w:szCs w:val="18"/>
        </w:rPr>
        <w:t xml:space="preserve">takes on the value of 1 for </w:t>
      </w:r>
      <w:r w:rsidR="00107E73">
        <w:rPr>
          <w:rFonts w:ascii="Times New Roman" w:hAnsi="Times New Roman" w:cs="Times New Roman"/>
          <w:sz w:val="18"/>
          <w:szCs w:val="18"/>
        </w:rPr>
        <w:t xml:space="preserve">Q3 and Q4 and </w:t>
      </w:r>
      <w:r w:rsidR="00107E73" w:rsidRPr="001221C6">
        <w:rPr>
          <w:rFonts w:ascii="Times New Roman" w:hAnsi="Times New Roman" w:cs="Times New Roman"/>
          <w:sz w:val="18"/>
          <w:szCs w:val="18"/>
        </w:rPr>
        <w:t xml:space="preserve">0 otherwise. </w:t>
      </w:r>
      <w:r w:rsidR="00962E47">
        <w:rPr>
          <w:rFonts w:ascii="Times New Roman" w:hAnsi="Times New Roman" w:cs="Times New Roman"/>
          <w:sz w:val="18"/>
          <w:szCs w:val="18"/>
        </w:rPr>
        <w:t xml:space="preserve">The sample of the analysis is 2003-2013. </w:t>
      </w:r>
      <w:r>
        <w:rPr>
          <w:rFonts w:ascii="Times New Roman" w:hAnsi="Times New Roman" w:cs="Times New Roman"/>
          <w:sz w:val="18"/>
          <w:szCs w:val="18"/>
        </w:rPr>
        <w:t xml:space="preserve"> </w:t>
      </w:r>
      <w:r w:rsidR="00107E73">
        <w:rPr>
          <w:rFonts w:ascii="Times New Roman" w:hAnsi="Times New Roman" w:cs="Times New Roman"/>
          <w:sz w:val="18"/>
          <w:szCs w:val="18"/>
        </w:rPr>
        <w:t xml:space="preserve">Developed stands for an equally-weighted portfolio made up of all six countries.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962E47">
        <w:rPr>
          <w:rFonts w:ascii="Times New Roman" w:eastAsia="Times New Roman" w:hAnsi="Times New Roman" w:cs="Times New Roman"/>
          <w:color w:val="00A2BD"/>
          <w:sz w:val="18"/>
          <w:szCs w:val="18"/>
        </w:rPr>
        <w:t>Blue</w:t>
      </w:r>
      <w:r w:rsidRPr="001221C6">
        <w:rPr>
          <w:rFonts w:ascii="Times New Roman" w:hAnsi="Times New Roman" w:cs="Times New Roman"/>
          <w:sz w:val="18"/>
          <w:szCs w:val="18"/>
        </w:rPr>
        <w:t xml:space="preserve"> at 10% significance level.</w:t>
      </w:r>
    </w:p>
    <w:p w:rsidR="005A06CB" w:rsidRDefault="005A06CB" w:rsidP="005A06CB">
      <w:pPr>
        <w:spacing w:after="0" w:line="360" w:lineRule="auto"/>
        <w:ind w:firstLine="720"/>
        <w:jc w:val="center"/>
        <w:rPr>
          <w:rFonts w:ascii="Times New Roman" w:hAnsi="Times New Roman" w:cs="Times New Roman"/>
        </w:rPr>
      </w:pPr>
    </w:p>
    <w:p w:rsidR="005A06CB" w:rsidRDefault="005A06CB" w:rsidP="005A06CB">
      <w:pPr>
        <w:spacing w:after="0" w:line="360" w:lineRule="auto"/>
        <w:ind w:firstLine="720"/>
        <w:jc w:val="both"/>
        <w:rPr>
          <w:rFonts w:ascii="Times New Roman" w:hAnsi="Times New Roman" w:cs="Times New Roman"/>
        </w:rPr>
      </w:pPr>
      <w:r>
        <w:rPr>
          <w:rFonts w:ascii="Times New Roman" w:hAnsi="Times New Roman" w:cs="Times New Roman"/>
        </w:rPr>
        <w:t>Following the same approach used in Section 4.2 for the inflation analysis, I have investigated three hypotheses which have been used in the literature to explain the seasonality of stock returns: a</w:t>
      </w:r>
      <w:r w:rsidR="00107E73">
        <w:rPr>
          <w:rFonts w:ascii="Times New Roman" w:hAnsi="Times New Roman" w:cs="Times New Roman"/>
        </w:rPr>
        <w:t>n annual</w:t>
      </w:r>
      <w:r>
        <w:rPr>
          <w:rFonts w:ascii="Times New Roman" w:hAnsi="Times New Roman" w:cs="Times New Roman"/>
        </w:rPr>
        <w:t xml:space="preserve"> cycle of economic activity, a cycle of optimism and macroeconomic data surprises. While the indicators used to capture economic dynamics were also employed in the literature, the choice of indicators to capture investor sentiment proved challenging. A novel aspect of this research is the formal testing of sentiment proxies (based on two different methodologies: surveys and market related data). To my knowledge, CESI was also not employed in the literature before. The used in</w:t>
      </w:r>
      <w:r w:rsidR="009C2309">
        <w:rPr>
          <w:rFonts w:ascii="Times New Roman" w:hAnsi="Times New Roman" w:cs="Times New Roman"/>
        </w:rPr>
        <w:t>dicators (centralised in Table 4.26</w:t>
      </w:r>
      <w:r>
        <w:rPr>
          <w:rFonts w:ascii="Times New Roman" w:hAnsi="Times New Roman" w:cs="Times New Roman"/>
        </w:rPr>
        <w:t>) did not manage to explain the seasonality in bond returns. However, I cannot conclude that the hypotheses are not valid as I have not exhausted all available indicators.</w:t>
      </w:r>
    </w:p>
    <w:p w:rsidR="005A06CB" w:rsidRDefault="005A06CB" w:rsidP="005A06CB">
      <w:pPr>
        <w:spacing w:after="0" w:line="360" w:lineRule="auto"/>
        <w:ind w:firstLine="720"/>
        <w:jc w:val="both"/>
        <w:rPr>
          <w:rFonts w:ascii="Times New Roman" w:hAnsi="Times New Roman" w:cs="Times New Roman"/>
        </w:rPr>
      </w:pPr>
    </w:p>
    <w:p w:rsidR="005A06CB" w:rsidRDefault="005A06CB" w:rsidP="009C2309">
      <w:pPr>
        <w:spacing w:after="120" w:line="360" w:lineRule="auto"/>
        <w:jc w:val="center"/>
        <w:rPr>
          <w:rFonts w:ascii="Times New Roman" w:hAnsi="Times New Roman" w:cs="Times New Roman"/>
        </w:rPr>
      </w:pPr>
      <w:r>
        <w:rPr>
          <w:rFonts w:ascii="Times New Roman" w:hAnsi="Times New Roman" w:cs="Times New Roman"/>
        </w:rPr>
        <w:t xml:space="preserve">Table </w:t>
      </w:r>
      <w:r w:rsidR="009C2309">
        <w:rPr>
          <w:rFonts w:ascii="Times New Roman" w:hAnsi="Times New Roman" w:cs="Times New Roman"/>
        </w:rPr>
        <w:t>4.26</w:t>
      </w:r>
      <w:r>
        <w:rPr>
          <w:rFonts w:ascii="Times New Roman" w:hAnsi="Times New Roman" w:cs="Times New Roman"/>
        </w:rPr>
        <w:t>: Other hypotheses for the seasonal patterns</w:t>
      </w:r>
    </w:p>
    <w:tbl>
      <w:tblPr>
        <w:tblW w:w="10200" w:type="dxa"/>
        <w:jc w:val="center"/>
        <w:tblInd w:w="93" w:type="dxa"/>
        <w:tblLook w:val="04A0"/>
      </w:tblPr>
      <w:tblGrid>
        <w:gridCol w:w="4180"/>
        <w:gridCol w:w="4540"/>
        <w:gridCol w:w="1480"/>
      </w:tblGrid>
      <w:tr w:rsidR="005A06CB" w:rsidRPr="00803F28" w:rsidTr="00D0485F">
        <w:trPr>
          <w:trHeight w:val="720"/>
          <w:jc w:val="center"/>
        </w:trPr>
        <w:tc>
          <w:tcPr>
            <w:tcW w:w="41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b/>
                <w:bCs/>
                <w:color w:val="291C00"/>
                <w:sz w:val="20"/>
                <w:szCs w:val="20"/>
              </w:rPr>
            </w:pPr>
            <w:r w:rsidRPr="00803F28">
              <w:rPr>
                <w:rFonts w:ascii="Times New Roman" w:eastAsia="Times New Roman" w:hAnsi="Times New Roman" w:cs="Times New Roman"/>
                <w:b/>
                <w:bCs/>
                <w:color w:val="291C00"/>
                <w:sz w:val="20"/>
                <w:szCs w:val="20"/>
              </w:rPr>
              <w:t>Hypotheses</w:t>
            </w:r>
          </w:p>
        </w:tc>
        <w:tc>
          <w:tcPr>
            <w:tcW w:w="4540" w:type="dxa"/>
            <w:tcBorders>
              <w:top w:val="single" w:sz="4" w:space="0" w:color="auto"/>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b/>
                <w:bCs/>
                <w:color w:val="291C00"/>
                <w:sz w:val="20"/>
                <w:szCs w:val="20"/>
              </w:rPr>
            </w:pPr>
            <w:r w:rsidRPr="00803F28">
              <w:rPr>
                <w:rFonts w:ascii="Times New Roman" w:eastAsia="Times New Roman" w:hAnsi="Times New Roman" w:cs="Times New Roman"/>
                <w:b/>
                <w:bCs/>
                <w:color w:val="291C00"/>
                <w:sz w:val="20"/>
                <w:szCs w:val="20"/>
              </w:rPr>
              <w:t>How</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b/>
                <w:bCs/>
                <w:color w:val="291C00"/>
                <w:sz w:val="20"/>
                <w:szCs w:val="20"/>
              </w:rPr>
            </w:pPr>
            <w:r w:rsidRPr="00803F28">
              <w:rPr>
                <w:rFonts w:ascii="Times New Roman" w:eastAsia="Times New Roman" w:hAnsi="Times New Roman" w:cs="Times New Roman"/>
                <w:b/>
                <w:bCs/>
                <w:color w:val="291C00"/>
                <w:sz w:val="20"/>
                <w:szCs w:val="20"/>
              </w:rPr>
              <w:t>Valid</w:t>
            </w:r>
          </w:p>
        </w:tc>
      </w:tr>
      <w:tr w:rsidR="005A06CB" w:rsidRPr="00803F28" w:rsidTr="00D0485F">
        <w:trPr>
          <w:trHeight w:val="645"/>
          <w:jc w:val="center"/>
        </w:trPr>
        <w:tc>
          <w:tcPr>
            <w:tcW w:w="4180" w:type="dxa"/>
            <w:tcBorders>
              <w:top w:val="nil"/>
              <w:left w:val="single" w:sz="4" w:space="0" w:color="auto"/>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Explanations for January Effect</w:t>
            </w: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 January effect</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w:t>
            </w:r>
          </w:p>
        </w:tc>
      </w:tr>
      <w:tr w:rsidR="005A06CB" w:rsidRPr="00803F28" w:rsidTr="00D0485F">
        <w:trPr>
          <w:trHeight w:val="585"/>
          <w:jc w:val="center"/>
        </w:trPr>
        <w:tc>
          <w:tcPr>
            <w:tcW w:w="4180" w:type="dxa"/>
            <w:tcBorders>
              <w:top w:val="nil"/>
              <w:left w:val="single" w:sz="4" w:space="0" w:color="auto"/>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Seasonal Affective Disorder (SAD)</w:t>
            </w: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Regression with SAD factor</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Partly</w:t>
            </w:r>
          </w:p>
        </w:tc>
      </w:tr>
      <w:tr w:rsidR="005A06CB" w:rsidRPr="00803F28" w:rsidTr="00D0485F">
        <w:trPr>
          <w:trHeight w:val="480"/>
          <w:jc w:val="center"/>
        </w:trPr>
        <w:tc>
          <w:tcPr>
            <w:tcW w:w="4180" w:type="dxa"/>
            <w:vMerge w:val="restart"/>
            <w:tcBorders>
              <w:top w:val="nil"/>
              <w:left w:val="single" w:sz="4" w:space="0" w:color="auto"/>
              <w:bottom w:val="single" w:sz="4" w:space="0" w:color="000000"/>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Cycle of economic activities and risk conditions</w:t>
            </w:r>
          </w:p>
        </w:tc>
        <w:tc>
          <w:tcPr>
            <w:tcW w:w="4540" w:type="dxa"/>
            <w:tcBorders>
              <w:top w:val="nil"/>
              <w:left w:val="nil"/>
              <w:bottom w:val="nil"/>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 xml:space="preserve">Inflation Rate </w:t>
            </w:r>
          </w:p>
        </w:tc>
        <w:tc>
          <w:tcPr>
            <w:tcW w:w="1480" w:type="dxa"/>
            <w:tcBorders>
              <w:top w:val="nil"/>
              <w:left w:val="nil"/>
              <w:bottom w:val="nil"/>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Yes</w:t>
            </w:r>
          </w:p>
        </w:tc>
      </w:tr>
      <w:tr w:rsidR="005A06CB" w:rsidRPr="00803F28" w:rsidTr="00D0485F">
        <w:trPr>
          <w:trHeight w:val="480"/>
          <w:jc w:val="center"/>
        </w:trPr>
        <w:tc>
          <w:tcPr>
            <w:tcW w:w="4180" w:type="dxa"/>
            <w:vMerge/>
            <w:tcBorders>
              <w:top w:val="nil"/>
              <w:left w:val="single" w:sz="4" w:space="0" w:color="auto"/>
              <w:bottom w:val="single" w:sz="4" w:space="0" w:color="000000"/>
              <w:right w:val="single" w:sz="4" w:space="0" w:color="auto"/>
            </w:tcBorders>
            <w:vAlign w:val="center"/>
            <w:hideMark/>
          </w:tcPr>
          <w:p w:rsidR="005A06CB" w:rsidRPr="00803F28" w:rsidRDefault="005A06CB" w:rsidP="00D0485F">
            <w:pPr>
              <w:spacing w:after="0" w:line="240" w:lineRule="auto"/>
              <w:rPr>
                <w:rFonts w:ascii="Times New Roman" w:eastAsia="Times New Roman" w:hAnsi="Times New Roman" w:cs="Times New Roman"/>
                <w:color w:val="291C00"/>
                <w:sz w:val="20"/>
                <w:szCs w:val="20"/>
              </w:rPr>
            </w:pPr>
          </w:p>
        </w:tc>
        <w:tc>
          <w:tcPr>
            <w:tcW w:w="4540" w:type="dxa"/>
            <w:tcBorders>
              <w:top w:val="single" w:sz="4" w:space="0" w:color="auto"/>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 xml:space="preserve">GDP </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w:t>
            </w:r>
          </w:p>
        </w:tc>
      </w:tr>
      <w:tr w:rsidR="005A06CB" w:rsidRPr="00803F28" w:rsidTr="00D0485F">
        <w:trPr>
          <w:trHeight w:val="480"/>
          <w:jc w:val="center"/>
        </w:trPr>
        <w:tc>
          <w:tcPr>
            <w:tcW w:w="4180" w:type="dxa"/>
            <w:vMerge/>
            <w:tcBorders>
              <w:top w:val="nil"/>
              <w:left w:val="single" w:sz="4" w:space="0" w:color="auto"/>
              <w:bottom w:val="single" w:sz="4" w:space="0" w:color="000000"/>
              <w:right w:val="single" w:sz="4" w:space="0" w:color="auto"/>
            </w:tcBorders>
            <w:vAlign w:val="center"/>
            <w:hideMark/>
          </w:tcPr>
          <w:p w:rsidR="005A06CB" w:rsidRPr="00803F28" w:rsidRDefault="005A06CB" w:rsidP="00D0485F">
            <w:pPr>
              <w:spacing w:after="0" w:line="240" w:lineRule="auto"/>
              <w:rPr>
                <w:rFonts w:ascii="Times New Roman" w:eastAsia="Times New Roman" w:hAnsi="Times New Roman" w:cs="Times New Roman"/>
                <w:color w:val="291C00"/>
                <w:sz w:val="20"/>
                <w:szCs w:val="20"/>
              </w:rPr>
            </w:pP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 xml:space="preserve"> Unemployment</w:t>
            </w:r>
            <w:r>
              <w:rPr>
                <w:rFonts w:ascii="Times New Roman" w:eastAsia="Times New Roman" w:hAnsi="Times New Roman" w:cs="Times New Roman"/>
                <w:color w:val="291C00"/>
                <w:sz w:val="20"/>
                <w:szCs w:val="20"/>
              </w:rPr>
              <w:t xml:space="preserve"> rate</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w:t>
            </w:r>
          </w:p>
        </w:tc>
      </w:tr>
      <w:tr w:rsidR="005A06CB" w:rsidRPr="00803F28" w:rsidTr="00D0485F">
        <w:trPr>
          <w:trHeight w:val="510"/>
          <w:jc w:val="center"/>
        </w:trPr>
        <w:tc>
          <w:tcPr>
            <w:tcW w:w="4180" w:type="dxa"/>
            <w:vMerge/>
            <w:tcBorders>
              <w:top w:val="nil"/>
              <w:left w:val="single" w:sz="4" w:space="0" w:color="auto"/>
              <w:bottom w:val="single" w:sz="4" w:space="0" w:color="000000"/>
              <w:right w:val="single" w:sz="4" w:space="0" w:color="auto"/>
            </w:tcBorders>
            <w:vAlign w:val="center"/>
            <w:hideMark/>
          </w:tcPr>
          <w:p w:rsidR="005A06CB" w:rsidRPr="00803F28" w:rsidRDefault="005A06CB" w:rsidP="00D0485F">
            <w:pPr>
              <w:spacing w:after="0" w:line="240" w:lineRule="auto"/>
              <w:rPr>
                <w:rFonts w:ascii="Times New Roman" w:eastAsia="Times New Roman" w:hAnsi="Times New Roman" w:cs="Times New Roman"/>
                <w:color w:val="291C00"/>
                <w:sz w:val="20"/>
                <w:szCs w:val="20"/>
              </w:rPr>
            </w:pP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Industrial Production</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w:t>
            </w:r>
          </w:p>
        </w:tc>
      </w:tr>
      <w:tr w:rsidR="005A06CB" w:rsidRPr="00803F28" w:rsidTr="00D0485F">
        <w:trPr>
          <w:trHeight w:val="510"/>
          <w:jc w:val="center"/>
        </w:trPr>
        <w:tc>
          <w:tcPr>
            <w:tcW w:w="4180"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Optimism Cycle</w:t>
            </w:r>
          </w:p>
        </w:tc>
        <w:tc>
          <w:tcPr>
            <w:tcW w:w="454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Consumer Sentiment Surveys</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Partly</w:t>
            </w:r>
          </w:p>
        </w:tc>
      </w:tr>
      <w:tr w:rsidR="005A06CB" w:rsidRPr="00803F28" w:rsidTr="00D0485F">
        <w:trPr>
          <w:trHeight w:val="525"/>
          <w:jc w:val="center"/>
        </w:trPr>
        <w:tc>
          <w:tcPr>
            <w:tcW w:w="4180" w:type="dxa"/>
            <w:vMerge/>
            <w:tcBorders>
              <w:top w:val="nil"/>
              <w:left w:val="single" w:sz="4" w:space="0" w:color="auto"/>
              <w:bottom w:val="single" w:sz="4" w:space="0" w:color="000000"/>
              <w:right w:val="single" w:sz="4" w:space="0" w:color="auto"/>
            </w:tcBorders>
            <w:vAlign w:val="center"/>
            <w:hideMark/>
          </w:tcPr>
          <w:p w:rsidR="005A06CB" w:rsidRPr="00803F28" w:rsidRDefault="005A06CB" w:rsidP="00D0485F">
            <w:pPr>
              <w:spacing w:after="0" w:line="240" w:lineRule="auto"/>
              <w:rPr>
                <w:rFonts w:ascii="Times New Roman" w:eastAsia="Times New Roman" w:hAnsi="Times New Roman" w:cs="Times New Roman"/>
                <w:color w:val="291C00"/>
                <w:sz w:val="20"/>
                <w:szCs w:val="20"/>
              </w:rPr>
            </w:pP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Implied Volatility Measures (VIX, MOVE)</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Partly</w:t>
            </w:r>
          </w:p>
        </w:tc>
      </w:tr>
      <w:tr w:rsidR="005A06CB" w:rsidRPr="00803F28" w:rsidTr="00D0485F">
        <w:trPr>
          <w:trHeight w:val="540"/>
          <w:jc w:val="center"/>
        </w:trPr>
        <w:tc>
          <w:tcPr>
            <w:tcW w:w="4180" w:type="dxa"/>
            <w:tcBorders>
              <w:top w:val="nil"/>
              <w:left w:val="single" w:sz="4" w:space="0" w:color="auto"/>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Seasonality of Macroeconomic Data Surprises</w:t>
            </w:r>
          </w:p>
        </w:tc>
        <w:tc>
          <w:tcPr>
            <w:tcW w:w="4540" w:type="dxa"/>
            <w:tcBorders>
              <w:top w:val="nil"/>
              <w:left w:val="nil"/>
              <w:bottom w:val="single" w:sz="4" w:space="0" w:color="auto"/>
              <w:right w:val="single" w:sz="4" w:space="0" w:color="auto"/>
            </w:tcBorders>
            <w:shd w:val="clear" w:color="auto" w:fill="auto"/>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Citi Economic Surprise Index (CESI)</w:t>
            </w:r>
          </w:p>
        </w:tc>
        <w:tc>
          <w:tcPr>
            <w:tcW w:w="1480" w:type="dxa"/>
            <w:tcBorders>
              <w:top w:val="nil"/>
              <w:left w:val="nil"/>
              <w:bottom w:val="single" w:sz="4" w:space="0" w:color="auto"/>
              <w:right w:val="single" w:sz="4" w:space="0" w:color="auto"/>
            </w:tcBorders>
            <w:shd w:val="clear" w:color="auto" w:fill="auto"/>
            <w:noWrap/>
            <w:vAlign w:val="center"/>
            <w:hideMark/>
          </w:tcPr>
          <w:p w:rsidR="005A06CB" w:rsidRPr="00803F28" w:rsidRDefault="005A06CB" w:rsidP="00D0485F">
            <w:pPr>
              <w:spacing w:after="0" w:line="240" w:lineRule="auto"/>
              <w:jc w:val="center"/>
              <w:rPr>
                <w:rFonts w:ascii="Times New Roman" w:eastAsia="Times New Roman" w:hAnsi="Times New Roman" w:cs="Times New Roman"/>
                <w:color w:val="291C00"/>
                <w:sz w:val="20"/>
                <w:szCs w:val="20"/>
              </w:rPr>
            </w:pPr>
            <w:r w:rsidRPr="00803F28">
              <w:rPr>
                <w:rFonts w:ascii="Times New Roman" w:eastAsia="Times New Roman" w:hAnsi="Times New Roman" w:cs="Times New Roman"/>
                <w:color w:val="291C00"/>
                <w:sz w:val="20"/>
                <w:szCs w:val="20"/>
              </w:rPr>
              <w:t>No</w:t>
            </w:r>
          </w:p>
        </w:tc>
      </w:tr>
    </w:tbl>
    <w:p w:rsidR="00EE1A2A" w:rsidRDefault="00EE1A2A" w:rsidP="00737EEE">
      <w:pPr>
        <w:pStyle w:val="Heading1"/>
      </w:pPr>
      <w:bookmarkStart w:id="55" w:name="_Toc396762721"/>
      <w:r w:rsidRPr="00737EEE">
        <w:t>5.</w:t>
      </w:r>
      <w:r w:rsidRPr="00737EEE">
        <w:tab/>
        <w:t>Robustness checks</w:t>
      </w:r>
      <w:bookmarkEnd w:id="55"/>
    </w:p>
    <w:p w:rsidR="00FF01C4" w:rsidRDefault="00FF01C4" w:rsidP="00FF01C4"/>
    <w:p w:rsidR="00D502BF" w:rsidRPr="00C82E62" w:rsidRDefault="00BC7F37" w:rsidP="00BC7F37">
      <w:pPr>
        <w:pStyle w:val="Heading2"/>
      </w:pPr>
      <w:bookmarkStart w:id="56" w:name="_Toc394500070"/>
      <w:bookmarkStart w:id="57" w:name="_Toc396762722"/>
      <w:r>
        <w:t xml:space="preserve">5.1 </w:t>
      </w:r>
      <w:r w:rsidR="00D502BF" w:rsidRPr="00C82E62">
        <w:t>Persistence over time</w:t>
      </w:r>
      <w:bookmarkEnd w:id="56"/>
      <w:bookmarkEnd w:id="57"/>
    </w:p>
    <w:p w:rsidR="00D502BF" w:rsidRDefault="00D502BF" w:rsidP="00D502BF"/>
    <w:p w:rsidR="00D502BF" w:rsidRDefault="00D502BF" w:rsidP="00D502BF">
      <w:pPr>
        <w:spacing w:after="0" w:line="360" w:lineRule="auto"/>
        <w:ind w:firstLine="720"/>
        <w:jc w:val="both"/>
        <w:rPr>
          <w:rFonts w:ascii="Times New Roman" w:hAnsi="Times New Roman" w:cs="Times New Roman"/>
        </w:rPr>
      </w:pPr>
      <w:r w:rsidRPr="001D083B">
        <w:rPr>
          <w:rFonts w:ascii="Times New Roman" w:hAnsi="Times New Roman" w:cs="Times New Roman"/>
        </w:rPr>
        <w:t>A</w:t>
      </w:r>
      <w:r>
        <w:rPr>
          <w:rFonts w:ascii="Times New Roman" w:hAnsi="Times New Roman" w:cs="Times New Roman"/>
        </w:rPr>
        <w:t>fter analysing a long sample of UK stock returns which spans for 317 year, Zhang and Jacobsen (2013) conclude that seasonal anomalies can be highly dependent on the sample considered. They also fail to find a persistent January effect through time. In this context, I check the validity of the results based on a long US sample which covers 62 years of data from 1952 to 2013. I extend the sample used in Section 4.4 in both time horizon (from 56 years to 62 years) and the range of maturities (from four maturities to six). I thus consider the whole universe of US bonds – with maturities between one year and thirty years.</w:t>
      </w:r>
    </w:p>
    <w:p w:rsidR="00D502BF"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The results of the seasonalit</w:t>
      </w:r>
      <w:r w:rsidR="009C2309">
        <w:rPr>
          <w:rFonts w:ascii="Times New Roman" w:hAnsi="Times New Roman" w:cs="Times New Roman"/>
        </w:rPr>
        <w:t>y tests from Table 5.1</w:t>
      </w:r>
      <w:r>
        <w:rPr>
          <w:rFonts w:ascii="Times New Roman" w:hAnsi="Times New Roman" w:cs="Times New Roman"/>
        </w:rPr>
        <w:t xml:space="preserve"> confirm the results based on the short sample from 1980-2013</w:t>
      </w:r>
      <w:r w:rsidR="00107E73">
        <w:rPr>
          <w:rFonts w:ascii="Times New Roman" w:hAnsi="Times New Roman" w:cs="Times New Roman"/>
        </w:rPr>
        <w:t xml:space="preserve"> (Table 4.2)</w:t>
      </w:r>
      <w:r>
        <w:rPr>
          <w:rFonts w:ascii="Times New Roman" w:hAnsi="Times New Roman" w:cs="Times New Roman"/>
        </w:rPr>
        <w:t>. Accordingly, January and Inverted Halloween effects are not relevant for US bond market. The SAD factor is also more pronounced at a monthly frequency than the H1 H2 effect. The SAD factor becomes weaker at a quarterly frequency, the value of the t-statistic decreases to 1.90 from 2.72 at a monthly frequency.</w:t>
      </w:r>
    </w:p>
    <w:p w:rsidR="00D502BF"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 xml:space="preserve">The statistical significance of the H1 H2 effect is robust. The pattern is statistically significant at 10% </w:t>
      </w:r>
      <w:r w:rsidR="00107E73">
        <w:rPr>
          <w:rFonts w:ascii="Times New Roman" w:hAnsi="Times New Roman" w:cs="Times New Roman"/>
        </w:rPr>
        <w:t>level compared to 5% previously</w:t>
      </w:r>
      <w:r w:rsidR="00107E73">
        <w:rPr>
          <w:rStyle w:val="FootnoteReference"/>
          <w:rFonts w:ascii="Times New Roman" w:hAnsi="Times New Roman" w:cs="Times New Roman"/>
        </w:rPr>
        <w:footnoteReference w:id="57"/>
      </w:r>
      <w:r>
        <w:rPr>
          <w:rFonts w:ascii="Times New Roman" w:hAnsi="Times New Roman" w:cs="Times New Roman"/>
        </w:rPr>
        <w:t xml:space="preserve"> (for both a monthly and a quarterly frequency). </w:t>
      </w:r>
    </w:p>
    <w:p w:rsidR="00D502BF" w:rsidRDefault="00D502BF" w:rsidP="00D502BF">
      <w:pPr>
        <w:spacing w:after="0" w:line="360" w:lineRule="auto"/>
        <w:ind w:firstLine="720"/>
        <w:jc w:val="both"/>
        <w:rPr>
          <w:rFonts w:ascii="Times New Roman" w:hAnsi="Times New Roman" w:cs="Times New Roman"/>
        </w:rPr>
      </w:pPr>
    </w:p>
    <w:p w:rsidR="00D502BF" w:rsidRDefault="009C2309" w:rsidP="00D502BF">
      <w:pPr>
        <w:spacing w:after="0" w:line="240" w:lineRule="auto"/>
        <w:jc w:val="center"/>
        <w:rPr>
          <w:rFonts w:ascii="Times New Roman" w:hAnsi="Times New Roman" w:cs="Times New Roman"/>
        </w:rPr>
      </w:pPr>
      <w:r>
        <w:rPr>
          <w:rFonts w:ascii="Times New Roman" w:hAnsi="Times New Roman" w:cs="Times New Roman"/>
        </w:rPr>
        <w:t>Table 5.1</w:t>
      </w:r>
      <w:r w:rsidR="00D502BF" w:rsidRPr="008434EA">
        <w:rPr>
          <w:rFonts w:ascii="Times New Roman" w:hAnsi="Times New Roman" w:cs="Times New Roman"/>
        </w:rPr>
        <w:t xml:space="preserve">: </w:t>
      </w:r>
      <w:r w:rsidR="00D502BF">
        <w:rPr>
          <w:rFonts w:ascii="Times New Roman" w:hAnsi="Times New Roman" w:cs="Times New Roman"/>
        </w:rPr>
        <w:t>Seasonality tests for U</w:t>
      </w:r>
      <w:r w:rsidR="00107E73">
        <w:rPr>
          <w:rFonts w:ascii="Times New Roman" w:hAnsi="Times New Roman" w:cs="Times New Roman"/>
        </w:rPr>
        <w:t>.</w:t>
      </w:r>
      <w:r w:rsidR="00D502BF">
        <w:rPr>
          <w:rFonts w:ascii="Times New Roman" w:hAnsi="Times New Roman" w:cs="Times New Roman"/>
        </w:rPr>
        <w:t>S</w:t>
      </w:r>
      <w:r w:rsidR="00107E73">
        <w:rPr>
          <w:rFonts w:ascii="Times New Roman" w:hAnsi="Times New Roman" w:cs="Times New Roman"/>
        </w:rPr>
        <w:t>.</w:t>
      </w:r>
      <w:r w:rsidR="00D502BF">
        <w:rPr>
          <w:rFonts w:ascii="Times New Roman" w:hAnsi="Times New Roman" w:cs="Times New Roman"/>
        </w:rPr>
        <w:t xml:space="preserve"> CRSP Universe</w:t>
      </w:r>
      <w:r w:rsidR="00107E73">
        <w:rPr>
          <w:rFonts w:ascii="Times New Roman" w:hAnsi="Times New Roman" w:cs="Times New Roman"/>
        </w:rPr>
        <w:t xml:space="preserve"> Bond Returns</w:t>
      </w:r>
    </w:p>
    <w:p w:rsidR="00D502BF" w:rsidRDefault="00D502BF" w:rsidP="00D502BF">
      <w:pPr>
        <w:spacing w:after="0" w:line="240" w:lineRule="auto"/>
        <w:jc w:val="center"/>
        <w:rPr>
          <w:rFonts w:ascii="Times New Roman" w:hAnsi="Times New Roman" w:cs="Times New Roman"/>
        </w:rPr>
      </w:pPr>
    </w:p>
    <w:tbl>
      <w:tblPr>
        <w:tblW w:w="6240" w:type="dxa"/>
        <w:jc w:val="center"/>
        <w:tblInd w:w="93" w:type="dxa"/>
        <w:tblLook w:val="04A0"/>
      </w:tblPr>
      <w:tblGrid>
        <w:gridCol w:w="2020"/>
        <w:gridCol w:w="960"/>
        <w:gridCol w:w="920"/>
        <w:gridCol w:w="1060"/>
        <w:gridCol w:w="1280"/>
      </w:tblGrid>
      <w:tr w:rsidR="00D502BF" w:rsidRPr="00C23951" w:rsidTr="00D0485F">
        <w:trPr>
          <w:trHeight w:val="480"/>
          <w:jc w:val="center"/>
        </w:trPr>
        <w:tc>
          <w:tcPr>
            <w:tcW w:w="2020" w:type="dxa"/>
            <w:tcBorders>
              <w:top w:val="single" w:sz="4" w:space="0" w:color="auto"/>
              <w:left w:val="nil"/>
              <w:bottom w:val="single" w:sz="4" w:space="0" w:color="auto"/>
              <w:right w:val="nil"/>
            </w:tcBorders>
            <w:shd w:val="clear" w:color="auto" w:fill="auto"/>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Nominal Bond Excess returns</w:t>
            </w:r>
          </w:p>
        </w:tc>
        <w:tc>
          <w:tcPr>
            <w:tcW w:w="960" w:type="dxa"/>
            <w:tcBorders>
              <w:top w:val="single" w:sz="4" w:space="0" w:color="auto"/>
              <w:left w:val="nil"/>
              <w:bottom w:val="single" w:sz="4" w:space="0" w:color="auto"/>
              <w:right w:val="nil"/>
            </w:tcBorders>
            <w:shd w:val="clear" w:color="auto" w:fill="auto"/>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January</w:t>
            </w:r>
          </w:p>
        </w:tc>
        <w:tc>
          <w:tcPr>
            <w:tcW w:w="920" w:type="dxa"/>
            <w:tcBorders>
              <w:top w:val="single" w:sz="4" w:space="0" w:color="auto"/>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H1 H2</w:t>
            </w:r>
          </w:p>
        </w:tc>
        <w:tc>
          <w:tcPr>
            <w:tcW w:w="1060" w:type="dxa"/>
            <w:tcBorders>
              <w:top w:val="single" w:sz="4" w:space="0" w:color="auto"/>
              <w:left w:val="nil"/>
              <w:bottom w:val="single" w:sz="4" w:space="0" w:color="auto"/>
              <w:right w:val="nil"/>
            </w:tcBorders>
            <w:shd w:val="clear" w:color="auto" w:fill="auto"/>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SAD</w:t>
            </w:r>
          </w:p>
        </w:tc>
        <w:tc>
          <w:tcPr>
            <w:tcW w:w="1280" w:type="dxa"/>
            <w:tcBorders>
              <w:top w:val="single" w:sz="4" w:space="0" w:color="auto"/>
              <w:left w:val="nil"/>
              <w:bottom w:val="single" w:sz="4" w:space="0" w:color="auto"/>
              <w:right w:val="nil"/>
            </w:tcBorders>
            <w:shd w:val="clear" w:color="auto" w:fill="auto"/>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Inverted Halloween</w:t>
            </w:r>
          </w:p>
        </w:tc>
      </w:tr>
      <w:tr w:rsidR="00D502BF" w:rsidRPr="00C23951" w:rsidTr="00D0485F">
        <w:trPr>
          <w:trHeight w:val="255"/>
          <w:jc w:val="center"/>
        </w:trPr>
        <w:tc>
          <w:tcPr>
            <w:tcW w:w="2020" w:type="dxa"/>
            <w:tcBorders>
              <w:top w:val="nil"/>
              <w:left w:val="nil"/>
              <w:bottom w:val="nil"/>
              <w:right w:val="nil"/>
            </w:tcBorders>
            <w:shd w:val="clear" w:color="auto" w:fill="auto"/>
            <w:vAlign w:val="center"/>
            <w:hideMark/>
          </w:tcPr>
          <w:p w:rsidR="00D502BF" w:rsidRPr="00C23951" w:rsidRDefault="00D502BF" w:rsidP="00D0485F">
            <w:pPr>
              <w:spacing w:after="0" w:line="240" w:lineRule="auto"/>
              <w:rPr>
                <w:rFonts w:ascii="Times New Roman" w:eastAsia="Times New Roman" w:hAnsi="Times New Roman" w:cs="Times New Roman"/>
                <w:i/>
                <w:iCs/>
                <w:color w:val="000000"/>
                <w:sz w:val="20"/>
                <w:szCs w:val="20"/>
              </w:rPr>
            </w:pPr>
            <w:r w:rsidRPr="00C23951">
              <w:rPr>
                <w:rFonts w:ascii="Times New Roman" w:eastAsia="Times New Roman" w:hAnsi="Times New Roman" w:cs="Times New Roman"/>
                <w:i/>
                <w:iCs/>
                <w:color w:val="000000"/>
                <w:sz w:val="20"/>
                <w:szCs w:val="20"/>
              </w:rPr>
              <w:t>Monthly frequency</w:t>
            </w:r>
          </w:p>
        </w:tc>
        <w:tc>
          <w:tcPr>
            <w:tcW w:w="96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c>
          <w:tcPr>
            <w:tcW w:w="92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c>
          <w:tcPr>
            <w:tcW w:w="106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c>
          <w:tcPr>
            <w:tcW w:w="128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r>
      <w:tr w:rsidR="00D502BF" w:rsidRPr="00C23951" w:rsidTr="00D0485F">
        <w:trPr>
          <w:trHeight w:val="240"/>
          <w:jc w:val="center"/>
        </w:trPr>
        <w:tc>
          <w:tcPr>
            <w:tcW w:w="2020" w:type="dxa"/>
            <w:tcBorders>
              <w:top w:val="nil"/>
              <w:left w:val="nil"/>
              <w:bottom w:val="single" w:sz="4" w:space="0" w:color="auto"/>
              <w:right w:val="nil"/>
            </w:tcBorders>
            <w:shd w:val="clear" w:color="auto" w:fill="auto"/>
            <w:noWrap/>
            <w:vAlign w:val="bottom"/>
            <w:hideMark/>
          </w:tcPr>
          <w:p w:rsidR="00D502BF" w:rsidRPr="00C23951" w:rsidRDefault="00D502BF" w:rsidP="00D0485F">
            <w:pPr>
              <w:spacing w:after="0" w:line="240" w:lineRule="auto"/>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U</w:t>
            </w:r>
            <w:r w:rsidR="00107E73">
              <w:rPr>
                <w:rFonts w:ascii="Times New Roman" w:eastAsia="Times New Roman" w:hAnsi="Times New Roman" w:cs="Times New Roman"/>
                <w:color w:val="000000"/>
                <w:sz w:val="20"/>
                <w:szCs w:val="20"/>
              </w:rPr>
              <w:t>.</w:t>
            </w:r>
            <w:r w:rsidRPr="00C23951">
              <w:rPr>
                <w:rFonts w:ascii="Times New Roman" w:eastAsia="Times New Roman" w:hAnsi="Times New Roman" w:cs="Times New Roman"/>
                <w:color w:val="000000"/>
                <w:sz w:val="20"/>
                <w:szCs w:val="20"/>
              </w:rPr>
              <w:t>S</w:t>
            </w:r>
            <w:r w:rsidR="00107E73">
              <w:rPr>
                <w:rFonts w:ascii="Times New Roman" w:eastAsia="Times New Roman" w:hAnsi="Times New Roman" w:cs="Times New Roman"/>
                <w:color w:val="000000"/>
                <w:sz w:val="20"/>
                <w:szCs w:val="20"/>
              </w:rPr>
              <w:t>.</w:t>
            </w:r>
            <w:r w:rsidRPr="00C23951">
              <w:rPr>
                <w:rFonts w:ascii="Times New Roman" w:eastAsia="Times New Roman" w:hAnsi="Times New Roman" w:cs="Times New Roman"/>
                <w:color w:val="000000"/>
                <w:sz w:val="20"/>
                <w:szCs w:val="20"/>
              </w:rPr>
              <w:t xml:space="preserve"> CRSP Universe</w:t>
            </w:r>
          </w:p>
        </w:tc>
        <w:tc>
          <w:tcPr>
            <w:tcW w:w="96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-0.38</w:t>
            </w:r>
          </w:p>
        </w:tc>
        <w:tc>
          <w:tcPr>
            <w:tcW w:w="92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4F81BD"/>
                <w:sz w:val="20"/>
                <w:szCs w:val="20"/>
              </w:rPr>
            </w:pPr>
            <w:r w:rsidRPr="00C23951">
              <w:rPr>
                <w:rFonts w:ascii="Times New Roman" w:eastAsia="Times New Roman" w:hAnsi="Times New Roman" w:cs="Times New Roman"/>
                <w:color w:val="4F81BD"/>
                <w:sz w:val="20"/>
                <w:szCs w:val="20"/>
              </w:rPr>
              <w:t>1.86</w:t>
            </w:r>
          </w:p>
        </w:tc>
        <w:tc>
          <w:tcPr>
            <w:tcW w:w="106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b/>
                <w:bCs/>
                <w:color w:val="000000"/>
                <w:sz w:val="20"/>
                <w:szCs w:val="20"/>
              </w:rPr>
            </w:pPr>
            <w:r w:rsidRPr="00C23951">
              <w:rPr>
                <w:rFonts w:ascii="Times New Roman" w:eastAsia="Times New Roman" w:hAnsi="Times New Roman" w:cs="Times New Roman"/>
                <w:b/>
                <w:bCs/>
                <w:color w:val="000000"/>
                <w:sz w:val="20"/>
                <w:szCs w:val="20"/>
              </w:rPr>
              <w:t>2.72</w:t>
            </w:r>
          </w:p>
        </w:tc>
        <w:tc>
          <w:tcPr>
            <w:tcW w:w="128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1.58</w:t>
            </w:r>
          </w:p>
        </w:tc>
      </w:tr>
      <w:tr w:rsidR="00D502BF" w:rsidRPr="00C23951" w:rsidTr="00D0485F">
        <w:trPr>
          <w:trHeight w:val="240"/>
          <w:jc w:val="center"/>
        </w:trPr>
        <w:tc>
          <w:tcPr>
            <w:tcW w:w="2020" w:type="dxa"/>
            <w:tcBorders>
              <w:top w:val="nil"/>
              <w:left w:val="nil"/>
              <w:bottom w:val="nil"/>
              <w:right w:val="nil"/>
            </w:tcBorders>
            <w:shd w:val="clear" w:color="auto" w:fill="auto"/>
            <w:vAlign w:val="center"/>
            <w:hideMark/>
          </w:tcPr>
          <w:p w:rsidR="00D502BF" w:rsidRPr="00C23951" w:rsidRDefault="00D502BF" w:rsidP="00D0485F">
            <w:pPr>
              <w:spacing w:after="0" w:line="240" w:lineRule="auto"/>
              <w:rPr>
                <w:rFonts w:ascii="Times New Roman" w:eastAsia="Times New Roman" w:hAnsi="Times New Roman" w:cs="Times New Roman"/>
                <w:i/>
                <w:iCs/>
                <w:color w:val="000000"/>
                <w:sz w:val="20"/>
                <w:szCs w:val="20"/>
              </w:rPr>
            </w:pPr>
            <w:r w:rsidRPr="00C23951">
              <w:rPr>
                <w:rFonts w:ascii="Times New Roman" w:eastAsia="Times New Roman" w:hAnsi="Times New Roman" w:cs="Times New Roman"/>
                <w:i/>
                <w:iCs/>
                <w:color w:val="000000"/>
                <w:sz w:val="20"/>
                <w:szCs w:val="20"/>
              </w:rPr>
              <w:t>Quarterly frequency</w:t>
            </w:r>
          </w:p>
        </w:tc>
        <w:tc>
          <w:tcPr>
            <w:tcW w:w="96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p>
        </w:tc>
        <w:tc>
          <w:tcPr>
            <w:tcW w:w="92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p>
        </w:tc>
        <w:tc>
          <w:tcPr>
            <w:tcW w:w="106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p>
        </w:tc>
        <w:tc>
          <w:tcPr>
            <w:tcW w:w="1280" w:type="dxa"/>
            <w:tcBorders>
              <w:top w:val="nil"/>
              <w:left w:val="nil"/>
              <w:bottom w:val="nil"/>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p>
        </w:tc>
      </w:tr>
      <w:tr w:rsidR="00D502BF" w:rsidRPr="00C23951" w:rsidTr="00D0485F">
        <w:trPr>
          <w:trHeight w:val="240"/>
          <w:jc w:val="center"/>
        </w:trPr>
        <w:tc>
          <w:tcPr>
            <w:tcW w:w="2020" w:type="dxa"/>
            <w:tcBorders>
              <w:top w:val="nil"/>
              <w:left w:val="nil"/>
              <w:bottom w:val="single" w:sz="4" w:space="0" w:color="auto"/>
              <w:right w:val="nil"/>
            </w:tcBorders>
            <w:shd w:val="clear" w:color="auto" w:fill="auto"/>
            <w:noWrap/>
            <w:vAlign w:val="bottom"/>
            <w:hideMark/>
          </w:tcPr>
          <w:p w:rsidR="00D502BF" w:rsidRPr="00C23951" w:rsidRDefault="00D502BF" w:rsidP="00D0485F">
            <w:pPr>
              <w:spacing w:after="0" w:line="240" w:lineRule="auto"/>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U</w:t>
            </w:r>
            <w:r w:rsidR="00107E73">
              <w:rPr>
                <w:rFonts w:ascii="Times New Roman" w:eastAsia="Times New Roman" w:hAnsi="Times New Roman" w:cs="Times New Roman"/>
                <w:color w:val="000000"/>
                <w:sz w:val="20"/>
                <w:szCs w:val="20"/>
              </w:rPr>
              <w:t>.</w:t>
            </w:r>
            <w:r w:rsidRPr="00C23951">
              <w:rPr>
                <w:rFonts w:ascii="Times New Roman" w:eastAsia="Times New Roman" w:hAnsi="Times New Roman" w:cs="Times New Roman"/>
                <w:color w:val="000000"/>
                <w:sz w:val="20"/>
                <w:szCs w:val="20"/>
              </w:rPr>
              <w:t>S</w:t>
            </w:r>
            <w:r w:rsidR="00107E73">
              <w:rPr>
                <w:rFonts w:ascii="Times New Roman" w:eastAsia="Times New Roman" w:hAnsi="Times New Roman" w:cs="Times New Roman"/>
                <w:color w:val="000000"/>
                <w:sz w:val="20"/>
                <w:szCs w:val="20"/>
              </w:rPr>
              <w:t>.</w:t>
            </w:r>
            <w:r w:rsidRPr="00C23951">
              <w:rPr>
                <w:rFonts w:ascii="Times New Roman" w:eastAsia="Times New Roman" w:hAnsi="Times New Roman" w:cs="Times New Roman"/>
                <w:color w:val="000000"/>
                <w:sz w:val="20"/>
                <w:szCs w:val="20"/>
              </w:rPr>
              <w:t xml:space="preserve"> CRSP Universe</w:t>
            </w:r>
          </w:p>
        </w:tc>
        <w:tc>
          <w:tcPr>
            <w:tcW w:w="96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c>
          <w:tcPr>
            <w:tcW w:w="92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4F81BD"/>
                <w:sz w:val="20"/>
                <w:szCs w:val="20"/>
              </w:rPr>
            </w:pPr>
            <w:r w:rsidRPr="00C23951">
              <w:rPr>
                <w:rFonts w:ascii="Times New Roman" w:eastAsia="Times New Roman" w:hAnsi="Times New Roman" w:cs="Times New Roman"/>
                <w:color w:val="4F81BD"/>
                <w:sz w:val="20"/>
                <w:szCs w:val="20"/>
              </w:rPr>
              <w:t>1.82</w:t>
            </w:r>
          </w:p>
        </w:tc>
        <w:tc>
          <w:tcPr>
            <w:tcW w:w="106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4F81BD"/>
                <w:sz w:val="20"/>
                <w:szCs w:val="20"/>
              </w:rPr>
            </w:pPr>
            <w:r w:rsidRPr="00C23951">
              <w:rPr>
                <w:rFonts w:ascii="Times New Roman" w:eastAsia="Times New Roman" w:hAnsi="Times New Roman" w:cs="Times New Roman"/>
                <w:color w:val="4F81BD"/>
                <w:sz w:val="20"/>
                <w:szCs w:val="20"/>
              </w:rPr>
              <w:t>1.90</w:t>
            </w:r>
          </w:p>
        </w:tc>
        <w:tc>
          <w:tcPr>
            <w:tcW w:w="1280" w:type="dxa"/>
            <w:tcBorders>
              <w:top w:val="nil"/>
              <w:left w:val="nil"/>
              <w:bottom w:val="single" w:sz="4" w:space="0" w:color="auto"/>
              <w:right w:val="nil"/>
            </w:tcBorders>
            <w:shd w:val="clear" w:color="auto" w:fill="auto"/>
            <w:noWrap/>
            <w:vAlign w:val="center"/>
            <w:hideMark/>
          </w:tcPr>
          <w:p w:rsidR="00D502BF" w:rsidRPr="00C23951" w:rsidRDefault="00D502BF" w:rsidP="00D0485F">
            <w:pPr>
              <w:spacing w:after="0" w:line="240" w:lineRule="auto"/>
              <w:jc w:val="center"/>
              <w:rPr>
                <w:rFonts w:ascii="Times New Roman" w:eastAsia="Times New Roman" w:hAnsi="Times New Roman" w:cs="Times New Roman"/>
                <w:color w:val="000000"/>
                <w:sz w:val="20"/>
                <w:szCs w:val="20"/>
              </w:rPr>
            </w:pPr>
            <w:r w:rsidRPr="00C23951">
              <w:rPr>
                <w:rFonts w:ascii="Times New Roman" w:eastAsia="Times New Roman" w:hAnsi="Times New Roman" w:cs="Times New Roman"/>
                <w:color w:val="000000"/>
                <w:sz w:val="20"/>
                <w:szCs w:val="20"/>
              </w:rPr>
              <w:t> </w:t>
            </w:r>
          </w:p>
        </w:tc>
      </w:tr>
    </w:tbl>
    <w:p w:rsidR="00D502BF" w:rsidRPr="006C0856" w:rsidRDefault="00D502BF" w:rsidP="00D502BF">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 t-values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D502BF" w:rsidRPr="006C0856" w:rsidRDefault="00D502BF" w:rsidP="00D502BF">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D502BF" w:rsidRPr="00C23951" w:rsidRDefault="00D502BF" w:rsidP="00D502BF">
      <w:pPr>
        <w:pStyle w:val="NoSpacing"/>
        <w:jc w:val="both"/>
        <w:rPr>
          <w:rFonts w:ascii="Times New Roman" w:hAnsi="Times New Roman" w:cs="Times New Roman"/>
          <w:sz w:val="18"/>
          <w:szCs w:val="18"/>
        </w:rPr>
      </w:pPr>
      <w:r w:rsidRPr="00C23951">
        <w:rPr>
          <w:rFonts w:ascii="Times New Roman" w:hAnsi="Times New Roman" w:cs="Times New Roman"/>
          <w:sz w:val="18"/>
          <w:szCs w:val="18"/>
        </w:rPr>
        <w:t xml:space="preserve">where Y are US nominal bond excess returns (calculated based on CRSP indices). </w:t>
      </w:r>
      <w:r w:rsidRPr="00C23951">
        <w:rPr>
          <w:rFonts w:ascii="Times New Roman" w:hAnsi="Times New Roman" w:cs="Times New Roman"/>
          <w:noProof/>
          <w:sz w:val="18"/>
          <w:szCs w:val="18"/>
        </w:rPr>
        <w:t>CRSP Universe stands for an equally-weighted portfolio of US Treasuries with maturities of 1Y, 2Y, 5Y, 7Y, 10Y, 20Y and 30Y.</w:t>
      </w:r>
      <w:r w:rsidRPr="00C23951">
        <w:rPr>
          <w:rFonts w:ascii="Times New Roman" w:hAnsi="Times New Roman" w:cs="Times New Roman"/>
          <w:sz w:val="18"/>
          <w:szCs w:val="18"/>
        </w:rPr>
        <w:t xml:space="preserve"> X depends on the seasonal pattern tested. In case of January effect, X</w:t>
      </w:r>
      <w:r w:rsidRPr="00C23951">
        <w:rPr>
          <w:rFonts w:ascii="Times New Roman" w:hAnsi="Times New Roman" w:cs="Times New Roman"/>
          <w:sz w:val="18"/>
          <w:szCs w:val="18"/>
          <w:vertAlign w:val="subscript"/>
        </w:rPr>
        <w:t xml:space="preserve"> </w:t>
      </w:r>
      <w:r w:rsidRPr="00C23951">
        <w:rPr>
          <w:rFonts w:ascii="Times New Roman" w:hAnsi="Times New Roman" w:cs="Times New Roman"/>
          <w:sz w:val="18"/>
          <w:szCs w:val="18"/>
        </w:rPr>
        <w:t>is a dummy that takes the value of 1 for January and 0 otherwise. In case of H1 H2, X is a du</w:t>
      </w:r>
      <w:r>
        <w:rPr>
          <w:rFonts w:ascii="Times New Roman" w:hAnsi="Times New Roman" w:cs="Times New Roman"/>
          <w:sz w:val="18"/>
          <w:szCs w:val="18"/>
        </w:rPr>
        <w:t>mmy that takes on the value of 0</w:t>
      </w:r>
      <w:r w:rsidRPr="00C23951">
        <w:rPr>
          <w:rFonts w:ascii="Times New Roman" w:hAnsi="Times New Roman" w:cs="Times New Roman"/>
          <w:sz w:val="18"/>
          <w:szCs w:val="18"/>
        </w:rPr>
        <w:t xml:space="preserve"> for January to June</w:t>
      </w:r>
      <w:r>
        <w:rPr>
          <w:rFonts w:ascii="Times New Roman" w:hAnsi="Times New Roman" w:cs="Times New Roman"/>
          <w:sz w:val="18"/>
          <w:szCs w:val="18"/>
        </w:rPr>
        <w:t xml:space="preserve"> and 1</w:t>
      </w:r>
      <w:r w:rsidRPr="00C23951">
        <w:rPr>
          <w:rFonts w:ascii="Times New Roman" w:hAnsi="Times New Roman" w:cs="Times New Roman"/>
          <w:sz w:val="18"/>
          <w:szCs w:val="18"/>
        </w:rPr>
        <w:t xml:space="preserve"> otherwise. For SAD, X is set equal to the 12 monthly values from the Kamstra, Kramer, and Levi (2014) paper. </w:t>
      </w:r>
      <w:r>
        <w:rPr>
          <w:rFonts w:ascii="Times New Roman" w:hAnsi="Times New Roman" w:cs="Times New Roman"/>
          <w:sz w:val="18"/>
          <w:szCs w:val="18"/>
        </w:rPr>
        <w:t xml:space="preserve">Inverted </w:t>
      </w:r>
      <w:r w:rsidRPr="00C23951">
        <w:rPr>
          <w:rFonts w:ascii="Times New Roman" w:hAnsi="Times New Roman" w:cs="Times New Roman"/>
          <w:sz w:val="18"/>
          <w:szCs w:val="18"/>
        </w:rPr>
        <w:t xml:space="preserve">Halloween effect is </w:t>
      </w:r>
      <w:r>
        <w:rPr>
          <w:rFonts w:ascii="Times New Roman" w:hAnsi="Times New Roman" w:cs="Times New Roman"/>
          <w:sz w:val="18"/>
          <w:szCs w:val="18"/>
        </w:rPr>
        <w:t>the opposite of the one</w:t>
      </w:r>
      <w:r w:rsidRPr="00C23951">
        <w:rPr>
          <w:rFonts w:ascii="Times New Roman" w:hAnsi="Times New Roman" w:cs="Times New Roman"/>
          <w:sz w:val="18"/>
          <w:szCs w:val="18"/>
        </w:rPr>
        <w:t xml:space="preserve"> discovered by Bouman and Jacobsen (2002)</w:t>
      </w:r>
      <w:r>
        <w:rPr>
          <w:rFonts w:ascii="Times New Roman" w:hAnsi="Times New Roman" w:cs="Times New Roman"/>
          <w:sz w:val="18"/>
          <w:szCs w:val="18"/>
        </w:rPr>
        <w:t xml:space="preserve"> </w:t>
      </w:r>
      <w:r>
        <w:rPr>
          <w:rFonts w:ascii="Times New Roman" w:hAnsi="Times New Roman" w:cs="Times New Roman"/>
          <w:sz w:val="18"/>
          <w:szCs w:val="18"/>
        </w:rPr>
        <w:lastRenderedPageBreak/>
        <w:t>on the stock market</w:t>
      </w:r>
      <w:r w:rsidRPr="00C23951">
        <w:rPr>
          <w:rFonts w:ascii="Times New Roman" w:hAnsi="Times New Roman" w:cs="Times New Roman"/>
          <w:sz w:val="18"/>
          <w:szCs w:val="18"/>
        </w:rPr>
        <w:t xml:space="preserve">. To capture the </w:t>
      </w:r>
      <w:r>
        <w:rPr>
          <w:rFonts w:ascii="Times New Roman" w:hAnsi="Times New Roman" w:cs="Times New Roman"/>
          <w:sz w:val="18"/>
          <w:szCs w:val="18"/>
        </w:rPr>
        <w:t xml:space="preserve">Inverted </w:t>
      </w:r>
      <w:r w:rsidRPr="00C23951">
        <w:rPr>
          <w:rFonts w:ascii="Times New Roman" w:hAnsi="Times New Roman" w:cs="Times New Roman"/>
          <w:sz w:val="18"/>
          <w:szCs w:val="18"/>
        </w:rPr>
        <w:t xml:space="preserve">Halloween effect, X is a dummy which takes on the value of 1 for </w:t>
      </w:r>
      <w:r>
        <w:rPr>
          <w:rFonts w:ascii="Times New Roman" w:hAnsi="Times New Roman" w:cs="Times New Roman"/>
          <w:sz w:val="18"/>
          <w:szCs w:val="18"/>
        </w:rPr>
        <w:t>May to October</w:t>
      </w:r>
      <w:r w:rsidRPr="00C23951">
        <w:rPr>
          <w:rFonts w:ascii="Times New Roman" w:hAnsi="Times New Roman" w:cs="Times New Roman"/>
          <w:sz w:val="18"/>
          <w:szCs w:val="18"/>
        </w:rPr>
        <w:t xml:space="preserve"> and 0 otherwise. At the quarterly frequency we take the average of the 3 monthly values in each quarter. </w:t>
      </w:r>
      <w:r>
        <w:rPr>
          <w:rFonts w:ascii="Times New Roman" w:hAnsi="Times New Roman" w:cs="Times New Roman"/>
          <w:sz w:val="18"/>
          <w:szCs w:val="18"/>
        </w:rPr>
        <w:t xml:space="preserve">January and Inverted Halloween </w:t>
      </w:r>
      <w:r w:rsidRPr="00C23951">
        <w:rPr>
          <w:rFonts w:ascii="Times New Roman" w:hAnsi="Times New Roman" w:cs="Times New Roman"/>
          <w:sz w:val="18"/>
          <w:szCs w:val="18"/>
        </w:rPr>
        <w:t>cannot be translated to quarters and hence at that frequency there are no results</w:t>
      </w:r>
      <w:r>
        <w:rPr>
          <w:rFonts w:ascii="Times New Roman" w:hAnsi="Times New Roman" w:cs="Times New Roman"/>
          <w:sz w:val="18"/>
          <w:szCs w:val="18"/>
        </w:rPr>
        <w:t xml:space="preserve">. At monthly frequency, the t-values are based on Newey-West standard errors, while at quarterly frequency, as the residuals do not exhibit autocorrelation, the t-values are based on </w:t>
      </w:r>
      <w:r w:rsidRPr="00460648">
        <w:rPr>
          <w:rFonts w:ascii="Times New Roman" w:hAnsi="Times New Roman" w:cs="Times New Roman"/>
          <w:sz w:val="18"/>
          <w:szCs w:val="18"/>
        </w:rPr>
        <w:t>White's heteroskedasticity corrected standard errors</w:t>
      </w:r>
      <w:r>
        <w:rPr>
          <w:rFonts w:ascii="Times New Roman" w:hAnsi="Times New Roman" w:cs="Times New Roman"/>
          <w:sz w:val="18"/>
          <w:szCs w:val="18"/>
        </w:rPr>
        <w:t xml:space="preserve">. Using Newey-West standard errors for quarterly frequency leads to similar results (t-stats of 1.88 for H1 H2 and 2.08 for SAD). </w:t>
      </w:r>
      <w:r w:rsidR="00107E73">
        <w:rPr>
          <w:rFonts w:ascii="Times New Roman" w:hAnsi="Times New Roman" w:cs="Times New Roman"/>
          <w:sz w:val="18"/>
          <w:szCs w:val="18"/>
        </w:rPr>
        <w:t xml:space="preserve">The sample ranges from 1952 to </w:t>
      </w:r>
      <w:r w:rsidRPr="00C23951">
        <w:rPr>
          <w:rFonts w:ascii="Times New Roman" w:hAnsi="Times New Roman" w:cs="Times New Roman"/>
          <w:sz w:val="18"/>
          <w:szCs w:val="18"/>
        </w:rPr>
        <w:t xml:space="preserve">2013. The numbers in </w:t>
      </w:r>
      <w:r w:rsidRPr="00C23951">
        <w:rPr>
          <w:rFonts w:ascii="Times New Roman" w:hAnsi="Times New Roman" w:cs="Times New Roman"/>
          <w:b/>
          <w:sz w:val="18"/>
          <w:szCs w:val="18"/>
        </w:rPr>
        <w:t>Bold</w:t>
      </w:r>
      <w:r w:rsidRPr="00C23951">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4F81BD"/>
          <w:sz w:val="18"/>
          <w:szCs w:val="18"/>
        </w:rPr>
        <w:t>Blue</w:t>
      </w:r>
      <w:r w:rsidRPr="00C23951">
        <w:rPr>
          <w:rFonts w:ascii="Times New Roman" w:hAnsi="Times New Roman" w:cs="Times New Roman"/>
          <w:sz w:val="18"/>
          <w:szCs w:val="18"/>
        </w:rPr>
        <w:t xml:space="preserve"> at 10% significance level.</w:t>
      </w:r>
    </w:p>
    <w:p w:rsidR="00D502BF" w:rsidRDefault="00D502BF" w:rsidP="00D502BF">
      <w:pPr>
        <w:rPr>
          <w:sz w:val="18"/>
          <w:szCs w:val="18"/>
        </w:rPr>
      </w:pPr>
    </w:p>
    <w:p w:rsidR="00D502BF" w:rsidRDefault="00107E73" w:rsidP="00D502BF">
      <w:pPr>
        <w:spacing w:after="0" w:line="360" w:lineRule="auto"/>
        <w:ind w:firstLine="720"/>
        <w:jc w:val="both"/>
        <w:rPr>
          <w:rFonts w:ascii="Times New Roman" w:hAnsi="Times New Roman" w:cs="Times New Roman"/>
        </w:rPr>
      </w:pPr>
      <w:r>
        <w:rPr>
          <w:rFonts w:ascii="Times New Roman" w:hAnsi="Times New Roman" w:cs="Times New Roman"/>
        </w:rPr>
        <w:t>When verifying</w:t>
      </w:r>
      <w:r w:rsidR="00D502BF">
        <w:rPr>
          <w:rFonts w:ascii="Times New Roman" w:hAnsi="Times New Roman" w:cs="Times New Roman"/>
        </w:rPr>
        <w:t xml:space="preserve"> the link between US bond returns and the inflation rate for the period 1952-2013, the relationship remains strong</w:t>
      </w:r>
      <w:r w:rsidR="0031512E">
        <w:rPr>
          <w:rFonts w:ascii="Times New Roman" w:hAnsi="Times New Roman" w:cs="Times New Roman"/>
        </w:rPr>
        <w:t xml:space="preserve"> (as depicted in Table 5.2)</w:t>
      </w:r>
      <w:r w:rsidR="00D502BF">
        <w:rPr>
          <w:rFonts w:ascii="Times New Roman" w:hAnsi="Times New Roman" w:cs="Times New Roman"/>
        </w:rPr>
        <w:t>. The inflation coefficient is statistically significant at a 1% level and the magnitude is in line with the previous values</w:t>
      </w:r>
      <w:r>
        <w:rPr>
          <w:rFonts w:ascii="Times New Roman" w:hAnsi="Times New Roman" w:cs="Times New Roman"/>
        </w:rPr>
        <w:t xml:space="preserve"> (Table 4.12)</w:t>
      </w:r>
      <w:r w:rsidR="00D502BF">
        <w:rPr>
          <w:rFonts w:ascii="Times New Roman" w:hAnsi="Times New Roman" w:cs="Times New Roman"/>
        </w:rPr>
        <w:t>.</w:t>
      </w:r>
    </w:p>
    <w:p w:rsidR="00D502BF" w:rsidRDefault="00D502BF" w:rsidP="00D502BF">
      <w:pPr>
        <w:rPr>
          <w:sz w:val="18"/>
          <w:szCs w:val="18"/>
        </w:rPr>
      </w:pPr>
    </w:p>
    <w:p w:rsidR="00BC7F37" w:rsidRDefault="00BC7F37" w:rsidP="00D502BF">
      <w:pPr>
        <w:rPr>
          <w:sz w:val="18"/>
          <w:szCs w:val="18"/>
        </w:rPr>
      </w:pPr>
    </w:p>
    <w:p w:rsidR="00BC7F37" w:rsidRDefault="00BC7F37" w:rsidP="00D502BF">
      <w:pPr>
        <w:rPr>
          <w:sz w:val="18"/>
          <w:szCs w:val="18"/>
        </w:rPr>
      </w:pPr>
    </w:p>
    <w:p w:rsidR="00BC7F37" w:rsidRDefault="00BC7F37" w:rsidP="00D502BF">
      <w:pPr>
        <w:rPr>
          <w:sz w:val="18"/>
          <w:szCs w:val="18"/>
        </w:rPr>
      </w:pPr>
    </w:p>
    <w:p w:rsidR="00BC7F37" w:rsidRDefault="00BC7F37" w:rsidP="00D502BF">
      <w:pPr>
        <w:rPr>
          <w:sz w:val="18"/>
          <w:szCs w:val="18"/>
        </w:rPr>
      </w:pPr>
    </w:p>
    <w:p w:rsidR="00D502BF" w:rsidRDefault="009C2309" w:rsidP="00D502BF">
      <w:pPr>
        <w:jc w:val="center"/>
        <w:rPr>
          <w:rFonts w:ascii="Times New Roman" w:hAnsi="Times New Roman" w:cs="Times New Roman"/>
        </w:rPr>
      </w:pPr>
      <w:r>
        <w:rPr>
          <w:rFonts w:ascii="Times New Roman" w:hAnsi="Times New Roman" w:cs="Times New Roman"/>
        </w:rPr>
        <w:t>Table 5.2</w:t>
      </w:r>
      <w:r w:rsidR="00D502BF">
        <w:rPr>
          <w:rFonts w:ascii="Times New Roman" w:hAnsi="Times New Roman" w:cs="Times New Roman"/>
        </w:rPr>
        <w:t>: The relationship between US bond</w:t>
      </w:r>
      <w:r w:rsidR="00D502BF" w:rsidRPr="00467C8E">
        <w:rPr>
          <w:rFonts w:ascii="Times New Roman" w:hAnsi="Times New Roman" w:cs="Times New Roman"/>
        </w:rPr>
        <w:t xml:space="preserve"> returns and inflation</w:t>
      </w:r>
    </w:p>
    <w:tbl>
      <w:tblPr>
        <w:tblW w:w="4980" w:type="dxa"/>
        <w:jc w:val="center"/>
        <w:tblInd w:w="93" w:type="dxa"/>
        <w:tblLook w:val="04A0"/>
      </w:tblPr>
      <w:tblGrid>
        <w:gridCol w:w="1946"/>
        <w:gridCol w:w="834"/>
        <w:gridCol w:w="1140"/>
        <w:gridCol w:w="1060"/>
      </w:tblGrid>
      <w:tr w:rsidR="00D502BF" w:rsidRPr="00460648" w:rsidTr="00D0485F">
        <w:trPr>
          <w:trHeight w:val="480"/>
          <w:jc w:val="center"/>
        </w:trPr>
        <w:tc>
          <w:tcPr>
            <w:tcW w:w="1946" w:type="dxa"/>
            <w:vMerge w:val="restart"/>
            <w:tcBorders>
              <w:top w:val="single" w:sz="4" w:space="0" w:color="auto"/>
              <w:left w:val="nil"/>
              <w:bottom w:val="single" w:sz="4" w:space="0" w:color="000000"/>
              <w:right w:val="nil"/>
            </w:tcBorders>
            <w:shd w:val="clear" w:color="auto" w:fill="auto"/>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Nominal Bond Excess Returns</w:t>
            </w:r>
          </w:p>
        </w:tc>
        <w:tc>
          <w:tcPr>
            <w:tcW w:w="1974" w:type="dxa"/>
            <w:gridSpan w:val="2"/>
            <w:tcBorders>
              <w:top w:val="single" w:sz="4" w:space="0" w:color="auto"/>
              <w:left w:val="nil"/>
              <w:bottom w:val="nil"/>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U</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S</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 xml:space="preserve"> Inflation Rate</w:t>
            </w:r>
          </w:p>
        </w:tc>
        <w:tc>
          <w:tcPr>
            <w:tcW w:w="1060" w:type="dxa"/>
            <w:vMerge w:val="restart"/>
            <w:tcBorders>
              <w:top w:val="single" w:sz="4" w:space="0" w:color="auto"/>
              <w:left w:val="nil"/>
              <w:bottom w:val="single" w:sz="4" w:space="0" w:color="000000"/>
              <w:right w:val="nil"/>
            </w:tcBorders>
            <w:shd w:val="clear" w:color="auto" w:fill="auto"/>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R</w:t>
            </w:r>
            <w:r w:rsidRPr="00460648">
              <w:rPr>
                <w:rFonts w:ascii="Times New Roman" w:eastAsia="Times New Roman" w:hAnsi="Times New Roman" w:cs="Times New Roman"/>
                <w:color w:val="000000"/>
                <w:sz w:val="20"/>
                <w:szCs w:val="20"/>
                <w:vertAlign w:val="superscript"/>
              </w:rPr>
              <w:t>2</w:t>
            </w:r>
          </w:p>
        </w:tc>
      </w:tr>
      <w:tr w:rsidR="00D502BF" w:rsidRPr="00460648" w:rsidTr="00D0485F">
        <w:trPr>
          <w:trHeight w:val="255"/>
          <w:jc w:val="center"/>
        </w:trPr>
        <w:tc>
          <w:tcPr>
            <w:tcW w:w="1946" w:type="dxa"/>
            <w:vMerge/>
            <w:tcBorders>
              <w:top w:val="single" w:sz="4" w:space="0" w:color="auto"/>
              <w:left w:val="nil"/>
              <w:bottom w:val="single" w:sz="4" w:space="0" w:color="000000"/>
              <w:right w:val="nil"/>
            </w:tcBorders>
            <w:vAlign w:val="center"/>
            <w:hideMark/>
          </w:tcPr>
          <w:p w:rsidR="00D502BF" w:rsidRPr="00460648" w:rsidRDefault="00D502BF" w:rsidP="00D0485F">
            <w:pPr>
              <w:spacing w:after="0" w:line="240" w:lineRule="auto"/>
              <w:rPr>
                <w:rFonts w:ascii="Times New Roman" w:eastAsia="Times New Roman" w:hAnsi="Times New Roman" w:cs="Times New Roman"/>
                <w:color w:val="000000"/>
                <w:sz w:val="20"/>
                <w:szCs w:val="20"/>
              </w:rPr>
            </w:pPr>
          </w:p>
        </w:tc>
        <w:tc>
          <w:tcPr>
            <w:tcW w:w="834" w:type="dxa"/>
            <w:tcBorders>
              <w:top w:val="nil"/>
              <w:left w:val="nil"/>
              <w:bottom w:val="nil"/>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β</w:t>
            </w:r>
          </w:p>
        </w:tc>
        <w:tc>
          <w:tcPr>
            <w:tcW w:w="1140"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t-stat</w:t>
            </w:r>
          </w:p>
        </w:tc>
        <w:tc>
          <w:tcPr>
            <w:tcW w:w="1060" w:type="dxa"/>
            <w:vMerge/>
            <w:tcBorders>
              <w:top w:val="single" w:sz="4" w:space="0" w:color="auto"/>
              <w:left w:val="nil"/>
              <w:bottom w:val="single" w:sz="4" w:space="0" w:color="000000"/>
              <w:right w:val="nil"/>
            </w:tcBorders>
            <w:vAlign w:val="center"/>
            <w:hideMark/>
          </w:tcPr>
          <w:p w:rsidR="00D502BF" w:rsidRPr="00460648" w:rsidRDefault="00D502BF" w:rsidP="00D0485F">
            <w:pPr>
              <w:spacing w:after="0" w:line="240" w:lineRule="auto"/>
              <w:rPr>
                <w:rFonts w:ascii="Times New Roman" w:eastAsia="Times New Roman" w:hAnsi="Times New Roman" w:cs="Times New Roman"/>
                <w:color w:val="000000"/>
                <w:sz w:val="20"/>
                <w:szCs w:val="20"/>
              </w:rPr>
            </w:pPr>
          </w:p>
        </w:tc>
      </w:tr>
      <w:tr w:rsidR="00D502BF" w:rsidRPr="00460648" w:rsidTr="00D0485F">
        <w:trPr>
          <w:trHeight w:val="255"/>
          <w:jc w:val="center"/>
        </w:trPr>
        <w:tc>
          <w:tcPr>
            <w:tcW w:w="2780" w:type="dxa"/>
            <w:gridSpan w:val="2"/>
            <w:tcBorders>
              <w:top w:val="single" w:sz="4" w:space="0" w:color="auto"/>
              <w:left w:val="nil"/>
              <w:bottom w:val="nil"/>
              <w:right w:val="nil"/>
            </w:tcBorders>
            <w:shd w:val="clear" w:color="auto" w:fill="auto"/>
            <w:vAlign w:val="center"/>
            <w:hideMark/>
          </w:tcPr>
          <w:p w:rsidR="00D502BF" w:rsidRPr="00460648" w:rsidRDefault="00D502BF" w:rsidP="00D0485F">
            <w:pPr>
              <w:spacing w:after="0" w:line="240" w:lineRule="auto"/>
              <w:rPr>
                <w:rFonts w:ascii="Times New Roman" w:eastAsia="Times New Roman" w:hAnsi="Times New Roman" w:cs="Times New Roman"/>
                <w:i/>
                <w:iCs/>
                <w:color w:val="000000"/>
                <w:sz w:val="20"/>
                <w:szCs w:val="20"/>
              </w:rPr>
            </w:pPr>
            <w:r w:rsidRPr="00460648">
              <w:rPr>
                <w:rFonts w:ascii="Times New Roman" w:eastAsia="Times New Roman" w:hAnsi="Times New Roman" w:cs="Times New Roman"/>
                <w:i/>
                <w:iCs/>
                <w:color w:val="000000"/>
                <w:sz w:val="20"/>
                <w:szCs w:val="20"/>
              </w:rPr>
              <w:t>Monthly frequency</w:t>
            </w:r>
          </w:p>
        </w:tc>
        <w:tc>
          <w:tcPr>
            <w:tcW w:w="1140" w:type="dxa"/>
            <w:tcBorders>
              <w:top w:val="nil"/>
              <w:left w:val="nil"/>
              <w:bottom w:val="nil"/>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 </w:t>
            </w:r>
          </w:p>
        </w:tc>
        <w:tc>
          <w:tcPr>
            <w:tcW w:w="1060" w:type="dxa"/>
            <w:tcBorders>
              <w:top w:val="nil"/>
              <w:left w:val="nil"/>
              <w:bottom w:val="nil"/>
              <w:right w:val="nil"/>
            </w:tcBorders>
            <w:shd w:val="clear" w:color="auto" w:fill="auto"/>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 </w:t>
            </w:r>
          </w:p>
        </w:tc>
      </w:tr>
      <w:tr w:rsidR="00D502BF" w:rsidRPr="00460648" w:rsidTr="00D0485F">
        <w:trPr>
          <w:trHeight w:val="255"/>
          <w:jc w:val="center"/>
        </w:trPr>
        <w:tc>
          <w:tcPr>
            <w:tcW w:w="1946" w:type="dxa"/>
            <w:tcBorders>
              <w:top w:val="nil"/>
              <w:left w:val="nil"/>
              <w:bottom w:val="single" w:sz="4" w:space="0" w:color="auto"/>
              <w:right w:val="nil"/>
            </w:tcBorders>
            <w:shd w:val="clear" w:color="auto" w:fill="auto"/>
            <w:vAlign w:val="center"/>
            <w:hideMark/>
          </w:tcPr>
          <w:p w:rsidR="00D502BF" w:rsidRPr="00460648" w:rsidRDefault="00D502BF" w:rsidP="00D0485F">
            <w:pPr>
              <w:spacing w:after="0" w:line="240" w:lineRule="auto"/>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U</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S</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 xml:space="preserve"> CRSP Universe</w:t>
            </w:r>
          </w:p>
        </w:tc>
        <w:tc>
          <w:tcPr>
            <w:tcW w:w="834"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-0.756</w:t>
            </w:r>
          </w:p>
        </w:tc>
        <w:tc>
          <w:tcPr>
            <w:tcW w:w="1140"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b/>
                <w:bCs/>
                <w:color w:val="000000"/>
                <w:sz w:val="20"/>
                <w:szCs w:val="20"/>
              </w:rPr>
            </w:pPr>
            <w:r w:rsidRPr="00460648">
              <w:rPr>
                <w:rFonts w:ascii="Times New Roman" w:eastAsia="Times New Roman" w:hAnsi="Times New Roman" w:cs="Times New Roman"/>
                <w:b/>
                <w:bCs/>
                <w:color w:val="000000"/>
                <w:sz w:val="20"/>
                <w:szCs w:val="20"/>
              </w:rPr>
              <w:t>-3.02</w:t>
            </w:r>
          </w:p>
        </w:tc>
        <w:tc>
          <w:tcPr>
            <w:tcW w:w="1060"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0.026</w:t>
            </w:r>
          </w:p>
        </w:tc>
      </w:tr>
      <w:tr w:rsidR="00D502BF" w:rsidRPr="00460648" w:rsidTr="00D0485F">
        <w:trPr>
          <w:trHeight w:val="240"/>
          <w:jc w:val="center"/>
        </w:trPr>
        <w:tc>
          <w:tcPr>
            <w:tcW w:w="2780" w:type="dxa"/>
            <w:gridSpan w:val="2"/>
            <w:tcBorders>
              <w:top w:val="nil"/>
              <w:left w:val="nil"/>
              <w:bottom w:val="nil"/>
              <w:right w:val="nil"/>
            </w:tcBorders>
            <w:shd w:val="clear" w:color="auto" w:fill="auto"/>
            <w:vAlign w:val="center"/>
            <w:hideMark/>
          </w:tcPr>
          <w:p w:rsidR="00D502BF" w:rsidRPr="00460648" w:rsidRDefault="00D502BF" w:rsidP="00D0485F">
            <w:pPr>
              <w:spacing w:after="0" w:line="240" w:lineRule="auto"/>
              <w:rPr>
                <w:rFonts w:ascii="Times New Roman" w:eastAsia="Times New Roman" w:hAnsi="Times New Roman" w:cs="Times New Roman"/>
                <w:i/>
                <w:iCs/>
                <w:color w:val="000000"/>
                <w:sz w:val="20"/>
                <w:szCs w:val="20"/>
              </w:rPr>
            </w:pPr>
            <w:r w:rsidRPr="00460648">
              <w:rPr>
                <w:rFonts w:ascii="Times New Roman" w:eastAsia="Times New Roman" w:hAnsi="Times New Roman" w:cs="Times New Roman"/>
                <w:i/>
                <w:iCs/>
                <w:color w:val="000000"/>
                <w:sz w:val="20"/>
                <w:szCs w:val="20"/>
              </w:rPr>
              <w:t>Quarterly frequency</w:t>
            </w:r>
          </w:p>
        </w:tc>
        <w:tc>
          <w:tcPr>
            <w:tcW w:w="1140" w:type="dxa"/>
            <w:tcBorders>
              <w:top w:val="nil"/>
              <w:left w:val="nil"/>
              <w:bottom w:val="nil"/>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p>
        </w:tc>
        <w:tc>
          <w:tcPr>
            <w:tcW w:w="1060" w:type="dxa"/>
            <w:tcBorders>
              <w:top w:val="nil"/>
              <w:left w:val="nil"/>
              <w:bottom w:val="nil"/>
              <w:right w:val="nil"/>
            </w:tcBorders>
            <w:shd w:val="clear" w:color="auto" w:fill="auto"/>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p>
        </w:tc>
      </w:tr>
      <w:tr w:rsidR="00D502BF" w:rsidRPr="00460648" w:rsidTr="00D0485F">
        <w:trPr>
          <w:trHeight w:val="240"/>
          <w:jc w:val="center"/>
        </w:trPr>
        <w:tc>
          <w:tcPr>
            <w:tcW w:w="1946" w:type="dxa"/>
            <w:tcBorders>
              <w:top w:val="nil"/>
              <w:left w:val="nil"/>
              <w:bottom w:val="single" w:sz="4" w:space="0" w:color="auto"/>
              <w:right w:val="nil"/>
            </w:tcBorders>
            <w:shd w:val="clear" w:color="auto" w:fill="auto"/>
            <w:vAlign w:val="center"/>
            <w:hideMark/>
          </w:tcPr>
          <w:p w:rsidR="00D502BF" w:rsidRPr="00460648" w:rsidRDefault="00D502BF" w:rsidP="00D0485F">
            <w:pPr>
              <w:spacing w:after="0" w:line="240" w:lineRule="auto"/>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U</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S</w:t>
            </w:r>
            <w:r w:rsidR="00107E73">
              <w:rPr>
                <w:rFonts w:ascii="Times New Roman" w:eastAsia="Times New Roman" w:hAnsi="Times New Roman" w:cs="Times New Roman"/>
                <w:color w:val="000000"/>
                <w:sz w:val="20"/>
                <w:szCs w:val="20"/>
              </w:rPr>
              <w:t>.</w:t>
            </w:r>
            <w:r w:rsidRPr="00460648">
              <w:rPr>
                <w:rFonts w:ascii="Times New Roman" w:eastAsia="Times New Roman" w:hAnsi="Times New Roman" w:cs="Times New Roman"/>
                <w:color w:val="000000"/>
                <w:sz w:val="20"/>
                <w:szCs w:val="20"/>
              </w:rPr>
              <w:t xml:space="preserve"> CRSP Universe</w:t>
            </w:r>
          </w:p>
        </w:tc>
        <w:tc>
          <w:tcPr>
            <w:tcW w:w="834"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-1.123</w:t>
            </w:r>
          </w:p>
        </w:tc>
        <w:tc>
          <w:tcPr>
            <w:tcW w:w="1140"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b/>
                <w:bCs/>
                <w:color w:val="000000"/>
                <w:sz w:val="20"/>
                <w:szCs w:val="20"/>
              </w:rPr>
            </w:pPr>
            <w:r w:rsidRPr="00460648">
              <w:rPr>
                <w:rFonts w:ascii="Times New Roman" w:eastAsia="Times New Roman" w:hAnsi="Times New Roman" w:cs="Times New Roman"/>
                <w:b/>
                <w:bCs/>
                <w:color w:val="000000"/>
                <w:sz w:val="20"/>
                <w:szCs w:val="20"/>
              </w:rPr>
              <w:t>-4.38</w:t>
            </w:r>
          </w:p>
        </w:tc>
        <w:tc>
          <w:tcPr>
            <w:tcW w:w="1060" w:type="dxa"/>
            <w:tcBorders>
              <w:top w:val="nil"/>
              <w:left w:val="nil"/>
              <w:bottom w:val="single" w:sz="4" w:space="0" w:color="auto"/>
              <w:right w:val="nil"/>
            </w:tcBorders>
            <w:shd w:val="clear" w:color="auto" w:fill="auto"/>
            <w:noWrap/>
            <w:vAlign w:val="center"/>
            <w:hideMark/>
          </w:tcPr>
          <w:p w:rsidR="00D502BF" w:rsidRPr="00460648" w:rsidRDefault="00D502BF" w:rsidP="00D0485F">
            <w:pPr>
              <w:spacing w:after="0" w:line="240" w:lineRule="auto"/>
              <w:jc w:val="center"/>
              <w:rPr>
                <w:rFonts w:ascii="Times New Roman" w:eastAsia="Times New Roman" w:hAnsi="Times New Roman" w:cs="Times New Roman"/>
                <w:color w:val="000000"/>
                <w:sz w:val="20"/>
                <w:szCs w:val="20"/>
              </w:rPr>
            </w:pPr>
            <w:r w:rsidRPr="00460648">
              <w:rPr>
                <w:rFonts w:ascii="Times New Roman" w:eastAsia="Times New Roman" w:hAnsi="Times New Roman" w:cs="Times New Roman"/>
                <w:color w:val="000000"/>
                <w:sz w:val="20"/>
                <w:szCs w:val="20"/>
              </w:rPr>
              <w:t>0.095</w:t>
            </w:r>
          </w:p>
        </w:tc>
      </w:tr>
    </w:tbl>
    <w:p w:rsidR="00D502BF" w:rsidRPr="001221C6" w:rsidRDefault="00D502BF" w:rsidP="00D502BF">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w:t>
      </w:r>
      <w:r>
        <w:rPr>
          <w:rFonts w:ascii="Times New Roman" w:hAnsi="Times New Roman" w:cs="Times New Roman"/>
          <w:sz w:val="18"/>
          <w:szCs w:val="18"/>
        </w:rPr>
        <w:t xml:space="preserve"> </w:t>
      </w:r>
      <w:r w:rsidRPr="006C0856">
        <w:rPr>
          <w:rFonts w:ascii="Times New Roman" w:hAnsi="Times New Roman" w:cs="Times New Roman"/>
          <w:sz w:val="18"/>
          <w:szCs w:val="18"/>
        </w:rPr>
        <w:t>based on Newey-West standard errors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r w:rsidRPr="001221C6">
        <w:rPr>
          <w:rFonts w:ascii="Times New Roman" w:hAnsi="Times New Roman" w:cs="Times New Roman"/>
          <w:sz w:val="18"/>
          <w:szCs w:val="18"/>
        </w:rPr>
        <w:t xml:space="preserve"> </w:t>
      </w:r>
    </w:p>
    <w:p w:rsidR="00D502BF" w:rsidRPr="001221C6" w:rsidRDefault="00D502BF" w:rsidP="00D502BF">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D502BF" w:rsidRPr="001221C6" w:rsidRDefault="00D502BF" w:rsidP="00D502BF">
      <w:pPr>
        <w:pStyle w:val="NoSpacing"/>
        <w:jc w:val="both"/>
        <w:rPr>
          <w:rFonts w:ascii="Times New Roman" w:hAnsi="Times New Roman" w:cs="Times New Roman"/>
          <w:sz w:val="18"/>
          <w:szCs w:val="18"/>
        </w:rPr>
      </w:pPr>
      <w:r>
        <w:rPr>
          <w:rFonts w:ascii="Times New Roman" w:hAnsi="Times New Roman" w:cs="Times New Roman"/>
          <w:sz w:val="18"/>
          <w:szCs w:val="18"/>
        </w:rPr>
        <w:t>where Y are US nominal bond excess</w:t>
      </w:r>
      <w:r w:rsidRPr="001221C6">
        <w:rPr>
          <w:rFonts w:ascii="Times New Roman" w:hAnsi="Times New Roman" w:cs="Times New Roman"/>
          <w:sz w:val="18"/>
          <w:szCs w:val="18"/>
        </w:rPr>
        <w:t xml:space="preserve"> returns at the monthly</w:t>
      </w:r>
      <w:r>
        <w:rPr>
          <w:rFonts w:ascii="Times New Roman" w:hAnsi="Times New Roman" w:cs="Times New Roman"/>
          <w:sz w:val="18"/>
          <w:szCs w:val="18"/>
        </w:rPr>
        <w:t xml:space="preserve"> frequency and at quarterly frequency respectively.</w:t>
      </w:r>
      <w:r w:rsidR="00107E73">
        <w:rPr>
          <w:rFonts w:ascii="Times New Roman" w:hAnsi="Times New Roman" w:cs="Times New Roman"/>
          <w:sz w:val="18"/>
          <w:szCs w:val="18"/>
        </w:rPr>
        <w:t xml:space="preserve"> U.S.</w:t>
      </w:r>
      <w:r>
        <w:rPr>
          <w:rFonts w:ascii="Times New Roman" w:hAnsi="Times New Roman" w:cs="Times New Roman"/>
          <w:sz w:val="18"/>
          <w:szCs w:val="18"/>
        </w:rPr>
        <w:t xml:space="preserve"> </w:t>
      </w:r>
      <w:r w:rsidRPr="00C23951">
        <w:rPr>
          <w:rFonts w:ascii="Times New Roman" w:hAnsi="Times New Roman" w:cs="Times New Roman"/>
          <w:noProof/>
          <w:sz w:val="18"/>
          <w:szCs w:val="18"/>
        </w:rPr>
        <w:t>CRSP Universe stands for an equally-weighted portfolio of US Treasuries with maturities of 1Y, 2Y, 5Y, 7Y, 10Y, 20Y and 30Y.</w:t>
      </w:r>
      <w:r w:rsidRPr="00C23951">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X is the </w:t>
      </w:r>
      <w:r>
        <w:rPr>
          <w:rFonts w:ascii="Times New Roman" w:hAnsi="Times New Roman" w:cs="Times New Roman"/>
          <w:sz w:val="18"/>
          <w:szCs w:val="18"/>
        </w:rPr>
        <w:t>U</w:t>
      </w:r>
      <w:r w:rsidR="00107E73">
        <w:rPr>
          <w:rFonts w:ascii="Times New Roman" w:hAnsi="Times New Roman" w:cs="Times New Roman"/>
          <w:sz w:val="18"/>
          <w:szCs w:val="18"/>
        </w:rPr>
        <w:t>.</w:t>
      </w:r>
      <w:r>
        <w:rPr>
          <w:rFonts w:ascii="Times New Roman" w:hAnsi="Times New Roman" w:cs="Times New Roman"/>
          <w:sz w:val="18"/>
          <w:szCs w:val="18"/>
        </w:rPr>
        <w:t>S</w:t>
      </w:r>
      <w:r w:rsidR="00107E73">
        <w:rPr>
          <w:rFonts w:ascii="Times New Roman" w:hAnsi="Times New Roman" w:cs="Times New Roman"/>
          <w:sz w:val="18"/>
          <w:szCs w:val="18"/>
        </w:rPr>
        <w:t>.</w:t>
      </w:r>
      <w:r>
        <w:rPr>
          <w:rFonts w:ascii="Times New Roman" w:hAnsi="Times New Roman" w:cs="Times New Roman"/>
          <w:sz w:val="18"/>
          <w:szCs w:val="18"/>
        </w:rPr>
        <w:t xml:space="preserve"> non-seasonally adjusted inflation rate</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Sample period for the analysis is 1952-2013.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w:t>
      </w:r>
      <w:r>
        <w:rPr>
          <w:rFonts w:ascii="Times New Roman" w:hAnsi="Times New Roman" w:cs="Times New Roman"/>
          <w:sz w:val="18"/>
          <w:szCs w:val="18"/>
        </w:rPr>
        <w:t xml:space="preserve">a </w:t>
      </w:r>
      <w:r w:rsidRPr="001221C6">
        <w:rPr>
          <w:rFonts w:ascii="Times New Roman" w:hAnsi="Times New Roman" w:cs="Times New Roman"/>
          <w:sz w:val="18"/>
          <w:szCs w:val="18"/>
        </w:rPr>
        <w:t xml:space="preserve">5% significance level, while those in </w:t>
      </w:r>
      <w:r w:rsidRPr="009C2309">
        <w:rPr>
          <w:rFonts w:ascii="Times New Roman" w:eastAsia="Times New Roman" w:hAnsi="Times New Roman" w:cs="Times New Roman"/>
          <w:color w:val="4F81BD"/>
          <w:sz w:val="18"/>
          <w:szCs w:val="18"/>
        </w:rPr>
        <w:t>Blue</w:t>
      </w:r>
      <w:r w:rsidRPr="001221C6">
        <w:rPr>
          <w:rFonts w:ascii="Times New Roman" w:hAnsi="Times New Roman" w:cs="Times New Roman"/>
          <w:sz w:val="18"/>
          <w:szCs w:val="18"/>
        </w:rPr>
        <w:t xml:space="preserve"> at </w:t>
      </w:r>
      <w:r>
        <w:rPr>
          <w:rFonts w:ascii="Times New Roman" w:hAnsi="Times New Roman" w:cs="Times New Roman"/>
          <w:sz w:val="18"/>
          <w:szCs w:val="18"/>
        </w:rPr>
        <w:t xml:space="preserve">a </w:t>
      </w:r>
      <w:r w:rsidRPr="001221C6">
        <w:rPr>
          <w:rFonts w:ascii="Times New Roman" w:hAnsi="Times New Roman" w:cs="Times New Roman"/>
          <w:sz w:val="18"/>
          <w:szCs w:val="18"/>
        </w:rPr>
        <w:t>10% significance level.</w:t>
      </w:r>
    </w:p>
    <w:p w:rsidR="00D502BF" w:rsidRDefault="00D502BF" w:rsidP="00D502BF"/>
    <w:p w:rsidR="00D502BF"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After accounting for the influence of inflation rate, the residuals display a SAD effect only at monthly frequency, while at a quarterly frequency there is no significant seasonal variation in the residuals</w:t>
      </w:r>
      <w:r w:rsidR="0031512E">
        <w:rPr>
          <w:rFonts w:ascii="Times New Roman" w:hAnsi="Times New Roman" w:cs="Times New Roman"/>
        </w:rPr>
        <w:t xml:space="preserve"> (as shown in Table 5.3)</w:t>
      </w:r>
      <w:r>
        <w:rPr>
          <w:rFonts w:ascii="Times New Roman" w:hAnsi="Times New Roman" w:cs="Times New Roman"/>
        </w:rPr>
        <w:t>. These results are in line with the previous results discussed in Section 4.2.2.</w:t>
      </w:r>
    </w:p>
    <w:p w:rsidR="00D502BF" w:rsidRDefault="00D502BF" w:rsidP="00D502BF"/>
    <w:p w:rsidR="00D502BF" w:rsidRPr="009A6F01" w:rsidRDefault="009C2309" w:rsidP="00D502BF">
      <w:pPr>
        <w:jc w:val="center"/>
        <w:rPr>
          <w:rFonts w:ascii="Times New Roman" w:hAnsi="Times New Roman" w:cs="Times New Roman"/>
        </w:rPr>
      </w:pPr>
      <w:r>
        <w:rPr>
          <w:rFonts w:ascii="Times New Roman" w:hAnsi="Times New Roman" w:cs="Times New Roman"/>
        </w:rPr>
        <w:t>Table 5.3</w:t>
      </w:r>
      <w:r w:rsidR="00D502BF">
        <w:rPr>
          <w:rFonts w:ascii="Times New Roman" w:hAnsi="Times New Roman" w:cs="Times New Roman"/>
        </w:rPr>
        <w:t xml:space="preserve">: </w:t>
      </w:r>
      <w:r w:rsidR="0031512E">
        <w:rPr>
          <w:rFonts w:ascii="Times New Roman" w:hAnsi="Times New Roman" w:cs="Times New Roman"/>
        </w:rPr>
        <w:t>Seasonality in Inflation-corrected Bond R</w:t>
      </w:r>
      <w:r w:rsidR="00D502BF" w:rsidRPr="009A6F01">
        <w:rPr>
          <w:rFonts w:ascii="Times New Roman" w:hAnsi="Times New Roman" w:cs="Times New Roman"/>
        </w:rPr>
        <w:t>eturns</w:t>
      </w:r>
    </w:p>
    <w:tbl>
      <w:tblPr>
        <w:tblW w:w="4560" w:type="dxa"/>
        <w:jc w:val="center"/>
        <w:tblInd w:w="93" w:type="dxa"/>
        <w:tblLook w:val="04A0"/>
      </w:tblPr>
      <w:tblGrid>
        <w:gridCol w:w="2020"/>
        <w:gridCol w:w="1140"/>
        <w:gridCol w:w="1400"/>
      </w:tblGrid>
      <w:tr w:rsidR="00D502BF" w:rsidRPr="009A6F01" w:rsidTr="00D0485F">
        <w:trPr>
          <w:trHeight w:val="480"/>
          <w:jc w:val="center"/>
        </w:trPr>
        <w:tc>
          <w:tcPr>
            <w:tcW w:w="2020" w:type="dxa"/>
            <w:tcBorders>
              <w:top w:val="single" w:sz="4" w:space="0" w:color="auto"/>
              <w:left w:val="nil"/>
              <w:bottom w:val="single" w:sz="4" w:space="0" w:color="auto"/>
              <w:right w:val="nil"/>
            </w:tcBorders>
            <w:shd w:val="clear" w:color="auto" w:fill="auto"/>
            <w:vAlign w:val="center"/>
            <w:hideMark/>
          </w:tcPr>
          <w:p w:rsidR="00D502BF" w:rsidRPr="009A6F01" w:rsidRDefault="00D502BF" w:rsidP="00D0485F">
            <w:pPr>
              <w:spacing w:after="0" w:line="240" w:lineRule="auto"/>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Infl</w:t>
            </w:r>
            <w:r>
              <w:rPr>
                <w:rFonts w:ascii="Times New Roman" w:eastAsia="Times New Roman" w:hAnsi="Times New Roman" w:cs="Times New Roman"/>
                <w:color w:val="000000"/>
                <w:sz w:val="20"/>
                <w:szCs w:val="20"/>
              </w:rPr>
              <w:t>ation corrected -  Bond R</w:t>
            </w:r>
            <w:r w:rsidRPr="009A6F01">
              <w:rPr>
                <w:rFonts w:ascii="Times New Roman" w:eastAsia="Times New Roman" w:hAnsi="Times New Roman" w:cs="Times New Roman"/>
                <w:color w:val="000000"/>
                <w:sz w:val="20"/>
                <w:szCs w:val="20"/>
              </w:rPr>
              <w:t>eturns</w:t>
            </w:r>
          </w:p>
        </w:tc>
        <w:tc>
          <w:tcPr>
            <w:tcW w:w="1140" w:type="dxa"/>
            <w:tcBorders>
              <w:top w:val="single" w:sz="4" w:space="0" w:color="auto"/>
              <w:left w:val="nil"/>
              <w:bottom w:val="single" w:sz="4" w:space="0" w:color="auto"/>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H1 H2</w:t>
            </w:r>
          </w:p>
        </w:tc>
        <w:tc>
          <w:tcPr>
            <w:tcW w:w="1400" w:type="dxa"/>
            <w:tcBorders>
              <w:top w:val="single" w:sz="4" w:space="0" w:color="auto"/>
              <w:left w:val="nil"/>
              <w:bottom w:val="single" w:sz="4" w:space="0" w:color="auto"/>
              <w:right w:val="nil"/>
            </w:tcBorders>
            <w:shd w:val="clear" w:color="auto" w:fill="auto"/>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SAD</w:t>
            </w:r>
          </w:p>
        </w:tc>
      </w:tr>
      <w:tr w:rsidR="00D502BF" w:rsidRPr="009A6F01" w:rsidTr="00D0485F">
        <w:trPr>
          <w:trHeight w:val="255"/>
          <w:jc w:val="center"/>
        </w:trPr>
        <w:tc>
          <w:tcPr>
            <w:tcW w:w="2020" w:type="dxa"/>
            <w:tcBorders>
              <w:top w:val="nil"/>
              <w:left w:val="nil"/>
              <w:bottom w:val="nil"/>
              <w:right w:val="nil"/>
            </w:tcBorders>
            <w:shd w:val="clear" w:color="auto" w:fill="auto"/>
            <w:vAlign w:val="center"/>
            <w:hideMark/>
          </w:tcPr>
          <w:p w:rsidR="00D502BF" w:rsidRPr="009A6F01" w:rsidRDefault="00D502BF" w:rsidP="00D0485F">
            <w:pPr>
              <w:spacing w:after="0" w:line="240" w:lineRule="auto"/>
              <w:rPr>
                <w:rFonts w:ascii="Times New Roman" w:eastAsia="Times New Roman" w:hAnsi="Times New Roman" w:cs="Times New Roman"/>
                <w:i/>
                <w:iCs/>
                <w:color w:val="000000"/>
                <w:sz w:val="20"/>
                <w:szCs w:val="20"/>
              </w:rPr>
            </w:pPr>
            <w:r w:rsidRPr="009A6F01">
              <w:rPr>
                <w:rFonts w:ascii="Times New Roman" w:eastAsia="Times New Roman" w:hAnsi="Times New Roman" w:cs="Times New Roman"/>
                <w:i/>
                <w:iCs/>
                <w:color w:val="000000"/>
                <w:sz w:val="20"/>
                <w:szCs w:val="20"/>
              </w:rPr>
              <w:t>Monthly frequency</w:t>
            </w:r>
          </w:p>
        </w:tc>
        <w:tc>
          <w:tcPr>
            <w:tcW w:w="1140" w:type="dxa"/>
            <w:tcBorders>
              <w:top w:val="nil"/>
              <w:left w:val="nil"/>
              <w:bottom w:val="nil"/>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p>
        </w:tc>
        <w:tc>
          <w:tcPr>
            <w:tcW w:w="1400" w:type="dxa"/>
            <w:tcBorders>
              <w:top w:val="nil"/>
              <w:left w:val="nil"/>
              <w:bottom w:val="nil"/>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p>
        </w:tc>
      </w:tr>
      <w:tr w:rsidR="00D502BF" w:rsidRPr="009A6F01" w:rsidTr="00D0485F">
        <w:trPr>
          <w:trHeight w:val="240"/>
          <w:jc w:val="center"/>
        </w:trPr>
        <w:tc>
          <w:tcPr>
            <w:tcW w:w="2020" w:type="dxa"/>
            <w:tcBorders>
              <w:top w:val="nil"/>
              <w:left w:val="nil"/>
              <w:bottom w:val="single" w:sz="4" w:space="0" w:color="auto"/>
              <w:right w:val="nil"/>
            </w:tcBorders>
            <w:shd w:val="clear" w:color="auto" w:fill="auto"/>
            <w:noWrap/>
            <w:vAlign w:val="bottom"/>
            <w:hideMark/>
          </w:tcPr>
          <w:p w:rsidR="00D502BF" w:rsidRPr="009A6F01" w:rsidRDefault="00D502BF" w:rsidP="00D0485F">
            <w:pPr>
              <w:spacing w:after="0" w:line="240" w:lineRule="auto"/>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U</w:t>
            </w:r>
            <w:r w:rsidR="0031512E">
              <w:rPr>
                <w:rFonts w:ascii="Times New Roman" w:eastAsia="Times New Roman" w:hAnsi="Times New Roman" w:cs="Times New Roman"/>
                <w:color w:val="000000"/>
                <w:sz w:val="20"/>
                <w:szCs w:val="20"/>
              </w:rPr>
              <w:t>.</w:t>
            </w:r>
            <w:r w:rsidRPr="009A6F01">
              <w:rPr>
                <w:rFonts w:ascii="Times New Roman" w:eastAsia="Times New Roman" w:hAnsi="Times New Roman" w:cs="Times New Roman"/>
                <w:color w:val="000000"/>
                <w:sz w:val="20"/>
                <w:szCs w:val="20"/>
              </w:rPr>
              <w:t>S</w:t>
            </w:r>
            <w:r w:rsidR="0031512E">
              <w:rPr>
                <w:rFonts w:ascii="Times New Roman" w:eastAsia="Times New Roman" w:hAnsi="Times New Roman" w:cs="Times New Roman"/>
                <w:color w:val="000000"/>
                <w:sz w:val="20"/>
                <w:szCs w:val="20"/>
              </w:rPr>
              <w:t>.</w:t>
            </w:r>
            <w:r w:rsidRPr="009A6F01">
              <w:rPr>
                <w:rFonts w:ascii="Times New Roman" w:eastAsia="Times New Roman" w:hAnsi="Times New Roman" w:cs="Times New Roman"/>
                <w:color w:val="000000"/>
                <w:sz w:val="20"/>
                <w:szCs w:val="20"/>
              </w:rPr>
              <w:t xml:space="preserve"> CRSP Universe</w:t>
            </w:r>
          </w:p>
        </w:tc>
        <w:tc>
          <w:tcPr>
            <w:tcW w:w="1140" w:type="dxa"/>
            <w:tcBorders>
              <w:top w:val="nil"/>
              <w:left w:val="nil"/>
              <w:bottom w:val="single" w:sz="4" w:space="0" w:color="auto"/>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1.08</w:t>
            </w:r>
          </w:p>
        </w:tc>
        <w:tc>
          <w:tcPr>
            <w:tcW w:w="1400" w:type="dxa"/>
            <w:tcBorders>
              <w:top w:val="nil"/>
              <w:left w:val="nil"/>
              <w:bottom w:val="single" w:sz="4" w:space="0" w:color="auto"/>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b/>
                <w:bCs/>
                <w:color w:val="000000"/>
                <w:sz w:val="20"/>
                <w:szCs w:val="20"/>
              </w:rPr>
            </w:pPr>
            <w:r w:rsidRPr="009A6F01">
              <w:rPr>
                <w:rFonts w:ascii="Times New Roman" w:eastAsia="Times New Roman" w:hAnsi="Times New Roman" w:cs="Times New Roman"/>
                <w:b/>
                <w:bCs/>
                <w:color w:val="000000"/>
                <w:sz w:val="20"/>
                <w:szCs w:val="20"/>
              </w:rPr>
              <w:t>2.21</w:t>
            </w:r>
          </w:p>
        </w:tc>
      </w:tr>
      <w:tr w:rsidR="00D502BF" w:rsidRPr="009A6F01" w:rsidTr="00D0485F">
        <w:trPr>
          <w:trHeight w:val="240"/>
          <w:jc w:val="center"/>
        </w:trPr>
        <w:tc>
          <w:tcPr>
            <w:tcW w:w="2020" w:type="dxa"/>
            <w:tcBorders>
              <w:top w:val="nil"/>
              <w:left w:val="nil"/>
              <w:bottom w:val="nil"/>
              <w:right w:val="nil"/>
            </w:tcBorders>
            <w:shd w:val="clear" w:color="auto" w:fill="auto"/>
            <w:vAlign w:val="center"/>
            <w:hideMark/>
          </w:tcPr>
          <w:p w:rsidR="00D502BF" w:rsidRPr="009A6F01" w:rsidRDefault="00D502BF" w:rsidP="00D0485F">
            <w:pPr>
              <w:spacing w:after="0" w:line="240" w:lineRule="auto"/>
              <w:rPr>
                <w:rFonts w:ascii="Times New Roman" w:eastAsia="Times New Roman" w:hAnsi="Times New Roman" w:cs="Times New Roman"/>
                <w:i/>
                <w:iCs/>
                <w:color w:val="000000"/>
                <w:sz w:val="20"/>
                <w:szCs w:val="20"/>
              </w:rPr>
            </w:pPr>
            <w:r w:rsidRPr="009A6F01">
              <w:rPr>
                <w:rFonts w:ascii="Times New Roman" w:eastAsia="Times New Roman" w:hAnsi="Times New Roman" w:cs="Times New Roman"/>
                <w:i/>
                <w:iCs/>
                <w:color w:val="000000"/>
                <w:sz w:val="20"/>
                <w:szCs w:val="20"/>
              </w:rPr>
              <w:lastRenderedPageBreak/>
              <w:t>Quarterly frequency</w:t>
            </w:r>
          </w:p>
        </w:tc>
        <w:tc>
          <w:tcPr>
            <w:tcW w:w="1140" w:type="dxa"/>
            <w:tcBorders>
              <w:top w:val="nil"/>
              <w:left w:val="nil"/>
              <w:bottom w:val="nil"/>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p>
        </w:tc>
        <w:tc>
          <w:tcPr>
            <w:tcW w:w="1400" w:type="dxa"/>
            <w:tcBorders>
              <w:top w:val="nil"/>
              <w:left w:val="nil"/>
              <w:bottom w:val="nil"/>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p>
        </w:tc>
      </w:tr>
      <w:tr w:rsidR="00D502BF" w:rsidRPr="009A6F01" w:rsidTr="00D0485F">
        <w:trPr>
          <w:trHeight w:val="240"/>
          <w:jc w:val="center"/>
        </w:trPr>
        <w:tc>
          <w:tcPr>
            <w:tcW w:w="2020" w:type="dxa"/>
            <w:tcBorders>
              <w:top w:val="nil"/>
              <w:left w:val="nil"/>
              <w:bottom w:val="single" w:sz="4" w:space="0" w:color="auto"/>
              <w:right w:val="nil"/>
            </w:tcBorders>
            <w:shd w:val="clear" w:color="auto" w:fill="auto"/>
            <w:noWrap/>
            <w:vAlign w:val="bottom"/>
            <w:hideMark/>
          </w:tcPr>
          <w:p w:rsidR="00D502BF" w:rsidRPr="009A6F01" w:rsidRDefault="00D502BF" w:rsidP="00D0485F">
            <w:pPr>
              <w:spacing w:after="0" w:line="240" w:lineRule="auto"/>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U</w:t>
            </w:r>
            <w:r w:rsidR="0031512E">
              <w:rPr>
                <w:rFonts w:ascii="Times New Roman" w:eastAsia="Times New Roman" w:hAnsi="Times New Roman" w:cs="Times New Roman"/>
                <w:color w:val="000000"/>
                <w:sz w:val="20"/>
                <w:szCs w:val="20"/>
              </w:rPr>
              <w:t>.</w:t>
            </w:r>
            <w:r w:rsidRPr="009A6F01">
              <w:rPr>
                <w:rFonts w:ascii="Times New Roman" w:eastAsia="Times New Roman" w:hAnsi="Times New Roman" w:cs="Times New Roman"/>
                <w:color w:val="000000"/>
                <w:sz w:val="20"/>
                <w:szCs w:val="20"/>
              </w:rPr>
              <w:t>S</w:t>
            </w:r>
            <w:r w:rsidR="0031512E">
              <w:rPr>
                <w:rFonts w:ascii="Times New Roman" w:eastAsia="Times New Roman" w:hAnsi="Times New Roman" w:cs="Times New Roman"/>
                <w:color w:val="000000"/>
                <w:sz w:val="20"/>
                <w:szCs w:val="20"/>
              </w:rPr>
              <w:t>.</w:t>
            </w:r>
            <w:r w:rsidRPr="009A6F01">
              <w:rPr>
                <w:rFonts w:ascii="Times New Roman" w:eastAsia="Times New Roman" w:hAnsi="Times New Roman" w:cs="Times New Roman"/>
                <w:color w:val="000000"/>
                <w:sz w:val="20"/>
                <w:szCs w:val="20"/>
              </w:rPr>
              <w:t xml:space="preserve"> CRSP Universe</w:t>
            </w:r>
          </w:p>
        </w:tc>
        <w:tc>
          <w:tcPr>
            <w:tcW w:w="1140" w:type="dxa"/>
            <w:tcBorders>
              <w:top w:val="nil"/>
              <w:left w:val="nil"/>
              <w:bottom w:val="single" w:sz="4" w:space="0" w:color="auto"/>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0.70</w:t>
            </w:r>
          </w:p>
        </w:tc>
        <w:tc>
          <w:tcPr>
            <w:tcW w:w="1400" w:type="dxa"/>
            <w:tcBorders>
              <w:top w:val="nil"/>
              <w:left w:val="nil"/>
              <w:bottom w:val="single" w:sz="4" w:space="0" w:color="auto"/>
              <w:right w:val="nil"/>
            </w:tcBorders>
            <w:shd w:val="clear" w:color="auto" w:fill="auto"/>
            <w:noWrap/>
            <w:vAlign w:val="center"/>
            <w:hideMark/>
          </w:tcPr>
          <w:p w:rsidR="00D502BF" w:rsidRPr="009A6F01" w:rsidRDefault="00D502BF" w:rsidP="00D0485F">
            <w:pPr>
              <w:spacing w:after="0" w:line="240" w:lineRule="auto"/>
              <w:jc w:val="center"/>
              <w:rPr>
                <w:rFonts w:ascii="Times New Roman" w:eastAsia="Times New Roman" w:hAnsi="Times New Roman" w:cs="Times New Roman"/>
                <w:color w:val="000000"/>
                <w:sz w:val="20"/>
                <w:szCs w:val="20"/>
              </w:rPr>
            </w:pPr>
            <w:r w:rsidRPr="009A6F01">
              <w:rPr>
                <w:rFonts w:ascii="Times New Roman" w:eastAsia="Times New Roman" w:hAnsi="Times New Roman" w:cs="Times New Roman"/>
                <w:color w:val="000000"/>
                <w:sz w:val="20"/>
                <w:szCs w:val="20"/>
              </w:rPr>
              <w:t>1.00</w:t>
            </w:r>
          </w:p>
        </w:tc>
      </w:tr>
    </w:tbl>
    <w:p w:rsidR="00D502BF" w:rsidRPr="009A6F01" w:rsidRDefault="00D502BF" w:rsidP="00D502BF">
      <w:pPr>
        <w:pStyle w:val="NoSpacing"/>
        <w:jc w:val="both"/>
        <w:rPr>
          <w:rFonts w:ascii="Times New Roman" w:hAnsi="Times New Roman" w:cs="Times New Roman"/>
          <w:sz w:val="18"/>
          <w:szCs w:val="18"/>
        </w:rPr>
      </w:pPr>
      <w:r w:rsidRPr="009A6F01">
        <w:rPr>
          <w:rFonts w:ascii="Times New Roman" w:hAnsi="Times New Roman" w:cs="Times New Roman"/>
          <w:sz w:val="18"/>
          <w:szCs w:val="18"/>
        </w:rPr>
        <w:t xml:space="preserve">Note: This table shows t-values based on Newey-West standard errors for the β in the regression </w:t>
      </w:r>
    </w:p>
    <w:p w:rsidR="00D502BF" w:rsidRPr="009A6F01" w:rsidRDefault="00D502BF" w:rsidP="00D502BF">
      <w:pPr>
        <w:pStyle w:val="NoSpacing"/>
        <w:jc w:val="both"/>
        <w:rPr>
          <w:rFonts w:ascii="Times New Roman" w:hAnsi="Times New Roman" w:cs="Times New Roman"/>
          <w:sz w:val="18"/>
          <w:szCs w:val="18"/>
        </w:rPr>
      </w:pPr>
      <w:r w:rsidRPr="009A6F01">
        <w:rPr>
          <w:rFonts w:ascii="Times New Roman" w:hAnsi="Times New Roman" w:cs="Times New Roman"/>
          <w:sz w:val="18"/>
          <w:szCs w:val="18"/>
        </w:rPr>
        <w:tab/>
      </w:r>
      <w:r w:rsidRPr="009A6F01">
        <w:rPr>
          <w:rFonts w:ascii="Times New Roman" w:hAnsi="Times New Roman" w:cs="Times New Roman"/>
          <w:sz w:val="18"/>
          <w:szCs w:val="18"/>
        </w:rPr>
        <w:tab/>
      </w:r>
      <w:r w:rsidRPr="009A6F01">
        <w:rPr>
          <w:rFonts w:ascii="Times New Roman" w:hAnsi="Times New Roman" w:cs="Times New Roman"/>
          <w:sz w:val="18"/>
          <w:szCs w:val="18"/>
        </w:rPr>
        <w:tab/>
      </w:r>
      <w:r w:rsidRPr="009A6F01">
        <w:rPr>
          <w:rFonts w:ascii="Times New Roman" w:hAnsi="Times New Roman" w:cs="Times New Roman"/>
          <w:sz w:val="18"/>
          <w:szCs w:val="18"/>
        </w:rPr>
        <w:tab/>
      </w:r>
      <w:r w:rsidRPr="009A6F01">
        <w:rPr>
          <w:rFonts w:ascii="Times New Roman" w:hAnsi="Times New Roman" w:cs="Times New Roman"/>
          <w:sz w:val="18"/>
          <w:szCs w:val="18"/>
        </w:rPr>
        <w:tab/>
      </w:r>
      <w:r w:rsidRPr="009A6F01">
        <w:rPr>
          <w:rFonts w:ascii="Times New Roman" w:hAnsi="Times New Roman" w:cs="Times New Roman"/>
          <w:sz w:val="18"/>
          <w:szCs w:val="18"/>
        </w:rPr>
        <w:tab/>
        <w:t>Y</w:t>
      </w:r>
      <w:r w:rsidRPr="009A6F01">
        <w:rPr>
          <w:rFonts w:ascii="Times New Roman" w:hAnsi="Times New Roman" w:cs="Times New Roman"/>
          <w:sz w:val="18"/>
          <w:szCs w:val="18"/>
          <w:vertAlign w:val="superscript"/>
        </w:rPr>
        <w:t>e</w:t>
      </w:r>
      <w:r w:rsidRPr="009A6F01">
        <w:rPr>
          <w:rFonts w:ascii="Times New Roman" w:hAnsi="Times New Roman" w:cs="Times New Roman"/>
          <w:sz w:val="18"/>
          <w:szCs w:val="18"/>
        </w:rPr>
        <w:t xml:space="preserve"> </w:t>
      </w:r>
      <w:r w:rsidRPr="009A6F01">
        <w:rPr>
          <w:rFonts w:ascii="Times New Roman" w:hAnsi="Times New Roman" w:cs="Times New Roman"/>
          <w:sz w:val="18"/>
          <w:szCs w:val="18"/>
          <w:vertAlign w:val="subscript"/>
        </w:rPr>
        <w:t>t</w:t>
      </w:r>
      <w:r w:rsidRPr="009A6F01">
        <w:rPr>
          <w:rFonts w:ascii="Times New Roman" w:hAnsi="Times New Roman" w:cs="Times New Roman"/>
          <w:sz w:val="18"/>
          <w:szCs w:val="18"/>
        </w:rPr>
        <w:t xml:space="preserve"> = α + βX</w:t>
      </w:r>
      <w:r w:rsidRPr="009A6F01">
        <w:rPr>
          <w:rFonts w:ascii="Times New Roman" w:hAnsi="Times New Roman" w:cs="Times New Roman"/>
          <w:sz w:val="18"/>
          <w:szCs w:val="18"/>
          <w:vertAlign w:val="subscript"/>
        </w:rPr>
        <w:t>t</w:t>
      </w:r>
      <w:r w:rsidRPr="009A6F01">
        <w:rPr>
          <w:rFonts w:ascii="Times New Roman" w:hAnsi="Times New Roman" w:cs="Times New Roman"/>
          <w:sz w:val="18"/>
          <w:szCs w:val="18"/>
        </w:rPr>
        <w:t xml:space="preserve"> + ε</w:t>
      </w:r>
      <w:r w:rsidRPr="009A6F01">
        <w:rPr>
          <w:rFonts w:ascii="Times New Roman" w:hAnsi="Times New Roman" w:cs="Times New Roman"/>
          <w:sz w:val="18"/>
          <w:szCs w:val="18"/>
          <w:vertAlign w:val="subscript"/>
        </w:rPr>
        <w:t>t</w:t>
      </w:r>
    </w:p>
    <w:p w:rsidR="00D502BF" w:rsidRPr="001221C6" w:rsidRDefault="00D502BF" w:rsidP="00D502BF">
      <w:pPr>
        <w:pStyle w:val="NoSpacing"/>
        <w:jc w:val="both"/>
        <w:rPr>
          <w:rFonts w:ascii="Times New Roman" w:hAnsi="Times New Roman" w:cs="Times New Roman"/>
          <w:sz w:val="18"/>
          <w:szCs w:val="18"/>
        </w:rPr>
      </w:pPr>
      <w:r w:rsidRPr="009A6F01">
        <w:rPr>
          <w:rFonts w:ascii="Times New Roman" w:hAnsi="Times New Roman" w:cs="Times New Roman"/>
          <w:sz w:val="18"/>
          <w:szCs w:val="18"/>
        </w:rPr>
        <w:t>where Y</w:t>
      </w:r>
      <w:r w:rsidRPr="009A6F01">
        <w:rPr>
          <w:rFonts w:ascii="Times New Roman" w:hAnsi="Times New Roman" w:cs="Times New Roman"/>
          <w:sz w:val="18"/>
          <w:szCs w:val="18"/>
          <w:vertAlign w:val="superscript"/>
        </w:rPr>
        <w:t>e</w:t>
      </w:r>
      <w:r w:rsidRPr="004B640A">
        <w:rPr>
          <w:rFonts w:ascii="Times New Roman" w:hAnsi="Times New Roman" w:cs="Times New Roman"/>
          <w:sz w:val="18"/>
          <w:szCs w:val="18"/>
          <w:vertAlign w:val="superscript"/>
        </w:rPr>
        <w:t>t</w:t>
      </w:r>
      <w:r>
        <w:rPr>
          <w:rFonts w:ascii="Times New Roman" w:hAnsi="Times New Roman" w:cs="Times New Roman"/>
          <w:sz w:val="18"/>
          <w:szCs w:val="18"/>
        </w:rPr>
        <w:t xml:space="preserve"> are residual</w:t>
      </w:r>
      <w:r w:rsidRPr="009A6F01">
        <w:rPr>
          <w:rFonts w:ascii="Times New Roman" w:hAnsi="Times New Roman" w:cs="Times New Roman"/>
          <w:sz w:val="18"/>
          <w:szCs w:val="18"/>
        </w:rPr>
        <w:t xml:space="preserve"> bond</w:t>
      </w:r>
      <w:r>
        <w:rPr>
          <w:rFonts w:ascii="Times New Roman" w:hAnsi="Times New Roman" w:cs="Times New Roman"/>
          <w:sz w:val="18"/>
          <w:szCs w:val="18"/>
        </w:rPr>
        <w:t xml:space="preserve"> excess</w:t>
      </w:r>
      <w:r w:rsidRPr="009A6F01">
        <w:rPr>
          <w:rFonts w:ascii="Times New Roman" w:hAnsi="Times New Roman" w:cs="Times New Roman"/>
          <w:sz w:val="18"/>
          <w:szCs w:val="18"/>
        </w:rPr>
        <w:t xml:space="preserve"> returns from the regression </w:t>
      </w:r>
      <w:r>
        <w:rPr>
          <w:rFonts w:ascii="Times New Roman" w:hAnsi="Times New Roman" w:cs="Times New Roman"/>
          <w:sz w:val="18"/>
          <w:szCs w:val="18"/>
        </w:rPr>
        <w:t>of (monthly or quarterly) US CRSP</w:t>
      </w:r>
      <w:r w:rsidRPr="009A6F01">
        <w:rPr>
          <w:rFonts w:ascii="Times New Roman" w:hAnsi="Times New Roman" w:cs="Times New Roman"/>
          <w:sz w:val="18"/>
          <w:szCs w:val="18"/>
        </w:rPr>
        <w:t xml:space="preserve"> bond </w:t>
      </w:r>
      <w:r>
        <w:rPr>
          <w:rFonts w:ascii="Times New Roman" w:hAnsi="Times New Roman" w:cs="Times New Roman"/>
          <w:sz w:val="18"/>
          <w:szCs w:val="18"/>
        </w:rPr>
        <w:t>excess returns on US</w:t>
      </w:r>
      <w:r w:rsidRPr="009A6F01">
        <w:rPr>
          <w:rFonts w:ascii="Times New Roman" w:hAnsi="Times New Roman" w:cs="Times New Roman"/>
          <w:sz w:val="18"/>
          <w:szCs w:val="18"/>
        </w:rPr>
        <w:t xml:space="preserve"> inflation</w:t>
      </w:r>
      <w:r w:rsidR="0031512E">
        <w:rPr>
          <w:rFonts w:ascii="Times New Roman" w:hAnsi="Times New Roman" w:cs="Times New Roman"/>
          <w:sz w:val="18"/>
          <w:szCs w:val="18"/>
        </w:rPr>
        <w:t xml:space="preserve"> (Table 5.2)</w:t>
      </w:r>
      <w:r w:rsidRPr="009A6F01">
        <w:rPr>
          <w:rFonts w:ascii="Times New Roman" w:hAnsi="Times New Roman" w:cs="Times New Roman"/>
          <w:sz w:val="18"/>
          <w:szCs w:val="18"/>
        </w:rPr>
        <w:t xml:space="preserve">. </w:t>
      </w:r>
      <w:r w:rsidR="0031512E">
        <w:rPr>
          <w:rFonts w:ascii="Times New Roman" w:hAnsi="Times New Roman" w:cs="Times New Roman"/>
          <w:sz w:val="18"/>
          <w:szCs w:val="18"/>
        </w:rPr>
        <w:t xml:space="preserve">U.S. </w:t>
      </w:r>
      <w:r w:rsidRPr="00C23951">
        <w:rPr>
          <w:rFonts w:ascii="Times New Roman" w:hAnsi="Times New Roman" w:cs="Times New Roman"/>
          <w:noProof/>
          <w:sz w:val="18"/>
          <w:szCs w:val="18"/>
        </w:rPr>
        <w:t>CRSP Universe stands for an equally-weighted portfolio of US Treasuries with maturities of 1Y, 2Y, 5Y, 7Y, 10Y, 20Y and 30Y.</w:t>
      </w:r>
      <w:r>
        <w:rPr>
          <w:rFonts w:ascii="Times New Roman" w:hAnsi="Times New Roman" w:cs="Times New Roman"/>
          <w:noProof/>
          <w:sz w:val="18"/>
          <w:szCs w:val="18"/>
        </w:rPr>
        <w:t xml:space="preserve"> </w:t>
      </w:r>
      <w:r w:rsidRPr="009A6F01">
        <w:rPr>
          <w:rFonts w:ascii="Times New Roman" w:hAnsi="Times New Roman" w:cs="Times New Roman"/>
          <w:sz w:val="18"/>
          <w:szCs w:val="18"/>
        </w:rPr>
        <w:t>X depends on the seasonal pattern tested. For H1 H2 X is a dummy that takes on the value of 1 for July to December and 0 otherwise. For SAD it is set equal to the 12 monthly values from the Kamstra, Kramer, and Levi (2014) pape</w:t>
      </w:r>
      <w:r w:rsidR="0031512E">
        <w:rPr>
          <w:rFonts w:ascii="Times New Roman" w:hAnsi="Times New Roman" w:cs="Times New Roman"/>
          <w:sz w:val="18"/>
          <w:szCs w:val="18"/>
        </w:rPr>
        <w:t>r. At the quarterly frequency I</w:t>
      </w:r>
      <w:r w:rsidRPr="009A6F01">
        <w:rPr>
          <w:rFonts w:ascii="Times New Roman" w:hAnsi="Times New Roman" w:cs="Times New Roman"/>
          <w:sz w:val="18"/>
          <w:szCs w:val="18"/>
        </w:rPr>
        <w:t xml:space="preserve"> take the average of the 3 monthly values in each quarter. </w:t>
      </w:r>
      <w:r>
        <w:rPr>
          <w:rFonts w:ascii="Times New Roman" w:hAnsi="Times New Roman" w:cs="Times New Roman"/>
          <w:sz w:val="18"/>
          <w:szCs w:val="18"/>
        </w:rPr>
        <w:t xml:space="preserve">Sample period for the analysis is 1952-2013.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4F81BD"/>
          <w:sz w:val="18"/>
          <w:szCs w:val="18"/>
        </w:rPr>
        <w:t xml:space="preserve">Blue </w:t>
      </w:r>
      <w:r w:rsidRPr="001221C6">
        <w:rPr>
          <w:rFonts w:ascii="Times New Roman" w:hAnsi="Times New Roman" w:cs="Times New Roman"/>
          <w:sz w:val="18"/>
          <w:szCs w:val="18"/>
        </w:rPr>
        <w:t>at 10% significance level.</w:t>
      </w:r>
    </w:p>
    <w:p w:rsidR="00D502BF" w:rsidRPr="009A6F01" w:rsidRDefault="00D502BF" w:rsidP="00D502BF">
      <w:pPr>
        <w:pStyle w:val="NoSpacing"/>
        <w:jc w:val="both"/>
        <w:rPr>
          <w:rFonts w:ascii="Times New Roman" w:hAnsi="Times New Roman" w:cs="Times New Roman"/>
          <w:sz w:val="18"/>
          <w:szCs w:val="18"/>
        </w:rPr>
      </w:pPr>
    </w:p>
    <w:p w:rsidR="00D502BF"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Based on the above results, I conclude that the H1 H2 effect is persistent over time and that the seasonality in the inflation rate can explain this pattern. Only at a monthly frequency the SAD factor compensates for the noise in inflation rate, but its importance decreases at a quarterly frequency.</w:t>
      </w:r>
    </w:p>
    <w:p w:rsidR="00D502BF" w:rsidRDefault="00D502BF" w:rsidP="00D502BF"/>
    <w:p w:rsidR="00BC7F37" w:rsidRDefault="00BC7F37" w:rsidP="00D502BF"/>
    <w:p w:rsidR="00BC7F37" w:rsidRDefault="00BC7F37" w:rsidP="00D502BF"/>
    <w:p w:rsidR="00D502BF" w:rsidRDefault="00D502BF" w:rsidP="00D502BF">
      <w:pPr>
        <w:pStyle w:val="Heading2"/>
      </w:pPr>
      <w:bookmarkStart w:id="58" w:name="_Toc394500071"/>
      <w:bookmarkStart w:id="59" w:name="_Toc396762723"/>
      <w:r>
        <w:t xml:space="preserve">5.2 </w:t>
      </w:r>
      <w:r w:rsidRPr="00C82E62">
        <w:t>Stock returns patterns</w:t>
      </w:r>
      <w:bookmarkEnd w:id="58"/>
      <w:bookmarkEnd w:id="59"/>
      <w:r>
        <w:t xml:space="preserve"> </w:t>
      </w:r>
    </w:p>
    <w:p w:rsidR="00D502BF" w:rsidRDefault="00BC7F37" w:rsidP="00BC7F37">
      <w:pPr>
        <w:pStyle w:val="Heading3"/>
      </w:pPr>
      <w:bookmarkStart w:id="60" w:name="_Toc396762724"/>
      <w:r>
        <w:t xml:space="preserve">5.2.1 </w:t>
      </w:r>
      <w:r w:rsidR="00D502BF" w:rsidRPr="0079030B">
        <w:t>Seasonal patterns of stock excess returns</w:t>
      </w:r>
      <w:bookmarkEnd w:id="60"/>
    </w:p>
    <w:p w:rsidR="00D502BF" w:rsidRDefault="00D502BF" w:rsidP="00D502BF"/>
    <w:p w:rsidR="00D502BF" w:rsidRDefault="00D502BF" w:rsidP="0031512E">
      <w:pPr>
        <w:spacing w:after="0" w:line="360" w:lineRule="auto"/>
        <w:ind w:firstLine="720"/>
        <w:jc w:val="both"/>
        <w:rPr>
          <w:rFonts w:ascii="Times New Roman" w:hAnsi="Times New Roman" w:cs="Times New Roman"/>
        </w:rPr>
      </w:pPr>
      <w:r>
        <w:rPr>
          <w:rFonts w:ascii="Times New Roman" w:hAnsi="Times New Roman" w:cs="Times New Roman"/>
        </w:rPr>
        <w:t>Nominal government bond</w:t>
      </w:r>
      <w:r w:rsidR="0031512E">
        <w:rPr>
          <w:rFonts w:ascii="Times New Roman" w:hAnsi="Times New Roman" w:cs="Times New Roman"/>
        </w:rPr>
        <w:t>s</w:t>
      </w:r>
      <w:r>
        <w:rPr>
          <w:rFonts w:ascii="Times New Roman" w:hAnsi="Times New Roman" w:cs="Times New Roman"/>
        </w:rPr>
        <w:t xml:space="preserve"> are not the only asset with a seasonal pattern of its returns. For stock markets several seasonal patterns have been studied and are documented in the literature. The Halloween indicator, the January eff</w:t>
      </w:r>
      <w:r w:rsidR="0031512E">
        <w:rPr>
          <w:rFonts w:ascii="Times New Roman" w:hAnsi="Times New Roman" w:cs="Times New Roman"/>
        </w:rPr>
        <w:t>ect, the SAD factor and even the</w:t>
      </w:r>
      <w:r>
        <w:rPr>
          <w:rFonts w:ascii="Times New Roman" w:hAnsi="Times New Roman" w:cs="Times New Roman"/>
        </w:rPr>
        <w:t xml:space="preserve"> new bond seasonal</w:t>
      </w:r>
      <w:r w:rsidR="0031512E">
        <w:rPr>
          <w:rFonts w:ascii="Times New Roman" w:hAnsi="Times New Roman" w:cs="Times New Roman"/>
        </w:rPr>
        <w:t xml:space="preserve"> (H1 H2)</w:t>
      </w:r>
      <w:r>
        <w:rPr>
          <w:rFonts w:ascii="Times New Roman" w:hAnsi="Times New Roman" w:cs="Times New Roman"/>
        </w:rPr>
        <w:t xml:space="preserve"> are discussed in the literature. I investigate the existence of these seasonal patterns for the same six countries and try to explain these as well with the seasonal pattern in inflation.</w:t>
      </w:r>
    </w:p>
    <w:p w:rsidR="00D502BF" w:rsidRPr="001D083B"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I run regression (1) with the dummies defined based on the stock literature findings and on the opposite H1 H2 pattern discovered on bond market. Accordingly, I check if stock returns are higher in the first month of the year (January effect), if they record a better performance during January-June compared to July-December (H1 H2), if they are higher during January-March compared to October-December (SAD) or if stock exhibit relatively higher returns in November-April than during May-October (Halloween Indicator). The resul</w:t>
      </w:r>
      <w:r w:rsidR="0031512E">
        <w:rPr>
          <w:rFonts w:ascii="Times New Roman" w:hAnsi="Times New Roman" w:cs="Times New Roman"/>
        </w:rPr>
        <w:t>ts of the tests shown in Table 5.4</w:t>
      </w:r>
      <w:r>
        <w:rPr>
          <w:rFonts w:ascii="Times New Roman" w:hAnsi="Times New Roman" w:cs="Times New Roman"/>
        </w:rPr>
        <w:t xml:space="preserve"> indicate that the January </w:t>
      </w:r>
      <w:r w:rsidR="00C92357">
        <w:rPr>
          <w:rFonts w:ascii="Times New Roman" w:hAnsi="Times New Roman" w:cs="Times New Roman"/>
        </w:rPr>
        <w:t>effect is</w:t>
      </w:r>
      <w:r>
        <w:rPr>
          <w:rFonts w:ascii="Times New Roman" w:hAnsi="Times New Roman" w:cs="Times New Roman"/>
        </w:rPr>
        <w:t xml:space="preserve"> not visible on stock market. </w:t>
      </w:r>
      <w:r w:rsidR="00C92357">
        <w:rPr>
          <w:rFonts w:ascii="Times New Roman" w:hAnsi="Times New Roman" w:cs="Times New Roman"/>
        </w:rPr>
        <w:t xml:space="preserve">H1 H2 effect is statistically significant at 10% level in Japan. This confirms the </w:t>
      </w:r>
      <w:r w:rsidR="00C92357" w:rsidRPr="00C92357">
        <w:rPr>
          <w:rFonts w:ascii="Times New Roman" w:hAnsi="Times New Roman" w:cs="Times New Roman"/>
        </w:rPr>
        <w:t xml:space="preserve">“Dekansho-bushi” </w:t>
      </w:r>
      <w:r w:rsidR="00C92357">
        <w:rPr>
          <w:rFonts w:ascii="Times New Roman" w:hAnsi="Times New Roman" w:cs="Times New Roman"/>
        </w:rPr>
        <w:t xml:space="preserve">effect of </w:t>
      </w:r>
      <w:r w:rsidR="00C92357" w:rsidRPr="00C92357">
        <w:rPr>
          <w:rFonts w:ascii="Times New Roman" w:hAnsi="Times New Roman" w:cs="Times New Roman"/>
        </w:rPr>
        <w:t>Shigeki, Takashi, Katsuhiko (2011)</w:t>
      </w:r>
      <w:r w:rsidR="00C92357">
        <w:rPr>
          <w:rFonts w:ascii="Times New Roman" w:hAnsi="Times New Roman" w:cs="Times New Roman"/>
        </w:rPr>
        <w:t xml:space="preserve">. </w:t>
      </w:r>
      <w:r>
        <w:rPr>
          <w:rFonts w:ascii="Times New Roman" w:hAnsi="Times New Roman" w:cs="Times New Roman"/>
        </w:rPr>
        <w:t xml:space="preserve">The SAD factor is statistically significant across countries (with the exception of Australia) and the sign of the coefficient is negative as expected. When people recover from </w:t>
      </w:r>
      <w:r w:rsidRPr="000775BD">
        <w:rPr>
          <w:rFonts w:ascii="Times New Roman" w:hAnsi="Times New Roman" w:cs="Times New Roman"/>
        </w:rPr>
        <w:t>SAD</w:t>
      </w:r>
      <w:r>
        <w:rPr>
          <w:rFonts w:ascii="Times New Roman" w:hAnsi="Times New Roman" w:cs="Times New Roman"/>
        </w:rPr>
        <w:t xml:space="preserve"> (which is consistent with a decrease in the SAD onset/recovery variable), their appetite for risk increases and translates into </w:t>
      </w:r>
      <w:r w:rsidRPr="000775BD">
        <w:rPr>
          <w:rFonts w:ascii="Times New Roman" w:hAnsi="Times New Roman" w:cs="Times New Roman"/>
        </w:rPr>
        <w:t>higher stock returns</w:t>
      </w:r>
      <w:r>
        <w:rPr>
          <w:rFonts w:ascii="Times New Roman" w:hAnsi="Times New Roman" w:cs="Times New Roman"/>
        </w:rPr>
        <w:t xml:space="preserve"> starting with January. </w:t>
      </w:r>
    </w:p>
    <w:p w:rsidR="00D502BF" w:rsidRDefault="00D502BF" w:rsidP="00D502BF">
      <w:pPr>
        <w:spacing w:after="0" w:line="240" w:lineRule="auto"/>
        <w:jc w:val="center"/>
        <w:rPr>
          <w:rFonts w:ascii="Times New Roman" w:hAnsi="Times New Roman" w:cs="Times New Roman"/>
        </w:rPr>
      </w:pPr>
    </w:p>
    <w:p w:rsidR="00D502BF" w:rsidRDefault="00D502BF" w:rsidP="00D502BF">
      <w:pPr>
        <w:spacing w:after="0" w:line="240" w:lineRule="auto"/>
        <w:jc w:val="center"/>
        <w:rPr>
          <w:rFonts w:ascii="Times New Roman" w:hAnsi="Times New Roman" w:cs="Times New Roman"/>
        </w:rPr>
      </w:pPr>
      <w:r w:rsidRPr="008434EA">
        <w:rPr>
          <w:rFonts w:ascii="Times New Roman" w:hAnsi="Times New Roman" w:cs="Times New Roman"/>
        </w:rPr>
        <w:lastRenderedPageBreak/>
        <w:t xml:space="preserve">Table </w:t>
      </w:r>
      <w:r w:rsidR="009C2309">
        <w:rPr>
          <w:rFonts w:ascii="Times New Roman" w:hAnsi="Times New Roman" w:cs="Times New Roman"/>
        </w:rPr>
        <w:t>5.4</w:t>
      </w:r>
      <w:r w:rsidRPr="008434EA">
        <w:rPr>
          <w:rFonts w:ascii="Times New Roman" w:hAnsi="Times New Roman" w:cs="Times New Roman"/>
        </w:rPr>
        <w:t xml:space="preserve">: </w:t>
      </w:r>
      <w:r>
        <w:rPr>
          <w:rFonts w:ascii="Times New Roman" w:hAnsi="Times New Roman" w:cs="Times New Roman"/>
        </w:rPr>
        <w:t xml:space="preserve">Seasonality </w:t>
      </w:r>
      <w:r w:rsidR="0031512E">
        <w:rPr>
          <w:rFonts w:ascii="Times New Roman" w:hAnsi="Times New Roman" w:cs="Times New Roman"/>
        </w:rPr>
        <w:t>in</w:t>
      </w:r>
      <w:r>
        <w:rPr>
          <w:rFonts w:ascii="Times New Roman" w:hAnsi="Times New Roman" w:cs="Times New Roman"/>
        </w:rPr>
        <w:t xml:space="preserve"> Stock R</w:t>
      </w:r>
      <w:r w:rsidRPr="008434EA">
        <w:rPr>
          <w:rFonts w:ascii="Times New Roman" w:hAnsi="Times New Roman" w:cs="Times New Roman"/>
        </w:rPr>
        <w:t>eturns</w:t>
      </w:r>
    </w:p>
    <w:p w:rsidR="00D502BF" w:rsidRDefault="00D502BF" w:rsidP="00D502BF">
      <w:pPr>
        <w:spacing w:after="0" w:line="240" w:lineRule="auto"/>
        <w:jc w:val="center"/>
        <w:rPr>
          <w:rFonts w:ascii="Times New Roman" w:hAnsi="Times New Roman" w:cs="Times New Roman"/>
        </w:rPr>
      </w:pPr>
    </w:p>
    <w:tbl>
      <w:tblPr>
        <w:tblW w:w="7160" w:type="dxa"/>
        <w:jc w:val="center"/>
        <w:tblInd w:w="98" w:type="dxa"/>
        <w:tblLook w:val="04A0"/>
      </w:tblPr>
      <w:tblGrid>
        <w:gridCol w:w="2020"/>
        <w:gridCol w:w="1320"/>
        <w:gridCol w:w="1140"/>
        <w:gridCol w:w="1400"/>
        <w:gridCol w:w="1280"/>
      </w:tblGrid>
      <w:tr w:rsidR="00D502BF" w:rsidRPr="000D3036" w:rsidTr="00D0485F">
        <w:trPr>
          <w:trHeight w:val="480"/>
          <w:jc w:val="center"/>
        </w:trPr>
        <w:tc>
          <w:tcPr>
            <w:tcW w:w="2020" w:type="dxa"/>
            <w:tcBorders>
              <w:top w:val="single" w:sz="4" w:space="0" w:color="auto"/>
              <w:left w:val="nil"/>
              <w:bottom w:val="single" w:sz="4" w:space="0" w:color="auto"/>
              <w:right w:val="nil"/>
            </w:tcBorders>
            <w:shd w:val="clear" w:color="auto" w:fill="auto"/>
            <w:vAlign w:val="center"/>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Stock Excess Returns</w:t>
            </w:r>
          </w:p>
        </w:tc>
        <w:tc>
          <w:tcPr>
            <w:tcW w:w="1320" w:type="dxa"/>
            <w:tcBorders>
              <w:top w:val="single" w:sz="4" w:space="0" w:color="auto"/>
              <w:left w:val="nil"/>
              <w:bottom w:val="single" w:sz="4" w:space="0" w:color="auto"/>
              <w:right w:val="nil"/>
            </w:tcBorders>
            <w:shd w:val="clear" w:color="auto" w:fill="auto"/>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January</w:t>
            </w:r>
          </w:p>
        </w:tc>
        <w:tc>
          <w:tcPr>
            <w:tcW w:w="1140" w:type="dxa"/>
            <w:tcBorders>
              <w:top w:val="single" w:sz="4" w:space="0" w:color="auto"/>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H1 H2</w:t>
            </w:r>
          </w:p>
        </w:tc>
        <w:tc>
          <w:tcPr>
            <w:tcW w:w="1400" w:type="dxa"/>
            <w:tcBorders>
              <w:top w:val="single" w:sz="4" w:space="0" w:color="auto"/>
              <w:left w:val="nil"/>
              <w:bottom w:val="single" w:sz="4" w:space="0" w:color="auto"/>
              <w:right w:val="nil"/>
            </w:tcBorders>
            <w:shd w:val="clear" w:color="auto" w:fill="auto"/>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SAD</w:t>
            </w:r>
          </w:p>
        </w:tc>
        <w:tc>
          <w:tcPr>
            <w:tcW w:w="1280" w:type="dxa"/>
            <w:tcBorders>
              <w:top w:val="single" w:sz="4" w:space="0" w:color="auto"/>
              <w:left w:val="nil"/>
              <w:bottom w:val="single" w:sz="4" w:space="0" w:color="auto"/>
              <w:right w:val="nil"/>
            </w:tcBorders>
            <w:shd w:val="clear" w:color="auto" w:fill="auto"/>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Halloween</w:t>
            </w:r>
          </w:p>
        </w:tc>
      </w:tr>
      <w:tr w:rsidR="00D502BF" w:rsidRPr="000D3036" w:rsidTr="00D0485F">
        <w:trPr>
          <w:trHeight w:val="255"/>
          <w:jc w:val="center"/>
        </w:trPr>
        <w:tc>
          <w:tcPr>
            <w:tcW w:w="2020" w:type="dxa"/>
            <w:tcBorders>
              <w:top w:val="nil"/>
              <w:left w:val="nil"/>
              <w:bottom w:val="single" w:sz="4" w:space="0" w:color="auto"/>
              <w:right w:val="nil"/>
            </w:tcBorders>
            <w:shd w:val="clear" w:color="auto" w:fill="auto"/>
            <w:vAlign w:val="center"/>
            <w:hideMark/>
          </w:tcPr>
          <w:p w:rsidR="00D502BF" w:rsidRPr="000D3036" w:rsidRDefault="00D502BF" w:rsidP="00D0485F">
            <w:pPr>
              <w:spacing w:after="0" w:line="240" w:lineRule="auto"/>
              <w:rPr>
                <w:rFonts w:ascii="Times New Roman" w:eastAsia="Times New Roman" w:hAnsi="Times New Roman" w:cs="Times New Roman"/>
                <w:i/>
                <w:iCs/>
                <w:color w:val="000000"/>
                <w:sz w:val="20"/>
                <w:szCs w:val="20"/>
                <w:lang w:val="en-GB" w:eastAsia="en-GB"/>
              </w:rPr>
            </w:pPr>
            <w:r w:rsidRPr="000D3036">
              <w:rPr>
                <w:rFonts w:ascii="Times New Roman" w:eastAsia="Times New Roman" w:hAnsi="Times New Roman" w:cs="Times New Roman"/>
                <w:i/>
                <w:iCs/>
                <w:color w:val="000000"/>
                <w:sz w:val="20"/>
                <w:szCs w:val="20"/>
                <w:lang w:val="en-GB" w:eastAsia="en-GB"/>
              </w:rPr>
              <w:t>Monthly frequency</w:t>
            </w:r>
          </w:p>
        </w:tc>
        <w:tc>
          <w:tcPr>
            <w:tcW w:w="132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 </w:t>
            </w:r>
          </w:p>
        </w:tc>
        <w:tc>
          <w:tcPr>
            <w:tcW w:w="114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 </w:t>
            </w:r>
          </w:p>
        </w:tc>
        <w:tc>
          <w:tcPr>
            <w:tcW w:w="140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 </w:t>
            </w:r>
          </w:p>
        </w:tc>
        <w:tc>
          <w:tcPr>
            <w:tcW w:w="128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 </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Australia</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0.59</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0.07</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-1.26</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1.57</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Canada</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0.97</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0.79</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-2.01</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2.72</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Germany</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-0.24</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0.66</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-2.00</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2.80</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Japan</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0.77</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4F81BD"/>
                <w:sz w:val="20"/>
                <w:szCs w:val="20"/>
                <w:lang w:val="en-GB" w:eastAsia="en-GB"/>
              </w:rPr>
            </w:pPr>
            <w:r w:rsidRPr="000D3036">
              <w:rPr>
                <w:rFonts w:ascii="Times New Roman" w:eastAsia="Times New Roman" w:hAnsi="Times New Roman" w:cs="Times New Roman"/>
                <w:color w:val="4F81BD"/>
                <w:sz w:val="20"/>
                <w:szCs w:val="20"/>
                <w:lang w:val="en-GB" w:eastAsia="en-GB"/>
              </w:rPr>
              <w:t>1.65</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-2.68</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3.67</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United Kingdom</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1.17</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0.65</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-2.41</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3.35</w:t>
            </w:r>
          </w:p>
        </w:tc>
      </w:tr>
      <w:tr w:rsidR="00D502BF" w:rsidRPr="000D3036"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United States</w:t>
            </w:r>
          </w:p>
        </w:tc>
        <w:tc>
          <w:tcPr>
            <w:tcW w:w="132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0.96</w:t>
            </w:r>
          </w:p>
        </w:tc>
        <w:tc>
          <w:tcPr>
            <w:tcW w:w="114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0.83</w:t>
            </w:r>
          </w:p>
        </w:tc>
        <w:tc>
          <w:tcPr>
            <w:tcW w:w="140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4F81BD"/>
                <w:sz w:val="20"/>
                <w:szCs w:val="20"/>
                <w:lang w:val="en-GB" w:eastAsia="en-GB"/>
              </w:rPr>
            </w:pPr>
            <w:r w:rsidRPr="000D3036">
              <w:rPr>
                <w:rFonts w:ascii="Times New Roman" w:eastAsia="Times New Roman" w:hAnsi="Times New Roman" w:cs="Times New Roman"/>
                <w:color w:val="4F81BD"/>
                <w:sz w:val="20"/>
                <w:szCs w:val="20"/>
                <w:lang w:val="en-GB" w:eastAsia="en-GB"/>
              </w:rPr>
              <w:t>-1.73</w:t>
            </w:r>
          </w:p>
        </w:tc>
        <w:tc>
          <w:tcPr>
            <w:tcW w:w="1280" w:type="dxa"/>
            <w:tcBorders>
              <w:top w:val="nil"/>
              <w:left w:val="nil"/>
              <w:bottom w:val="nil"/>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2.87</w:t>
            </w:r>
          </w:p>
        </w:tc>
      </w:tr>
      <w:tr w:rsidR="00D502BF" w:rsidRPr="000D3036" w:rsidTr="00D0485F">
        <w:trPr>
          <w:trHeight w:val="240"/>
          <w:jc w:val="center"/>
        </w:trPr>
        <w:tc>
          <w:tcPr>
            <w:tcW w:w="2020" w:type="dxa"/>
            <w:tcBorders>
              <w:top w:val="nil"/>
              <w:left w:val="nil"/>
              <w:bottom w:val="single" w:sz="4" w:space="0" w:color="auto"/>
              <w:right w:val="nil"/>
            </w:tcBorders>
            <w:shd w:val="clear" w:color="auto" w:fill="auto"/>
            <w:noWrap/>
            <w:vAlign w:val="bottom"/>
            <w:hideMark/>
          </w:tcPr>
          <w:p w:rsidR="00D502BF" w:rsidRPr="000D3036" w:rsidRDefault="00D502BF" w:rsidP="00D0485F">
            <w:pPr>
              <w:spacing w:after="0" w:line="240" w:lineRule="auto"/>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Developed (6)</w:t>
            </w:r>
          </w:p>
        </w:tc>
        <w:tc>
          <w:tcPr>
            <w:tcW w:w="132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1.00</w:t>
            </w:r>
          </w:p>
        </w:tc>
        <w:tc>
          <w:tcPr>
            <w:tcW w:w="114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0D3036">
              <w:rPr>
                <w:rFonts w:ascii="Times New Roman" w:eastAsia="Times New Roman" w:hAnsi="Times New Roman" w:cs="Times New Roman"/>
                <w:color w:val="000000"/>
                <w:sz w:val="20"/>
                <w:szCs w:val="20"/>
                <w:lang w:val="en-GB" w:eastAsia="en-GB"/>
              </w:rPr>
              <w:t>1.05</w:t>
            </w:r>
          </w:p>
        </w:tc>
        <w:tc>
          <w:tcPr>
            <w:tcW w:w="140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-2.53</w:t>
            </w:r>
          </w:p>
        </w:tc>
        <w:tc>
          <w:tcPr>
            <w:tcW w:w="1280" w:type="dxa"/>
            <w:tcBorders>
              <w:top w:val="nil"/>
              <w:left w:val="nil"/>
              <w:bottom w:val="single" w:sz="4" w:space="0" w:color="auto"/>
              <w:right w:val="nil"/>
            </w:tcBorders>
            <w:shd w:val="clear" w:color="auto" w:fill="auto"/>
            <w:noWrap/>
            <w:vAlign w:val="center"/>
            <w:hideMark/>
          </w:tcPr>
          <w:p w:rsidR="00D502BF" w:rsidRPr="000D3036"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0D3036">
              <w:rPr>
                <w:rFonts w:ascii="Times New Roman" w:eastAsia="Times New Roman" w:hAnsi="Times New Roman" w:cs="Times New Roman"/>
                <w:b/>
                <w:bCs/>
                <w:color w:val="000000"/>
                <w:sz w:val="20"/>
                <w:szCs w:val="20"/>
                <w:lang w:val="en-GB" w:eastAsia="en-GB"/>
              </w:rPr>
              <w:t>3.75</w:t>
            </w:r>
          </w:p>
        </w:tc>
      </w:tr>
    </w:tbl>
    <w:p w:rsidR="00D502BF" w:rsidRPr="006C0856" w:rsidRDefault="00D502BF" w:rsidP="00D502BF">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 t-values based on Newey-West standard errors 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D502BF" w:rsidRPr="006C0856" w:rsidRDefault="00D502BF" w:rsidP="00D502BF">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D502BF" w:rsidRDefault="00D502BF" w:rsidP="00D502BF">
      <w:pPr>
        <w:pStyle w:val="NoSpacing"/>
        <w:jc w:val="both"/>
        <w:rPr>
          <w:rFonts w:ascii="Times New Roman" w:hAnsi="Times New Roman" w:cs="Times New Roman"/>
          <w:sz w:val="18"/>
          <w:szCs w:val="18"/>
        </w:rPr>
      </w:pPr>
      <w:r w:rsidRPr="006C0856">
        <w:rPr>
          <w:rFonts w:ascii="Times New Roman" w:hAnsi="Times New Roman" w:cs="Times New Roman"/>
          <w:sz w:val="18"/>
          <w:szCs w:val="18"/>
        </w:rPr>
        <w:t xml:space="preserve">where Y are </w:t>
      </w:r>
      <w:r>
        <w:rPr>
          <w:rFonts w:ascii="Times New Roman" w:hAnsi="Times New Roman" w:cs="Times New Roman"/>
          <w:sz w:val="18"/>
          <w:szCs w:val="18"/>
        </w:rPr>
        <w:t>stock excess returns (calculated based on MSCI total return indices and the same cash rates used to calculate bond excess returns) at the monthly frequency</w:t>
      </w:r>
      <w:r w:rsidRPr="006C0856">
        <w:rPr>
          <w:rFonts w:ascii="Times New Roman" w:hAnsi="Times New Roman" w:cs="Times New Roman"/>
          <w:sz w:val="18"/>
          <w:szCs w:val="18"/>
        </w:rPr>
        <w:t>. X depends on t</w:t>
      </w:r>
      <w:r>
        <w:rPr>
          <w:rFonts w:ascii="Times New Roman" w:hAnsi="Times New Roman" w:cs="Times New Roman"/>
          <w:sz w:val="18"/>
          <w:szCs w:val="18"/>
        </w:rPr>
        <w:t xml:space="preserve">he seasonal pattern tested. In case of January effect, </w:t>
      </w:r>
      <w:r w:rsidRPr="006C0856">
        <w:rPr>
          <w:rFonts w:ascii="Times New Roman" w:hAnsi="Times New Roman" w:cs="Times New Roman"/>
          <w:sz w:val="18"/>
          <w:szCs w:val="18"/>
        </w:rPr>
        <w:t>X</w:t>
      </w:r>
      <w:r>
        <w:rPr>
          <w:rFonts w:ascii="Times New Roman" w:hAnsi="Times New Roman" w:cs="Times New Roman"/>
          <w:sz w:val="18"/>
          <w:szCs w:val="18"/>
          <w:vertAlign w:val="subscript"/>
        </w:rPr>
        <w:t xml:space="preserve"> </w:t>
      </w:r>
      <w:r>
        <w:rPr>
          <w:rFonts w:ascii="Times New Roman" w:hAnsi="Times New Roman" w:cs="Times New Roman"/>
          <w:sz w:val="18"/>
          <w:szCs w:val="18"/>
        </w:rPr>
        <w:t>is a dummy that takes the value of 1 for January and 0 otherwise. In case of H</w:t>
      </w:r>
      <w:r w:rsidRPr="006C0856">
        <w:rPr>
          <w:rFonts w:ascii="Times New Roman" w:hAnsi="Times New Roman" w:cs="Times New Roman"/>
          <w:sz w:val="18"/>
          <w:szCs w:val="18"/>
        </w:rPr>
        <w:t>1 H2</w:t>
      </w:r>
      <w:r>
        <w:rPr>
          <w:rFonts w:ascii="Times New Roman" w:hAnsi="Times New Roman" w:cs="Times New Roman"/>
          <w:sz w:val="18"/>
          <w:szCs w:val="18"/>
        </w:rPr>
        <w:t>,</w:t>
      </w:r>
      <w:r w:rsidRPr="006C0856">
        <w:rPr>
          <w:rFonts w:ascii="Times New Roman" w:hAnsi="Times New Roman" w:cs="Times New Roman"/>
          <w:sz w:val="18"/>
          <w:szCs w:val="18"/>
        </w:rPr>
        <w:t xml:space="preserve"> X is a dummy that takes on the value of 1 for J</w:t>
      </w:r>
      <w:r>
        <w:rPr>
          <w:rFonts w:ascii="Times New Roman" w:hAnsi="Times New Roman" w:cs="Times New Roman"/>
          <w:sz w:val="18"/>
          <w:szCs w:val="18"/>
        </w:rPr>
        <w:t xml:space="preserve">anuary </w:t>
      </w:r>
      <w:r w:rsidRPr="006C0856">
        <w:rPr>
          <w:rFonts w:ascii="Times New Roman" w:hAnsi="Times New Roman" w:cs="Times New Roman"/>
          <w:sz w:val="18"/>
          <w:szCs w:val="18"/>
        </w:rPr>
        <w:t xml:space="preserve">to </w:t>
      </w:r>
      <w:r>
        <w:rPr>
          <w:rFonts w:ascii="Times New Roman" w:hAnsi="Times New Roman" w:cs="Times New Roman"/>
          <w:sz w:val="18"/>
          <w:szCs w:val="18"/>
        </w:rPr>
        <w:t>June</w:t>
      </w:r>
      <w:r w:rsidRPr="006C0856">
        <w:rPr>
          <w:rFonts w:ascii="Times New Roman" w:hAnsi="Times New Roman" w:cs="Times New Roman"/>
          <w:sz w:val="18"/>
          <w:szCs w:val="18"/>
        </w:rPr>
        <w:t xml:space="preserve"> and 0 otherwise. For SAD</w:t>
      </w:r>
      <w:r>
        <w:rPr>
          <w:rFonts w:ascii="Times New Roman" w:hAnsi="Times New Roman" w:cs="Times New Roman"/>
          <w:sz w:val="18"/>
          <w:szCs w:val="18"/>
        </w:rPr>
        <w:t>, X</w:t>
      </w:r>
      <w:r w:rsidRPr="006C0856">
        <w:rPr>
          <w:rFonts w:ascii="Times New Roman" w:hAnsi="Times New Roman" w:cs="Times New Roman"/>
          <w:sz w:val="18"/>
          <w:szCs w:val="18"/>
        </w:rPr>
        <w:t xml:space="preserve"> is set equal to the 12 monthly values from the Kamstra, Kramer, and Levi (2014) paper. Halloween</w:t>
      </w:r>
      <w:r>
        <w:rPr>
          <w:rFonts w:ascii="Times New Roman" w:hAnsi="Times New Roman" w:cs="Times New Roman"/>
          <w:sz w:val="18"/>
          <w:szCs w:val="18"/>
        </w:rPr>
        <w:t xml:space="preserve"> effect is in line with the effect discovered by </w:t>
      </w:r>
      <w:r w:rsidRPr="00CE74E3">
        <w:rPr>
          <w:rFonts w:ascii="Times New Roman" w:hAnsi="Times New Roman" w:cs="Times New Roman"/>
          <w:sz w:val="18"/>
          <w:szCs w:val="18"/>
        </w:rPr>
        <w:t>Bouman and Jacobsen (2002)</w:t>
      </w:r>
      <w:r>
        <w:rPr>
          <w:rFonts w:ascii="Times New Roman" w:hAnsi="Times New Roman" w:cs="Times New Roman"/>
          <w:sz w:val="18"/>
          <w:szCs w:val="18"/>
        </w:rPr>
        <w:t xml:space="preserve">. To capture the Halloween effect, </w:t>
      </w:r>
      <w:r w:rsidRPr="006C0856">
        <w:rPr>
          <w:rFonts w:ascii="Times New Roman" w:hAnsi="Times New Roman" w:cs="Times New Roman"/>
          <w:sz w:val="18"/>
          <w:szCs w:val="18"/>
        </w:rPr>
        <w:t xml:space="preserve">X is a dummy </w:t>
      </w:r>
      <w:r>
        <w:rPr>
          <w:rFonts w:ascii="Times New Roman" w:hAnsi="Times New Roman" w:cs="Times New Roman"/>
          <w:sz w:val="18"/>
          <w:szCs w:val="18"/>
        </w:rPr>
        <w:t>which</w:t>
      </w:r>
      <w:r w:rsidRPr="006C0856">
        <w:rPr>
          <w:rFonts w:ascii="Times New Roman" w:hAnsi="Times New Roman" w:cs="Times New Roman"/>
          <w:sz w:val="18"/>
          <w:szCs w:val="18"/>
        </w:rPr>
        <w:t xml:space="preserve"> takes on the value of 1 for </w:t>
      </w:r>
      <w:r>
        <w:rPr>
          <w:rFonts w:ascii="Times New Roman" w:hAnsi="Times New Roman" w:cs="Times New Roman"/>
          <w:sz w:val="18"/>
          <w:szCs w:val="18"/>
        </w:rPr>
        <w:t xml:space="preserve">November to April </w:t>
      </w:r>
      <w:r w:rsidRPr="006C0856">
        <w:rPr>
          <w:rFonts w:ascii="Times New Roman" w:hAnsi="Times New Roman" w:cs="Times New Roman"/>
          <w:sz w:val="18"/>
          <w:szCs w:val="18"/>
        </w:rPr>
        <w:t xml:space="preserve">and 0 otherwise. </w:t>
      </w:r>
      <w:r w:rsidRPr="00743EBA">
        <w:rPr>
          <w:rFonts w:ascii="Times New Roman" w:hAnsi="Times New Roman" w:cs="Times New Roman"/>
          <w:noProof/>
          <w:sz w:val="18"/>
          <w:szCs w:val="18"/>
        </w:rPr>
        <w:t>Developed stands for an equally-weighted port</w:t>
      </w:r>
      <w:r>
        <w:rPr>
          <w:rFonts w:ascii="Times New Roman" w:hAnsi="Times New Roman" w:cs="Times New Roman"/>
          <w:noProof/>
          <w:sz w:val="18"/>
          <w:szCs w:val="18"/>
        </w:rPr>
        <w:t>folio</w:t>
      </w:r>
      <w:r w:rsidRPr="00D57A22">
        <w:rPr>
          <w:rFonts w:ascii="Times New Roman" w:hAnsi="Times New Roman" w:cs="Times New Roman"/>
          <w:sz w:val="18"/>
          <w:szCs w:val="18"/>
        </w:rPr>
        <w:t xml:space="preserve"> </w:t>
      </w:r>
      <w:r>
        <w:rPr>
          <w:rFonts w:ascii="Times New Roman" w:hAnsi="Times New Roman" w:cs="Times New Roman"/>
          <w:sz w:val="18"/>
          <w:szCs w:val="18"/>
        </w:rPr>
        <w:t xml:space="preserve">of six countries. The sample ranges from 1975-2013. More details on the data and calculations are described in respectively Chapter 2 and Chapter 3. 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4F81BD"/>
          <w:sz w:val="18"/>
          <w:szCs w:val="18"/>
          <w:lang w:val="en-GB" w:eastAsia="en-GB"/>
        </w:rPr>
        <w:t>Blue</w:t>
      </w:r>
      <w:r>
        <w:rPr>
          <w:rFonts w:ascii="Times New Roman" w:hAnsi="Times New Roman" w:cs="Times New Roman"/>
          <w:sz w:val="18"/>
          <w:szCs w:val="18"/>
        </w:rPr>
        <w:t xml:space="preserve"> at 10% significance level.</w:t>
      </w:r>
    </w:p>
    <w:p w:rsidR="00D502BF" w:rsidRDefault="00D502BF" w:rsidP="00D502BF">
      <w:pPr>
        <w:spacing w:after="0" w:line="360" w:lineRule="auto"/>
        <w:jc w:val="both"/>
        <w:rPr>
          <w:rFonts w:ascii="Times New Roman" w:hAnsi="Times New Roman" w:cs="Times New Roman"/>
        </w:rPr>
      </w:pPr>
      <w:r>
        <w:tab/>
      </w:r>
      <w:r w:rsidRPr="000775BD">
        <w:rPr>
          <w:rFonts w:ascii="Times New Roman" w:hAnsi="Times New Roman" w:cs="Times New Roman"/>
        </w:rPr>
        <w:t xml:space="preserve">The </w:t>
      </w:r>
      <w:r>
        <w:rPr>
          <w:rFonts w:ascii="Times New Roman" w:hAnsi="Times New Roman" w:cs="Times New Roman"/>
        </w:rPr>
        <w:t xml:space="preserve">Halloween Indicator of Bouman and Jacobsen (2002) is also pronounced in </w:t>
      </w:r>
      <w:r w:rsidR="0031512E">
        <w:rPr>
          <w:rFonts w:ascii="Times New Roman" w:hAnsi="Times New Roman" w:cs="Times New Roman"/>
        </w:rPr>
        <w:t xml:space="preserve">the </w:t>
      </w:r>
      <w:r>
        <w:rPr>
          <w:rFonts w:ascii="Times New Roman" w:hAnsi="Times New Roman" w:cs="Times New Roman"/>
        </w:rPr>
        <w:t xml:space="preserve">analysed countries. As in case of SAD, this is relevant only for countries from Northern Hemisphere. This confirms the findings of Bouman and Jacobsen (2002) that the Halloween effect manifests itself in the same way in the Northern and Southern Hemisphere (evidence from Argentina, Australia, Brazil, Chile, New Zealand and South Africa). </w:t>
      </w:r>
    </w:p>
    <w:p w:rsidR="00D502BF" w:rsidRDefault="00D502BF" w:rsidP="00D502BF">
      <w:pPr>
        <w:spacing w:after="0" w:line="360" w:lineRule="auto"/>
        <w:jc w:val="both"/>
      </w:pPr>
      <w:r>
        <w:rPr>
          <w:rFonts w:ascii="Times New Roman" w:hAnsi="Times New Roman" w:cs="Times New Roman"/>
        </w:rPr>
        <w:tab/>
        <w:t>The fact that the seasonal pattern from the stock market (Halloween effect) is different from the one from the bond market (H1 H2 pattern) hints that the drivers of the seasonal variation also differ. I will investigate if the inflation hypothesis holds in the next section.</w:t>
      </w:r>
    </w:p>
    <w:p w:rsidR="00D502BF" w:rsidRPr="00A46E47" w:rsidRDefault="00D502BF" w:rsidP="00D502BF"/>
    <w:p w:rsidR="00D502BF" w:rsidRPr="0079030B" w:rsidRDefault="00BC7F37" w:rsidP="00BC7F37">
      <w:pPr>
        <w:pStyle w:val="Heading3"/>
      </w:pPr>
      <w:bookmarkStart w:id="61" w:name="_Toc396762725"/>
      <w:r>
        <w:t xml:space="preserve">5.2.2 </w:t>
      </w:r>
      <w:r w:rsidR="00D502BF" w:rsidRPr="0079030B">
        <w:t>T</w:t>
      </w:r>
      <w:r w:rsidR="00D83653">
        <w:t>he relationship between stock</w:t>
      </w:r>
      <w:r w:rsidR="00D502BF" w:rsidRPr="0079030B">
        <w:t xml:space="preserve"> returns and inflation</w:t>
      </w:r>
      <w:bookmarkEnd w:id="61"/>
    </w:p>
    <w:p w:rsidR="00D502BF" w:rsidRDefault="00D502BF" w:rsidP="008B193E"/>
    <w:p w:rsidR="00D502BF" w:rsidRDefault="00D502BF" w:rsidP="00D502BF">
      <w:pPr>
        <w:spacing w:after="0" w:line="360" w:lineRule="auto"/>
        <w:ind w:firstLine="720"/>
        <w:jc w:val="both"/>
        <w:rPr>
          <w:rFonts w:ascii="Times New Roman" w:hAnsi="Times New Roman" w:cs="Times New Roman"/>
        </w:rPr>
      </w:pPr>
      <w:r w:rsidRPr="004E08D3">
        <w:rPr>
          <w:rFonts w:ascii="Times New Roman" w:hAnsi="Times New Roman" w:cs="Times New Roman"/>
        </w:rPr>
        <w:t>Following the same approach as in case of bond returns, I check if the s</w:t>
      </w:r>
      <w:r>
        <w:rPr>
          <w:rFonts w:ascii="Times New Roman" w:hAnsi="Times New Roman" w:cs="Times New Roman"/>
        </w:rPr>
        <w:t xml:space="preserve">easonality in the inflation rate drives the seasonal variation in stock returns. The hypothesis is that the relationship between the inflation rate and stock returns is mixed. On a long-term stocks could offer protection against inflation </w:t>
      </w:r>
      <w:r w:rsidR="006B2A5E">
        <w:rPr>
          <w:rFonts w:ascii="Times New Roman" w:hAnsi="Times New Roman" w:cs="Times New Roman"/>
        </w:rPr>
        <w:t xml:space="preserve">(if the companies manage to increase the prices of the offered goods or services) </w:t>
      </w:r>
      <w:r>
        <w:rPr>
          <w:rFonts w:ascii="Times New Roman" w:hAnsi="Times New Roman" w:cs="Times New Roman"/>
        </w:rPr>
        <w:t>which implies a positive relationship (when inflation rises stock prices rise too), but on short-term unexpected inflation can negatively affect stock returns.</w:t>
      </w:r>
    </w:p>
    <w:p w:rsidR="00D502BF" w:rsidRDefault="00D502BF" w:rsidP="00D502BF">
      <w:pPr>
        <w:spacing w:after="0" w:line="360" w:lineRule="auto"/>
        <w:ind w:firstLine="720"/>
        <w:jc w:val="both"/>
        <w:rPr>
          <w:rFonts w:ascii="Times New Roman" w:hAnsi="Times New Roman" w:cs="Times New Roman"/>
        </w:rPr>
      </w:pPr>
      <w:r>
        <w:rPr>
          <w:rFonts w:ascii="Times New Roman" w:hAnsi="Times New Roman" w:cs="Times New Roman"/>
        </w:rPr>
        <w:t>T</w:t>
      </w:r>
      <w:r w:rsidR="0031512E">
        <w:rPr>
          <w:rFonts w:ascii="Times New Roman" w:hAnsi="Times New Roman" w:cs="Times New Roman"/>
        </w:rPr>
        <w:t>he regression results in Table 5.5</w:t>
      </w:r>
      <w:r>
        <w:rPr>
          <w:rFonts w:ascii="Times New Roman" w:hAnsi="Times New Roman" w:cs="Times New Roman"/>
        </w:rPr>
        <w:t xml:space="preserve"> show that there is no clear link between the inflation rate and stock returns as the coefficient is not statistically significant across countries. </w:t>
      </w:r>
    </w:p>
    <w:p w:rsidR="00D502BF" w:rsidRPr="004E08D3" w:rsidRDefault="00D502BF" w:rsidP="00D502BF">
      <w:pPr>
        <w:spacing w:after="0" w:line="360" w:lineRule="auto"/>
        <w:ind w:firstLine="720"/>
        <w:jc w:val="both"/>
        <w:rPr>
          <w:rFonts w:ascii="Times New Roman" w:hAnsi="Times New Roman" w:cs="Times New Roman"/>
        </w:rPr>
      </w:pPr>
    </w:p>
    <w:p w:rsidR="00D502BF" w:rsidRDefault="009C2309" w:rsidP="00D502BF">
      <w:pPr>
        <w:jc w:val="center"/>
        <w:rPr>
          <w:rFonts w:ascii="Times New Roman" w:hAnsi="Times New Roman" w:cs="Times New Roman"/>
        </w:rPr>
      </w:pPr>
      <w:r>
        <w:rPr>
          <w:rFonts w:ascii="Times New Roman" w:hAnsi="Times New Roman" w:cs="Times New Roman"/>
        </w:rPr>
        <w:lastRenderedPageBreak/>
        <w:t>Table 5.5</w:t>
      </w:r>
      <w:r w:rsidR="00D502BF">
        <w:rPr>
          <w:rFonts w:ascii="Times New Roman" w:hAnsi="Times New Roman" w:cs="Times New Roman"/>
        </w:rPr>
        <w:t xml:space="preserve">: The relationship between </w:t>
      </w:r>
      <w:r w:rsidR="0031512E">
        <w:rPr>
          <w:rFonts w:ascii="Times New Roman" w:hAnsi="Times New Roman" w:cs="Times New Roman"/>
        </w:rPr>
        <w:t>S</w:t>
      </w:r>
      <w:r w:rsidR="00D502BF">
        <w:rPr>
          <w:rFonts w:ascii="Times New Roman" w:hAnsi="Times New Roman" w:cs="Times New Roman"/>
        </w:rPr>
        <w:t>tock</w:t>
      </w:r>
      <w:r w:rsidR="0031512E">
        <w:rPr>
          <w:rFonts w:ascii="Times New Roman" w:hAnsi="Times New Roman" w:cs="Times New Roman"/>
        </w:rPr>
        <w:t xml:space="preserve"> Returns and I</w:t>
      </w:r>
      <w:r w:rsidR="00D502BF" w:rsidRPr="00467C8E">
        <w:rPr>
          <w:rFonts w:ascii="Times New Roman" w:hAnsi="Times New Roman" w:cs="Times New Roman"/>
        </w:rPr>
        <w:t>nflation</w:t>
      </w:r>
    </w:p>
    <w:tbl>
      <w:tblPr>
        <w:tblW w:w="4980" w:type="dxa"/>
        <w:jc w:val="center"/>
        <w:tblInd w:w="98" w:type="dxa"/>
        <w:tblLook w:val="04A0"/>
      </w:tblPr>
      <w:tblGrid>
        <w:gridCol w:w="1780"/>
        <w:gridCol w:w="1000"/>
        <w:gridCol w:w="1140"/>
        <w:gridCol w:w="1060"/>
      </w:tblGrid>
      <w:tr w:rsidR="00D502BF" w:rsidRPr="00401B87" w:rsidTr="00D0485F">
        <w:trPr>
          <w:trHeight w:val="480"/>
          <w:jc w:val="center"/>
        </w:trPr>
        <w:tc>
          <w:tcPr>
            <w:tcW w:w="1780" w:type="dxa"/>
            <w:vMerge w:val="restart"/>
            <w:tcBorders>
              <w:top w:val="single" w:sz="4" w:space="0" w:color="auto"/>
              <w:left w:val="nil"/>
              <w:bottom w:val="single" w:sz="4" w:space="0" w:color="000000"/>
              <w:right w:val="nil"/>
            </w:tcBorders>
            <w:shd w:val="clear" w:color="auto" w:fill="auto"/>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Stock Excess Returns</w:t>
            </w:r>
          </w:p>
        </w:tc>
        <w:tc>
          <w:tcPr>
            <w:tcW w:w="2140" w:type="dxa"/>
            <w:gridSpan w:val="2"/>
            <w:tcBorders>
              <w:top w:val="single" w:sz="4" w:space="0" w:color="auto"/>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National Inflation Rate</w:t>
            </w:r>
          </w:p>
        </w:tc>
        <w:tc>
          <w:tcPr>
            <w:tcW w:w="1060" w:type="dxa"/>
            <w:vMerge w:val="restart"/>
            <w:tcBorders>
              <w:top w:val="single" w:sz="4" w:space="0" w:color="auto"/>
              <w:left w:val="nil"/>
              <w:bottom w:val="single" w:sz="4" w:space="0" w:color="000000"/>
              <w:right w:val="nil"/>
            </w:tcBorders>
            <w:shd w:val="clear" w:color="auto" w:fill="auto"/>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R</w:t>
            </w:r>
            <w:r w:rsidRPr="00401B87">
              <w:rPr>
                <w:rFonts w:ascii="Times New Roman" w:eastAsia="Times New Roman" w:hAnsi="Times New Roman" w:cs="Times New Roman"/>
                <w:color w:val="000000"/>
                <w:sz w:val="20"/>
                <w:szCs w:val="20"/>
                <w:vertAlign w:val="superscript"/>
                <w:lang w:val="en-GB" w:eastAsia="en-GB"/>
              </w:rPr>
              <w:t>2</w:t>
            </w:r>
          </w:p>
        </w:tc>
      </w:tr>
      <w:tr w:rsidR="00D502BF" w:rsidRPr="00401B87" w:rsidTr="00D0485F">
        <w:trPr>
          <w:trHeight w:val="255"/>
          <w:jc w:val="center"/>
        </w:trPr>
        <w:tc>
          <w:tcPr>
            <w:tcW w:w="1780" w:type="dxa"/>
            <w:vMerge/>
            <w:tcBorders>
              <w:top w:val="single" w:sz="4" w:space="0" w:color="auto"/>
              <w:left w:val="nil"/>
              <w:bottom w:val="single" w:sz="4" w:space="0" w:color="000000"/>
              <w:right w:val="nil"/>
            </w:tcBorders>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eastAsia="en-GB"/>
              </w:rPr>
              <w:t>β</w:t>
            </w:r>
          </w:p>
        </w:tc>
        <w:tc>
          <w:tcPr>
            <w:tcW w:w="114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t-stat</w:t>
            </w:r>
          </w:p>
        </w:tc>
        <w:tc>
          <w:tcPr>
            <w:tcW w:w="1060" w:type="dxa"/>
            <w:vMerge/>
            <w:tcBorders>
              <w:top w:val="single" w:sz="4" w:space="0" w:color="auto"/>
              <w:left w:val="nil"/>
              <w:bottom w:val="single" w:sz="4" w:space="0" w:color="000000"/>
              <w:right w:val="nil"/>
            </w:tcBorders>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p>
        </w:tc>
      </w:tr>
      <w:tr w:rsidR="00D502BF" w:rsidRPr="00401B87" w:rsidTr="00D0485F">
        <w:trPr>
          <w:trHeight w:val="255"/>
          <w:jc w:val="center"/>
        </w:trPr>
        <w:tc>
          <w:tcPr>
            <w:tcW w:w="2780" w:type="dxa"/>
            <w:gridSpan w:val="2"/>
            <w:tcBorders>
              <w:top w:val="single" w:sz="4" w:space="0" w:color="auto"/>
              <w:left w:val="nil"/>
              <w:bottom w:val="single" w:sz="4" w:space="0" w:color="auto"/>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i/>
                <w:iCs/>
                <w:color w:val="000000"/>
                <w:sz w:val="20"/>
                <w:szCs w:val="20"/>
                <w:lang w:val="en-GB" w:eastAsia="en-GB"/>
              </w:rPr>
            </w:pPr>
            <w:r w:rsidRPr="00401B87">
              <w:rPr>
                <w:rFonts w:ascii="Times New Roman" w:eastAsia="Times New Roman" w:hAnsi="Times New Roman" w:cs="Times New Roman"/>
                <w:i/>
                <w:iCs/>
                <w:color w:val="000000"/>
                <w:sz w:val="20"/>
                <w:szCs w:val="20"/>
                <w:lang w:val="en-GB" w:eastAsia="en-GB"/>
              </w:rPr>
              <w:t>Panel A: Monthly frequency</w:t>
            </w:r>
          </w:p>
        </w:tc>
        <w:tc>
          <w:tcPr>
            <w:tcW w:w="114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 </w:t>
            </w:r>
          </w:p>
        </w:tc>
        <w:tc>
          <w:tcPr>
            <w:tcW w:w="1060" w:type="dxa"/>
            <w:tcBorders>
              <w:top w:val="nil"/>
              <w:left w:val="nil"/>
              <w:bottom w:val="single" w:sz="4" w:space="0" w:color="auto"/>
              <w:right w:val="nil"/>
            </w:tcBorders>
            <w:shd w:val="clear" w:color="auto" w:fill="auto"/>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 </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Australia</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p>
        </w:tc>
      </w:tr>
      <w:tr w:rsidR="00D502BF" w:rsidRPr="00401B87" w:rsidTr="00D0485F">
        <w:trPr>
          <w:trHeight w:val="240"/>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Canada</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0.073</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0.12</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0.000</w:t>
            </w:r>
          </w:p>
        </w:tc>
      </w:tr>
      <w:tr w:rsidR="00D502BF" w:rsidRPr="00401B87" w:rsidTr="00D0485F">
        <w:trPr>
          <w:trHeight w:val="240"/>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Germany</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0.343</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0.40</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0.000</w:t>
            </w:r>
          </w:p>
        </w:tc>
      </w:tr>
      <w:tr w:rsidR="00D502BF" w:rsidRPr="00401B87" w:rsidTr="00D0485F">
        <w:trPr>
          <w:trHeight w:val="240"/>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Japan</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0.311</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0.82</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0.001</w:t>
            </w:r>
          </w:p>
        </w:tc>
      </w:tr>
      <w:tr w:rsidR="00D502BF" w:rsidRPr="00401B87" w:rsidTr="00D0485F">
        <w:trPr>
          <w:trHeight w:val="240"/>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United Kingdom</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1.154</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1.36</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0.018</w:t>
            </w:r>
          </w:p>
        </w:tc>
      </w:tr>
      <w:tr w:rsidR="00D502BF" w:rsidRPr="00401B87" w:rsidTr="00D0485F">
        <w:trPr>
          <w:trHeight w:val="240"/>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United States</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-0.936</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-1.08</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0.006</w:t>
            </w:r>
          </w:p>
        </w:tc>
      </w:tr>
      <w:tr w:rsidR="00D502BF" w:rsidRPr="00401B87" w:rsidTr="00D0485F">
        <w:trPr>
          <w:trHeight w:val="240"/>
          <w:jc w:val="center"/>
        </w:trPr>
        <w:tc>
          <w:tcPr>
            <w:tcW w:w="1780" w:type="dxa"/>
            <w:tcBorders>
              <w:top w:val="nil"/>
              <w:left w:val="nil"/>
              <w:bottom w:val="single" w:sz="4" w:space="0" w:color="auto"/>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Developed (5)</w:t>
            </w:r>
          </w:p>
        </w:tc>
        <w:tc>
          <w:tcPr>
            <w:tcW w:w="100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0.321</w:t>
            </w:r>
          </w:p>
        </w:tc>
        <w:tc>
          <w:tcPr>
            <w:tcW w:w="114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0.41</w:t>
            </w:r>
          </w:p>
        </w:tc>
        <w:tc>
          <w:tcPr>
            <w:tcW w:w="106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0.001</w:t>
            </w:r>
          </w:p>
        </w:tc>
      </w:tr>
      <w:tr w:rsidR="00D502BF" w:rsidRPr="00401B87" w:rsidTr="00D0485F">
        <w:trPr>
          <w:trHeight w:val="255"/>
          <w:jc w:val="center"/>
        </w:trPr>
        <w:tc>
          <w:tcPr>
            <w:tcW w:w="2780" w:type="dxa"/>
            <w:gridSpan w:val="2"/>
            <w:tcBorders>
              <w:top w:val="single" w:sz="4" w:space="0" w:color="auto"/>
              <w:left w:val="nil"/>
              <w:bottom w:val="single" w:sz="4" w:space="0" w:color="auto"/>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i/>
                <w:iCs/>
                <w:color w:val="000000"/>
                <w:sz w:val="20"/>
                <w:szCs w:val="20"/>
                <w:lang w:val="en-GB" w:eastAsia="en-GB"/>
              </w:rPr>
            </w:pPr>
            <w:r w:rsidRPr="00401B87">
              <w:rPr>
                <w:rFonts w:ascii="Times New Roman" w:eastAsia="Times New Roman" w:hAnsi="Times New Roman" w:cs="Times New Roman"/>
                <w:i/>
                <w:iCs/>
                <w:color w:val="000000"/>
                <w:sz w:val="20"/>
                <w:szCs w:val="20"/>
                <w:lang w:val="en-GB" w:eastAsia="en-GB"/>
              </w:rPr>
              <w:t>Panel B: Quarterly frequency</w:t>
            </w:r>
          </w:p>
        </w:tc>
        <w:tc>
          <w:tcPr>
            <w:tcW w:w="114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 </w:t>
            </w:r>
          </w:p>
        </w:tc>
        <w:tc>
          <w:tcPr>
            <w:tcW w:w="1060" w:type="dxa"/>
            <w:tcBorders>
              <w:top w:val="nil"/>
              <w:left w:val="nil"/>
              <w:bottom w:val="single" w:sz="4" w:space="0" w:color="auto"/>
              <w:right w:val="nil"/>
            </w:tcBorders>
            <w:shd w:val="clear" w:color="auto" w:fill="auto"/>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 </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Australia</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0.725</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1.11</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0.008</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Canada</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0.001</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0.000</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Germany</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0.304</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0.20</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0.000</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Japan</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0.963</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0.99</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0.006</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United Kingdom</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1.349</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01B87">
              <w:rPr>
                <w:rFonts w:ascii="Times New Roman" w:eastAsia="Times New Roman" w:hAnsi="Times New Roman" w:cs="Times New Roman"/>
                <w:b/>
                <w:bCs/>
                <w:color w:val="000000"/>
                <w:sz w:val="20"/>
                <w:szCs w:val="20"/>
                <w:lang w:val="en-GB" w:eastAsia="en-GB"/>
              </w:rPr>
              <w:t>2.52</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0.040</w:t>
            </w:r>
          </w:p>
        </w:tc>
      </w:tr>
      <w:tr w:rsidR="00D502BF" w:rsidRPr="00401B87" w:rsidTr="00D0485F">
        <w:trPr>
          <w:trHeight w:val="255"/>
          <w:jc w:val="center"/>
        </w:trPr>
        <w:tc>
          <w:tcPr>
            <w:tcW w:w="1780" w:type="dxa"/>
            <w:tcBorders>
              <w:top w:val="nil"/>
              <w:left w:val="nil"/>
              <w:bottom w:val="nil"/>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United States</w:t>
            </w:r>
          </w:p>
        </w:tc>
        <w:tc>
          <w:tcPr>
            <w:tcW w:w="100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-0.569</w:t>
            </w:r>
          </w:p>
        </w:tc>
        <w:tc>
          <w:tcPr>
            <w:tcW w:w="114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-0.84</w:t>
            </w:r>
          </w:p>
        </w:tc>
        <w:tc>
          <w:tcPr>
            <w:tcW w:w="1060" w:type="dxa"/>
            <w:tcBorders>
              <w:top w:val="nil"/>
              <w:left w:val="nil"/>
              <w:bottom w:val="nil"/>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0.005</w:t>
            </w:r>
          </w:p>
        </w:tc>
      </w:tr>
      <w:tr w:rsidR="00D502BF" w:rsidRPr="00401B87" w:rsidTr="00D0485F">
        <w:trPr>
          <w:trHeight w:val="255"/>
          <w:jc w:val="center"/>
        </w:trPr>
        <w:tc>
          <w:tcPr>
            <w:tcW w:w="1780" w:type="dxa"/>
            <w:tcBorders>
              <w:top w:val="nil"/>
              <w:left w:val="nil"/>
              <w:bottom w:val="single" w:sz="4" w:space="0" w:color="auto"/>
              <w:right w:val="nil"/>
            </w:tcBorders>
            <w:shd w:val="clear" w:color="auto" w:fill="auto"/>
            <w:vAlign w:val="center"/>
            <w:hideMark/>
          </w:tcPr>
          <w:p w:rsidR="00D502BF" w:rsidRPr="00401B87" w:rsidRDefault="00D502BF" w:rsidP="00D0485F">
            <w:pPr>
              <w:spacing w:after="0" w:line="240" w:lineRule="auto"/>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Developed (6)</w:t>
            </w:r>
          </w:p>
        </w:tc>
        <w:tc>
          <w:tcPr>
            <w:tcW w:w="100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0.982</w:t>
            </w:r>
          </w:p>
        </w:tc>
        <w:tc>
          <w:tcPr>
            <w:tcW w:w="114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1.26</w:t>
            </w:r>
          </w:p>
        </w:tc>
        <w:tc>
          <w:tcPr>
            <w:tcW w:w="1060" w:type="dxa"/>
            <w:tcBorders>
              <w:top w:val="nil"/>
              <w:left w:val="nil"/>
              <w:bottom w:val="single" w:sz="4" w:space="0" w:color="auto"/>
              <w:right w:val="nil"/>
            </w:tcBorders>
            <w:shd w:val="clear" w:color="auto" w:fill="auto"/>
            <w:noWrap/>
            <w:vAlign w:val="center"/>
            <w:hideMark/>
          </w:tcPr>
          <w:p w:rsidR="00D502BF" w:rsidRPr="00401B87"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01B87">
              <w:rPr>
                <w:rFonts w:ascii="Times New Roman" w:eastAsia="Times New Roman" w:hAnsi="Times New Roman" w:cs="Times New Roman"/>
                <w:color w:val="000000"/>
                <w:sz w:val="20"/>
                <w:szCs w:val="20"/>
                <w:lang w:val="en-GB" w:eastAsia="en-GB"/>
              </w:rPr>
              <w:t>0.010</w:t>
            </w:r>
          </w:p>
        </w:tc>
      </w:tr>
    </w:tbl>
    <w:p w:rsidR="00D502BF" w:rsidRPr="001221C6" w:rsidRDefault="00D502BF" w:rsidP="00D502BF">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xml:space="preserve">: This table shows coefficients and t-values for the β in the regression </w:t>
      </w:r>
    </w:p>
    <w:p w:rsidR="00D502BF" w:rsidRPr="001221C6" w:rsidRDefault="00D502BF" w:rsidP="00D502BF">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ε</w:t>
      </w:r>
      <w:r w:rsidRPr="001221C6">
        <w:rPr>
          <w:rFonts w:ascii="Times New Roman" w:hAnsi="Times New Roman" w:cs="Times New Roman"/>
          <w:sz w:val="18"/>
          <w:szCs w:val="18"/>
          <w:vertAlign w:val="subscript"/>
        </w:rPr>
        <w:t>t</w:t>
      </w:r>
    </w:p>
    <w:p w:rsidR="00D502BF" w:rsidRPr="001221C6" w:rsidRDefault="00D502BF" w:rsidP="00D502BF">
      <w:pPr>
        <w:pStyle w:val="NoSpacing"/>
        <w:jc w:val="both"/>
        <w:rPr>
          <w:rFonts w:ascii="Times New Roman" w:hAnsi="Times New Roman" w:cs="Times New Roman"/>
          <w:sz w:val="18"/>
          <w:szCs w:val="18"/>
        </w:rPr>
      </w:pPr>
      <w:r>
        <w:rPr>
          <w:rFonts w:ascii="Times New Roman" w:hAnsi="Times New Roman" w:cs="Times New Roman"/>
          <w:sz w:val="18"/>
          <w:szCs w:val="18"/>
        </w:rPr>
        <w:t>where Y are stock excess</w:t>
      </w:r>
      <w:r w:rsidRPr="001221C6">
        <w:rPr>
          <w:rFonts w:ascii="Times New Roman" w:hAnsi="Times New Roman" w:cs="Times New Roman"/>
          <w:sz w:val="18"/>
          <w:szCs w:val="18"/>
        </w:rPr>
        <w:t xml:space="preserve"> returns at the monthly</w:t>
      </w:r>
      <w:r>
        <w:rPr>
          <w:rFonts w:ascii="Times New Roman" w:hAnsi="Times New Roman" w:cs="Times New Roman"/>
          <w:sz w:val="18"/>
          <w:szCs w:val="18"/>
        </w:rPr>
        <w:t xml:space="preserve"> frequency (Panel A) and at quarterly frequency (Panel B) and </w:t>
      </w:r>
      <w:r w:rsidRPr="001221C6">
        <w:rPr>
          <w:rFonts w:ascii="Times New Roman" w:hAnsi="Times New Roman" w:cs="Times New Roman"/>
          <w:sz w:val="18"/>
          <w:szCs w:val="18"/>
        </w:rPr>
        <w:t xml:space="preserve">X is the country’s own inflation (national inflation). </w:t>
      </w:r>
      <w:r>
        <w:rPr>
          <w:rFonts w:ascii="Times New Roman" w:hAnsi="Times New Roman" w:cs="Times New Roman"/>
          <w:sz w:val="18"/>
          <w:szCs w:val="18"/>
        </w:rPr>
        <w:t>At monthly frequency,</w:t>
      </w:r>
      <w:r w:rsidR="0031512E">
        <w:rPr>
          <w:rFonts w:ascii="Times New Roman" w:hAnsi="Times New Roman" w:cs="Times New Roman"/>
          <w:sz w:val="18"/>
          <w:szCs w:val="18"/>
        </w:rPr>
        <w:t xml:space="preserve"> </w:t>
      </w:r>
      <w:r>
        <w:rPr>
          <w:rFonts w:ascii="Times New Roman" w:hAnsi="Times New Roman" w:cs="Times New Roman"/>
          <w:sz w:val="18"/>
          <w:szCs w:val="18"/>
        </w:rPr>
        <w:t xml:space="preserve">t-values are based on Newey-West standard errors, while at quarterly frequency, the errors are not corrected as the residuals do not exhibit autocorrelation and heteroskedasticity. </w:t>
      </w:r>
      <w:r w:rsidRPr="001221C6">
        <w:rPr>
          <w:rFonts w:ascii="Times New Roman" w:hAnsi="Times New Roman" w:cs="Times New Roman"/>
          <w:sz w:val="18"/>
          <w:szCs w:val="18"/>
        </w:rPr>
        <w:t xml:space="preserve">Australia has only quarterly inflation and hence at the monthly frequency there are no national inflation results. </w:t>
      </w:r>
      <w:r w:rsidRPr="00743EBA">
        <w:rPr>
          <w:rFonts w:ascii="Times New Roman" w:hAnsi="Times New Roman" w:cs="Times New Roman"/>
          <w:noProof/>
          <w:sz w:val="18"/>
          <w:szCs w:val="18"/>
        </w:rPr>
        <w:t>Developed stands for an equally-weighted port</w:t>
      </w:r>
      <w:r>
        <w:rPr>
          <w:rFonts w:ascii="Times New Roman" w:hAnsi="Times New Roman" w:cs="Times New Roman"/>
          <w:noProof/>
          <w:sz w:val="18"/>
          <w:szCs w:val="18"/>
        </w:rPr>
        <w:t>folio</w:t>
      </w:r>
      <w:r w:rsidRPr="00D57A22">
        <w:rPr>
          <w:rFonts w:ascii="Times New Roman" w:hAnsi="Times New Roman" w:cs="Times New Roman"/>
          <w:sz w:val="18"/>
          <w:szCs w:val="18"/>
        </w:rPr>
        <w:t xml:space="preserve"> </w:t>
      </w:r>
      <w:r>
        <w:rPr>
          <w:rFonts w:ascii="Times New Roman" w:hAnsi="Times New Roman" w:cs="Times New Roman"/>
          <w:sz w:val="18"/>
          <w:szCs w:val="18"/>
        </w:rPr>
        <w:t xml:space="preserve">of </w:t>
      </w:r>
      <w:r w:rsidRPr="001221C6">
        <w:rPr>
          <w:rFonts w:ascii="Times New Roman" w:hAnsi="Times New Roman" w:cs="Times New Roman"/>
          <w:sz w:val="18"/>
          <w:szCs w:val="18"/>
        </w:rPr>
        <w:t>five</w:t>
      </w:r>
      <w:r>
        <w:rPr>
          <w:rFonts w:ascii="Times New Roman" w:hAnsi="Times New Roman" w:cs="Times New Roman"/>
          <w:sz w:val="18"/>
          <w:szCs w:val="18"/>
        </w:rPr>
        <w:t xml:space="preserve"> countries at monthly frequency (as inflation data for Australia are</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not </w:t>
      </w:r>
      <w:r w:rsidRPr="001221C6">
        <w:rPr>
          <w:rFonts w:ascii="Times New Roman" w:hAnsi="Times New Roman" w:cs="Times New Roman"/>
          <w:sz w:val="18"/>
          <w:szCs w:val="18"/>
        </w:rPr>
        <w:t xml:space="preserve">available at a </w:t>
      </w:r>
      <w:r>
        <w:rPr>
          <w:rFonts w:ascii="Times New Roman" w:hAnsi="Times New Roman" w:cs="Times New Roman"/>
          <w:sz w:val="18"/>
          <w:szCs w:val="18"/>
        </w:rPr>
        <w:t>monthly</w:t>
      </w:r>
      <w:r w:rsidRPr="001221C6">
        <w:rPr>
          <w:rFonts w:ascii="Times New Roman" w:hAnsi="Times New Roman" w:cs="Times New Roman"/>
          <w:sz w:val="18"/>
          <w:szCs w:val="18"/>
        </w:rPr>
        <w:t xml:space="preserve"> frequency</w:t>
      </w:r>
      <w:r>
        <w:rPr>
          <w:rFonts w:ascii="Times New Roman" w:hAnsi="Times New Roman" w:cs="Times New Roman"/>
          <w:sz w:val="18"/>
          <w:szCs w:val="18"/>
        </w:rPr>
        <w:t>) and of six countries at quarterly frequency</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Sample period for the analysis is 1975-2013. </w:t>
      </w:r>
      <w:r w:rsidRPr="001221C6">
        <w:rPr>
          <w:rFonts w:ascii="Times New Roman" w:hAnsi="Times New Roman" w:cs="Times New Roman"/>
          <w:sz w:val="18"/>
          <w:szCs w:val="18"/>
        </w:rPr>
        <w:t xml:space="preserve">The numbers in </w:t>
      </w:r>
      <w:r w:rsidRPr="001221C6">
        <w:rPr>
          <w:rFonts w:ascii="Times New Roman" w:hAnsi="Times New Roman" w:cs="Times New Roman"/>
          <w:b/>
          <w:sz w:val="18"/>
          <w:szCs w:val="18"/>
        </w:rPr>
        <w:t>Bold</w:t>
      </w:r>
      <w:r w:rsidRPr="001221C6">
        <w:rPr>
          <w:rFonts w:ascii="Times New Roman" w:hAnsi="Times New Roman" w:cs="Times New Roman"/>
          <w:sz w:val="18"/>
          <w:szCs w:val="18"/>
        </w:rPr>
        <w:t xml:space="preserve"> show statistical significance at 5% significance level, while those in </w:t>
      </w:r>
      <w:r w:rsidRPr="009C2309">
        <w:rPr>
          <w:rFonts w:ascii="Times New Roman" w:eastAsia="Times New Roman" w:hAnsi="Times New Roman" w:cs="Times New Roman"/>
          <w:color w:val="4F81BD"/>
          <w:sz w:val="18"/>
          <w:szCs w:val="18"/>
          <w:lang w:val="en-GB" w:eastAsia="en-GB"/>
        </w:rPr>
        <w:t xml:space="preserve">Blue </w:t>
      </w:r>
      <w:r w:rsidRPr="001221C6">
        <w:rPr>
          <w:rFonts w:ascii="Times New Roman" w:hAnsi="Times New Roman" w:cs="Times New Roman"/>
          <w:sz w:val="18"/>
          <w:szCs w:val="18"/>
        </w:rPr>
        <w:t>at 10% significance level.</w:t>
      </w:r>
    </w:p>
    <w:p w:rsidR="00D502BF" w:rsidRDefault="00D502BF" w:rsidP="00D502BF"/>
    <w:p w:rsidR="00D502BF" w:rsidRDefault="00D502BF" w:rsidP="00D502BF">
      <w:pPr>
        <w:spacing w:after="0" w:line="360" w:lineRule="auto"/>
        <w:ind w:firstLine="720"/>
        <w:jc w:val="both"/>
      </w:pPr>
      <w:r>
        <w:rPr>
          <w:rFonts w:ascii="Times New Roman" w:hAnsi="Times New Roman" w:cs="Times New Roman"/>
        </w:rPr>
        <w:t>The investigation of the seasonal pattern of stock returns has shown that the stock market exhibits a different pattern. Stock returns are higher during November-April compared to May-October period. The seasonality in inflation cannot explain this pattern. The different nature of the two assets suggests that the drivers of seasonality could also be different. Another hypothesis is that the two-month lag between the patterns could be a delayed reaction of the bond mar</w:t>
      </w:r>
      <w:r w:rsidR="00955683">
        <w:rPr>
          <w:rFonts w:ascii="Times New Roman" w:hAnsi="Times New Roman" w:cs="Times New Roman"/>
        </w:rPr>
        <w:t>ket. In line with Doeswijk (2008</w:t>
      </w:r>
      <w:r>
        <w:rPr>
          <w:rFonts w:ascii="Times New Roman" w:hAnsi="Times New Roman" w:cs="Times New Roman"/>
        </w:rPr>
        <w:t>)’s explanation, the o</w:t>
      </w:r>
      <w:r w:rsidRPr="000778B8">
        <w:rPr>
          <w:rFonts w:ascii="Times New Roman" w:hAnsi="Times New Roman" w:cs="Times New Roman"/>
        </w:rPr>
        <w:t xml:space="preserve">ptimism </w:t>
      </w:r>
      <w:r>
        <w:rPr>
          <w:rFonts w:ascii="Times New Roman" w:hAnsi="Times New Roman" w:cs="Times New Roman"/>
        </w:rPr>
        <w:t xml:space="preserve">of investors in the last quarter of the year could be visible first in the stock market and afterwards in the bond market. Also, Ilmanen (1995) formally shows that stock market returns can predict government bond market returns. This result has recently been confirmed by Duyvesteyn and Martens (2014). A theory or explanation behind the difference between the seasonal patterns of stocks and bonds is an interesting subject for further research. </w:t>
      </w:r>
    </w:p>
    <w:p w:rsidR="00D502BF" w:rsidRPr="006D6530" w:rsidRDefault="00D502BF" w:rsidP="00D502BF"/>
    <w:p w:rsidR="00D502BF" w:rsidRDefault="00D502BF" w:rsidP="00D502BF">
      <w:pPr>
        <w:pStyle w:val="Heading2"/>
      </w:pPr>
      <w:bookmarkStart w:id="62" w:name="_Toc396762726"/>
      <w:r>
        <w:t>5.3 Economic Significance</w:t>
      </w:r>
      <w:bookmarkEnd w:id="62"/>
    </w:p>
    <w:p w:rsidR="00D502BF" w:rsidRDefault="00D502BF" w:rsidP="00D502BF"/>
    <w:p w:rsidR="00D502BF" w:rsidRPr="00CB1F2A" w:rsidRDefault="00D502BF" w:rsidP="00D502BF">
      <w:pPr>
        <w:spacing w:after="0" w:line="360" w:lineRule="auto"/>
        <w:ind w:firstLine="720"/>
        <w:jc w:val="both"/>
        <w:rPr>
          <w:rFonts w:ascii="Times New Roman" w:hAnsi="Times New Roman" w:cs="Times New Roman"/>
        </w:rPr>
      </w:pPr>
      <w:r w:rsidRPr="00CB1F2A">
        <w:rPr>
          <w:rFonts w:ascii="Times New Roman" w:hAnsi="Times New Roman" w:cs="Times New Roman"/>
        </w:rPr>
        <w:lastRenderedPageBreak/>
        <w:t xml:space="preserve">In this </w:t>
      </w:r>
      <w:r>
        <w:rPr>
          <w:rFonts w:ascii="Times New Roman" w:hAnsi="Times New Roman" w:cs="Times New Roman"/>
        </w:rPr>
        <w:t>section I investigate the performance of two strategies: one exploiting th</w:t>
      </w:r>
      <w:r w:rsidR="0031512E">
        <w:rPr>
          <w:rFonts w:ascii="Times New Roman" w:hAnsi="Times New Roman" w:cs="Times New Roman"/>
        </w:rPr>
        <w:t xml:space="preserve">e H1 H2 effect and a simple buy and </w:t>
      </w:r>
      <w:r>
        <w:rPr>
          <w:rFonts w:ascii="Times New Roman" w:hAnsi="Times New Roman" w:cs="Times New Roman"/>
        </w:rPr>
        <w:t>hold strategy that always has a long position in bonds. I also test the statistical significance of the returns.</w:t>
      </w:r>
    </w:p>
    <w:p w:rsidR="00D502BF" w:rsidRDefault="00D502BF" w:rsidP="00D502BF">
      <w:pPr>
        <w:pStyle w:val="Heading3"/>
      </w:pPr>
      <w:bookmarkStart w:id="63" w:name="_Toc396762727"/>
      <w:r>
        <w:t>5.3.1 Trading Strategies</w:t>
      </w:r>
      <w:bookmarkEnd w:id="63"/>
    </w:p>
    <w:p w:rsidR="00D502BF" w:rsidRDefault="00D502BF" w:rsidP="00D502BF"/>
    <w:p w:rsidR="00D502BF" w:rsidRPr="00C058DA" w:rsidRDefault="00D502BF" w:rsidP="00D502BF">
      <w:pPr>
        <w:spacing w:after="0" w:line="360" w:lineRule="auto"/>
        <w:jc w:val="both"/>
        <w:rPr>
          <w:rFonts w:ascii="Times New Roman" w:hAnsi="Times New Roman" w:cs="Times New Roman"/>
        </w:rPr>
      </w:pPr>
      <w:r>
        <w:tab/>
      </w:r>
      <w:r w:rsidRPr="00C058DA">
        <w:rPr>
          <w:rFonts w:ascii="Times New Roman" w:hAnsi="Times New Roman" w:cs="Times New Roman"/>
        </w:rPr>
        <w:t xml:space="preserve">As </w:t>
      </w:r>
      <w:r>
        <w:rPr>
          <w:rFonts w:ascii="Times New Roman" w:hAnsi="Times New Roman" w:cs="Times New Roman"/>
        </w:rPr>
        <w:t>hinted in Section 3.3.4, I define a Long-Short strategy based on the observed H1 H2 effect. The strategy assumes that the investor buys the government bonds from the index in July and holds this exposure until the start of January when he enters into a Short position on the constituents of the index. I compare this strategy with a Long p</w:t>
      </w:r>
      <w:r w:rsidR="0031512E">
        <w:rPr>
          <w:rFonts w:ascii="Times New Roman" w:hAnsi="Times New Roman" w:cs="Times New Roman"/>
        </w:rPr>
        <w:t xml:space="preserve">osition in the bond market (buy and </w:t>
      </w:r>
      <w:r>
        <w:rPr>
          <w:rFonts w:ascii="Times New Roman" w:hAnsi="Times New Roman" w:cs="Times New Roman"/>
        </w:rPr>
        <w:t>hold) portfolio for January-December.</w:t>
      </w:r>
    </w:p>
    <w:p w:rsidR="00D502BF" w:rsidRDefault="00D502BF" w:rsidP="00D502BF">
      <w:pPr>
        <w:spacing w:after="0" w:line="360" w:lineRule="auto"/>
        <w:jc w:val="both"/>
        <w:rPr>
          <w:rFonts w:ascii="Times New Roman" w:hAnsi="Times New Roman" w:cs="Times New Roman"/>
        </w:rPr>
      </w:pPr>
      <w:r>
        <w:tab/>
      </w:r>
      <w:r w:rsidR="0035797D">
        <w:rPr>
          <w:rFonts w:ascii="Times New Roman" w:hAnsi="Times New Roman" w:cs="Times New Roman"/>
        </w:rPr>
        <w:t>Table 5.6</w:t>
      </w:r>
      <w:r w:rsidRPr="006E52EE">
        <w:rPr>
          <w:rFonts w:ascii="Times New Roman" w:hAnsi="Times New Roman" w:cs="Times New Roman"/>
        </w:rPr>
        <w:t xml:space="preserve"> </w:t>
      </w:r>
      <w:r>
        <w:rPr>
          <w:rFonts w:ascii="Times New Roman" w:hAnsi="Times New Roman" w:cs="Times New Roman"/>
        </w:rPr>
        <w:t xml:space="preserve">contains the average annual excess returns, standard deviation and information ratio for each country. As the Information Ratio measures the excess return per unit of risk, a higher Information Ratio is preferred. The Long Short strategy outperforms the benchmark by displaying a higher Information Ratio for Australia, Germany and United Kingdom. In case of Canada and Japan, the underperformance of the Long-Short strategy can be explained by the large positive returns recorded in May and March respectively. The difference between the Information ratios is the largest for Japan – the IR for the Long strategy is twice the IR recorded for the Long-Short strategy. Interestingly, Japan is also the country for which the H1 H2 effect is least pronounced as the H1 H2 dummy coefficient records the lowest t-statistic of 1.69 (as shown </w:t>
      </w:r>
      <w:r w:rsidRPr="0031512E">
        <w:rPr>
          <w:rFonts w:ascii="Times New Roman" w:hAnsi="Times New Roman" w:cs="Times New Roman"/>
        </w:rPr>
        <w:t xml:space="preserve">by </w:t>
      </w:r>
      <w:r w:rsidR="0031512E" w:rsidRPr="0031512E">
        <w:rPr>
          <w:rFonts w:ascii="Times New Roman" w:hAnsi="Times New Roman" w:cs="Times New Roman"/>
        </w:rPr>
        <w:t>Table 4.2</w:t>
      </w:r>
      <w:r w:rsidRPr="0031512E">
        <w:rPr>
          <w:rFonts w:ascii="Times New Roman" w:hAnsi="Times New Roman" w:cs="Times New Roman"/>
        </w:rPr>
        <w:t>).</w:t>
      </w:r>
      <w:r>
        <w:rPr>
          <w:rFonts w:ascii="Times New Roman" w:hAnsi="Times New Roman" w:cs="Times New Roman"/>
        </w:rPr>
        <w:t xml:space="preserve"> The results also show that the standard deviation differs marginally across countries. </w:t>
      </w:r>
    </w:p>
    <w:p w:rsidR="00D502BF" w:rsidRDefault="00D502BF" w:rsidP="00D502BF">
      <w:pPr>
        <w:spacing w:after="0" w:line="360" w:lineRule="auto"/>
        <w:jc w:val="both"/>
        <w:rPr>
          <w:rFonts w:ascii="Times New Roman" w:hAnsi="Times New Roman" w:cs="Times New Roman"/>
        </w:rPr>
      </w:pPr>
      <w:r>
        <w:rPr>
          <w:rFonts w:ascii="Times New Roman" w:hAnsi="Times New Roman" w:cs="Times New Roman"/>
        </w:rPr>
        <w:tab/>
        <w:t xml:space="preserve">However, the results do not favour the Long-Short strategy which exploits the seasonal pattern. For the other three analysed countries (Canada, Japan, United States) and at aggregate level (Developed portfolio), the benchmark strategy records better results.  </w:t>
      </w:r>
    </w:p>
    <w:p w:rsidR="00D502BF" w:rsidRPr="006E52EE" w:rsidRDefault="00D502BF" w:rsidP="00D502BF">
      <w:pPr>
        <w:spacing w:after="0" w:line="360" w:lineRule="auto"/>
        <w:rPr>
          <w:rFonts w:ascii="Times New Roman" w:hAnsi="Times New Roman" w:cs="Times New Roman"/>
        </w:rPr>
      </w:pPr>
    </w:p>
    <w:p w:rsidR="00D502BF" w:rsidRDefault="00075ABD" w:rsidP="00075ABD">
      <w:pPr>
        <w:spacing w:after="120" w:line="360" w:lineRule="auto"/>
        <w:jc w:val="center"/>
        <w:rPr>
          <w:rFonts w:ascii="Times New Roman" w:hAnsi="Times New Roman" w:cs="Times New Roman"/>
        </w:rPr>
      </w:pPr>
      <w:r>
        <w:rPr>
          <w:rFonts w:ascii="Times New Roman" w:hAnsi="Times New Roman" w:cs="Times New Roman"/>
        </w:rPr>
        <w:t>Table 5.6</w:t>
      </w:r>
      <w:r w:rsidR="00D502BF">
        <w:rPr>
          <w:rFonts w:ascii="Times New Roman" w:hAnsi="Times New Roman" w:cs="Times New Roman"/>
        </w:rPr>
        <w:t>: Performance of different strategies</w:t>
      </w:r>
    </w:p>
    <w:tbl>
      <w:tblPr>
        <w:tblW w:w="7120" w:type="dxa"/>
        <w:jc w:val="center"/>
        <w:tblInd w:w="98" w:type="dxa"/>
        <w:tblLook w:val="04A0"/>
      </w:tblPr>
      <w:tblGrid>
        <w:gridCol w:w="1780"/>
        <w:gridCol w:w="2140"/>
        <w:gridCol w:w="1360"/>
        <w:gridCol w:w="1840"/>
      </w:tblGrid>
      <w:tr w:rsidR="00D502BF" w:rsidRPr="00F633C4" w:rsidTr="00D0485F">
        <w:trPr>
          <w:trHeight w:val="300"/>
          <w:jc w:val="center"/>
        </w:trPr>
        <w:tc>
          <w:tcPr>
            <w:tcW w:w="1780" w:type="dxa"/>
            <w:vMerge w:val="restart"/>
            <w:tcBorders>
              <w:top w:val="single" w:sz="4" w:space="0" w:color="auto"/>
              <w:left w:val="nil"/>
              <w:bottom w:val="single" w:sz="4" w:space="0" w:color="000000"/>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Country</w:t>
            </w:r>
          </w:p>
        </w:tc>
        <w:tc>
          <w:tcPr>
            <w:tcW w:w="2140" w:type="dxa"/>
            <w:vMerge w:val="restart"/>
            <w:tcBorders>
              <w:top w:val="single" w:sz="4" w:space="0" w:color="auto"/>
              <w:left w:val="nil"/>
              <w:bottom w:val="single" w:sz="4" w:space="0" w:color="000000"/>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Annualised Indicators</w:t>
            </w:r>
          </w:p>
        </w:tc>
        <w:tc>
          <w:tcPr>
            <w:tcW w:w="1360" w:type="dxa"/>
            <w:tcBorders>
              <w:top w:val="single" w:sz="4" w:space="0" w:color="auto"/>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Benchmark</w:t>
            </w:r>
          </w:p>
        </w:tc>
        <w:tc>
          <w:tcPr>
            <w:tcW w:w="1840" w:type="dxa"/>
            <w:tcBorders>
              <w:top w:val="single" w:sz="4" w:space="0" w:color="auto"/>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Long-Short</w:t>
            </w:r>
          </w:p>
        </w:tc>
      </w:tr>
      <w:tr w:rsidR="00D502BF" w:rsidRPr="00F633C4" w:rsidTr="00D0485F">
        <w:trPr>
          <w:trHeight w:val="300"/>
          <w:jc w:val="center"/>
        </w:trPr>
        <w:tc>
          <w:tcPr>
            <w:tcW w:w="1780" w:type="dxa"/>
            <w:vMerge/>
            <w:tcBorders>
              <w:top w:val="single" w:sz="4" w:space="0" w:color="auto"/>
              <w:left w:val="nil"/>
              <w:bottom w:val="single" w:sz="4" w:space="0" w:color="000000"/>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vMerge/>
            <w:tcBorders>
              <w:top w:val="single" w:sz="4" w:space="0" w:color="auto"/>
              <w:left w:val="nil"/>
              <w:bottom w:val="single" w:sz="4" w:space="0" w:color="000000"/>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1360" w:type="dxa"/>
            <w:tcBorders>
              <w:top w:val="nil"/>
              <w:left w:val="nil"/>
              <w:bottom w:val="single" w:sz="4" w:space="0" w:color="auto"/>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L Jan-Dec</w:t>
            </w:r>
          </w:p>
        </w:tc>
        <w:tc>
          <w:tcPr>
            <w:tcW w:w="1840" w:type="dxa"/>
            <w:tcBorders>
              <w:top w:val="nil"/>
              <w:left w:val="nil"/>
              <w:bottom w:val="single" w:sz="4" w:space="0" w:color="auto"/>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L Jul-Dec S Jan-Jun</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Australia</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1.8%</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1.9%</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4.8%</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4.8%</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0.38</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0.41</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Canada</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2.9%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2.6%</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4.9%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4.9%</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0.59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0.53</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Germany</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1.8%</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1.9%</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3.9%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3.9%</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0.46</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0.47</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Japan</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2.3%</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1.1%</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3.7%</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3.7%</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0.62</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0.31</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United Kingdom</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1.9%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2.7%</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6.4%</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6.4%</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0.30</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0.42</w:t>
            </w:r>
          </w:p>
        </w:tc>
      </w:tr>
      <w:tr w:rsidR="00D502BF" w:rsidRPr="00F633C4" w:rsidTr="00D0485F">
        <w:trPr>
          <w:trHeight w:val="300"/>
          <w:jc w:val="center"/>
        </w:trPr>
        <w:tc>
          <w:tcPr>
            <w:tcW w:w="1780" w:type="dxa"/>
            <w:vMerge w:val="restart"/>
            <w:tcBorders>
              <w:top w:val="nil"/>
              <w:left w:val="nil"/>
              <w:bottom w:val="nil"/>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United States</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2.1%</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2.0%</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5.5%</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5.5%</w:t>
            </w:r>
          </w:p>
        </w:tc>
      </w:tr>
      <w:tr w:rsidR="00D502BF" w:rsidRPr="00F633C4" w:rsidTr="00D0485F">
        <w:trPr>
          <w:trHeight w:val="300"/>
          <w:jc w:val="center"/>
        </w:trPr>
        <w:tc>
          <w:tcPr>
            <w:tcW w:w="1780" w:type="dxa"/>
            <w:vMerge/>
            <w:tcBorders>
              <w:top w:val="nil"/>
              <w:left w:val="nil"/>
              <w:bottom w:val="nil"/>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0.39</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0.37</w:t>
            </w:r>
          </w:p>
        </w:tc>
      </w:tr>
      <w:tr w:rsidR="00D502BF" w:rsidRPr="00F633C4" w:rsidTr="00D0485F">
        <w:trPr>
          <w:trHeight w:val="300"/>
          <w:jc w:val="center"/>
        </w:trPr>
        <w:tc>
          <w:tcPr>
            <w:tcW w:w="1780" w:type="dxa"/>
            <w:vMerge w:val="restart"/>
            <w:tcBorders>
              <w:top w:val="nil"/>
              <w:left w:val="nil"/>
              <w:bottom w:val="single" w:sz="4" w:space="0" w:color="000000"/>
              <w:right w:val="nil"/>
            </w:tcBorders>
            <w:shd w:val="clear" w:color="auto" w:fill="auto"/>
            <w:noWrap/>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Developed (6)</w:t>
            </w: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Excess Return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2.1%</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1.9%</w:t>
            </w:r>
          </w:p>
        </w:tc>
      </w:tr>
      <w:tr w:rsidR="00D502BF" w:rsidRPr="00F633C4" w:rsidTr="00D0485F">
        <w:trPr>
          <w:trHeight w:val="300"/>
          <w:jc w:val="center"/>
        </w:trPr>
        <w:tc>
          <w:tcPr>
            <w:tcW w:w="1780" w:type="dxa"/>
            <w:vMerge/>
            <w:tcBorders>
              <w:top w:val="nil"/>
              <w:left w:val="nil"/>
              <w:bottom w:val="single" w:sz="4" w:space="0" w:color="000000"/>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nil"/>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Standard Deviation</w:t>
            </w:r>
          </w:p>
        </w:tc>
        <w:tc>
          <w:tcPr>
            <w:tcW w:w="136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4.0%</w:t>
            </w:r>
          </w:p>
        </w:tc>
        <w:tc>
          <w:tcPr>
            <w:tcW w:w="1840" w:type="dxa"/>
            <w:tcBorders>
              <w:top w:val="nil"/>
              <w:left w:val="nil"/>
              <w:bottom w:val="nil"/>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4.0%</w:t>
            </w:r>
          </w:p>
        </w:tc>
      </w:tr>
      <w:tr w:rsidR="00D502BF" w:rsidRPr="00F633C4" w:rsidTr="00D0485F">
        <w:trPr>
          <w:trHeight w:val="300"/>
          <w:jc w:val="center"/>
        </w:trPr>
        <w:tc>
          <w:tcPr>
            <w:tcW w:w="1780" w:type="dxa"/>
            <w:vMerge/>
            <w:tcBorders>
              <w:top w:val="nil"/>
              <w:left w:val="nil"/>
              <w:bottom w:val="single" w:sz="4" w:space="0" w:color="000000"/>
              <w:right w:val="nil"/>
            </w:tcBorders>
            <w:vAlign w:val="center"/>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2140" w:type="dxa"/>
            <w:tcBorders>
              <w:top w:val="nil"/>
              <w:left w:val="nil"/>
              <w:bottom w:val="single" w:sz="4" w:space="0" w:color="auto"/>
              <w:right w:val="nil"/>
            </w:tcBorders>
            <w:shd w:val="clear" w:color="auto" w:fill="auto"/>
            <w:noWrap/>
            <w:vAlign w:val="bottom"/>
            <w:hideMark/>
          </w:tcPr>
          <w:p w:rsidR="00D502BF" w:rsidRPr="00F633C4" w:rsidRDefault="00D502BF" w:rsidP="00D0485F">
            <w:pPr>
              <w:spacing w:after="0" w:line="240" w:lineRule="auto"/>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Information Ratio</w:t>
            </w:r>
          </w:p>
        </w:tc>
        <w:tc>
          <w:tcPr>
            <w:tcW w:w="1360" w:type="dxa"/>
            <w:tcBorders>
              <w:top w:val="nil"/>
              <w:left w:val="nil"/>
              <w:bottom w:val="single" w:sz="4" w:space="0" w:color="auto"/>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F633C4">
              <w:rPr>
                <w:rFonts w:ascii="Times New Roman" w:eastAsia="Times New Roman" w:hAnsi="Times New Roman" w:cs="Times New Roman"/>
                <w:b/>
                <w:bCs/>
                <w:color w:val="000000"/>
                <w:sz w:val="20"/>
                <w:szCs w:val="20"/>
                <w:lang w:val="en-GB" w:eastAsia="en-GB"/>
              </w:rPr>
              <w:t>0.52</w:t>
            </w:r>
          </w:p>
        </w:tc>
        <w:tc>
          <w:tcPr>
            <w:tcW w:w="1840" w:type="dxa"/>
            <w:tcBorders>
              <w:top w:val="nil"/>
              <w:left w:val="nil"/>
              <w:bottom w:val="single" w:sz="4" w:space="0" w:color="auto"/>
              <w:right w:val="nil"/>
            </w:tcBorders>
            <w:shd w:val="clear" w:color="auto" w:fill="auto"/>
            <w:noWrap/>
            <w:vAlign w:val="center"/>
            <w:hideMark/>
          </w:tcPr>
          <w:p w:rsidR="00D502BF" w:rsidRPr="00F633C4"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F633C4">
              <w:rPr>
                <w:rFonts w:ascii="Times New Roman" w:eastAsia="Times New Roman" w:hAnsi="Times New Roman" w:cs="Times New Roman"/>
                <w:color w:val="000000"/>
                <w:sz w:val="20"/>
                <w:szCs w:val="20"/>
                <w:lang w:val="en-GB" w:eastAsia="en-GB"/>
              </w:rPr>
              <w:t>0.48</w:t>
            </w:r>
          </w:p>
        </w:tc>
      </w:tr>
    </w:tbl>
    <w:p w:rsidR="00D502BF" w:rsidRDefault="00D502BF" w:rsidP="00D502BF">
      <w:pPr>
        <w:spacing w:line="240" w:lineRule="auto"/>
        <w:jc w:val="both"/>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 xml:space="preserve">performance indicators of different strategies: the Benchmark strategy is consistent with a long exposure on the bond index for the whole year, while Long-Short strategy considers that the investor has a Long exposure on the index during July-December and a Short exposure for January-June. All the performance indicators are annualised. The numbers highlighted in Bold represent the best performer for each indicator: the maximum in case of Excess Return and Information Ratio and minimum in case of Standard Deviation. The calculations are based on Datastream data for the sample from Table </w:t>
      </w:r>
      <w:r w:rsidR="00BD1393">
        <w:rPr>
          <w:rFonts w:ascii="Times New Roman" w:hAnsi="Times New Roman" w:cs="Times New Roman"/>
          <w:sz w:val="18"/>
          <w:szCs w:val="18"/>
        </w:rPr>
        <w:t>3.</w:t>
      </w:r>
      <w:r>
        <w:rPr>
          <w:rFonts w:ascii="Times New Roman" w:hAnsi="Times New Roman" w:cs="Times New Roman"/>
          <w:sz w:val="18"/>
          <w:szCs w:val="18"/>
        </w:rPr>
        <w:t>1 with the exception of Australia where the sample starts in January 1988 in order to have full-year data.</w:t>
      </w:r>
    </w:p>
    <w:p w:rsidR="00D502BF" w:rsidRDefault="00D502BF" w:rsidP="00D502BF">
      <w:pPr>
        <w:pStyle w:val="Heading3"/>
      </w:pPr>
      <w:bookmarkStart w:id="64" w:name="_Toc396762728"/>
      <w:r>
        <w:t>5.3.2 Statistical Significance</w:t>
      </w:r>
      <w:bookmarkEnd w:id="64"/>
    </w:p>
    <w:p w:rsidR="00D502BF" w:rsidRDefault="00D502BF" w:rsidP="00D502BF"/>
    <w:p w:rsidR="00D502BF" w:rsidRDefault="00D502BF" w:rsidP="00D502BF">
      <w:pPr>
        <w:spacing w:after="0" w:line="360" w:lineRule="auto"/>
        <w:jc w:val="both"/>
        <w:rPr>
          <w:rFonts w:ascii="Times New Roman" w:hAnsi="Times New Roman" w:cs="Times New Roman"/>
        </w:rPr>
      </w:pPr>
      <w:r>
        <w:tab/>
      </w:r>
      <w:r w:rsidRPr="003F66D8">
        <w:rPr>
          <w:rFonts w:ascii="Times New Roman" w:hAnsi="Times New Roman" w:cs="Times New Roman"/>
        </w:rPr>
        <w:t xml:space="preserve">Given </w:t>
      </w:r>
      <w:r>
        <w:rPr>
          <w:rFonts w:ascii="Times New Roman" w:hAnsi="Times New Roman" w:cs="Times New Roman"/>
        </w:rPr>
        <w:t>mixed results of the performance of the two strategies, I run regression (</w:t>
      </w:r>
      <w:r w:rsidR="00937206">
        <w:rPr>
          <w:rFonts w:ascii="Times New Roman" w:hAnsi="Times New Roman" w:cs="Times New Roman"/>
        </w:rPr>
        <w:t>7</w:t>
      </w:r>
      <w:r>
        <w:rPr>
          <w:rFonts w:ascii="Times New Roman" w:hAnsi="Times New Roman" w:cs="Times New Roman"/>
        </w:rPr>
        <w:t>) to investigate if the Long-Short strategy generates abnormal results compared to the benchmark strategy and to see if there are any diversification benefits. The re</w:t>
      </w:r>
      <w:r w:rsidR="00BD1393">
        <w:rPr>
          <w:rFonts w:ascii="Times New Roman" w:hAnsi="Times New Roman" w:cs="Times New Roman"/>
        </w:rPr>
        <w:t>sults are centralised in Table 5.7</w:t>
      </w:r>
      <w:r>
        <w:rPr>
          <w:rFonts w:ascii="Times New Roman" w:hAnsi="Times New Roman" w:cs="Times New Roman"/>
        </w:rPr>
        <w:t xml:space="preserve"> below.</w:t>
      </w:r>
    </w:p>
    <w:p w:rsidR="00D502BF" w:rsidRPr="003F66D8" w:rsidRDefault="00D502BF" w:rsidP="00D502BF">
      <w:pPr>
        <w:spacing w:after="0" w:line="360" w:lineRule="auto"/>
        <w:jc w:val="both"/>
        <w:rPr>
          <w:rFonts w:ascii="Times New Roman" w:hAnsi="Times New Roman" w:cs="Times New Roman"/>
        </w:rPr>
      </w:pPr>
      <w:r>
        <w:rPr>
          <w:rFonts w:ascii="Times New Roman" w:hAnsi="Times New Roman" w:cs="Times New Roman"/>
        </w:rPr>
        <w:tab/>
      </w:r>
    </w:p>
    <w:p w:rsidR="00D502BF" w:rsidRDefault="00BD1393" w:rsidP="00D502BF">
      <w:pPr>
        <w:jc w:val="center"/>
        <w:rPr>
          <w:rFonts w:ascii="Times New Roman" w:hAnsi="Times New Roman" w:cs="Times New Roman"/>
        </w:rPr>
      </w:pPr>
      <w:r>
        <w:rPr>
          <w:rFonts w:ascii="Times New Roman" w:hAnsi="Times New Roman" w:cs="Times New Roman"/>
        </w:rPr>
        <w:t>Table 5.7</w:t>
      </w:r>
      <w:r w:rsidR="00D502BF">
        <w:rPr>
          <w:rFonts w:ascii="Times New Roman" w:hAnsi="Times New Roman" w:cs="Times New Roman"/>
        </w:rPr>
        <w:t>: Strategy statistical significance</w:t>
      </w:r>
    </w:p>
    <w:tbl>
      <w:tblPr>
        <w:tblW w:w="5320" w:type="dxa"/>
        <w:jc w:val="center"/>
        <w:tblInd w:w="98" w:type="dxa"/>
        <w:tblLook w:val="04A0"/>
      </w:tblPr>
      <w:tblGrid>
        <w:gridCol w:w="2020"/>
        <w:gridCol w:w="800"/>
        <w:gridCol w:w="860"/>
        <w:gridCol w:w="820"/>
        <w:gridCol w:w="820"/>
      </w:tblGrid>
      <w:tr w:rsidR="00D502BF" w:rsidRPr="004F0C63" w:rsidTr="00D0485F">
        <w:trPr>
          <w:trHeight w:val="435"/>
          <w:jc w:val="center"/>
        </w:trPr>
        <w:tc>
          <w:tcPr>
            <w:tcW w:w="2020" w:type="dxa"/>
            <w:vMerge w:val="restart"/>
            <w:tcBorders>
              <w:top w:val="single" w:sz="4" w:space="0" w:color="auto"/>
              <w:left w:val="nil"/>
              <w:bottom w:val="nil"/>
              <w:right w:val="nil"/>
            </w:tcBorders>
            <w:shd w:val="clear" w:color="auto" w:fill="auto"/>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Nominal Bond Excess Returns</w:t>
            </w:r>
          </w:p>
        </w:tc>
        <w:tc>
          <w:tcPr>
            <w:tcW w:w="1660" w:type="dxa"/>
            <w:gridSpan w:val="2"/>
            <w:tcBorders>
              <w:top w:val="single" w:sz="4" w:space="0" w:color="auto"/>
              <w:left w:val="nil"/>
              <w:bottom w:val="nil"/>
              <w:right w:val="nil"/>
            </w:tcBorders>
            <w:shd w:val="clear" w:color="auto" w:fill="auto"/>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α</w:t>
            </w:r>
          </w:p>
        </w:tc>
        <w:tc>
          <w:tcPr>
            <w:tcW w:w="1640" w:type="dxa"/>
            <w:gridSpan w:val="2"/>
            <w:tcBorders>
              <w:top w:val="single" w:sz="4" w:space="0" w:color="auto"/>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β</w:t>
            </w:r>
          </w:p>
        </w:tc>
      </w:tr>
      <w:tr w:rsidR="00D502BF" w:rsidRPr="004F0C63" w:rsidTr="00D0485F">
        <w:trPr>
          <w:trHeight w:val="255"/>
          <w:jc w:val="center"/>
        </w:trPr>
        <w:tc>
          <w:tcPr>
            <w:tcW w:w="2020" w:type="dxa"/>
            <w:vMerge/>
            <w:tcBorders>
              <w:top w:val="single" w:sz="4" w:space="0" w:color="auto"/>
              <w:left w:val="nil"/>
              <w:bottom w:val="nil"/>
              <w:right w:val="nil"/>
            </w:tcBorders>
            <w:vAlign w:val="center"/>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80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value</w:t>
            </w:r>
            <w:r w:rsidRPr="004F0C63">
              <w:rPr>
                <w:rFonts w:ascii="Times New Roman" w:eastAsia="Times New Roman" w:hAnsi="Times New Roman" w:cs="Times New Roman"/>
                <w:color w:val="000000"/>
                <w:sz w:val="20"/>
                <w:szCs w:val="20"/>
                <w:lang w:val="en-GB" w:eastAsia="en-GB"/>
              </w:rPr>
              <w:t>*</w:t>
            </w:r>
          </w:p>
        </w:tc>
        <w:tc>
          <w:tcPr>
            <w:tcW w:w="86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t-stat</w:t>
            </w:r>
          </w:p>
        </w:tc>
        <w:tc>
          <w:tcPr>
            <w:tcW w:w="82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Pr>
                <w:rFonts w:ascii="Times New Roman" w:eastAsia="Times New Roman" w:hAnsi="Times New Roman" w:cs="Times New Roman"/>
                <w:color w:val="000000"/>
                <w:sz w:val="20"/>
                <w:szCs w:val="20"/>
                <w:lang w:val="en-GB" w:eastAsia="en-GB"/>
              </w:rPr>
              <w:t>value</w:t>
            </w:r>
          </w:p>
        </w:tc>
        <w:tc>
          <w:tcPr>
            <w:tcW w:w="82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t-stat</w:t>
            </w:r>
          </w:p>
        </w:tc>
      </w:tr>
      <w:tr w:rsidR="00D502BF" w:rsidRPr="004F0C63" w:rsidTr="00D0485F">
        <w:trPr>
          <w:trHeight w:val="225"/>
          <w:jc w:val="center"/>
        </w:trPr>
        <w:tc>
          <w:tcPr>
            <w:tcW w:w="2820" w:type="dxa"/>
            <w:gridSpan w:val="2"/>
            <w:tcBorders>
              <w:top w:val="single" w:sz="4" w:space="0" w:color="auto"/>
              <w:left w:val="nil"/>
              <w:bottom w:val="single" w:sz="4" w:space="0" w:color="auto"/>
              <w:right w:val="nil"/>
            </w:tcBorders>
            <w:shd w:val="clear" w:color="auto" w:fill="auto"/>
            <w:vAlign w:val="center"/>
            <w:hideMark/>
          </w:tcPr>
          <w:p w:rsidR="00D502BF" w:rsidRPr="004F0C63" w:rsidRDefault="00D502BF" w:rsidP="00D0485F">
            <w:pPr>
              <w:spacing w:after="0" w:line="240" w:lineRule="auto"/>
              <w:rPr>
                <w:rFonts w:ascii="Times New Roman" w:eastAsia="Times New Roman" w:hAnsi="Times New Roman" w:cs="Times New Roman"/>
                <w:i/>
                <w:iCs/>
                <w:color w:val="000000"/>
                <w:sz w:val="20"/>
                <w:szCs w:val="20"/>
                <w:lang w:val="en-GB" w:eastAsia="en-GB"/>
              </w:rPr>
            </w:pPr>
            <w:r w:rsidRPr="004F0C63">
              <w:rPr>
                <w:rFonts w:ascii="Times New Roman" w:eastAsia="Times New Roman" w:hAnsi="Times New Roman" w:cs="Times New Roman"/>
                <w:i/>
                <w:iCs/>
                <w:color w:val="000000"/>
                <w:sz w:val="20"/>
                <w:szCs w:val="20"/>
                <w:lang w:val="en-GB" w:eastAsia="en-GB"/>
              </w:rPr>
              <w:t>Monthly frequency</w:t>
            </w:r>
          </w:p>
        </w:tc>
        <w:tc>
          <w:tcPr>
            <w:tcW w:w="86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 </w:t>
            </w:r>
          </w:p>
        </w:tc>
        <w:tc>
          <w:tcPr>
            <w:tcW w:w="8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p>
        </w:tc>
        <w:tc>
          <w:tcPr>
            <w:tcW w:w="8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p>
        </w:tc>
      </w:tr>
      <w:tr w:rsidR="00D502BF" w:rsidRPr="004F0C63"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Australia</w:t>
            </w:r>
          </w:p>
        </w:tc>
        <w:tc>
          <w:tcPr>
            <w:tcW w:w="800" w:type="dxa"/>
            <w:tcBorders>
              <w:top w:val="single" w:sz="4" w:space="0" w:color="auto"/>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1.9%</w:t>
            </w:r>
          </w:p>
        </w:tc>
        <w:tc>
          <w:tcPr>
            <w:tcW w:w="860" w:type="dxa"/>
            <w:tcBorders>
              <w:top w:val="single" w:sz="4" w:space="0" w:color="auto"/>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4F81BD"/>
                <w:sz w:val="20"/>
                <w:szCs w:val="20"/>
                <w:lang w:val="en-GB" w:eastAsia="en-GB"/>
              </w:rPr>
            </w:pPr>
            <w:r w:rsidRPr="004F0C63">
              <w:rPr>
                <w:rFonts w:ascii="Times New Roman" w:eastAsia="Times New Roman" w:hAnsi="Times New Roman" w:cs="Times New Roman"/>
                <w:color w:val="4F81BD"/>
                <w:sz w:val="20"/>
                <w:szCs w:val="20"/>
                <w:lang w:val="en-GB" w:eastAsia="en-GB"/>
              </w:rPr>
              <w:t>1.87</w:t>
            </w:r>
          </w:p>
        </w:tc>
        <w:tc>
          <w:tcPr>
            <w:tcW w:w="820" w:type="dxa"/>
            <w:tcBorders>
              <w:top w:val="single" w:sz="4" w:space="0" w:color="auto"/>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0.01</w:t>
            </w:r>
          </w:p>
        </w:tc>
        <w:tc>
          <w:tcPr>
            <w:tcW w:w="820" w:type="dxa"/>
            <w:tcBorders>
              <w:top w:val="single" w:sz="4" w:space="0" w:color="auto"/>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0.07</w:t>
            </w:r>
          </w:p>
        </w:tc>
      </w:tr>
      <w:tr w:rsidR="00D502BF" w:rsidRPr="004F0C63" w:rsidTr="00D0485F">
        <w:trPr>
          <w:trHeight w:val="255"/>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Canada</w:t>
            </w:r>
          </w:p>
        </w:tc>
        <w:tc>
          <w:tcPr>
            <w:tcW w:w="80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2.4%</w:t>
            </w:r>
          </w:p>
        </w:tc>
        <w:tc>
          <w:tcPr>
            <w:tcW w:w="86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F0C63">
              <w:rPr>
                <w:rFonts w:ascii="Times New Roman" w:eastAsia="Times New Roman" w:hAnsi="Times New Roman" w:cs="Times New Roman"/>
                <w:b/>
                <w:bCs/>
                <w:color w:val="000000"/>
                <w:sz w:val="20"/>
                <w:szCs w:val="20"/>
                <w:lang w:val="en-GB" w:eastAsia="en-GB"/>
              </w:rPr>
              <w:t>2.23</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-0.04</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-0.28</w:t>
            </w:r>
          </w:p>
        </w:tc>
      </w:tr>
      <w:tr w:rsidR="00D502BF" w:rsidRPr="004F0C63" w:rsidTr="00D0485F">
        <w:trPr>
          <w:trHeight w:val="240"/>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Germany</w:t>
            </w:r>
          </w:p>
        </w:tc>
        <w:tc>
          <w:tcPr>
            <w:tcW w:w="80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2.2%</w:t>
            </w:r>
          </w:p>
        </w:tc>
        <w:tc>
          <w:tcPr>
            <w:tcW w:w="86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F0C63">
              <w:rPr>
                <w:rFonts w:ascii="Times New Roman" w:eastAsia="Times New Roman" w:hAnsi="Times New Roman" w:cs="Times New Roman"/>
                <w:b/>
                <w:bCs/>
                <w:color w:val="000000"/>
                <w:sz w:val="20"/>
                <w:szCs w:val="20"/>
                <w:lang w:val="en-GB" w:eastAsia="en-GB"/>
              </w:rPr>
              <w:t>3.01</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-0.16</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-1.28</w:t>
            </w:r>
          </w:p>
        </w:tc>
      </w:tr>
      <w:tr w:rsidR="00D502BF" w:rsidRPr="004F0C63" w:rsidTr="00D0485F">
        <w:trPr>
          <w:trHeight w:val="255"/>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Japan</w:t>
            </w:r>
          </w:p>
        </w:tc>
        <w:tc>
          <w:tcPr>
            <w:tcW w:w="80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1.0%</w:t>
            </w:r>
          </w:p>
        </w:tc>
        <w:tc>
          <w:tcPr>
            <w:tcW w:w="86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1.36</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0.05</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0.32</w:t>
            </w:r>
          </w:p>
        </w:tc>
      </w:tr>
      <w:tr w:rsidR="00D502BF" w:rsidRPr="004F0C63" w:rsidTr="00D0485F">
        <w:trPr>
          <w:trHeight w:val="255"/>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United Kingdom</w:t>
            </w:r>
          </w:p>
        </w:tc>
        <w:tc>
          <w:tcPr>
            <w:tcW w:w="80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2.5%</w:t>
            </w:r>
          </w:p>
        </w:tc>
        <w:tc>
          <w:tcPr>
            <w:tcW w:w="86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F0C63">
              <w:rPr>
                <w:rFonts w:ascii="Times New Roman" w:eastAsia="Times New Roman" w:hAnsi="Times New Roman" w:cs="Times New Roman"/>
                <w:b/>
                <w:bCs/>
                <w:color w:val="000000"/>
                <w:sz w:val="20"/>
                <w:szCs w:val="20"/>
                <w:lang w:val="en-GB" w:eastAsia="en-GB"/>
              </w:rPr>
              <w:t>2.15</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0.12</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1.04</w:t>
            </w:r>
          </w:p>
        </w:tc>
      </w:tr>
      <w:tr w:rsidR="00D502BF" w:rsidRPr="004F0C63" w:rsidTr="00D0485F">
        <w:trPr>
          <w:trHeight w:val="255"/>
          <w:jc w:val="center"/>
        </w:trPr>
        <w:tc>
          <w:tcPr>
            <w:tcW w:w="2020" w:type="dxa"/>
            <w:tcBorders>
              <w:top w:val="nil"/>
              <w:left w:val="nil"/>
              <w:bottom w:val="nil"/>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United States</w:t>
            </w:r>
          </w:p>
        </w:tc>
        <w:tc>
          <w:tcPr>
            <w:tcW w:w="80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2.0%</w:t>
            </w:r>
          </w:p>
        </w:tc>
        <w:tc>
          <w:tcPr>
            <w:tcW w:w="86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F0C63">
              <w:rPr>
                <w:rFonts w:ascii="Times New Roman" w:eastAsia="Times New Roman" w:hAnsi="Times New Roman" w:cs="Times New Roman"/>
                <w:b/>
                <w:bCs/>
                <w:color w:val="000000"/>
                <w:sz w:val="20"/>
                <w:szCs w:val="20"/>
                <w:lang w:val="en-GB" w:eastAsia="en-GB"/>
              </w:rPr>
              <w:t>1.98</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0.01</w:t>
            </w:r>
          </w:p>
        </w:tc>
        <w:tc>
          <w:tcPr>
            <w:tcW w:w="820" w:type="dxa"/>
            <w:tcBorders>
              <w:top w:val="nil"/>
              <w:left w:val="nil"/>
              <w:bottom w:val="nil"/>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0.03</w:t>
            </w:r>
          </w:p>
        </w:tc>
      </w:tr>
      <w:tr w:rsidR="00D502BF" w:rsidRPr="004F0C63" w:rsidTr="00D0485F">
        <w:trPr>
          <w:trHeight w:val="255"/>
          <w:jc w:val="center"/>
        </w:trPr>
        <w:tc>
          <w:tcPr>
            <w:tcW w:w="2020" w:type="dxa"/>
            <w:tcBorders>
              <w:top w:val="nil"/>
              <w:left w:val="nil"/>
              <w:bottom w:val="single" w:sz="4" w:space="0" w:color="auto"/>
              <w:right w:val="nil"/>
            </w:tcBorders>
            <w:shd w:val="clear" w:color="auto" w:fill="auto"/>
            <w:noWrap/>
            <w:vAlign w:val="bottom"/>
            <w:hideMark/>
          </w:tcPr>
          <w:p w:rsidR="00D502BF" w:rsidRPr="004F0C63" w:rsidRDefault="00D502BF" w:rsidP="00D0485F">
            <w:pPr>
              <w:spacing w:after="0" w:line="240" w:lineRule="auto"/>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Developed (6)</w:t>
            </w:r>
          </w:p>
        </w:tc>
        <w:tc>
          <w:tcPr>
            <w:tcW w:w="80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2.0%</w:t>
            </w:r>
          </w:p>
        </w:tc>
        <w:tc>
          <w:tcPr>
            <w:tcW w:w="86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b/>
                <w:bCs/>
                <w:color w:val="000000"/>
                <w:sz w:val="20"/>
                <w:szCs w:val="20"/>
                <w:lang w:val="en-GB" w:eastAsia="en-GB"/>
              </w:rPr>
            </w:pPr>
            <w:r w:rsidRPr="004F0C63">
              <w:rPr>
                <w:rFonts w:ascii="Times New Roman" w:eastAsia="Times New Roman" w:hAnsi="Times New Roman" w:cs="Times New Roman"/>
                <w:b/>
                <w:bCs/>
                <w:color w:val="000000"/>
                <w:sz w:val="20"/>
                <w:szCs w:val="20"/>
                <w:lang w:val="en-GB" w:eastAsia="en-GB"/>
              </w:rPr>
              <w:t>2.60</w:t>
            </w:r>
          </w:p>
        </w:tc>
        <w:tc>
          <w:tcPr>
            <w:tcW w:w="82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-0.03</w:t>
            </w:r>
          </w:p>
        </w:tc>
        <w:tc>
          <w:tcPr>
            <w:tcW w:w="820" w:type="dxa"/>
            <w:tcBorders>
              <w:top w:val="nil"/>
              <w:left w:val="nil"/>
              <w:bottom w:val="single" w:sz="4" w:space="0" w:color="auto"/>
              <w:right w:val="nil"/>
            </w:tcBorders>
            <w:shd w:val="clear" w:color="auto" w:fill="auto"/>
            <w:noWrap/>
            <w:vAlign w:val="center"/>
            <w:hideMark/>
          </w:tcPr>
          <w:p w:rsidR="00D502BF" w:rsidRPr="004F0C63" w:rsidRDefault="00D502BF" w:rsidP="00D0485F">
            <w:pPr>
              <w:spacing w:after="0" w:line="240" w:lineRule="auto"/>
              <w:jc w:val="center"/>
              <w:rPr>
                <w:rFonts w:ascii="Times New Roman" w:eastAsia="Times New Roman" w:hAnsi="Times New Roman" w:cs="Times New Roman"/>
                <w:color w:val="000000"/>
                <w:sz w:val="20"/>
                <w:szCs w:val="20"/>
                <w:lang w:val="en-GB" w:eastAsia="en-GB"/>
              </w:rPr>
            </w:pPr>
            <w:r w:rsidRPr="004F0C63">
              <w:rPr>
                <w:rFonts w:ascii="Times New Roman" w:eastAsia="Times New Roman" w:hAnsi="Times New Roman" w:cs="Times New Roman"/>
                <w:color w:val="000000"/>
                <w:sz w:val="20"/>
                <w:szCs w:val="20"/>
                <w:lang w:val="en-GB" w:eastAsia="en-GB"/>
              </w:rPr>
              <w:t>-0.21</w:t>
            </w:r>
          </w:p>
        </w:tc>
      </w:tr>
    </w:tbl>
    <w:p w:rsidR="00D502BF" w:rsidRPr="006C0856" w:rsidRDefault="00D502BF" w:rsidP="00D502BF">
      <w:pPr>
        <w:pStyle w:val="NoSpacing"/>
        <w:jc w:val="both"/>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 xml:space="preserve">estimation results: estimated value of the coefficient (value) and </w:t>
      </w:r>
      <w:r w:rsidRPr="006C0856">
        <w:rPr>
          <w:rFonts w:ascii="Times New Roman" w:hAnsi="Times New Roman" w:cs="Times New Roman"/>
          <w:sz w:val="18"/>
          <w:szCs w:val="18"/>
        </w:rPr>
        <w:t xml:space="preserve">t-values </w:t>
      </w:r>
      <w:r>
        <w:rPr>
          <w:rFonts w:ascii="Times New Roman" w:hAnsi="Times New Roman" w:cs="Times New Roman"/>
          <w:sz w:val="18"/>
          <w:szCs w:val="18"/>
        </w:rPr>
        <w:t xml:space="preserve">(t-stat) </w:t>
      </w:r>
      <w:r w:rsidRPr="006C0856">
        <w:rPr>
          <w:rFonts w:ascii="Times New Roman" w:hAnsi="Times New Roman" w:cs="Times New Roman"/>
          <w:sz w:val="18"/>
          <w:szCs w:val="18"/>
        </w:rPr>
        <w:t>based on Ne</w:t>
      </w:r>
      <w:r>
        <w:rPr>
          <w:rFonts w:ascii="Times New Roman" w:hAnsi="Times New Roman" w:cs="Times New Roman"/>
          <w:sz w:val="18"/>
          <w:szCs w:val="18"/>
        </w:rPr>
        <w:t>wey-West standard errors for α and</w:t>
      </w:r>
      <w:r w:rsidRPr="006C0856">
        <w:rPr>
          <w:rFonts w:ascii="Times New Roman" w:hAnsi="Times New Roman" w:cs="Times New Roman"/>
          <w:sz w:val="18"/>
          <w:szCs w:val="18"/>
        </w:rPr>
        <w:t xml:space="preserv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D502BF" w:rsidRPr="006C0856" w:rsidRDefault="00D502BF" w:rsidP="00D502BF">
      <w:pPr>
        <w:pStyle w:val="NoSpacing"/>
        <w:jc w:val="both"/>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D502BF" w:rsidRPr="00C652D6" w:rsidRDefault="00D502BF" w:rsidP="00D502BF">
      <w:pPr>
        <w:spacing w:after="0" w:line="240" w:lineRule="auto"/>
        <w:jc w:val="both"/>
      </w:pPr>
      <w:r>
        <w:rPr>
          <w:rFonts w:ascii="Times New Roman" w:hAnsi="Times New Roman" w:cs="Times New Roman"/>
          <w:sz w:val="18"/>
          <w:szCs w:val="18"/>
        </w:rPr>
        <w:t xml:space="preserve">where Y are </w:t>
      </w:r>
      <w:r w:rsidRPr="006C0856">
        <w:rPr>
          <w:rFonts w:ascii="Times New Roman" w:hAnsi="Times New Roman" w:cs="Times New Roman"/>
          <w:sz w:val="18"/>
          <w:szCs w:val="18"/>
        </w:rPr>
        <w:t>bond</w:t>
      </w:r>
      <w:r>
        <w:rPr>
          <w:rFonts w:ascii="Times New Roman" w:hAnsi="Times New Roman" w:cs="Times New Roman"/>
          <w:sz w:val="18"/>
          <w:szCs w:val="18"/>
        </w:rPr>
        <w:t xml:space="preserve"> excess</w:t>
      </w:r>
      <w:r w:rsidRPr="006C0856">
        <w:rPr>
          <w:rFonts w:ascii="Times New Roman" w:hAnsi="Times New Roman" w:cs="Times New Roman"/>
          <w:sz w:val="18"/>
          <w:szCs w:val="18"/>
        </w:rPr>
        <w:t xml:space="preserve"> returns </w:t>
      </w:r>
      <w:r>
        <w:rPr>
          <w:rFonts w:ascii="Times New Roman" w:hAnsi="Times New Roman" w:cs="Times New Roman"/>
          <w:sz w:val="18"/>
          <w:szCs w:val="18"/>
        </w:rPr>
        <w:t>of the Long-Short Strategy (Long exposure during July-December and Short exposure for January-June) at the monthly frequency</w:t>
      </w:r>
      <w:r w:rsidRPr="006C0856">
        <w:rPr>
          <w:rFonts w:ascii="Times New Roman" w:hAnsi="Times New Roman" w:cs="Times New Roman"/>
          <w:sz w:val="18"/>
          <w:szCs w:val="18"/>
        </w:rPr>
        <w:t xml:space="preserve">. X </w:t>
      </w:r>
      <w:r>
        <w:rPr>
          <w:rFonts w:ascii="Times New Roman" w:hAnsi="Times New Roman" w:cs="Times New Roman"/>
          <w:sz w:val="18"/>
          <w:szCs w:val="18"/>
        </w:rPr>
        <w:t xml:space="preserve">represents the bond excess returns for the benchmark (buy and hold strategy during the whole year). Developed stands for an equally-weighted portfolio made up of all six countries provided that the data are available. The analysis is based on Datastream data for the sample from Table </w:t>
      </w:r>
      <w:r w:rsidR="0031512E">
        <w:rPr>
          <w:rFonts w:ascii="Times New Roman" w:hAnsi="Times New Roman" w:cs="Times New Roman"/>
          <w:sz w:val="18"/>
          <w:szCs w:val="18"/>
        </w:rPr>
        <w:t>3.</w:t>
      </w:r>
      <w:r>
        <w:rPr>
          <w:rFonts w:ascii="Times New Roman" w:hAnsi="Times New Roman" w:cs="Times New Roman"/>
          <w:sz w:val="18"/>
          <w:szCs w:val="18"/>
        </w:rPr>
        <w:t xml:space="preserve">1 with the exception of Australia where the sample starts in January 1988 in order to have full-year data. The numbers in </w:t>
      </w:r>
      <w:r w:rsidRPr="00D0262F">
        <w:rPr>
          <w:rFonts w:ascii="Times New Roman" w:hAnsi="Times New Roman" w:cs="Times New Roman"/>
          <w:b/>
          <w:sz w:val="18"/>
          <w:szCs w:val="18"/>
        </w:rPr>
        <w:t>Bold</w:t>
      </w:r>
      <w:r>
        <w:rPr>
          <w:rFonts w:ascii="Times New Roman" w:hAnsi="Times New Roman" w:cs="Times New Roman"/>
          <w:sz w:val="18"/>
          <w:szCs w:val="18"/>
        </w:rPr>
        <w:t xml:space="preserve"> show statistical significance at 5% significance level, while those in </w:t>
      </w:r>
      <w:r w:rsidRPr="00BD1393">
        <w:rPr>
          <w:rFonts w:ascii="Times New Roman" w:eastAsia="Times New Roman" w:hAnsi="Times New Roman" w:cs="Times New Roman"/>
          <w:color w:val="4F81BD"/>
          <w:sz w:val="18"/>
          <w:szCs w:val="18"/>
          <w:lang w:val="en-GB" w:eastAsia="en-GB"/>
        </w:rPr>
        <w:t>Blue</w:t>
      </w:r>
      <w:r>
        <w:rPr>
          <w:rFonts w:ascii="Times New Roman" w:hAnsi="Times New Roman" w:cs="Times New Roman"/>
          <w:sz w:val="18"/>
          <w:szCs w:val="18"/>
        </w:rPr>
        <w:t xml:space="preserve"> at 10% </w:t>
      </w:r>
      <w:r w:rsidRPr="004D3DBA">
        <w:rPr>
          <w:rFonts w:ascii="Times New Roman" w:hAnsi="Times New Roman" w:cs="Times New Roman"/>
          <w:sz w:val="18"/>
          <w:szCs w:val="18"/>
        </w:rPr>
        <w:t>significance level.</w:t>
      </w:r>
      <w:r>
        <w:rPr>
          <w:rFonts w:ascii="Times New Roman" w:hAnsi="Times New Roman" w:cs="Times New Roman"/>
          <w:sz w:val="18"/>
          <w:szCs w:val="18"/>
        </w:rPr>
        <w:t xml:space="preserve"> </w:t>
      </w:r>
    </w:p>
    <w:p w:rsidR="00D502BF" w:rsidRDefault="00D502BF" w:rsidP="00D502BF">
      <w:pPr>
        <w:rPr>
          <w:rFonts w:ascii="Times New Roman" w:hAnsi="Times New Roman" w:cs="Times New Roman"/>
          <w:sz w:val="18"/>
          <w:szCs w:val="18"/>
        </w:rPr>
      </w:pPr>
      <w:r w:rsidRPr="00EC4A84">
        <w:rPr>
          <w:rFonts w:ascii="Times New Roman" w:eastAsia="Times New Roman" w:hAnsi="Times New Roman" w:cs="Times New Roman"/>
          <w:color w:val="000000"/>
          <w:sz w:val="18"/>
          <w:szCs w:val="18"/>
          <w:lang w:val="en-GB" w:eastAsia="en-GB"/>
        </w:rPr>
        <w:lastRenderedPageBreak/>
        <w:t>*</w:t>
      </w:r>
      <w:r w:rsidRPr="004D3DBA">
        <w:rPr>
          <w:rFonts w:ascii="Times New Roman" w:eastAsia="Times New Roman" w:hAnsi="Times New Roman" w:cs="Times New Roman"/>
          <w:color w:val="000000"/>
          <w:sz w:val="18"/>
          <w:szCs w:val="18"/>
          <w:lang w:val="en-GB" w:eastAsia="en-GB"/>
        </w:rPr>
        <w:t xml:space="preserve">For an easier interpretation, the values reported for </w:t>
      </w:r>
      <w:r w:rsidRPr="004D3DBA">
        <w:rPr>
          <w:rFonts w:ascii="Times New Roman" w:hAnsi="Times New Roman" w:cs="Times New Roman"/>
          <w:sz w:val="18"/>
          <w:szCs w:val="18"/>
        </w:rPr>
        <w:t>α</w:t>
      </w:r>
      <w:r>
        <w:rPr>
          <w:rFonts w:ascii="Times New Roman" w:hAnsi="Times New Roman" w:cs="Times New Roman"/>
          <w:sz w:val="18"/>
          <w:szCs w:val="18"/>
        </w:rPr>
        <w:t xml:space="preserve"> coefficient are annualised (multiplied by 12).</w:t>
      </w:r>
    </w:p>
    <w:p w:rsidR="00D502BF" w:rsidRPr="00F932A6" w:rsidRDefault="00D502BF" w:rsidP="00D502BF">
      <w:pPr>
        <w:spacing w:after="0" w:line="360" w:lineRule="auto"/>
        <w:jc w:val="both"/>
        <w:rPr>
          <w:rFonts w:ascii="Times New Roman" w:hAnsi="Times New Roman" w:cs="Times New Roman"/>
        </w:rPr>
      </w:pPr>
      <w:r>
        <w:tab/>
      </w:r>
      <w:r w:rsidRPr="00F932A6">
        <w:rPr>
          <w:rFonts w:ascii="Times New Roman" w:hAnsi="Times New Roman" w:cs="Times New Roman"/>
        </w:rPr>
        <w:t xml:space="preserve">With the </w:t>
      </w:r>
      <w:r>
        <w:rPr>
          <w:rFonts w:ascii="Times New Roman" w:hAnsi="Times New Roman" w:cs="Times New Roman"/>
        </w:rPr>
        <w:t xml:space="preserve">exception of Japan, the Long-Short strategy generates significantly higher returns compared to the simple buy and hold strategy as the null hypothesis </w:t>
      </w:r>
      <w:r w:rsidRPr="00F932A6">
        <w:rPr>
          <w:rFonts w:ascii="Times New Roman" w:hAnsi="Times New Roman" w:cs="Times New Roman"/>
        </w:rPr>
        <w:t xml:space="preserve">that </w:t>
      </w:r>
      <w:r w:rsidRPr="004F0C63">
        <w:rPr>
          <w:rFonts w:ascii="Times New Roman" w:eastAsia="Times New Roman" w:hAnsi="Times New Roman" w:cs="Times New Roman"/>
          <w:color w:val="000000"/>
          <w:lang w:val="en-GB" w:eastAsia="en-GB"/>
        </w:rPr>
        <w:t>α</w:t>
      </w:r>
      <w:r w:rsidRPr="00F932A6">
        <w:rPr>
          <w:rFonts w:ascii="Times New Roman" w:eastAsia="Times New Roman" w:hAnsi="Times New Roman" w:cs="Times New Roman"/>
          <w:color w:val="000000"/>
          <w:lang w:val="en-GB" w:eastAsia="en-GB"/>
        </w:rPr>
        <w:t xml:space="preserve"> equals</w:t>
      </w:r>
      <w:r w:rsidRPr="00F932A6">
        <w:rPr>
          <w:rFonts w:ascii="Times New Roman" w:hAnsi="Times New Roman" w:cs="Times New Roman"/>
        </w:rPr>
        <w:t xml:space="preserve"> </w:t>
      </w:r>
      <w:r>
        <w:rPr>
          <w:rFonts w:ascii="Times New Roman" w:hAnsi="Times New Roman" w:cs="Times New Roman"/>
        </w:rPr>
        <w:t xml:space="preserve">0 is ruled out at 10% level. The magnitude </w:t>
      </w:r>
      <w:r w:rsidRPr="00F932A6">
        <w:rPr>
          <w:rFonts w:ascii="Times New Roman" w:hAnsi="Times New Roman" w:cs="Times New Roman"/>
        </w:rPr>
        <w:t xml:space="preserve">of Jensen’s alpha ranges from 1.9% in Australia to 2.5% for United Kingdom in annual terms. In what concerns </w:t>
      </w:r>
      <w:r w:rsidRPr="004F0C63">
        <w:rPr>
          <w:rFonts w:ascii="Times New Roman" w:eastAsia="Times New Roman" w:hAnsi="Times New Roman" w:cs="Times New Roman"/>
          <w:color w:val="000000"/>
          <w:lang w:val="en-GB" w:eastAsia="en-GB"/>
        </w:rPr>
        <w:t>β</w:t>
      </w:r>
      <w:r w:rsidRPr="00F932A6">
        <w:rPr>
          <w:rFonts w:ascii="Times New Roman" w:eastAsia="Times New Roman" w:hAnsi="Times New Roman" w:cs="Times New Roman"/>
          <w:color w:val="000000"/>
          <w:lang w:val="en-GB" w:eastAsia="en-GB"/>
        </w:rPr>
        <w:t>, the estimated coefficient is not statistically significant</w:t>
      </w:r>
      <w:r>
        <w:rPr>
          <w:rFonts w:ascii="Times New Roman" w:eastAsia="Times New Roman" w:hAnsi="Times New Roman" w:cs="Times New Roman"/>
          <w:color w:val="000000"/>
          <w:lang w:val="en-GB" w:eastAsia="en-GB"/>
        </w:rPr>
        <w:t xml:space="preserve">, thus the null hypothesis that </w:t>
      </w:r>
      <w:r w:rsidRPr="004F0C63">
        <w:rPr>
          <w:rFonts w:ascii="Times New Roman" w:eastAsia="Times New Roman" w:hAnsi="Times New Roman" w:cs="Times New Roman"/>
          <w:color w:val="000000"/>
          <w:lang w:val="en-GB" w:eastAsia="en-GB"/>
        </w:rPr>
        <w:t>β</w:t>
      </w:r>
      <w:r>
        <w:rPr>
          <w:rFonts w:ascii="Times New Roman" w:eastAsia="Times New Roman" w:hAnsi="Times New Roman" w:cs="Times New Roman"/>
          <w:color w:val="000000"/>
          <w:lang w:val="en-GB" w:eastAsia="en-GB"/>
        </w:rPr>
        <w:t>=0 cannot be rejected. This means that the strategies are not correlated with the bond market portfolio and that there are diversification benefits. Therefore, a government bond market investor can actively improve the return of his or her portfolio by actively applying the long-short strategy based on the bond seasonal.</w:t>
      </w:r>
    </w:p>
    <w:p w:rsidR="00FF01C4" w:rsidRDefault="00FF01C4" w:rsidP="00FF01C4"/>
    <w:p w:rsidR="008A110F" w:rsidRDefault="008A110F" w:rsidP="00FF01C4"/>
    <w:p w:rsidR="008A110F" w:rsidRPr="00FF01C4" w:rsidRDefault="008A110F" w:rsidP="00FF01C4"/>
    <w:p w:rsidR="00504EE6" w:rsidRDefault="00EE1A2A" w:rsidP="00737EEE">
      <w:pPr>
        <w:pStyle w:val="Heading1"/>
      </w:pPr>
      <w:bookmarkStart w:id="65" w:name="_Toc396762729"/>
      <w:r w:rsidRPr="00737EEE">
        <w:t>6.</w:t>
      </w:r>
      <w:r w:rsidRPr="00737EEE">
        <w:tab/>
        <w:t>Conclusion</w:t>
      </w:r>
      <w:bookmarkEnd w:id="65"/>
    </w:p>
    <w:p w:rsidR="00A95985" w:rsidRDefault="00A95985" w:rsidP="00A95985"/>
    <w:p w:rsidR="005D17E4" w:rsidRDefault="00D0485F" w:rsidP="00626E59">
      <w:pPr>
        <w:spacing w:after="0" w:line="360" w:lineRule="auto"/>
        <w:jc w:val="both"/>
        <w:rPr>
          <w:rFonts w:ascii="Times New Roman" w:hAnsi="Times New Roman" w:cs="Times New Roman"/>
        </w:rPr>
      </w:pPr>
      <w:r>
        <w:tab/>
      </w:r>
      <w:r w:rsidR="00742E3B" w:rsidRPr="00742E3B">
        <w:rPr>
          <w:rFonts w:ascii="Times New Roman" w:hAnsi="Times New Roman" w:cs="Times New Roman"/>
        </w:rPr>
        <w:t xml:space="preserve">The </w:t>
      </w:r>
      <w:r w:rsidR="00742E3B">
        <w:rPr>
          <w:rFonts w:ascii="Times New Roman" w:hAnsi="Times New Roman" w:cs="Times New Roman"/>
        </w:rPr>
        <w:t xml:space="preserve">current study focuses on the discovery </w:t>
      </w:r>
      <w:r w:rsidR="006B2A5E">
        <w:rPr>
          <w:rFonts w:ascii="Times New Roman" w:hAnsi="Times New Roman" w:cs="Times New Roman"/>
        </w:rPr>
        <w:t xml:space="preserve">and explanation </w:t>
      </w:r>
      <w:r w:rsidR="00742E3B">
        <w:rPr>
          <w:rFonts w:ascii="Times New Roman" w:hAnsi="Times New Roman" w:cs="Times New Roman"/>
        </w:rPr>
        <w:t xml:space="preserve">of </w:t>
      </w:r>
      <w:r w:rsidR="00903A9E">
        <w:rPr>
          <w:rFonts w:ascii="Times New Roman" w:hAnsi="Times New Roman" w:cs="Times New Roman"/>
        </w:rPr>
        <w:t xml:space="preserve">the </w:t>
      </w:r>
      <w:r w:rsidR="00742E3B">
        <w:rPr>
          <w:rFonts w:ascii="Times New Roman" w:hAnsi="Times New Roman" w:cs="Times New Roman"/>
        </w:rPr>
        <w:t>annual seasonal pattern</w:t>
      </w:r>
      <w:r w:rsidR="006B2A5E">
        <w:rPr>
          <w:rFonts w:ascii="Times New Roman" w:hAnsi="Times New Roman" w:cs="Times New Roman"/>
        </w:rPr>
        <w:t>s</w:t>
      </w:r>
      <w:r w:rsidR="00742E3B">
        <w:rPr>
          <w:rFonts w:ascii="Times New Roman" w:hAnsi="Times New Roman" w:cs="Times New Roman"/>
        </w:rPr>
        <w:t xml:space="preserve"> in six</w:t>
      </w:r>
      <w:r w:rsidR="006B2A5E">
        <w:rPr>
          <w:rFonts w:ascii="Times New Roman" w:hAnsi="Times New Roman" w:cs="Times New Roman"/>
        </w:rPr>
        <w:t xml:space="preserve"> government bond markets. It rejects the existence of a January effect in line with</w:t>
      </w:r>
      <w:r w:rsidR="00AA7F86">
        <w:rPr>
          <w:rFonts w:ascii="Times New Roman" w:hAnsi="Times New Roman" w:cs="Times New Roman"/>
        </w:rPr>
        <w:t xml:space="preserve"> </w:t>
      </w:r>
      <w:r w:rsidR="00AA7F86" w:rsidRPr="00AA7F86">
        <w:rPr>
          <w:rFonts w:ascii="Times New Roman" w:hAnsi="Times New Roman" w:cs="Times New Roman"/>
        </w:rPr>
        <w:t>Schneeweis and Woolridge</w:t>
      </w:r>
      <w:r w:rsidR="006B2A5E" w:rsidRPr="006B2A5E">
        <w:rPr>
          <w:rFonts w:ascii="Times New Roman" w:hAnsi="Times New Roman" w:cs="Times New Roman"/>
        </w:rPr>
        <w:t xml:space="preserve"> (1979), Smirlock (</w:t>
      </w:r>
      <w:r w:rsidR="006B2A5E">
        <w:rPr>
          <w:rFonts w:ascii="Times New Roman" w:hAnsi="Times New Roman" w:cs="Times New Roman"/>
        </w:rPr>
        <w:t>1985), Chang and Pinegar (1986) and</w:t>
      </w:r>
      <w:r w:rsidR="006B2A5E" w:rsidRPr="006B2A5E">
        <w:rPr>
          <w:rFonts w:ascii="Times New Roman" w:hAnsi="Times New Roman" w:cs="Times New Roman"/>
        </w:rPr>
        <w:t xml:space="preserve"> Chan and Wu (1993)</w:t>
      </w:r>
      <w:r w:rsidR="006B2A5E">
        <w:rPr>
          <w:rFonts w:ascii="Times New Roman" w:hAnsi="Times New Roman" w:cs="Times New Roman"/>
        </w:rPr>
        <w:t xml:space="preserve">. </w:t>
      </w:r>
      <w:r w:rsidR="004D4BF3">
        <w:rPr>
          <w:rFonts w:ascii="Times New Roman" w:hAnsi="Times New Roman" w:cs="Times New Roman"/>
        </w:rPr>
        <w:t xml:space="preserve">An Inverted Halloween effect which is the opposite pattern found by Bouman and Jacobsen (2002) on stock markets, is also weak and inconsistent across countries. The research discovers a new pattern for government bonds – H1 H2 effect which implies higher bond returns in the second half of the year (July-December) compared with those recorded in the first half (January-June). </w:t>
      </w:r>
      <w:r w:rsidR="00903A9E">
        <w:rPr>
          <w:rFonts w:ascii="Times New Roman" w:hAnsi="Times New Roman" w:cs="Times New Roman"/>
        </w:rPr>
        <w:t xml:space="preserve">This complements the </w:t>
      </w:r>
      <w:r w:rsidR="004D4BF3" w:rsidRPr="004D4BF3">
        <w:rPr>
          <w:rFonts w:ascii="Times New Roman" w:hAnsi="Times New Roman" w:cs="Times New Roman"/>
        </w:rPr>
        <w:t>“Dekansho-bushi”</w:t>
      </w:r>
      <w:r w:rsidR="00903A9E">
        <w:rPr>
          <w:rFonts w:ascii="Times New Roman" w:hAnsi="Times New Roman" w:cs="Times New Roman"/>
        </w:rPr>
        <w:t xml:space="preserve"> effect</w:t>
      </w:r>
      <w:r w:rsidR="004D4BF3">
        <w:rPr>
          <w:rFonts w:ascii="Times New Roman" w:hAnsi="Times New Roman" w:cs="Times New Roman"/>
        </w:rPr>
        <w:t xml:space="preserve"> documented</w:t>
      </w:r>
      <w:r w:rsidR="00903A9E">
        <w:rPr>
          <w:rFonts w:ascii="Times New Roman" w:hAnsi="Times New Roman" w:cs="Times New Roman"/>
        </w:rPr>
        <w:t xml:space="preserve"> by </w:t>
      </w:r>
      <w:r w:rsidR="00903A9E" w:rsidRPr="004D4BF3">
        <w:rPr>
          <w:rFonts w:ascii="Times New Roman" w:hAnsi="Times New Roman" w:cs="Times New Roman"/>
        </w:rPr>
        <w:t>Shigeki, Takashi, Katsuhiko (2011)</w:t>
      </w:r>
      <w:r w:rsidR="004D4BF3">
        <w:rPr>
          <w:rFonts w:ascii="Times New Roman" w:hAnsi="Times New Roman" w:cs="Times New Roman"/>
        </w:rPr>
        <w:t xml:space="preserve"> on the Japanese stock market.</w:t>
      </w:r>
    </w:p>
    <w:p w:rsidR="005D17E4" w:rsidRPr="00742E3B" w:rsidRDefault="005D17E4" w:rsidP="005D17E4">
      <w:pPr>
        <w:spacing w:after="0" w:line="360" w:lineRule="auto"/>
        <w:jc w:val="both"/>
        <w:rPr>
          <w:rFonts w:ascii="Times New Roman" w:hAnsi="Times New Roman" w:cs="Times New Roman"/>
        </w:rPr>
      </w:pPr>
      <w:r>
        <w:rPr>
          <w:rFonts w:ascii="Times New Roman" w:hAnsi="Times New Roman" w:cs="Times New Roman"/>
        </w:rPr>
        <w:tab/>
        <w:t>The H1 H2 effect is economically significant and robust to outliers. Moreover, the effect is also persistent over time</w:t>
      </w:r>
      <w:r w:rsidR="00E106B7">
        <w:rPr>
          <w:rFonts w:ascii="Times New Roman" w:hAnsi="Times New Roman" w:cs="Times New Roman"/>
        </w:rPr>
        <w:t xml:space="preserve"> and countries</w:t>
      </w:r>
      <w:r>
        <w:rPr>
          <w:rFonts w:ascii="Times New Roman" w:hAnsi="Times New Roman" w:cs="Times New Roman"/>
        </w:rPr>
        <w:t xml:space="preserve">. As pointed out by </w:t>
      </w:r>
      <w:r w:rsidRPr="005D17E4">
        <w:rPr>
          <w:rFonts w:ascii="Times New Roman" w:hAnsi="Times New Roman" w:cs="Times New Roman"/>
        </w:rPr>
        <w:t xml:space="preserve">Lakonishok and Smidt (1988) and </w:t>
      </w:r>
      <w:r w:rsidR="000F696A" w:rsidRPr="00E319AD">
        <w:rPr>
          <w:rFonts w:ascii="Times New Roman" w:hAnsi="Times New Roman" w:cs="Times New Roman"/>
        </w:rPr>
        <w:t>Sullivan, Timmermann and White (2001)</w:t>
      </w:r>
      <w:r w:rsidRPr="00E319AD">
        <w:rPr>
          <w:rFonts w:ascii="Times New Roman" w:hAnsi="Times New Roman" w:cs="Times New Roman"/>
        </w:rPr>
        <w:t xml:space="preserve">, </w:t>
      </w:r>
      <w:r w:rsidR="00E106B7" w:rsidRPr="00E319AD">
        <w:rPr>
          <w:rFonts w:ascii="Times New Roman" w:hAnsi="Times New Roman" w:cs="Times New Roman"/>
        </w:rPr>
        <w:t>it</w:t>
      </w:r>
      <w:r w:rsidR="00E106B7">
        <w:rPr>
          <w:rFonts w:ascii="Times New Roman" w:hAnsi="Times New Roman" w:cs="Times New Roman"/>
        </w:rPr>
        <w:t xml:space="preserve"> is important to analyse if the seasonal patterns are rela</w:t>
      </w:r>
      <w:r w:rsidR="00E319AD">
        <w:rPr>
          <w:rFonts w:ascii="Times New Roman" w:hAnsi="Times New Roman" w:cs="Times New Roman"/>
        </w:rPr>
        <w:t xml:space="preserve">ted to data-mining problems by </w:t>
      </w:r>
      <w:r w:rsidR="00E106B7">
        <w:rPr>
          <w:rFonts w:ascii="Times New Roman" w:hAnsi="Times New Roman" w:cs="Times New Roman"/>
        </w:rPr>
        <w:t>considering</w:t>
      </w:r>
      <w:r>
        <w:rPr>
          <w:rFonts w:ascii="Times New Roman" w:hAnsi="Times New Roman" w:cs="Times New Roman"/>
        </w:rPr>
        <w:t xml:space="preserve"> new and long data samples. Accordingly, the analysis verifies the validity of the H1 H2 effect on a longer sample period (1952-2013)</w:t>
      </w:r>
      <w:r w:rsidR="001D096A">
        <w:rPr>
          <w:rFonts w:ascii="Times New Roman" w:hAnsi="Times New Roman" w:cs="Times New Roman"/>
        </w:rPr>
        <w:t xml:space="preserve"> and across six low-correlated</w:t>
      </w:r>
      <w:r>
        <w:rPr>
          <w:rFonts w:ascii="Times New Roman" w:hAnsi="Times New Roman" w:cs="Times New Roman"/>
        </w:rPr>
        <w:t xml:space="preserve"> bond markets. </w:t>
      </w:r>
    </w:p>
    <w:p w:rsidR="00D0485F" w:rsidRPr="004D4BF3" w:rsidRDefault="004D4BF3" w:rsidP="00626E59">
      <w:pPr>
        <w:spacing w:after="0" w:line="360" w:lineRule="auto"/>
        <w:jc w:val="both"/>
        <w:rPr>
          <w:rFonts w:ascii="Times New Roman" w:hAnsi="Times New Roman" w:cs="Times New Roman"/>
        </w:rPr>
      </w:pPr>
      <w:r>
        <w:tab/>
      </w:r>
      <w:r w:rsidR="00394175">
        <w:rPr>
          <w:rFonts w:ascii="Times New Roman" w:hAnsi="Times New Roman" w:cs="Times New Roman"/>
        </w:rPr>
        <w:t xml:space="preserve">This paper provides </w:t>
      </w:r>
      <w:r w:rsidR="00394175" w:rsidRPr="00394175">
        <w:rPr>
          <w:rFonts w:ascii="Times New Roman" w:hAnsi="Times New Roman" w:cs="Times New Roman"/>
        </w:rPr>
        <w:t>evidence</w:t>
      </w:r>
      <w:r w:rsidR="00394175">
        <w:rPr>
          <w:rFonts w:ascii="Times New Roman" w:hAnsi="Times New Roman" w:cs="Times New Roman"/>
        </w:rPr>
        <w:t xml:space="preserve"> for the existence of seasonality in </w:t>
      </w:r>
      <w:r w:rsidR="00E106B7">
        <w:rPr>
          <w:rFonts w:ascii="Times New Roman" w:hAnsi="Times New Roman" w:cs="Times New Roman"/>
        </w:rPr>
        <w:t xml:space="preserve">the </w:t>
      </w:r>
      <w:r w:rsidR="00394175">
        <w:rPr>
          <w:rFonts w:ascii="Times New Roman" w:hAnsi="Times New Roman" w:cs="Times New Roman"/>
        </w:rPr>
        <w:t>i</w:t>
      </w:r>
      <w:r w:rsidRPr="00394175">
        <w:rPr>
          <w:rFonts w:ascii="Times New Roman" w:hAnsi="Times New Roman" w:cs="Times New Roman"/>
        </w:rPr>
        <w:t>nflation</w:t>
      </w:r>
      <w:r>
        <w:rPr>
          <w:rFonts w:ascii="Times New Roman" w:hAnsi="Times New Roman" w:cs="Times New Roman"/>
        </w:rPr>
        <w:t xml:space="preserve"> rate</w:t>
      </w:r>
      <w:r w:rsidR="00394175">
        <w:rPr>
          <w:rFonts w:ascii="Times New Roman" w:hAnsi="Times New Roman" w:cs="Times New Roman"/>
        </w:rPr>
        <w:t>: inflation</w:t>
      </w:r>
      <w:r>
        <w:rPr>
          <w:rFonts w:ascii="Times New Roman" w:hAnsi="Times New Roman" w:cs="Times New Roman"/>
        </w:rPr>
        <w:t xml:space="preserve"> displays higher rates during January-June compared to July-December. The seasonality of</w:t>
      </w:r>
      <w:r w:rsidR="00E106B7">
        <w:rPr>
          <w:rFonts w:ascii="Times New Roman" w:hAnsi="Times New Roman" w:cs="Times New Roman"/>
        </w:rPr>
        <w:t xml:space="preserve"> the</w:t>
      </w:r>
      <w:r>
        <w:rPr>
          <w:rFonts w:ascii="Times New Roman" w:hAnsi="Times New Roman" w:cs="Times New Roman"/>
        </w:rPr>
        <w:t xml:space="preserve"> inflation </w:t>
      </w:r>
      <w:r w:rsidR="00E319AD">
        <w:rPr>
          <w:rFonts w:ascii="Times New Roman" w:hAnsi="Times New Roman" w:cs="Times New Roman"/>
        </w:rPr>
        <w:t>rate is</w:t>
      </w:r>
      <w:r>
        <w:rPr>
          <w:rFonts w:ascii="Times New Roman" w:hAnsi="Times New Roman" w:cs="Times New Roman"/>
        </w:rPr>
        <w:t xml:space="preserve"> driven by its </w:t>
      </w:r>
      <w:r w:rsidR="00C24ED1">
        <w:rPr>
          <w:rFonts w:ascii="Times New Roman" w:hAnsi="Times New Roman" w:cs="Times New Roman"/>
        </w:rPr>
        <w:t xml:space="preserve">volatile </w:t>
      </w:r>
      <w:r>
        <w:rPr>
          <w:rFonts w:ascii="Times New Roman" w:hAnsi="Times New Roman" w:cs="Times New Roman"/>
        </w:rPr>
        <w:t xml:space="preserve">components (food prices, apparel prices, energy prices etc) </w:t>
      </w:r>
      <w:r w:rsidR="00E106B7">
        <w:rPr>
          <w:rFonts w:ascii="Times New Roman" w:hAnsi="Times New Roman" w:cs="Times New Roman"/>
        </w:rPr>
        <w:t xml:space="preserve">and </w:t>
      </w:r>
      <w:r>
        <w:rPr>
          <w:rFonts w:ascii="Times New Roman" w:hAnsi="Times New Roman" w:cs="Times New Roman"/>
        </w:rPr>
        <w:t xml:space="preserve">explains the discovered pattern in government bond returns. The intuition behind this is that market players are </w:t>
      </w:r>
      <w:r>
        <w:rPr>
          <w:rFonts w:ascii="Times New Roman" w:hAnsi="Times New Roman" w:cs="Times New Roman"/>
        </w:rPr>
        <w:lastRenderedPageBreak/>
        <w:t xml:space="preserve">perhaps more focused on seasonally adjusted figures which </w:t>
      </w:r>
      <w:r w:rsidR="004A1BC4">
        <w:rPr>
          <w:rFonts w:ascii="Times New Roman" w:hAnsi="Times New Roman" w:cs="Times New Roman"/>
        </w:rPr>
        <w:t xml:space="preserve">capture the underlying trend of consumer price dynamics from which the seasonal pattern has been removed. </w:t>
      </w:r>
    </w:p>
    <w:p w:rsidR="00D0485F" w:rsidRPr="00626E59" w:rsidRDefault="00626E59" w:rsidP="00626E59">
      <w:pPr>
        <w:spacing w:after="0" w:line="360" w:lineRule="auto"/>
        <w:jc w:val="both"/>
        <w:rPr>
          <w:rFonts w:ascii="Times New Roman" w:hAnsi="Times New Roman" w:cs="Times New Roman"/>
        </w:rPr>
      </w:pPr>
      <w:r>
        <w:tab/>
      </w:r>
      <w:r w:rsidRPr="00626E59">
        <w:rPr>
          <w:rFonts w:ascii="Times New Roman" w:hAnsi="Times New Roman" w:cs="Times New Roman"/>
        </w:rPr>
        <w:t xml:space="preserve">It </w:t>
      </w:r>
      <w:r>
        <w:t>is i</w:t>
      </w:r>
      <w:r w:rsidRPr="00626E59">
        <w:rPr>
          <w:rFonts w:ascii="Times New Roman" w:hAnsi="Times New Roman" w:cs="Times New Roman"/>
        </w:rPr>
        <w:t>mportant to consider the data on a quarterly basis to avoid noise on a monthly basis and the misalignment between actual data releases and the moment when the market reacts on inflation data. US inflation data also capture the seasonal pattern better than national inflation data, particularly for smaller markets like Australia.</w:t>
      </w:r>
      <w:r w:rsidR="005D42E1">
        <w:rPr>
          <w:rFonts w:ascii="Times New Roman" w:hAnsi="Times New Roman" w:cs="Times New Roman"/>
        </w:rPr>
        <w:t xml:space="preserve"> This could be explained by the fact that </w:t>
      </w:r>
      <w:r w:rsidR="005D42E1" w:rsidRPr="005D42E1">
        <w:rPr>
          <w:rFonts w:ascii="Times New Roman" w:hAnsi="Times New Roman" w:cs="Times New Roman"/>
        </w:rPr>
        <w:t>U</w:t>
      </w:r>
      <w:r w:rsidR="00F4395D">
        <w:rPr>
          <w:rFonts w:ascii="Times New Roman" w:hAnsi="Times New Roman" w:cs="Times New Roman"/>
        </w:rPr>
        <w:t>.</w:t>
      </w:r>
      <w:r w:rsidR="005D42E1" w:rsidRPr="005D42E1">
        <w:rPr>
          <w:rFonts w:ascii="Times New Roman" w:hAnsi="Times New Roman" w:cs="Times New Roman"/>
        </w:rPr>
        <w:t>S</w:t>
      </w:r>
      <w:r w:rsidR="00F4395D">
        <w:rPr>
          <w:rFonts w:ascii="Times New Roman" w:hAnsi="Times New Roman" w:cs="Times New Roman"/>
        </w:rPr>
        <w:t>.</w:t>
      </w:r>
      <w:r w:rsidR="005D42E1" w:rsidRPr="005D42E1">
        <w:rPr>
          <w:rFonts w:ascii="Times New Roman" w:hAnsi="Times New Roman" w:cs="Times New Roman"/>
        </w:rPr>
        <w:t xml:space="preserve"> economic data releases have a direct and influential effect</w:t>
      </w:r>
      <w:r w:rsidR="005D42E1">
        <w:rPr>
          <w:rFonts w:ascii="Times New Roman" w:hAnsi="Times New Roman" w:cs="Times New Roman"/>
        </w:rPr>
        <w:t xml:space="preserve"> on other bond </w:t>
      </w:r>
      <w:r w:rsidR="00E319AD">
        <w:rPr>
          <w:rFonts w:ascii="Times New Roman" w:hAnsi="Times New Roman" w:cs="Times New Roman"/>
        </w:rPr>
        <w:t>markets given</w:t>
      </w:r>
      <w:r w:rsidR="006B660B">
        <w:rPr>
          <w:rFonts w:ascii="Times New Roman" w:hAnsi="Times New Roman" w:cs="Times New Roman"/>
        </w:rPr>
        <w:t xml:space="preserve"> the dominance of the US economy.</w:t>
      </w:r>
      <w:r w:rsidR="00E106B7">
        <w:rPr>
          <w:rFonts w:ascii="Times New Roman" w:hAnsi="Times New Roman" w:cs="Times New Roman"/>
        </w:rPr>
        <w:t xml:space="preserve"> Goldberg and Leonard (2003), </w:t>
      </w:r>
      <w:r w:rsidR="00E106B7" w:rsidRPr="00F4395D">
        <w:rPr>
          <w:rFonts w:ascii="Times New Roman" w:hAnsi="Times New Roman" w:cs="Times New Roman"/>
        </w:rPr>
        <w:t>Ehrmann and Fratzscher (2005), Andersson, Overby and Sebestyen (2009) and Andersen, Bollerslev, Diebold and Vega (2007)</w:t>
      </w:r>
      <w:r w:rsidR="00E106B7">
        <w:rPr>
          <w:rFonts w:ascii="Times New Roman" w:hAnsi="Times New Roman" w:cs="Times New Roman"/>
        </w:rPr>
        <w:t xml:space="preserve"> show that this is the case for Euro area bonds.</w:t>
      </w:r>
    </w:p>
    <w:p w:rsidR="00D0485F" w:rsidRPr="00626E59" w:rsidRDefault="00626E59" w:rsidP="00626E59">
      <w:pPr>
        <w:spacing w:after="0" w:line="360" w:lineRule="auto"/>
        <w:jc w:val="both"/>
        <w:rPr>
          <w:rFonts w:ascii="Times New Roman" w:hAnsi="Times New Roman" w:cs="Times New Roman"/>
        </w:rPr>
      </w:pPr>
      <w:r>
        <w:tab/>
      </w:r>
      <w:r w:rsidRPr="00626E59">
        <w:rPr>
          <w:rFonts w:ascii="Times New Roman" w:hAnsi="Times New Roman" w:cs="Times New Roman"/>
        </w:rPr>
        <w:t xml:space="preserve">The hypothesis is reinforced by the </w:t>
      </w:r>
      <w:r>
        <w:rPr>
          <w:rFonts w:ascii="Times New Roman" w:hAnsi="Times New Roman" w:cs="Times New Roman"/>
        </w:rPr>
        <w:t>fact that inflation-linked bonds do not exhibit seasonal variation as non-seasonally adjusted inflation is directly incorporated in inflation-linked bond prices.</w:t>
      </w:r>
    </w:p>
    <w:p w:rsidR="00D0485F" w:rsidRDefault="00626E59" w:rsidP="00626E59">
      <w:pPr>
        <w:spacing w:after="0" w:line="360" w:lineRule="auto"/>
        <w:jc w:val="both"/>
        <w:rPr>
          <w:rFonts w:ascii="Times New Roman" w:hAnsi="Times New Roman" w:cs="Times New Roman"/>
        </w:rPr>
      </w:pPr>
      <w:r>
        <w:tab/>
      </w:r>
      <w:r w:rsidRPr="00626E59">
        <w:rPr>
          <w:rFonts w:ascii="Times New Roman" w:hAnsi="Times New Roman" w:cs="Times New Roman"/>
        </w:rPr>
        <w:t xml:space="preserve"> </w:t>
      </w:r>
      <w:r w:rsidR="00E106B7">
        <w:rPr>
          <w:rFonts w:ascii="Times New Roman" w:hAnsi="Times New Roman" w:cs="Times New Roman"/>
        </w:rPr>
        <w:t>T</w:t>
      </w:r>
      <w:r w:rsidRPr="00626E59">
        <w:rPr>
          <w:rFonts w:ascii="Times New Roman" w:hAnsi="Times New Roman" w:cs="Times New Roman"/>
        </w:rPr>
        <w:t>hree explanations from the equ</w:t>
      </w:r>
      <w:r>
        <w:rPr>
          <w:rFonts w:ascii="Times New Roman" w:hAnsi="Times New Roman" w:cs="Times New Roman"/>
        </w:rPr>
        <w:t xml:space="preserve">ity literature </w:t>
      </w:r>
      <w:r w:rsidR="00E106B7">
        <w:rPr>
          <w:rFonts w:ascii="Times New Roman" w:hAnsi="Times New Roman" w:cs="Times New Roman"/>
        </w:rPr>
        <w:t>have</w:t>
      </w:r>
      <w:r>
        <w:rPr>
          <w:rFonts w:ascii="Times New Roman" w:hAnsi="Times New Roman" w:cs="Times New Roman"/>
        </w:rPr>
        <w:t xml:space="preserve"> also </w:t>
      </w:r>
      <w:r w:rsidR="00E106B7">
        <w:rPr>
          <w:rFonts w:ascii="Times New Roman" w:hAnsi="Times New Roman" w:cs="Times New Roman"/>
        </w:rPr>
        <w:t xml:space="preserve">been </w:t>
      </w:r>
      <w:r>
        <w:rPr>
          <w:rFonts w:ascii="Times New Roman" w:hAnsi="Times New Roman" w:cs="Times New Roman"/>
        </w:rPr>
        <w:t>tested</w:t>
      </w:r>
      <w:r w:rsidR="00E106B7">
        <w:rPr>
          <w:rFonts w:ascii="Times New Roman" w:hAnsi="Times New Roman" w:cs="Times New Roman"/>
        </w:rPr>
        <w:t xml:space="preserve"> to explain the bond seasonal</w:t>
      </w:r>
      <w:r>
        <w:rPr>
          <w:rFonts w:ascii="Times New Roman" w:hAnsi="Times New Roman" w:cs="Times New Roman"/>
        </w:rPr>
        <w:t>: the hypothesis of an annual cycle of economic activity of Ogden (2003), the optimism cycle explanation of Doeswi</w:t>
      </w:r>
      <w:r w:rsidR="008D46A9">
        <w:rPr>
          <w:rFonts w:ascii="Times New Roman" w:hAnsi="Times New Roman" w:cs="Times New Roman"/>
        </w:rPr>
        <w:t>j</w:t>
      </w:r>
      <w:r w:rsidR="00955683">
        <w:rPr>
          <w:rFonts w:ascii="Times New Roman" w:hAnsi="Times New Roman" w:cs="Times New Roman"/>
        </w:rPr>
        <w:t>k (2008</w:t>
      </w:r>
      <w:r>
        <w:rPr>
          <w:rFonts w:ascii="Times New Roman" w:hAnsi="Times New Roman" w:cs="Times New Roman"/>
        </w:rPr>
        <w:t>) and another one inspired from Gerlach (2007) on the link between the seasonality in bond returns with macroeconomic data surprises.</w:t>
      </w:r>
      <w:r w:rsidR="00711125">
        <w:rPr>
          <w:rFonts w:ascii="Times New Roman" w:hAnsi="Times New Roman" w:cs="Times New Roman"/>
        </w:rPr>
        <w:t xml:space="preserve"> The optimism cycle hypothesis (based on two proxies: consumer survey data and VIX) can partially explain the seasonal pattern for </w:t>
      </w:r>
      <w:r w:rsidR="008D46A9">
        <w:rPr>
          <w:rFonts w:ascii="Times New Roman" w:hAnsi="Times New Roman" w:cs="Times New Roman"/>
        </w:rPr>
        <w:t>some countries, while the other two are not valid in the tested form. However, a clear conclusion cannot be drawn as I have not exhausted the indicators that can be used to test the hypotheses.</w:t>
      </w:r>
    </w:p>
    <w:p w:rsidR="008D46A9" w:rsidRDefault="008D46A9" w:rsidP="00626E59">
      <w:pPr>
        <w:spacing w:after="0" w:line="360" w:lineRule="auto"/>
        <w:jc w:val="both"/>
        <w:rPr>
          <w:rFonts w:ascii="Times New Roman" w:hAnsi="Times New Roman" w:cs="Times New Roman"/>
        </w:rPr>
      </w:pPr>
      <w:r>
        <w:rPr>
          <w:rFonts w:ascii="Times New Roman" w:hAnsi="Times New Roman" w:cs="Times New Roman"/>
        </w:rPr>
        <w:tab/>
        <w:t>The analysis showed that the SAD factor introduced by KKL(2003) and “</w:t>
      </w:r>
      <w:r w:rsidRPr="008D46A9">
        <w:rPr>
          <w:rFonts w:ascii="Times New Roman" w:hAnsi="Times New Roman" w:cs="Times New Roman"/>
        </w:rPr>
        <w:t>Dekansho-bushi</w:t>
      </w:r>
      <w:r>
        <w:rPr>
          <w:rFonts w:ascii="Times New Roman" w:hAnsi="Times New Roman" w:cs="Times New Roman"/>
        </w:rPr>
        <w:t xml:space="preserve">” effect of </w:t>
      </w:r>
      <w:r w:rsidRPr="004D4BF3">
        <w:rPr>
          <w:rFonts w:ascii="Times New Roman" w:hAnsi="Times New Roman" w:cs="Times New Roman"/>
        </w:rPr>
        <w:t>Shigeki, Takashi, Katsuhiko (2011)</w:t>
      </w:r>
      <w:r>
        <w:rPr>
          <w:rFonts w:ascii="Times New Roman" w:hAnsi="Times New Roman" w:cs="Times New Roman"/>
        </w:rPr>
        <w:t xml:space="preserve"> are limited to the markets where they were discovered. </w:t>
      </w:r>
      <w:r w:rsidR="00E106B7">
        <w:rPr>
          <w:rFonts w:ascii="Times New Roman" w:hAnsi="Times New Roman" w:cs="Times New Roman"/>
        </w:rPr>
        <w:t xml:space="preserve">The </w:t>
      </w:r>
      <w:r>
        <w:rPr>
          <w:rFonts w:ascii="Times New Roman" w:hAnsi="Times New Roman" w:cs="Times New Roman"/>
        </w:rPr>
        <w:t xml:space="preserve">SAD variable has explanatory power for </w:t>
      </w:r>
      <w:r w:rsidR="007F6765">
        <w:rPr>
          <w:rFonts w:ascii="Times New Roman" w:hAnsi="Times New Roman" w:cs="Times New Roman"/>
        </w:rPr>
        <w:t>bond</w:t>
      </w:r>
      <w:r>
        <w:rPr>
          <w:rFonts w:ascii="Times New Roman" w:hAnsi="Times New Roman" w:cs="Times New Roman"/>
        </w:rPr>
        <w:t xml:space="preserve"> seasonality at </w:t>
      </w:r>
      <w:r w:rsidR="00E106B7">
        <w:rPr>
          <w:rFonts w:ascii="Times New Roman" w:hAnsi="Times New Roman" w:cs="Times New Roman"/>
        </w:rPr>
        <w:t xml:space="preserve">a </w:t>
      </w:r>
      <w:r>
        <w:rPr>
          <w:rFonts w:ascii="Times New Roman" w:hAnsi="Times New Roman" w:cs="Times New Roman"/>
        </w:rPr>
        <w:t xml:space="preserve">monthly frequency in the United States and Canada, while at </w:t>
      </w:r>
      <w:r w:rsidR="00E106B7">
        <w:rPr>
          <w:rFonts w:ascii="Times New Roman" w:hAnsi="Times New Roman" w:cs="Times New Roman"/>
        </w:rPr>
        <w:t xml:space="preserve">a </w:t>
      </w:r>
      <w:r>
        <w:rPr>
          <w:rFonts w:ascii="Times New Roman" w:hAnsi="Times New Roman" w:cs="Times New Roman"/>
        </w:rPr>
        <w:t>quarterly frequency this factor is subsumed by the inflation rate.  The existence of the H1 H2 effect on the Japanese stock market is confirmed by the results of the conducted analysis</w:t>
      </w:r>
      <w:r w:rsidR="00E106B7">
        <w:rPr>
          <w:rFonts w:ascii="Times New Roman" w:hAnsi="Times New Roman" w:cs="Times New Roman"/>
        </w:rPr>
        <w:t>, but the effect is not consistent for other stock markets</w:t>
      </w:r>
      <w:r w:rsidR="00E319AD">
        <w:rPr>
          <w:rFonts w:ascii="Times New Roman" w:hAnsi="Times New Roman" w:cs="Times New Roman"/>
        </w:rPr>
        <w:t>.</w:t>
      </w:r>
    </w:p>
    <w:p w:rsidR="00CE5FC1" w:rsidRDefault="00CE5FC1" w:rsidP="00CE5FC1">
      <w:pPr>
        <w:spacing w:after="0" w:line="360" w:lineRule="auto"/>
        <w:jc w:val="both"/>
        <w:rPr>
          <w:rFonts w:ascii="Times New Roman" w:hAnsi="Times New Roman" w:cs="Times New Roman"/>
        </w:rPr>
      </w:pPr>
      <w:r>
        <w:rPr>
          <w:rFonts w:ascii="Times New Roman" w:hAnsi="Times New Roman" w:cs="Times New Roman"/>
        </w:rPr>
        <w:tab/>
      </w:r>
      <w:r w:rsidRPr="00CE5FC1">
        <w:rPr>
          <w:rFonts w:ascii="Times New Roman" w:hAnsi="Times New Roman" w:cs="Times New Roman"/>
        </w:rPr>
        <w:t xml:space="preserve">When </w:t>
      </w:r>
      <w:r>
        <w:rPr>
          <w:rFonts w:ascii="Times New Roman" w:hAnsi="Times New Roman" w:cs="Times New Roman"/>
        </w:rPr>
        <w:t xml:space="preserve">investigating the seasonality in inflation-linked bonds, the limited sample in case of some countries (93 observations for Germany) constitutes </w:t>
      </w:r>
      <w:r w:rsidRPr="00CE5FC1">
        <w:rPr>
          <w:rFonts w:ascii="Times New Roman" w:hAnsi="Times New Roman" w:cs="Times New Roman"/>
        </w:rPr>
        <w:t>one</w:t>
      </w:r>
      <w:r>
        <w:rPr>
          <w:rFonts w:ascii="Times New Roman" w:hAnsi="Times New Roman" w:cs="Times New Roman"/>
        </w:rPr>
        <w:t xml:space="preserve"> </w:t>
      </w:r>
      <w:r w:rsidRPr="00CE5FC1">
        <w:rPr>
          <w:rFonts w:ascii="Times New Roman" w:hAnsi="Times New Roman" w:cs="Times New Roman"/>
        </w:rPr>
        <w:t>drawback of the analysis</w:t>
      </w:r>
      <w:r>
        <w:rPr>
          <w:rFonts w:ascii="Times New Roman" w:hAnsi="Times New Roman" w:cs="Times New Roman"/>
        </w:rPr>
        <w:t>. Also, the time-series of SAD variable is</w:t>
      </w:r>
      <w:r w:rsidR="00903A9E">
        <w:rPr>
          <w:rFonts w:ascii="Times New Roman" w:hAnsi="Times New Roman" w:cs="Times New Roman"/>
        </w:rPr>
        <w:t xml:space="preserve"> not available to investigate</w:t>
      </w:r>
      <w:r>
        <w:rPr>
          <w:rFonts w:ascii="Times New Roman" w:hAnsi="Times New Roman" w:cs="Times New Roman"/>
        </w:rPr>
        <w:t xml:space="preserve"> the role of SAD for the seasonal variation in government bond returns over time. </w:t>
      </w:r>
    </w:p>
    <w:p w:rsidR="005D42E1" w:rsidRDefault="005D42E1" w:rsidP="00CE5FC1">
      <w:pPr>
        <w:spacing w:after="0" w:line="360" w:lineRule="auto"/>
        <w:jc w:val="both"/>
        <w:rPr>
          <w:rFonts w:ascii="Times New Roman" w:hAnsi="Times New Roman" w:cs="Times New Roman"/>
        </w:rPr>
      </w:pPr>
      <w:r>
        <w:rPr>
          <w:rFonts w:ascii="Times New Roman" w:hAnsi="Times New Roman" w:cs="Times New Roman"/>
        </w:rPr>
        <w:tab/>
        <w:t xml:space="preserve">The empirical research shows the role of </w:t>
      </w:r>
      <w:r w:rsidR="00E106B7">
        <w:rPr>
          <w:rFonts w:ascii="Times New Roman" w:hAnsi="Times New Roman" w:cs="Times New Roman"/>
        </w:rPr>
        <w:t xml:space="preserve">the </w:t>
      </w:r>
      <w:r w:rsidR="002F44A1">
        <w:rPr>
          <w:rFonts w:ascii="Times New Roman" w:hAnsi="Times New Roman" w:cs="Times New Roman"/>
        </w:rPr>
        <w:t>U</w:t>
      </w:r>
      <w:r w:rsidR="00E106B7">
        <w:rPr>
          <w:rFonts w:ascii="Times New Roman" w:hAnsi="Times New Roman" w:cs="Times New Roman"/>
        </w:rPr>
        <w:t>.</w:t>
      </w:r>
      <w:r w:rsidR="002F44A1">
        <w:rPr>
          <w:rFonts w:ascii="Times New Roman" w:hAnsi="Times New Roman" w:cs="Times New Roman"/>
        </w:rPr>
        <w:t>S</w:t>
      </w:r>
      <w:r w:rsidR="00E106B7">
        <w:rPr>
          <w:rFonts w:ascii="Times New Roman" w:hAnsi="Times New Roman" w:cs="Times New Roman"/>
        </w:rPr>
        <w:t>.</w:t>
      </w:r>
      <w:r w:rsidR="002F44A1">
        <w:rPr>
          <w:rFonts w:ascii="Times New Roman" w:hAnsi="Times New Roman" w:cs="Times New Roman"/>
        </w:rPr>
        <w:t xml:space="preserve"> </w:t>
      </w:r>
      <w:r>
        <w:rPr>
          <w:rFonts w:ascii="Times New Roman" w:hAnsi="Times New Roman" w:cs="Times New Roman"/>
        </w:rPr>
        <w:t>inflation rate for the seasonal variation of bond returns</w:t>
      </w:r>
      <w:r w:rsidR="00903A9E">
        <w:rPr>
          <w:rFonts w:ascii="Times New Roman" w:hAnsi="Times New Roman" w:cs="Times New Roman"/>
        </w:rPr>
        <w:t>. T</w:t>
      </w:r>
      <w:r w:rsidR="004E3396">
        <w:rPr>
          <w:rFonts w:ascii="Times New Roman" w:hAnsi="Times New Roman" w:cs="Times New Roman"/>
        </w:rPr>
        <w:t xml:space="preserve">here are </w:t>
      </w:r>
      <w:r>
        <w:rPr>
          <w:rFonts w:ascii="Times New Roman" w:hAnsi="Times New Roman" w:cs="Times New Roman"/>
        </w:rPr>
        <w:t>several aspects which could receive mo</w:t>
      </w:r>
      <w:r w:rsidR="004E3396">
        <w:rPr>
          <w:rFonts w:ascii="Times New Roman" w:hAnsi="Times New Roman" w:cs="Times New Roman"/>
        </w:rPr>
        <w:t>re attention in further studies: a d</w:t>
      </w:r>
      <w:r w:rsidR="004E3396" w:rsidRPr="004E3396">
        <w:rPr>
          <w:rFonts w:ascii="Times New Roman" w:hAnsi="Times New Roman" w:cs="Times New Roman"/>
        </w:rPr>
        <w:t>eeper</w:t>
      </w:r>
      <w:r w:rsidR="004E3396">
        <w:rPr>
          <w:rFonts w:ascii="Times New Roman" w:hAnsi="Times New Roman" w:cs="Times New Roman"/>
        </w:rPr>
        <w:t xml:space="preserve"> understanding of the inflation dynamics</w:t>
      </w:r>
      <w:r w:rsidR="004E3396" w:rsidRPr="004E3396">
        <w:rPr>
          <w:rFonts w:ascii="Times New Roman" w:hAnsi="Times New Roman" w:cs="Times New Roman"/>
        </w:rPr>
        <w:t xml:space="preserve"> </w:t>
      </w:r>
      <w:r w:rsidR="004E3396">
        <w:rPr>
          <w:rFonts w:ascii="Times New Roman" w:hAnsi="Times New Roman" w:cs="Times New Roman"/>
        </w:rPr>
        <w:t>(</w:t>
      </w:r>
      <w:r w:rsidR="004E3396" w:rsidRPr="004E3396">
        <w:rPr>
          <w:rFonts w:ascii="Times New Roman" w:hAnsi="Times New Roman" w:cs="Times New Roman"/>
        </w:rPr>
        <w:t>differences between countries, noise, when does it affect</w:t>
      </w:r>
      <w:r w:rsidR="004E3396">
        <w:rPr>
          <w:rFonts w:ascii="Times New Roman" w:hAnsi="Times New Roman" w:cs="Times New Roman"/>
        </w:rPr>
        <w:t xml:space="preserve"> the bond</w:t>
      </w:r>
      <w:r w:rsidR="004E3396" w:rsidRPr="004E3396">
        <w:rPr>
          <w:rFonts w:ascii="Times New Roman" w:hAnsi="Times New Roman" w:cs="Times New Roman"/>
        </w:rPr>
        <w:t xml:space="preserve"> markets and which components cause a seasonal pattern</w:t>
      </w:r>
      <w:r w:rsidR="004E3396">
        <w:rPr>
          <w:rFonts w:ascii="Times New Roman" w:hAnsi="Times New Roman" w:cs="Times New Roman"/>
        </w:rPr>
        <w:t xml:space="preserve">), the investigation of the relevance of surprises in inflation data (the difference between the actual release and market consensus) and the </w:t>
      </w:r>
      <w:r w:rsidR="004E3396">
        <w:rPr>
          <w:rFonts w:ascii="Times New Roman" w:hAnsi="Times New Roman" w:cs="Times New Roman"/>
        </w:rPr>
        <w:lastRenderedPageBreak/>
        <w:t xml:space="preserve">robustness of results for emerging markets, including large countries from the Southern Hemisphere like Indonesia, South Africa and Brasil. </w:t>
      </w:r>
      <w:r>
        <w:rPr>
          <w:rFonts w:ascii="Times New Roman" w:hAnsi="Times New Roman" w:cs="Times New Roman"/>
        </w:rPr>
        <w:t xml:space="preserve"> </w:t>
      </w:r>
    </w:p>
    <w:p w:rsidR="00903A9E" w:rsidRDefault="00CE5FC1" w:rsidP="00CE5FC1">
      <w:pPr>
        <w:spacing w:after="0" w:line="360" w:lineRule="auto"/>
        <w:jc w:val="both"/>
        <w:rPr>
          <w:rFonts w:ascii="Times New Roman" w:hAnsi="Times New Roman" w:cs="Times New Roman"/>
        </w:rPr>
      </w:pPr>
      <w:r>
        <w:rPr>
          <w:rFonts w:ascii="Times New Roman" w:hAnsi="Times New Roman" w:cs="Times New Roman"/>
        </w:rPr>
        <w:tab/>
      </w:r>
      <w:r w:rsidR="005D42E1">
        <w:rPr>
          <w:rFonts w:ascii="Times New Roman" w:hAnsi="Times New Roman" w:cs="Times New Roman"/>
        </w:rPr>
        <w:t>This study finds two different patterns for government bonds and stock returns: H1 H2 and the Halloween Indicator respectively. It puts forward t</w:t>
      </w:r>
      <w:r w:rsidR="00903A9E">
        <w:rPr>
          <w:rFonts w:ascii="Times New Roman" w:hAnsi="Times New Roman" w:cs="Times New Roman"/>
        </w:rPr>
        <w:t>w</w:t>
      </w:r>
      <w:r w:rsidR="005D42E1">
        <w:rPr>
          <w:rFonts w:ascii="Times New Roman" w:hAnsi="Times New Roman" w:cs="Times New Roman"/>
        </w:rPr>
        <w:t>o hypotheses</w:t>
      </w:r>
      <w:r w:rsidR="00903A9E">
        <w:rPr>
          <w:rFonts w:ascii="Times New Roman" w:hAnsi="Times New Roman" w:cs="Times New Roman"/>
        </w:rPr>
        <w:t xml:space="preserve"> for the two-month lag between the patterns</w:t>
      </w:r>
      <w:r w:rsidR="005D42E1">
        <w:rPr>
          <w:rFonts w:ascii="Times New Roman" w:hAnsi="Times New Roman" w:cs="Times New Roman"/>
        </w:rPr>
        <w:t xml:space="preserve"> without formally testing them: different drivers of the patterns or the delayed reaction of the bond market. It </w:t>
      </w:r>
      <w:r w:rsidR="00E106B7">
        <w:rPr>
          <w:rFonts w:ascii="Times New Roman" w:hAnsi="Times New Roman" w:cs="Times New Roman"/>
        </w:rPr>
        <w:t>would</w:t>
      </w:r>
      <w:r w:rsidR="005D42E1">
        <w:rPr>
          <w:rFonts w:ascii="Times New Roman" w:hAnsi="Times New Roman" w:cs="Times New Roman"/>
        </w:rPr>
        <w:t xml:space="preserve"> thus </w:t>
      </w:r>
      <w:r w:rsidR="00E106B7">
        <w:rPr>
          <w:rFonts w:ascii="Times New Roman" w:hAnsi="Times New Roman" w:cs="Times New Roman"/>
        </w:rPr>
        <w:t xml:space="preserve">be </w:t>
      </w:r>
      <w:r w:rsidR="005D42E1">
        <w:rPr>
          <w:rFonts w:ascii="Times New Roman" w:hAnsi="Times New Roman" w:cs="Times New Roman"/>
        </w:rPr>
        <w:t xml:space="preserve">interesting to </w:t>
      </w:r>
      <w:r w:rsidR="00E106B7">
        <w:rPr>
          <w:rFonts w:ascii="Times New Roman" w:hAnsi="Times New Roman" w:cs="Times New Roman"/>
        </w:rPr>
        <w:t xml:space="preserve">further </w:t>
      </w:r>
      <w:r w:rsidR="005D42E1">
        <w:rPr>
          <w:rFonts w:ascii="Times New Roman" w:hAnsi="Times New Roman" w:cs="Times New Roman"/>
        </w:rPr>
        <w:t xml:space="preserve">investigate why the patterns are different. </w:t>
      </w:r>
    </w:p>
    <w:p w:rsidR="00CE5FC1" w:rsidRPr="00626E59" w:rsidRDefault="005D42E1" w:rsidP="00903A9E">
      <w:pPr>
        <w:spacing w:after="0" w:line="360" w:lineRule="auto"/>
        <w:ind w:firstLine="720"/>
        <w:jc w:val="both"/>
        <w:rPr>
          <w:rFonts w:ascii="Times New Roman" w:hAnsi="Times New Roman" w:cs="Times New Roman"/>
        </w:rPr>
      </w:pPr>
      <w:r>
        <w:rPr>
          <w:rFonts w:ascii="Times New Roman" w:hAnsi="Times New Roman" w:cs="Times New Roman"/>
        </w:rPr>
        <w:t>The analysis has also shown that the optimism cycle hypothesis of Doeswijk (200</w:t>
      </w:r>
      <w:r w:rsidR="00955683">
        <w:rPr>
          <w:rFonts w:ascii="Times New Roman" w:hAnsi="Times New Roman" w:cs="Times New Roman"/>
        </w:rPr>
        <w:t>8</w:t>
      </w:r>
      <w:r>
        <w:rPr>
          <w:rFonts w:ascii="Times New Roman" w:hAnsi="Times New Roman" w:cs="Times New Roman"/>
        </w:rPr>
        <w:t xml:space="preserve">) partly explain the bond seasonal in some countries. The investigation of the potential added value of using this explanation in addition to the inflation </w:t>
      </w:r>
      <w:r w:rsidR="00E106B7">
        <w:rPr>
          <w:rFonts w:ascii="Times New Roman" w:hAnsi="Times New Roman" w:cs="Times New Roman"/>
        </w:rPr>
        <w:t>rate</w:t>
      </w:r>
      <w:r>
        <w:rPr>
          <w:rFonts w:ascii="Times New Roman" w:hAnsi="Times New Roman" w:cs="Times New Roman"/>
        </w:rPr>
        <w:t xml:space="preserve"> could be considered as a further step. </w:t>
      </w:r>
    </w:p>
    <w:p w:rsidR="00D0485F" w:rsidRDefault="008D46A9" w:rsidP="00626E59">
      <w:pPr>
        <w:spacing w:after="0" w:line="360" w:lineRule="auto"/>
        <w:jc w:val="both"/>
      </w:pPr>
      <w:r>
        <w:tab/>
      </w:r>
    </w:p>
    <w:p w:rsidR="00D0485F" w:rsidRDefault="00D0485F" w:rsidP="00A95985"/>
    <w:p w:rsidR="00BC7F37" w:rsidRDefault="00BC7F37" w:rsidP="00A95985"/>
    <w:p w:rsidR="00BC7F37" w:rsidRDefault="00BC7F37" w:rsidP="00A95985"/>
    <w:p w:rsidR="008A110F" w:rsidRDefault="008A110F" w:rsidP="00A95985"/>
    <w:p w:rsidR="008A110F" w:rsidRDefault="008A110F"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A7F86" w:rsidRDefault="00AA7F86" w:rsidP="00A95985"/>
    <w:p w:rsidR="00A95985" w:rsidRDefault="00A95985" w:rsidP="00A95985">
      <w:pPr>
        <w:pStyle w:val="Heading1"/>
      </w:pPr>
      <w:bookmarkStart w:id="66" w:name="_Toc396762730"/>
      <w:r>
        <w:lastRenderedPageBreak/>
        <w:t>References</w:t>
      </w:r>
      <w:bookmarkEnd w:id="66"/>
    </w:p>
    <w:p w:rsidR="00A95985" w:rsidRDefault="00A95985" w:rsidP="00A95985"/>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Aggarwal, R., &amp; Rivoli, P. (1989). Seasonal and Day</w:t>
      </w:r>
      <w:r w:rsidRPr="00DB60A9">
        <w:rPr>
          <w:rFonts w:ascii="Cambria Math" w:hAnsi="Cambria Math" w:cs="Times New Roman"/>
          <w:noProof/>
        </w:rPr>
        <w:t>‐</w:t>
      </w:r>
      <w:r w:rsidRPr="00DB60A9">
        <w:rPr>
          <w:rFonts w:ascii="Times New Roman" w:hAnsi="Times New Roman" w:cs="Times New Roman"/>
          <w:noProof/>
        </w:rPr>
        <w:t>of</w:t>
      </w:r>
      <w:r w:rsidRPr="00DB60A9">
        <w:rPr>
          <w:rFonts w:ascii="Cambria Math" w:hAnsi="Cambria Math" w:cs="Times New Roman"/>
          <w:noProof/>
        </w:rPr>
        <w:t>‐</w:t>
      </w:r>
      <w:r w:rsidRPr="00DB60A9">
        <w:rPr>
          <w:rFonts w:ascii="Times New Roman" w:hAnsi="Times New Roman" w:cs="Times New Roman"/>
          <w:noProof/>
        </w:rPr>
        <w:t>the</w:t>
      </w:r>
      <w:r w:rsidRPr="00DB60A9">
        <w:rPr>
          <w:rFonts w:ascii="Cambria Math" w:hAnsi="Cambria Math" w:cs="Times New Roman"/>
          <w:noProof/>
        </w:rPr>
        <w:t>‐</w:t>
      </w:r>
      <w:r w:rsidRPr="00DB60A9">
        <w:rPr>
          <w:rFonts w:ascii="Times New Roman" w:hAnsi="Times New Roman" w:cs="Times New Roman"/>
          <w:noProof/>
        </w:rPr>
        <w:t>Week Effects in Four Emerging Stock Markets. Financial review, 24(4), 541-550.</w:t>
      </w:r>
    </w:p>
    <w:p w:rsidR="00205C54" w:rsidRDefault="00205C54" w:rsidP="00205C54">
      <w:pPr>
        <w:spacing w:after="120"/>
        <w:jc w:val="both"/>
        <w:rPr>
          <w:rFonts w:ascii="Times New Roman" w:hAnsi="Times New Roman" w:cs="Times New Roman"/>
          <w:noProof/>
        </w:rPr>
      </w:pPr>
      <w:r w:rsidRPr="00B67350">
        <w:rPr>
          <w:rFonts w:ascii="Times New Roman" w:hAnsi="Times New Roman" w:cs="Times New Roman"/>
          <w:noProof/>
        </w:rPr>
        <w:t>Andersen, T. G., Bollerslev, T., Diebold, F. X., &amp; Vega, C. (2007). Real-time price discovery in global stock, bond and foreign exchange markets. Journal of International Economics, 73(2), 251-277.</w:t>
      </w:r>
    </w:p>
    <w:p w:rsidR="00205C54" w:rsidRDefault="00205C54" w:rsidP="00205C54">
      <w:pPr>
        <w:spacing w:after="120"/>
        <w:jc w:val="both"/>
        <w:rPr>
          <w:rFonts w:ascii="Times New Roman" w:hAnsi="Times New Roman" w:cs="Times New Roman"/>
          <w:noProof/>
        </w:rPr>
      </w:pPr>
      <w:r w:rsidRPr="00B67350">
        <w:rPr>
          <w:rFonts w:ascii="Times New Roman" w:hAnsi="Times New Roman" w:cs="Times New Roman"/>
          <w:noProof/>
        </w:rPr>
        <w:t>Andersson, M., Overby, L. J., &amp; Sebestyén, S. (2009). Which news moves the euro area bond market?. German economic review, 10(1), 1-31.</w:t>
      </w:r>
    </w:p>
    <w:p w:rsidR="00205C54" w:rsidRPr="00DB60A9" w:rsidRDefault="00205C54" w:rsidP="00205C54">
      <w:pPr>
        <w:spacing w:after="120"/>
        <w:jc w:val="both"/>
        <w:rPr>
          <w:rFonts w:ascii="Times New Roman" w:hAnsi="Times New Roman" w:cs="Times New Roman"/>
          <w:noProof/>
        </w:rPr>
      </w:pPr>
      <w:r w:rsidRPr="00DE6AAA">
        <w:rPr>
          <w:rFonts w:ascii="Times New Roman" w:hAnsi="Times New Roman" w:cs="Times New Roman"/>
          <w:noProof/>
        </w:rPr>
        <w:t>Andersson, M., Krylova, E., &amp; Vähämaa, S. (2008). Why does the correlation between stock and bond returns vary over time?. Applied Financial Economics, 18(2), 139-151.</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Andrade, S. C., Chhaochharia, V., &amp; Fuerst, M. E. (2013). “Sell in May and Go Away” Just Won’t Go Away. Financial Analysts Journal, 69(4), 94-105.</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Ang, A. (2012). Real assets</w:t>
      </w:r>
    </w:p>
    <w:p w:rsidR="00205C54" w:rsidRDefault="00205C54" w:rsidP="00205C54">
      <w:pPr>
        <w:jc w:val="both"/>
        <w:rPr>
          <w:rFonts w:ascii="Times New Roman" w:hAnsi="Times New Roman" w:cs="Times New Roman"/>
          <w:color w:val="222222"/>
          <w:shd w:val="clear" w:color="auto" w:fill="FFFFFF"/>
        </w:rPr>
      </w:pPr>
      <w:r w:rsidRPr="00EF3F16">
        <w:rPr>
          <w:rFonts w:ascii="Times New Roman" w:hAnsi="Times New Roman" w:cs="Times New Roman"/>
          <w:color w:val="222222"/>
          <w:shd w:val="clear" w:color="auto" w:fill="FFFFFF"/>
        </w:rPr>
        <w:t>Ang, A., &amp; Piazzesi, M. (2003). A no-arbitrage vector autoregression of term structure dynamics with macroeconomic and latent variables.</w:t>
      </w:r>
      <w:r w:rsidRPr="00EF3F16">
        <w:rPr>
          <w:rFonts w:ascii="Times New Roman" w:hAnsi="Times New Roman" w:cs="Times New Roman"/>
        </w:rPr>
        <w:t> </w:t>
      </w:r>
      <w:r w:rsidRPr="00EF3F16">
        <w:rPr>
          <w:rFonts w:ascii="Times New Roman" w:hAnsi="Times New Roman" w:cs="Times New Roman"/>
          <w:color w:val="222222"/>
          <w:shd w:val="clear" w:color="auto" w:fill="FFFFFF"/>
        </w:rPr>
        <w:t>Journal of Monetary economics,</w:t>
      </w:r>
      <w:r w:rsidRPr="00EF3F16">
        <w:rPr>
          <w:rFonts w:ascii="Times New Roman" w:hAnsi="Times New Roman" w:cs="Times New Roman"/>
        </w:rPr>
        <w:t> </w:t>
      </w:r>
      <w:r w:rsidRPr="00EF3F16">
        <w:rPr>
          <w:rFonts w:ascii="Times New Roman" w:hAnsi="Times New Roman" w:cs="Times New Roman"/>
          <w:color w:val="222222"/>
          <w:shd w:val="clear" w:color="auto" w:fill="FFFFFF"/>
        </w:rPr>
        <w:t>50(4), 745-787.</w:t>
      </w:r>
    </w:p>
    <w:p w:rsidR="00205C54" w:rsidRDefault="00205C54" w:rsidP="00205C54">
      <w:pPr>
        <w:jc w:val="both"/>
        <w:rPr>
          <w:rFonts w:ascii="Times New Roman" w:hAnsi="Times New Roman" w:cs="Times New Roman"/>
          <w:color w:val="222222"/>
          <w:shd w:val="clear" w:color="auto" w:fill="FFFFFF"/>
        </w:rPr>
      </w:pPr>
      <w:r w:rsidRPr="00F94199">
        <w:rPr>
          <w:rFonts w:ascii="Times New Roman" w:hAnsi="Times New Roman" w:cs="Times New Roman"/>
          <w:color w:val="222222"/>
          <w:shd w:val="clear" w:color="auto" w:fill="FFFFFF"/>
        </w:rPr>
        <w:t>Antonakakis, N., Chatziantoniou, I., &amp; Filis, G. (2013). Dynamic co-movements of stock market returns, implied volatility and policy uncertainty. Economics Letters, 120(1), 87-92.</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Athanassakos, G. (2008). Seasonal Patterns in Canadian Financial Markets and the Impact of Professional Portfolio Rebalancing: Evidence of Profitable Opportunities. Journal of Financial and Economic Practice, 9(1), 73-96.</w:t>
      </w:r>
    </w:p>
    <w:p w:rsidR="00205C54" w:rsidRDefault="00205C54" w:rsidP="00205C54">
      <w:pPr>
        <w:spacing w:after="120"/>
        <w:jc w:val="both"/>
        <w:rPr>
          <w:rFonts w:ascii="Times New Roman" w:hAnsi="Times New Roman" w:cs="Times New Roman"/>
          <w:noProof/>
        </w:rPr>
      </w:pPr>
      <w:r w:rsidRPr="0017217D">
        <w:rPr>
          <w:rFonts w:ascii="Times New Roman" w:hAnsi="Times New Roman" w:cs="Times New Roman"/>
          <w:noProof/>
        </w:rPr>
        <w:t>Baker</w:t>
      </w:r>
      <w:r>
        <w:rPr>
          <w:rFonts w:ascii="Times New Roman" w:hAnsi="Times New Roman" w:cs="Times New Roman"/>
          <w:noProof/>
        </w:rPr>
        <w:t xml:space="preserve"> M. &amp; </w:t>
      </w:r>
      <w:r w:rsidRPr="0017217D">
        <w:rPr>
          <w:rFonts w:ascii="Times New Roman" w:hAnsi="Times New Roman" w:cs="Times New Roman"/>
          <w:noProof/>
        </w:rPr>
        <w:t>Wurgler</w:t>
      </w:r>
      <w:r>
        <w:rPr>
          <w:rFonts w:ascii="Times New Roman" w:hAnsi="Times New Roman" w:cs="Times New Roman"/>
          <w:noProof/>
        </w:rPr>
        <w:t xml:space="preserve"> J.</w:t>
      </w:r>
      <w:r w:rsidRPr="0017217D">
        <w:rPr>
          <w:rFonts w:ascii="Times New Roman" w:hAnsi="Times New Roman" w:cs="Times New Roman"/>
          <w:noProof/>
        </w:rPr>
        <w:t xml:space="preserve">, </w:t>
      </w:r>
      <w:r>
        <w:rPr>
          <w:rFonts w:ascii="Times New Roman" w:hAnsi="Times New Roman" w:cs="Times New Roman"/>
          <w:noProof/>
        </w:rPr>
        <w:t>(</w:t>
      </w:r>
      <w:r w:rsidRPr="0017217D">
        <w:rPr>
          <w:rFonts w:ascii="Times New Roman" w:hAnsi="Times New Roman" w:cs="Times New Roman"/>
          <w:noProof/>
        </w:rPr>
        <w:t>2007</w:t>
      </w:r>
      <w:r>
        <w:rPr>
          <w:rFonts w:ascii="Times New Roman" w:hAnsi="Times New Roman" w:cs="Times New Roman"/>
          <w:noProof/>
        </w:rPr>
        <w:t>)</w:t>
      </w:r>
      <w:r w:rsidRPr="0017217D">
        <w:rPr>
          <w:rFonts w:ascii="Times New Roman" w:hAnsi="Times New Roman" w:cs="Times New Roman"/>
          <w:noProof/>
        </w:rPr>
        <w:t>. "Investor Sentiment in the Stock Market," Journal of Economic Perspectives, American Economic Association, vol. 21(2), pages 129-152, Spring</w:t>
      </w:r>
    </w:p>
    <w:p w:rsidR="00205C54" w:rsidRDefault="00205C54" w:rsidP="00205C54">
      <w:pPr>
        <w:rPr>
          <w:rFonts w:ascii="Times New Roman" w:hAnsi="Times New Roman" w:cs="Times New Roman"/>
        </w:rPr>
      </w:pPr>
      <w:r w:rsidRPr="00456518">
        <w:rPr>
          <w:rFonts w:ascii="Times New Roman" w:hAnsi="Times New Roman" w:cs="Times New Roman"/>
        </w:rPr>
        <w:t>Balduzzi, P., Elton, E. J., &amp; Green, T. C. (2001). Economic news and bond prices: Evidence from the US Treasury market. Journal of Financial and Quantitative Analysis, 36(04), 523-543.</w:t>
      </w:r>
    </w:p>
    <w:p w:rsidR="00205C54" w:rsidRDefault="00205C54" w:rsidP="00205C54">
      <w:pPr>
        <w:spacing w:after="120"/>
        <w:jc w:val="both"/>
        <w:rPr>
          <w:rFonts w:ascii="Times New Roman" w:hAnsi="Times New Roman" w:cs="Times New Roman"/>
          <w:noProof/>
        </w:rPr>
      </w:pPr>
      <w:r w:rsidRPr="00A10D9C">
        <w:rPr>
          <w:rFonts w:ascii="Times New Roman" w:hAnsi="Times New Roman" w:cs="Times New Roman"/>
          <w:noProof/>
        </w:rPr>
        <w:t>Baur, D. G., &amp; Lucey, B. M. (2010). Is gold a hedge or a safe haven? An analysis of stocks, bonds and gold. Financial Review, 45(2), 217-229.</w:t>
      </w:r>
    </w:p>
    <w:p w:rsidR="00205C54" w:rsidRPr="00DB60A9" w:rsidRDefault="00205C54" w:rsidP="00205C54">
      <w:pPr>
        <w:spacing w:after="120"/>
        <w:jc w:val="both"/>
        <w:rPr>
          <w:rFonts w:ascii="Times New Roman" w:hAnsi="Times New Roman" w:cs="Times New Roman"/>
          <w:noProof/>
        </w:rPr>
      </w:pPr>
      <w:r w:rsidRPr="002E377B">
        <w:rPr>
          <w:rFonts w:ascii="Times New Roman" w:hAnsi="Times New Roman" w:cs="Times New Roman"/>
          <w:noProof/>
        </w:rPr>
        <w:t>Bellio, R., &amp; Ventura, L. (2005, October). An Introduction to Robust Estimation with R Functions. In Proceedings of the 1</w:t>
      </w:r>
      <w:r w:rsidRPr="002E377B">
        <w:rPr>
          <w:rFonts w:ascii="Times New Roman" w:hAnsi="Times New Roman" w:cs="Times New Roman"/>
          <w:noProof/>
          <w:vertAlign w:val="superscript"/>
        </w:rPr>
        <w:t>st</w:t>
      </w:r>
      <w:r w:rsidRPr="002E377B">
        <w:rPr>
          <w:rFonts w:ascii="Times New Roman" w:hAnsi="Times New Roman" w:cs="Times New Roman"/>
          <w:noProof/>
        </w:rPr>
        <w:t xml:space="preserve"> International Workshop on Robust Statistics and R. Treviso: Department of Statistics, Ca’Foscari University (Venezia).</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Berges, A., McConnell, J., &amp; Schlarbaum, G. G. (1984). The Turn</w:t>
      </w:r>
      <w:r w:rsidRPr="00DB60A9">
        <w:rPr>
          <w:rFonts w:ascii="Cambria Math" w:hAnsi="Cambria Math" w:cs="Times New Roman"/>
          <w:noProof/>
        </w:rPr>
        <w:t>‐</w:t>
      </w:r>
      <w:r w:rsidRPr="00DB60A9">
        <w:rPr>
          <w:rFonts w:ascii="Times New Roman" w:hAnsi="Times New Roman" w:cs="Times New Roman"/>
          <w:noProof/>
        </w:rPr>
        <w:t>of</w:t>
      </w:r>
      <w:r w:rsidRPr="00DB60A9">
        <w:rPr>
          <w:rFonts w:ascii="Cambria Math" w:hAnsi="Cambria Math" w:cs="Times New Roman"/>
          <w:noProof/>
        </w:rPr>
        <w:t>‐</w:t>
      </w:r>
      <w:r w:rsidRPr="00DB60A9">
        <w:rPr>
          <w:rFonts w:ascii="Times New Roman" w:hAnsi="Times New Roman" w:cs="Times New Roman"/>
          <w:noProof/>
        </w:rPr>
        <w:t>the</w:t>
      </w:r>
      <w:r w:rsidRPr="00DB60A9">
        <w:rPr>
          <w:rFonts w:ascii="Cambria Math" w:hAnsi="Cambria Math" w:cs="Times New Roman"/>
          <w:noProof/>
        </w:rPr>
        <w:t>‐</w:t>
      </w:r>
      <w:r w:rsidRPr="00DB60A9">
        <w:rPr>
          <w:rFonts w:ascii="Times New Roman" w:hAnsi="Times New Roman" w:cs="Times New Roman"/>
          <w:noProof/>
        </w:rPr>
        <w:t>Year in Canada. The Journal of Finance, 39(1), 185-192.</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Bouman, S., &amp; Jacobsen, B. (2002). The Halloween indicator," Sell in May and go away": Another puzzle. American Economic Review, 1618-1635.</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Brandt, M. W., &amp; Wang, K. Q. (2003). Time-varying risk aversion and unexpected inflation. Journal of Monetary Economics, 50(7), 1457-1498.</w:t>
      </w:r>
    </w:p>
    <w:p w:rsidR="00205C54" w:rsidRPr="00DB60A9" w:rsidRDefault="00205C54" w:rsidP="00205C54">
      <w:pPr>
        <w:spacing w:after="120"/>
        <w:jc w:val="both"/>
        <w:rPr>
          <w:rFonts w:ascii="Times New Roman" w:hAnsi="Times New Roman" w:cs="Times New Roman"/>
          <w:noProof/>
        </w:rPr>
      </w:pPr>
      <w:r>
        <w:rPr>
          <w:rFonts w:ascii="Times New Roman" w:hAnsi="Times New Roman" w:cs="Times New Roman"/>
          <w:noProof/>
        </w:rPr>
        <w:t>Brooks, C., 2002</w:t>
      </w:r>
      <w:r w:rsidRPr="00310B86">
        <w:rPr>
          <w:rFonts w:ascii="Times New Roman" w:hAnsi="Times New Roman" w:cs="Times New Roman"/>
          <w:noProof/>
        </w:rPr>
        <w:t xml:space="preserve">. </w:t>
      </w:r>
      <w:r>
        <w:rPr>
          <w:rFonts w:ascii="Times New Roman" w:hAnsi="Times New Roman" w:cs="Times New Roman"/>
          <w:noProof/>
        </w:rPr>
        <w:t>Introductory Econometrics for Finance</w:t>
      </w:r>
      <w:r w:rsidRPr="00310B86">
        <w:rPr>
          <w:rFonts w:ascii="Times New Roman" w:hAnsi="Times New Roman" w:cs="Times New Roman"/>
          <w:noProof/>
        </w:rPr>
        <w:t xml:space="preserve">. </w:t>
      </w:r>
      <w:r>
        <w:rPr>
          <w:rFonts w:ascii="Times New Roman" w:hAnsi="Times New Roman" w:cs="Times New Roman"/>
          <w:noProof/>
        </w:rPr>
        <w:t>Cambridge University Press</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lastRenderedPageBreak/>
        <w:t>Brondolo, A., &amp; Giani, G. (2005). Seasonality in Price Indices. Fixed Income Strategies Lehman Brothers.</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Bryan, M. F., &amp; Cecchetti, S. G. (1995). The seasonality of consumer prices (No. w5173). National bureau of economic research.</w:t>
      </w:r>
    </w:p>
    <w:p w:rsidR="00205C54" w:rsidRDefault="00205C54" w:rsidP="00205C54">
      <w:pPr>
        <w:spacing w:after="120"/>
        <w:jc w:val="both"/>
        <w:rPr>
          <w:rFonts w:ascii="Times New Roman" w:hAnsi="Times New Roman" w:cs="Times New Roman"/>
          <w:noProof/>
        </w:rPr>
      </w:pPr>
      <w:r w:rsidRPr="00157A8E">
        <w:rPr>
          <w:rFonts w:ascii="Times New Roman" w:hAnsi="Times New Roman" w:cs="Times New Roman"/>
          <w:noProof/>
        </w:rPr>
        <w:t>Campbell, J. Y. (1991). Measuring the persistence of expected returns (No. w3305). National Bureau of Economic Research.</w:t>
      </w:r>
    </w:p>
    <w:p w:rsidR="00205C54" w:rsidRPr="00DB60A9" w:rsidRDefault="00205C54" w:rsidP="00205C54">
      <w:pPr>
        <w:spacing w:after="120"/>
        <w:jc w:val="both"/>
        <w:rPr>
          <w:rFonts w:ascii="Times New Roman" w:hAnsi="Times New Roman" w:cs="Times New Roman"/>
          <w:noProof/>
        </w:rPr>
      </w:pPr>
      <w:r w:rsidRPr="000F2A7B">
        <w:rPr>
          <w:rFonts w:ascii="Times New Roman" w:hAnsi="Times New Roman" w:cs="Times New Roman"/>
          <w:noProof/>
        </w:rPr>
        <w:t>Campbell, J</w:t>
      </w:r>
      <w:r>
        <w:rPr>
          <w:rFonts w:ascii="Times New Roman" w:hAnsi="Times New Roman" w:cs="Times New Roman"/>
          <w:noProof/>
        </w:rPr>
        <w:t>.</w:t>
      </w:r>
      <w:r w:rsidRPr="000F2A7B">
        <w:rPr>
          <w:rFonts w:ascii="Times New Roman" w:hAnsi="Times New Roman" w:cs="Times New Roman"/>
          <w:noProof/>
        </w:rPr>
        <w:t>Y</w:t>
      </w:r>
      <w:r>
        <w:rPr>
          <w:rFonts w:ascii="Times New Roman" w:hAnsi="Times New Roman" w:cs="Times New Roman"/>
          <w:noProof/>
        </w:rPr>
        <w:t>.,</w:t>
      </w:r>
      <w:r w:rsidRPr="000F2A7B">
        <w:rPr>
          <w:rFonts w:ascii="Times New Roman" w:hAnsi="Times New Roman" w:cs="Times New Roman"/>
          <w:noProof/>
        </w:rPr>
        <w:t xml:space="preserve"> Shiller</w:t>
      </w:r>
      <w:r>
        <w:rPr>
          <w:rFonts w:ascii="Times New Roman" w:hAnsi="Times New Roman" w:cs="Times New Roman"/>
          <w:noProof/>
        </w:rPr>
        <w:t xml:space="preserve"> R.J., </w:t>
      </w:r>
      <w:r w:rsidRPr="00DB60A9">
        <w:rPr>
          <w:rFonts w:ascii="Times New Roman" w:hAnsi="Times New Roman" w:cs="Times New Roman"/>
          <w:noProof/>
        </w:rPr>
        <w:t>&amp;</w:t>
      </w:r>
      <w:r w:rsidRPr="000F2A7B">
        <w:rPr>
          <w:rFonts w:ascii="Times New Roman" w:hAnsi="Times New Roman" w:cs="Times New Roman"/>
          <w:noProof/>
        </w:rPr>
        <w:t xml:space="preserve"> LM Viceira</w:t>
      </w:r>
      <w:r>
        <w:rPr>
          <w:rFonts w:ascii="Times New Roman" w:hAnsi="Times New Roman" w:cs="Times New Roman"/>
          <w:noProof/>
        </w:rPr>
        <w:t>, L.M. (</w:t>
      </w:r>
      <w:r w:rsidRPr="000F2A7B">
        <w:rPr>
          <w:rFonts w:ascii="Times New Roman" w:hAnsi="Times New Roman" w:cs="Times New Roman"/>
          <w:noProof/>
        </w:rPr>
        <w:t>2009</w:t>
      </w:r>
      <w:r>
        <w:rPr>
          <w:rFonts w:ascii="Times New Roman" w:hAnsi="Times New Roman" w:cs="Times New Roman"/>
          <w:noProof/>
        </w:rPr>
        <w:t>)</w:t>
      </w:r>
      <w:r w:rsidRPr="000F2A7B">
        <w:rPr>
          <w:rFonts w:ascii="Times New Roman" w:hAnsi="Times New Roman" w:cs="Times New Roman"/>
          <w:noProof/>
        </w:rPr>
        <w:t>. Understanding Inflation-Indexed</w:t>
      </w:r>
      <w:r>
        <w:rPr>
          <w:rFonts w:ascii="Times New Roman" w:hAnsi="Times New Roman" w:cs="Times New Roman"/>
          <w:noProof/>
        </w:rPr>
        <w:t xml:space="preserve"> </w:t>
      </w:r>
      <w:r w:rsidRPr="000F2A7B">
        <w:rPr>
          <w:rFonts w:ascii="Times New Roman" w:hAnsi="Times New Roman" w:cs="Times New Roman"/>
          <w:noProof/>
        </w:rPr>
        <w:t>Bond Markets. In Brookings Paper on Econom</w:t>
      </w:r>
      <w:r>
        <w:rPr>
          <w:rFonts w:ascii="Times New Roman" w:hAnsi="Times New Roman" w:cs="Times New Roman"/>
          <w:noProof/>
        </w:rPr>
        <w:t xml:space="preserve">ic Activity, April 2009, edited </w:t>
      </w:r>
      <w:r w:rsidRPr="000F2A7B">
        <w:rPr>
          <w:rFonts w:ascii="Times New Roman" w:hAnsi="Times New Roman" w:cs="Times New Roman"/>
          <w:noProof/>
        </w:rPr>
        <w:t>by D Romer and J Wolfers</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Cao, M., &amp; Wei, J. (2005). Stock market returns: A note on temperature anomaly. Journal of Banking &amp; Finance, 29(6), 1559-1573.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Chan, K. C., &amp; Wu, H. K. (1993). Bond market seasonality and business cycles. International Review of Economics &amp; Finance, 2(4), 377-386.</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Chang, E. C., &amp; Pinegar, J. M. (1986). Return seasonality and tax-loss selling in the market for long-term government and corporate bonds. Journal of Financial Economics, 17(2), 391-415.</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Chu, Q., Pittman, D., &amp; Yu, L. (2011). When Do TIPS Prices Adjust to Inflation Information?. Financial Analysts Journal, 67(2), 59-73.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Ciccone, S. J. (2011). Investor optimism, false hopes and the January effect. Journal of Behavioral Finance, 12(3), 158-168.</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Clayton, R., Delozier, J., &amp; Ehrhardt, M. C. (1989). A note on January returns in the US government bond market: The term effect. Journal of Financial Services Research, 2(4), 307-318.</w:t>
      </w:r>
    </w:p>
    <w:p w:rsidR="006C42DA" w:rsidRDefault="00FB50F7" w:rsidP="00205C54">
      <w:pPr>
        <w:spacing w:after="120"/>
        <w:jc w:val="both"/>
        <w:rPr>
          <w:rFonts w:ascii="Times New Roman" w:hAnsi="Times New Roman" w:cs="Times New Roman"/>
          <w:noProof/>
        </w:rPr>
      </w:pPr>
      <w:r>
        <w:rPr>
          <w:rFonts w:ascii="Times New Roman" w:hAnsi="Times New Roman" w:cs="Times New Roman"/>
          <w:noProof/>
        </w:rPr>
        <w:t xml:space="preserve">Cook, T., </w:t>
      </w:r>
      <w:r w:rsidRPr="00DE6AAA">
        <w:rPr>
          <w:rFonts w:ascii="Times New Roman" w:hAnsi="Times New Roman" w:cs="Times New Roman"/>
          <w:noProof/>
        </w:rPr>
        <w:t>&amp;</w:t>
      </w:r>
      <w:r>
        <w:rPr>
          <w:rFonts w:ascii="Times New Roman" w:hAnsi="Times New Roman" w:cs="Times New Roman"/>
          <w:noProof/>
        </w:rPr>
        <w:t xml:space="preserve"> Korn, S. (1991)</w:t>
      </w:r>
      <w:r w:rsidR="00B3112B">
        <w:rPr>
          <w:rFonts w:ascii="Times New Roman" w:hAnsi="Times New Roman" w:cs="Times New Roman"/>
          <w:noProof/>
        </w:rPr>
        <w:t xml:space="preserve">. The reaction of interest rates to the employment report: The role of policy anticipations, </w:t>
      </w:r>
      <w:r w:rsidR="00B3112B" w:rsidRPr="00B3112B">
        <w:rPr>
          <w:rFonts w:ascii="Times New Roman" w:hAnsi="Times New Roman" w:cs="Times New Roman"/>
          <w:i/>
          <w:noProof/>
        </w:rPr>
        <w:t>Economic Review</w:t>
      </w:r>
      <w:r w:rsidR="00B3112B" w:rsidRPr="00B3112B">
        <w:rPr>
          <w:rFonts w:ascii="Times New Roman" w:hAnsi="Times New Roman" w:cs="Times New Roman"/>
          <w:noProof/>
        </w:rPr>
        <w:t xml:space="preserve">, </w:t>
      </w:r>
      <w:r w:rsidR="00B3112B">
        <w:rPr>
          <w:rFonts w:ascii="Times New Roman" w:hAnsi="Times New Roman" w:cs="Times New Roman"/>
          <w:noProof/>
        </w:rPr>
        <w:t>Federal Reserve bank of Richmond, 77/5, 3-12.</w:t>
      </w:r>
    </w:p>
    <w:p w:rsidR="00205C54" w:rsidRDefault="00205C54" w:rsidP="00205C54">
      <w:pPr>
        <w:spacing w:after="120"/>
        <w:jc w:val="both"/>
        <w:rPr>
          <w:rFonts w:ascii="Times New Roman" w:hAnsi="Times New Roman" w:cs="Times New Roman"/>
          <w:noProof/>
        </w:rPr>
      </w:pPr>
      <w:r w:rsidRPr="00DE6AAA">
        <w:rPr>
          <w:rFonts w:ascii="Times New Roman" w:hAnsi="Times New Roman" w:cs="Times New Roman"/>
          <w:noProof/>
        </w:rPr>
        <w:t>Connolly, R., Stivers, C., &amp; Sun, L. (2005). Stock market uncertainty and the stock-bond return relation. Journal of Financial and Quantitative Analysis, 40(01), 161-194.</w:t>
      </w:r>
    </w:p>
    <w:p w:rsidR="00991169" w:rsidRPr="00DB60A9" w:rsidRDefault="00991169" w:rsidP="00205C54">
      <w:pPr>
        <w:spacing w:after="120"/>
        <w:jc w:val="both"/>
        <w:rPr>
          <w:rFonts w:ascii="Times New Roman" w:hAnsi="Times New Roman" w:cs="Times New Roman"/>
          <w:noProof/>
        </w:rPr>
      </w:pPr>
      <w:r w:rsidRPr="00991169">
        <w:rPr>
          <w:rFonts w:ascii="Times New Roman" w:hAnsi="Times New Roman" w:cs="Times New Roman"/>
          <w:noProof/>
        </w:rPr>
        <w:t>Dowling, M., &amp; Lucey, B. M. (2008). Robust global mood influences in equity pricing. Journal of Multinational Financial Management, 18(2), 145-164.</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Darrat, A. F., Li, B., Liu, B., &amp; Su, J. J. (2011). A Fresh Look at Seasonal Anomalies: An International Perspective. International Journal of Business &amp; Economics, 10(2).</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Dichev, I. D., &amp; Janes, T. D. (2003). Lunar cycle effects in stock returns. The Journal of Private Equity, 6(4), 8-29.</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Dickey, D. A., &amp; Fuller, W. A. (1979). Distribution of the estimators for autoregressive time series with a unit root. Journal of the American statistical association, 74(366a), 427-431.</w:t>
      </w:r>
    </w:p>
    <w:p w:rsidR="00205C54" w:rsidRPr="00737786" w:rsidRDefault="00205C54" w:rsidP="00205C54">
      <w:pPr>
        <w:spacing w:after="120"/>
        <w:jc w:val="both"/>
        <w:rPr>
          <w:rFonts w:ascii="Times New Roman" w:hAnsi="Times New Roman" w:cs="Times New Roman"/>
          <w:noProof/>
          <w:lang w:val="nl-NL"/>
        </w:rPr>
      </w:pPr>
      <w:r w:rsidRPr="00DB60A9">
        <w:rPr>
          <w:rFonts w:ascii="Times New Roman" w:hAnsi="Times New Roman" w:cs="Times New Roman"/>
          <w:noProof/>
        </w:rPr>
        <w:t xml:space="preserve">Doeswijk, R. Q. (2008). The optimism cycle: sell in May. </w:t>
      </w:r>
      <w:r w:rsidRPr="00737786">
        <w:rPr>
          <w:rFonts w:ascii="Times New Roman" w:hAnsi="Times New Roman" w:cs="Times New Roman"/>
          <w:noProof/>
          <w:lang w:val="nl-NL"/>
        </w:rPr>
        <w:t>De Economist, 156(2), 175-200.</w:t>
      </w:r>
    </w:p>
    <w:p w:rsidR="00205C54" w:rsidRDefault="00205C54" w:rsidP="00205C54">
      <w:pPr>
        <w:spacing w:after="120"/>
        <w:jc w:val="both"/>
        <w:rPr>
          <w:rFonts w:ascii="Times New Roman" w:hAnsi="Times New Roman" w:cs="Times New Roman"/>
          <w:noProof/>
        </w:rPr>
      </w:pPr>
      <w:r w:rsidRPr="00737786">
        <w:rPr>
          <w:rFonts w:ascii="Times New Roman" w:hAnsi="Times New Roman" w:cs="Times New Roman"/>
          <w:noProof/>
          <w:lang w:val="nl-NL"/>
        </w:rPr>
        <w:t xml:space="preserve">Doran, J. S., Jiang, D., &amp; Peterson, D. R. (2012). </w:t>
      </w:r>
      <w:r w:rsidRPr="00DB60A9">
        <w:rPr>
          <w:rFonts w:ascii="Times New Roman" w:hAnsi="Times New Roman" w:cs="Times New Roman"/>
          <w:noProof/>
        </w:rPr>
        <w:t>Gambling preference and the new year effect of assets with lottery features. Review of Finance, 16(3), 685-731.</w:t>
      </w:r>
    </w:p>
    <w:p w:rsidR="00205C54" w:rsidRPr="00DB60A9" w:rsidRDefault="00205C54" w:rsidP="00205C54">
      <w:pPr>
        <w:spacing w:after="120"/>
        <w:jc w:val="both"/>
        <w:rPr>
          <w:rFonts w:ascii="Times New Roman" w:hAnsi="Times New Roman" w:cs="Times New Roman"/>
          <w:noProof/>
        </w:rPr>
      </w:pPr>
      <w:r w:rsidRPr="002E377B">
        <w:rPr>
          <w:rFonts w:ascii="Times New Roman" w:hAnsi="Times New Roman" w:cs="Times New Roman"/>
          <w:noProof/>
        </w:rPr>
        <w:t>Dudley, W. C., Roush, J., &amp; Ezer, M. S. (2009). The case for TIPS: an examination of the costs and benefits. Federal Reserve Bank of New York Economic Policy Review, 15(1), 1-17.</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lastRenderedPageBreak/>
        <w:t>Duyvesteyn, J., &amp; Martens, M. (2014). Emerging Government Bond Market Timing. The Journal of Fixed Income, 23(3), 36-49.</w:t>
      </w:r>
    </w:p>
    <w:p w:rsidR="00205C54" w:rsidRPr="00DB60A9" w:rsidRDefault="00205C54" w:rsidP="00205C54">
      <w:pPr>
        <w:spacing w:after="120"/>
        <w:jc w:val="both"/>
        <w:rPr>
          <w:rFonts w:ascii="Times New Roman" w:hAnsi="Times New Roman" w:cs="Times New Roman"/>
          <w:noProof/>
        </w:rPr>
      </w:pPr>
      <w:r w:rsidRPr="00B67350">
        <w:rPr>
          <w:rFonts w:ascii="Times New Roman" w:hAnsi="Times New Roman" w:cs="Times New Roman"/>
          <w:noProof/>
        </w:rPr>
        <w:t>Ehrmann, M., &amp; Fratzscher, M. (2005). Equal Size, Equal Role? Interest Rate Interdependence Between the Euro Area and the United States*. The Economic Journal, 115(506), 928-948.</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Ejsing, J., García, J. A., &amp; Werner, T. (2007). The term structure of euro area break-even inflation rates: The impact of seasonality.</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Engle, R. F. (1982). Autoregressive conditional heteroscedasticity with estimates of the variance of United Kingdom inflation. Econometrica: Journal of the Econometric Society, 987-1007.</w:t>
      </w:r>
    </w:p>
    <w:p w:rsidR="00205C54" w:rsidRPr="00DB60A9" w:rsidRDefault="00205C54" w:rsidP="00205C54">
      <w:pPr>
        <w:jc w:val="both"/>
        <w:rPr>
          <w:rFonts w:ascii="Times New Roman" w:hAnsi="Times New Roman" w:cs="Times New Roman"/>
        </w:rPr>
      </w:pPr>
      <w:r w:rsidRPr="00BC5FBC">
        <w:rPr>
          <w:rFonts w:ascii="Times New Roman" w:hAnsi="Times New Roman" w:cs="Times New Roman"/>
        </w:rPr>
        <w:t>Fabozzi, F. J., Martellini, L., &amp; Priaulet, P. (Eds.). (2006). Advanced bond portfolio management: best practices in modeling and strategies (Vol. 143). John Wiley &amp; Sons.</w:t>
      </w:r>
    </w:p>
    <w:p w:rsidR="00205C54" w:rsidRPr="00DB60A9" w:rsidRDefault="00205C54" w:rsidP="00205C54">
      <w:pPr>
        <w:jc w:val="both"/>
        <w:rPr>
          <w:rFonts w:ascii="Times New Roman" w:hAnsi="Times New Roman" w:cs="Times New Roman"/>
        </w:rPr>
      </w:pPr>
      <w:r w:rsidRPr="00CB7842">
        <w:rPr>
          <w:rFonts w:ascii="Times New Roman" w:hAnsi="Times New Roman" w:cs="Times New Roman"/>
        </w:rPr>
        <w:t>Fleming, M. J., &amp; Remolona, E. M. (1999). What moves bond prices?. The Journal of Portfolio Management, 25(4), 28-38.</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Fridson, M. S. (2000). Semiannual seasonality in high-yield bond returns. The Journal of Portfolio Management, 26(4), 102-111.</w:t>
      </w:r>
    </w:p>
    <w:p w:rsidR="00233091" w:rsidRPr="00DB60A9" w:rsidRDefault="00233091" w:rsidP="00205C54">
      <w:pPr>
        <w:spacing w:after="120"/>
        <w:jc w:val="both"/>
        <w:rPr>
          <w:rFonts w:ascii="Times New Roman" w:hAnsi="Times New Roman" w:cs="Times New Roman"/>
          <w:noProof/>
        </w:rPr>
      </w:pPr>
      <w:r w:rsidRPr="00233091">
        <w:rPr>
          <w:rFonts w:ascii="Times New Roman" w:hAnsi="Times New Roman" w:cs="Times New Roman"/>
          <w:noProof/>
        </w:rPr>
        <w:t>Frühwirth, M., &amp; Sögner, L. (2014). Weather &amp; SAD Related Mood Effects on the Financial Market.</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Gerlach, J. R. (2007). Macroeconomic news and stock market calendar and weather anomalies. Journal of Financial Research, 30(2), 283-300.</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Global Inflation-linked Products: A User's Guide. Barclays Capital, 2012.</w:t>
      </w:r>
    </w:p>
    <w:p w:rsidR="00205C54" w:rsidRDefault="00205C54" w:rsidP="00205C54">
      <w:pPr>
        <w:jc w:val="both"/>
        <w:rPr>
          <w:rFonts w:ascii="Times New Roman" w:hAnsi="Times New Roman" w:cs="Times New Roman"/>
        </w:rPr>
      </w:pPr>
      <w:r w:rsidRPr="00A20EC8">
        <w:rPr>
          <w:rFonts w:ascii="Times New Roman" w:hAnsi="Times New Roman" w:cs="Times New Roman"/>
        </w:rPr>
        <w:t>Goldberg, L., &amp; Leonard, D. (2003). What moves sovereign bond markets? The effects of economic news on US and German yields. Current issues in economics and finance, 9(9), 1-7.</w:t>
      </w:r>
    </w:p>
    <w:p w:rsidR="00205C54" w:rsidRPr="00DB60A9" w:rsidRDefault="00205C54" w:rsidP="00205C54">
      <w:pPr>
        <w:jc w:val="both"/>
        <w:rPr>
          <w:rFonts w:ascii="Times New Roman" w:hAnsi="Times New Roman" w:cs="Times New Roman"/>
        </w:rPr>
      </w:pPr>
      <w:r w:rsidRPr="00DB398F">
        <w:rPr>
          <w:rFonts w:ascii="Times New Roman" w:hAnsi="Times New Roman" w:cs="Times New Roman"/>
        </w:rPr>
        <w:t>Grinold, R. C., &amp; Kahn, R. N. (2000). The efficiency gains of long-short investing. Financial Analysts Journal, 40-53.</w:t>
      </w:r>
    </w:p>
    <w:p w:rsidR="00205C54" w:rsidRPr="00DB60A9" w:rsidRDefault="00205C54" w:rsidP="00205C54">
      <w:pPr>
        <w:spacing w:after="120"/>
        <w:jc w:val="both"/>
        <w:rPr>
          <w:rFonts w:ascii="Times New Roman" w:hAnsi="Times New Roman" w:cs="Times New Roman"/>
          <w:noProof/>
        </w:rPr>
      </w:pPr>
      <w:r w:rsidRPr="00A10D9C">
        <w:rPr>
          <w:rFonts w:ascii="Times New Roman" w:hAnsi="Times New Roman" w:cs="Times New Roman"/>
          <w:noProof/>
        </w:rPr>
        <w:t>Gulko, L. (2002). Decoupling. The Journal of Portfolio Management, 28(3), 59-66.</w:t>
      </w:r>
    </w:p>
    <w:p w:rsidR="00205C54" w:rsidRDefault="00205C54" w:rsidP="00205C54">
      <w:pPr>
        <w:spacing w:after="120"/>
        <w:jc w:val="both"/>
        <w:rPr>
          <w:rFonts w:ascii="Times New Roman" w:hAnsi="Times New Roman" w:cs="Times New Roman"/>
          <w:noProof/>
        </w:rPr>
      </w:pPr>
      <w:r w:rsidRPr="00737786">
        <w:rPr>
          <w:rFonts w:ascii="Times New Roman" w:hAnsi="Times New Roman" w:cs="Times New Roman"/>
          <w:noProof/>
          <w:lang w:val="nl-NL"/>
        </w:rPr>
        <w:t xml:space="preserve">Gultekin, M. N., &amp; Gultekin, N. B. (1983). </w:t>
      </w:r>
      <w:r w:rsidRPr="00DB60A9">
        <w:rPr>
          <w:rFonts w:ascii="Times New Roman" w:hAnsi="Times New Roman" w:cs="Times New Roman"/>
          <w:noProof/>
        </w:rPr>
        <w:t>Stock market seasonality: International evidence. Journal of Financial Economics, 12(4), 469-481.</w:t>
      </w:r>
    </w:p>
    <w:p w:rsidR="00205C54" w:rsidRPr="00DB60A9" w:rsidRDefault="00205C54" w:rsidP="00205C54">
      <w:pPr>
        <w:spacing w:after="120"/>
        <w:jc w:val="both"/>
        <w:rPr>
          <w:rFonts w:ascii="Times New Roman" w:hAnsi="Times New Roman" w:cs="Times New Roman"/>
          <w:noProof/>
        </w:rPr>
      </w:pPr>
      <w:r w:rsidRPr="002E377B">
        <w:rPr>
          <w:rFonts w:ascii="Times New Roman" w:hAnsi="Times New Roman" w:cs="Times New Roman"/>
          <w:noProof/>
        </w:rPr>
        <w:t>Gürkaynak, R. S., Sack, B., &amp; Wright, J. H. (2010). The TIPS yield curve and inflation compensation. American Economic Journal: Macroeconomics, 70-92.</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Haggard, K. S., &amp; Witte, H. D. (2010). The Halloween effect: trick or treat?. International Review of Financial Analysis, 19(5), 379-387.</w:t>
      </w:r>
    </w:p>
    <w:p w:rsidR="00205C54" w:rsidRPr="00DB60A9" w:rsidRDefault="00205C54" w:rsidP="00205C54">
      <w:pPr>
        <w:spacing w:after="120"/>
        <w:jc w:val="both"/>
        <w:rPr>
          <w:rFonts w:ascii="Times New Roman" w:hAnsi="Times New Roman" w:cs="Times New Roman"/>
          <w:noProof/>
        </w:rPr>
      </w:pPr>
      <w:r w:rsidRPr="002E377B">
        <w:rPr>
          <w:rFonts w:ascii="Times New Roman" w:hAnsi="Times New Roman" w:cs="Times New Roman"/>
          <w:noProof/>
        </w:rPr>
        <w:t>Hampel, F. R. (1974). The influence curve and its role in robust estimation. Journal of the American Statistical Association, 69(346), 383-393.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Hirshleifer, D., &amp; Shumway, T. (2003). Good day sunshine: Stock returns and the weather. The Journal of Finance, 58(3), 1009-1032.</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Ho, Y. K. (1990). Stock Return Seasonalities in Asia Pacific Markets*. Journal of International Financial Management &amp; Accounting, 2(1), 47-77.</w:t>
      </w:r>
    </w:p>
    <w:p w:rsidR="00205C54" w:rsidRPr="00DB60A9" w:rsidRDefault="00205C54" w:rsidP="00205C54">
      <w:pPr>
        <w:spacing w:after="120"/>
        <w:jc w:val="both"/>
        <w:rPr>
          <w:rFonts w:ascii="Times New Roman" w:hAnsi="Times New Roman" w:cs="Times New Roman"/>
          <w:noProof/>
        </w:rPr>
      </w:pPr>
      <w:r w:rsidRPr="00190CDC">
        <w:rPr>
          <w:rFonts w:ascii="Times New Roman" w:hAnsi="Times New Roman" w:cs="Times New Roman"/>
          <w:noProof/>
        </w:rPr>
        <w:lastRenderedPageBreak/>
        <w:t>Hoaglin, D. C., Mosteller, F., &amp; Tukey, J. W. (Eds.). (1983). Understanding robust and exploratory data analysis (Vol. 3). New York: Wiley.</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Hong, H., &amp; Yu, J. (2009). Gone fishin’: Seasonality in trading activity and asset prices. Journal of Financial Markets, 12(4), 672-702.</w:t>
      </w:r>
    </w:p>
    <w:p w:rsidR="00205C54" w:rsidRDefault="00205C54" w:rsidP="00205C54">
      <w:pPr>
        <w:spacing w:after="120"/>
        <w:jc w:val="both"/>
        <w:rPr>
          <w:rFonts w:ascii="Times New Roman" w:hAnsi="Times New Roman" w:cs="Times New Roman"/>
          <w:noProof/>
        </w:rPr>
      </w:pPr>
      <w:r w:rsidRPr="004B43D0">
        <w:rPr>
          <w:rFonts w:ascii="Times New Roman" w:hAnsi="Times New Roman" w:cs="Times New Roman"/>
          <w:noProof/>
        </w:rPr>
        <w:t>Huber, P. J. (1973). Robust regression: asymptotics, conjectures and Monte Carlo. The Annals of Statistics, 799-821.</w:t>
      </w:r>
    </w:p>
    <w:p w:rsidR="00205C54" w:rsidRDefault="00205C54" w:rsidP="00205C54">
      <w:pPr>
        <w:spacing w:after="120"/>
        <w:jc w:val="both"/>
        <w:rPr>
          <w:rFonts w:ascii="Times New Roman" w:hAnsi="Times New Roman" w:cs="Times New Roman"/>
          <w:noProof/>
        </w:rPr>
      </w:pPr>
      <w:r w:rsidRPr="000F2A7B">
        <w:rPr>
          <w:rFonts w:ascii="Times New Roman" w:hAnsi="Times New Roman" w:cs="Times New Roman"/>
          <w:noProof/>
        </w:rPr>
        <w:t>Huberman, G., &amp; Schwert, G. W. (1985). Information aggregation, inflation, and the pricing of indexed bonds. The Journal of Political Economy, 92-114.</w:t>
      </w:r>
    </w:p>
    <w:p w:rsidR="00205C54" w:rsidRDefault="00205C54" w:rsidP="00205C54">
      <w:pPr>
        <w:spacing w:after="120"/>
        <w:jc w:val="both"/>
        <w:rPr>
          <w:rFonts w:ascii="Times New Roman" w:hAnsi="Times New Roman" w:cs="Times New Roman"/>
          <w:noProof/>
        </w:rPr>
      </w:pPr>
      <w:r>
        <w:rPr>
          <w:rFonts w:ascii="Times New Roman" w:hAnsi="Times New Roman" w:cs="Times New Roman"/>
          <w:noProof/>
        </w:rPr>
        <w:t xml:space="preserve">Illing M., &amp; Aaron, M. (2012). A brief Survey of Risk-Appetite Indexes. </w:t>
      </w:r>
      <w:r w:rsidRPr="003B625D">
        <w:rPr>
          <w:rFonts w:ascii="Times New Roman" w:hAnsi="Times New Roman" w:cs="Times New Roman"/>
          <w:noProof/>
        </w:rPr>
        <w:t>Financial System Review</w:t>
      </w:r>
      <w:r>
        <w:rPr>
          <w:rFonts w:ascii="Times New Roman" w:hAnsi="Times New Roman" w:cs="Times New Roman"/>
          <w:noProof/>
        </w:rPr>
        <w:t>. Bank of Canada</w:t>
      </w:r>
    </w:p>
    <w:p w:rsidR="00205C54" w:rsidRDefault="00205C54" w:rsidP="00205C54">
      <w:pPr>
        <w:spacing w:after="120"/>
        <w:jc w:val="both"/>
        <w:rPr>
          <w:rFonts w:ascii="Times New Roman" w:hAnsi="Times New Roman" w:cs="Times New Roman"/>
          <w:noProof/>
        </w:rPr>
      </w:pPr>
      <w:r w:rsidRPr="00310B86">
        <w:rPr>
          <w:rFonts w:ascii="Times New Roman" w:hAnsi="Times New Roman" w:cs="Times New Roman"/>
          <w:noProof/>
        </w:rPr>
        <w:t>Ilmanen, A. (1995). Time</w:t>
      </w:r>
      <w:r w:rsidRPr="00310B86">
        <w:rPr>
          <w:rFonts w:ascii="Cambria Math" w:hAnsi="Cambria Math" w:cs="Cambria Math"/>
          <w:noProof/>
        </w:rPr>
        <w:t>‐</w:t>
      </w:r>
      <w:r w:rsidRPr="00310B86">
        <w:rPr>
          <w:rFonts w:ascii="Times New Roman" w:hAnsi="Times New Roman" w:cs="Times New Roman"/>
          <w:noProof/>
        </w:rPr>
        <w:t>Varying Expected Returns in International Bond Markets. The Journal of Finance, 50(2), 481-506.</w:t>
      </w:r>
    </w:p>
    <w:p w:rsidR="00205C54" w:rsidRPr="00DB60A9" w:rsidRDefault="00205C54" w:rsidP="00205C54">
      <w:pPr>
        <w:spacing w:after="120"/>
        <w:jc w:val="both"/>
        <w:rPr>
          <w:rFonts w:ascii="Times New Roman" w:hAnsi="Times New Roman" w:cs="Times New Roman"/>
          <w:noProof/>
        </w:rPr>
      </w:pPr>
      <w:r w:rsidRPr="008864EE">
        <w:rPr>
          <w:rFonts w:ascii="Times New Roman" w:hAnsi="Times New Roman" w:cs="Times New Roman"/>
          <w:noProof/>
        </w:rPr>
        <w:t>Ilmanen, A. (2011). Expected returns: an investor's guide to harvesting market rewards. John Wiley &amp; Sons.</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Jacobsen, B., &amp; Marquering, W. (2008). Is it the weather?. Journal of Banking &amp; Finance, 32(4), 526-540.</w:t>
      </w:r>
    </w:p>
    <w:p w:rsidR="00BE7A7A" w:rsidRPr="00DB60A9" w:rsidRDefault="00BE7A7A" w:rsidP="00205C54">
      <w:pPr>
        <w:spacing w:after="120"/>
        <w:jc w:val="both"/>
        <w:rPr>
          <w:rFonts w:ascii="Times New Roman" w:hAnsi="Times New Roman" w:cs="Times New Roman"/>
          <w:noProof/>
        </w:rPr>
      </w:pPr>
      <w:r w:rsidRPr="00BE7A7A">
        <w:rPr>
          <w:rFonts w:ascii="Times New Roman" w:hAnsi="Times New Roman" w:cs="Times New Roman"/>
          <w:noProof/>
        </w:rPr>
        <w:t>Jones, C. M., Lamont, O., &amp; Lumsdaine, R. L. (1998). Macroeconomic news and bond market volatility. Journal of Financial Economics, 47(3), 315-337.</w:t>
      </w:r>
    </w:p>
    <w:p w:rsidR="00205C54" w:rsidRPr="00DB60A9" w:rsidRDefault="00205C54" w:rsidP="00205C54">
      <w:pPr>
        <w:spacing w:after="120"/>
        <w:jc w:val="both"/>
        <w:rPr>
          <w:rFonts w:ascii="Times New Roman" w:hAnsi="Times New Roman" w:cs="Times New Roman"/>
          <w:noProof/>
        </w:rPr>
      </w:pPr>
      <w:r w:rsidRPr="00F94199">
        <w:rPr>
          <w:rFonts w:ascii="Times New Roman" w:hAnsi="Times New Roman" w:cs="Times New Roman"/>
          <w:noProof/>
        </w:rPr>
        <w:t>Jubinski, D., &amp; Lipton, A. F. (2012). Equity volatility, bond yields, and yield spreads. Journal of Futures Markets, 32(5), 480-503.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Kamstra, M. J., Kramer, L. A., &amp; Levi, M. D. (2003a). Winter blues: A SAD stock market cycle. American Economic Review, 324-343.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Kamstra, M. J., Kramer, L. A., &amp; Levi, M. D. (2003b). SAD investors: Implications of seasonal variations in risk aversion. In Atlanta Federal Reserve Bank, University of British Colombia, refereed conference proceedings.</w:t>
      </w:r>
    </w:p>
    <w:p w:rsidR="00205C54" w:rsidRPr="00DB60A9" w:rsidRDefault="00205C54" w:rsidP="00205C54">
      <w:pPr>
        <w:spacing w:after="120"/>
        <w:jc w:val="both"/>
        <w:rPr>
          <w:rFonts w:ascii="Times New Roman" w:hAnsi="Times New Roman" w:cs="Times New Roman"/>
          <w:noProof/>
        </w:rPr>
      </w:pPr>
      <w:r w:rsidRPr="002E377B">
        <w:rPr>
          <w:rFonts w:ascii="Times New Roman" w:hAnsi="Times New Roman" w:cs="Times New Roman"/>
          <w:noProof/>
        </w:rPr>
        <w:t>Kamstra, M. J., Kramer, L. A., &amp; Levi, M. D. (2014). Seasonal Variation in Treasury Returns, Critical Finance Review, forthcoming</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Kato, K., &amp; Schallheim, J. S. (1985). Seasonal and size anomalies in the Japanese stock market. Journal of Financial and Quantitative Analysis, 20(02), 243-260.</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Keim, D. B. (1983). Size-related anomalies and stock return seasonality: Further empirical evidence. Journal of Financial Economics, 12(1), 13-32.</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Kelly, P. J., &amp; Meschke, F. (2010). Sentiment and stock returns: The SAD anomaly revisited. Journal of Banking &amp; Finance, 34(6), 1308-1326.</w:t>
      </w:r>
    </w:p>
    <w:p w:rsidR="00205C54" w:rsidRDefault="00205C54" w:rsidP="00205C54">
      <w:pPr>
        <w:jc w:val="both"/>
        <w:rPr>
          <w:rFonts w:ascii="Times New Roman" w:hAnsi="Times New Roman" w:cs="Times New Roman"/>
        </w:rPr>
      </w:pPr>
      <w:r w:rsidRPr="00454EED">
        <w:rPr>
          <w:rFonts w:ascii="Times New Roman" w:hAnsi="Times New Roman" w:cs="Times New Roman"/>
        </w:rPr>
        <w:t>Kim, S. J., McKenzie, M. D., &amp; Faff, R. W. (2004). Macroeconomic news announcements and the role of expectations: evidence for US bond, stock and foreign exchange markets. Journal of Multinational Financial Management, 14(3), 217-232.</w:t>
      </w:r>
    </w:p>
    <w:p w:rsidR="00205C54" w:rsidRPr="00DB60A9" w:rsidRDefault="00205C54" w:rsidP="00205C54">
      <w:pPr>
        <w:jc w:val="both"/>
        <w:rPr>
          <w:rFonts w:ascii="Times New Roman" w:hAnsi="Times New Roman" w:cs="Times New Roman"/>
        </w:rPr>
      </w:pPr>
      <w:r w:rsidRPr="00A82B41">
        <w:rPr>
          <w:rFonts w:ascii="Times New Roman" w:hAnsi="Times New Roman" w:cs="Times New Roman"/>
        </w:rPr>
        <w:lastRenderedPageBreak/>
        <w:t>Krueger, A. B., &amp; Fortson, K. N. (2003). Do markets respond more to more reliable labor market data? A test of market rationality. Journal of the European Economic Association, 1(4), 931-957.</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Kwiatkowski, D., Phillips, P. C., Schmidt, P., &amp; Shin, Y. (1992). Testing the null hypothesis of stationarity against the alternative of a unit root: How sure are we that economic time series have a unit root?. Journal of econometrics, 54(1), 159-178.</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Lakonishok, J., &amp; Smidt, S. (1988). Are seasonal anomalies real? A ninety-year perspective. Review of Financial Studies, 1(4), 403-425.</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Lakonishok, J., Shleifer, A., Thaler, R., &amp; Vishny, R. (1991). Window dressing by pension fund managers (No. w3617). National Bureau of Economic Research.</w:t>
      </w:r>
    </w:p>
    <w:p w:rsidR="00837808" w:rsidRDefault="00837808" w:rsidP="00205C54">
      <w:pPr>
        <w:spacing w:after="120"/>
        <w:jc w:val="both"/>
        <w:rPr>
          <w:rFonts w:ascii="Times New Roman" w:hAnsi="Times New Roman" w:cs="Times New Roman"/>
          <w:noProof/>
        </w:rPr>
      </w:pPr>
      <w:r w:rsidRPr="00837808">
        <w:rPr>
          <w:rFonts w:ascii="Times New Roman" w:hAnsi="Times New Roman" w:cs="Times New Roman"/>
          <w:noProof/>
        </w:rPr>
        <w:t>Lean, H. H. (2011). The Halloween puzzle in selected Asian stock markets. International Journal of Economics and Management, 5, 216-225.</w:t>
      </w:r>
    </w:p>
    <w:p w:rsidR="007D7A03" w:rsidRPr="00DB60A9" w:rsidRDefault="007D7A03" w:rsidP="00205C54">
      <w:pPr>
        <w:spacing w:after="120"/>
        <w:jc w:val="both"/>
        <w:rPr>
          <w:rFonts w:ascii="Times New Roman" w:hAnsi="Times New Roman" w:cs="Times New Roman"/>
          <w:noProof/>
        </w:rPr>
      </w:pPr>
      <w:r w:rsidRPr="007D7A03">
        <w:rPr>
          <w:rFonts w:ascii="Times New Roman" w:hAnsi="Times New Roman" w:cs="Times New Roman"/>
          <w:noProof/>
        </w:rPr>
        <w:t>Maberly, E. D., &amp; Pierce, R. M. (2004). Stock market efficiency withstands another challenge: Solving the “sell in May/buy after Halloween” puzzle. Econ Journal Watch, 1(1), 29-46.</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Matsui, K. (2011). Accounting year-end dispersion and seasonality in the Japanese corporate bond market. Applied Economics, 43(26), 3733-3744.</w:t>
      </w:r>
    </w:p>
    <w:p w:rsidR="00205C54" w:rsidRPr="00DB60A9" w:rsidRDefault="00205C54" w:rsidP="00205C54">
      <w:pPr>
        <w:jc w:val="both"/>
        <w:rPr>
          <w:rFonts w:ascii="Times New Roman" w:hAnsi="Times New Roman" w:cs="Times New Roman"/>
        </w:rPr>
      </w:pPr>
      <w:r>
        <w:rPr>
          <w:rFonts w:ascii="Times New Roman" w:hAnsi="Times New Roman" w:cs="Times New Roman"/>
        </w:rPr>
        <w:t xml:space="preserve">Mirani, C., Pond M., </w:t>
      </w:r>
      <w:r w:rsidRPr="00A82B41">
        <w:rPr>
          <w:rFonts w:ascii="Times New Roman" w:hAnsi="Times New Roman" w:cs="Times New Roman"/>
        </w:rPr>
        <w:t>&amp;</w:t>
      </w:r>
      <w:r>
        <w:rPr>
          <w:rFonts w:ascii="Times New Roman" w:hAnsi="Times New Roman" w:cs="Times New Roman"/>
        </w:rPr>
        <w:t xml:space="preserve"> Skeoch, H. (2012). “Seasonality: Estimation and adjustment”. </w:t>
      </w:r>
      <w:r w:rsidRPr="003E3F23">
        <w:rPr>
          <w:rFonts w:ascii="Times New Roman" w:hAnsi="Times New Roman" w:cs="Times New Roman"/>
        </w:rPr>
        <w:t>Global Inflation Linked Products: A user’s G</w:t>
      </w:r>
      <w:r>
        <w:rPr>
          <w:rFonts w:ascii="Times New Roman" w:hAnsi="Times New Roman" w:cs="Times New Roman"/>
        </w:rPr>
        <w:t>uide, 57-79</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Newey, W. K., &amp; West, K. D. (1994). Automatic lag selection in covariance matrix estimation. The Review of Economic Studies, 61(4), 631-653.</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Ogden, J. P. (2003). The calendar structure of risk and expected returns on stocks and bonds. Journal of Financial Economics, 70(1), 29-67.</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Reinganum, M. R. (1983). The anomalous stock market behavior of small firms in January: Empirical tests for tax-loss selling effects. Journal of Financial Economics, 12(1), 89-104.</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Ritter, J. R. (1988). The buying and selling behavior of individual investors at the turn of the year. The Journal of Finance, 43(3), 701-717.</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Rozeff, M. S., &amp; Kinney Jr, W. R. (1976). Capital market seasonality: The case of stock returns. Journal of Financial Economics, 3(4), 379-402.</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Saunders Jr, E. M. (1993). Stock prices and Wall Street weather. American Economic Review, 83(5), 1337-45.</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Schneeweis, T., &amp; Woolridge, J. R. (1979). Capital market seasonality: The case of bond returns. Journal of Financial and Quantitative Analysis, 14(05), 939-958.</w:t>
      </w:r>
    </w:p>
    <w:p w:rsidR="00205C54" w:rsidRPr="00DB60A9" w:rsidRDefault="00205C54" w:rsidP="00205C54">
      <w:pPr>
        <w:spacing w:after="120"/>
        <w:jc w:val="both"/>
        <w:rPr>
          <w:rFonts w:ascii="Times New Roman" w:hAnsi="Times New Roman" w:cs="Times New Roman"/>
          <w:noProof/>
        </w:rPr>
      </w:pPr>
      <w:r w:rsidRPr="00D32A61">
        <w:rPr>
          <w:rFonts w:ascii="Times New Roman" w:hAnsi="Times New Roman" w:cs="Times New Roman"/>
          <w:noProof/>
        </w:rPr>
        <w:t>Sharpe, W. F. (1966). Mutual fund performance. Journal of business, 119-138.</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Shigeki, S., Takashi, Y., &amp; Katsuhiko, O. (2011). The Calendar Structure of the Japanese Stock Market:“Sell in May Effect” versus “Dekansho-bushi Effect”. Kobe University, Discussion Paper Series 2011-8.</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Smirlock, M. (1985). Seasonality and bond market returns*. The Journal of Portfolio Management, 11(3), 42-44.</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lastRenderedPageBreak/>
        <w:t>Smith, K. L. (2002). Government bond market seasonality, diversification, and cointegration: international evidence. Journal of Financial Research, 25(2), 203-221.</w:t>
      </w:r>
    </w:p>
    <w:p w:rsidR="00205C54" w:rsidRDefault="00205C54" w:rsidP="00205C54">
      <w:pPr>
        <w:jc w:val="both"/>
        <w:rPr>
          <w:rFonts w:ascii="Times New Roman" w:hAnsi="Times New Roman" w:cs="Times New Roman"/>
        </w:rPr>
      </w:pPr>
      <w:r>
        <w:rPr>
          <w:rFonts w:ascii="Times New Roman" w:hAnsi="Times New Roman" w:cs="Times New Roman"/>
        </w:rPr>
        <w:t xml:space="preserve">Sooben, K., </w:t>
      </w:r>
      <w:r w:rsidRPr="00A82B41">
        <w:rPr>
          <w:rFonts w:ascii="Times New Roman" w:hAnsi="Times New Roman" w:cs="Times New Roman"/>
        </w:rPr>
        <w:t>&amp;</w:t>
      </w:r>
      <w:r>
        <w:rPr>
          <w:rFonts w:ascii="Times New Roman" w:hAnsi="Times New Roman" w:cs="Times New Roman"/>
        </w:rPr>
        <w:t xml:space="preserve"> James, A. (2012). “Euro Area”. </w:t>
      </w:r>
      <w:r w:rsidRPr="003E3F23">
        <w:rPr>
          <w:rFonts w:ascii="Times New Roman" w:hAnsi="Times New Roman" w:cs="Times New Roman"/>
        </w:rPr>
        <w:t>Global Inflation Linked Products: A user’s G</w:t>
      </w:r>
      <w:r>
        <w:rPr>
          <w:rFonts w:ascii="Times New Roman" w:hAnsi="Times New Roman" w:cs="Times New Roman"/>
        </w:rPr>
        <w:t>uide, 163 – 182</w:t>
      </w:r>
    </w:p>
    <w:p w:rsidR="00205C54" w:rsidRDefault="00205C54" w:rsidP="00205C54">
      <w:pPr>
        <w:spacing w:after="120"/>
        <w:jc w:val="both"/>
        <w:rPr>
          <w:rFonts w:ascii="Times New Roman" w:hAnsi="Times New Roman" w:cs="Times New Roman"/>
          <w:noProof/>
          <w:lang w:val="nl-NL"/>
        </w:rPr>
      </w:pPr>
      <w:r w:rsidRPr="00DB60A9">
        <w:rPr>
          <w:rFonts w:ascii="Times New Roman" w:hAnsi="Times New Roman" w:cs="Times New Roman"/>
          <w:noProof/>
        </w:rPr>
        <w:t xml:space="preserve">Sullivan, R., Timmermann, A., &amp; White, H. (2001). Dangers of data mining: The case of calendar effects in stock returns. </w:t>
      </w:r>
      <w:r w:rsidRPr="00737786">
        <w:rPr>
          <w:rFonts w:ascii="Times New Roman" w:hAnsi="Times New Roman" w:cs="Times New Roman"/>
          <w:noProof/>
          <w:lang w:val="nl-NL"/>
        </w:rPr>
        <w:t>Journal of Econometrics, 105(1), 249-286.</w:t>
      </w:r>
    </w:p>
    <w:p w:rsidR="00205C54" w:rsidRPr="00F52346" w:rsidRDefault="00205C54" w:rsidP="00205C54">
      <w:pPr>
        <w:jc w:val="both"/>
        <w:rPr>
          <w:rFonts w:ascii="Times New Roman" w:hAnsi="Times New Roman" w:cs="Times New Roman"/>
        </w:rPr>
      </w:pPr>
      <w:r w:rsidRPr="00E412BD">
        <w:rPr>
          <w:rFonts w:ascii="Times New Roman" w:hAnsi="Times New Roman" w:cs="Times New Roman"/>
        </w:rPr>
        <w:t>Swinkels, L. (2012). Emerging Markets Inflation-Linked Bonds. Financial Analysts Journal, Vol 68, Issue 5, pp. 38-56.</w:t>
      </w:r>
    </w:p>
    <w:p w:rsidR="00205C54" w:rsidRPr="00F52346" w:rsidRDefault="00205C54" w:rsidP="00205C54">
      <w:pPr>
        <w:jc w:val="both"/>
        <w:rPr>
          <w:rFonts w:ascii="Times New Roman" w:hAnsi="Times New Roman" w:cs="Times New Roman"/>
        </w:rPr>
      </w:pPr>
      <w:r w:rsidRPr="00F11A02">
        <w:rPr>
          <w:rFonts w:ascii="Times New Roman" w:hAnsi="Times New Roman" w:cs="Times New Roman"/>
        </w:rPr>
        <w:t>Swinkels, L., &amp; van Vliet, P. (2012). An anatomy of calendar effects. Journal of Asset Management, 13(4), 271-286.</w:t>
      </w:r>
    </w:p>
    <w:p w:rsidR="00205C54" w:rsidRDefault="00205C54" w:rsidP="00205C54">
      <w:pPr>
        <w:spacing w:after="120"/>
        <w:jc w:val="both"/>
        <w:rPr>
          <w:rFonts w:ascii="Times New Roman" w:hAnsi="Times New Roman" w:cs="Times New Roman"/>
          <w:noProof/>
        </w:rPr>
      </w:pPr>
      <w:r w:rsidRPr="00737786">
        <w:rPr>
          <w:rFonts w:ascii="Times New Roman" w:hAnsi="Times New Roman" w:cs="Times New Roman"/>
          <w:noProof/>
          <w:lang w:val="nl-NL"/>
        </w:rPr>
        <w:t xml:space="preserve">Van den Bergh, W. M., &amp; Wessels, R. E. (1985). </w:t>
      </w:r>
      <w:r w:rsidRPr="00DB60A9">
        <w:rPr>
          <w:rFonts w:ascii="Times New Roman" w:hAnsi="Times New Roman" w:cs="Times New Roman"/>
          <w:noProof/>
        </w:rPr>
        <w:t>Stock market seasonality and taxes: an examination of the tax-loss selling hypothesis. Journal of Business Finance &amp; Accounting, 12(4), 515-530.</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Yuan, K., Zheng, L., &amp; Zhu, Q. (2006). Are investors moonstruck? Lunar phases and stock returns. Journal of Empirical Finance, 13(1), 1-23.</w:t>
      </w:r>
    </w:p>
    <w:p w:rsidR="00926B56" w:rsidRDefault="00926B56" w:rsidP="00205C54">
      <w:pPr>
        <w:spacing w:after="120"/>
        <w:jc w:val="both"/>
        <w:rPr>
          <w:rFonts w:ascii="Times New Roman" w:hAnsi="Times New Roman" w:cs="Times New Roman"/>
          <w:noProof/>
        </w:rPr>
      </w:pPr>
      <w:r w:rsidRPr="00926B56">
        <w:rPr>
          <w:rFonts w:ascii="Times New Roman" w:hAnsi="Times New Roman" w:cs="Times New Roman"/>
          <w:noProof/>
        </w:rPr>
        <w:t>Yang, J., Zhou, Y., &amp; Wang, Z. (2009). The stock–bond correlation and macroeconomic conditions: one and a half centuries of evidence. Journal of Banking &amp; Finance, 33(4), 670-680.</w:t>
      </w:r>
    </w:p>
    <w:p w:rsidR="00205C54" w:rsidRPr="00DB60A9"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Wachtel, S. B. (1942). Certain observations on seasonal movements in stock prices. The Journal of Business, 15.</w:t>
      </w:r>
    </w:p>
    <w:p w:rsidR="00205C54" w:rsidRDefault="00205C54" w:rsidP="00205C54">
      <w:pPr>
        <w:spacing w:after="120"/>
        <w:jc w:val="both"/>
        <w:rPr>
          <w:rFonts w:ascii="Times New Roman" w:hAnsi="Times New Roman" w:cs="Times New Roman"/>
          <w:noProof/>
        </w:rPr>
      </w:pPr>
      <w:r w:rsidRPr="00DB60A9">
        <w:rPr>
          <w:rFonts w:ascii="Times New Roman" w:hAnsi="Times New Roman" w:cs="Times New Roman"/>
          <w:noProof/>
        </w:rPr>
        <w:t>Worthington, A. C. (2010). The decline of calendar seasonality in the Australian stock exchange, 1958–2005. Annals of Finance, 6(3), 421-433.</w:t>
      </w:r>
    </w:p>
    <w:p w:rsidR="00837808" w:rsidRPr="00DB60A9" w:rsidRDefault="00837808" w:rsidP="00205C54">
      <w:pPr>
        <w:spacing w:after="120"/>
        <w:jc w:val="both"/>
        <w:rPr>
          <w:rFonts w:ascii="Times New Roman" w:hAnsi="Times New Roman" w:cs="Times New Roman"/>
          <w:noProof/>
        </w:rPr>
      </w:pPr>
      <w:r w:rsidRPr="00837808">
        <w:rPr>
          <w:rFonts w:ascii="Times New Roman" w:hAnsi="Times New Roman" w:cs="Times New Roman"/>
          <w:noProof/>
        </w:rPr>
        <w:t>Abu Zarour, B. (2007). The Halloween effect anomaly: evidence from some Arab countries equity markets.</w:t>
      </w:r>
    </w:p>
    <w:p w:rsidR="00205C54" w:rsidRPr="00DB60A9" w:rsidRDefault="00205C54" w:rsidP="00205C54">
      <w:pPr>
        <w:rPr>
          <w:rFonts w:ascii="Times New Roman" w:hAnsi="Times New Roman" w:cs="Times New Roman"/>
          <w:noProof/>
        </w:rPr>
      </w:pPr>
      <w:r w:rsidRPr="00DB60A9">
        <w:rPr>
          <w:rFonts w:ascii="Times New Roman" w:hAnsi="Times New Roman" w:cs="Times New Roman"/>
          <w:noProof/>
        </w:rPr>
        <w:t>Zhang, C. Y., &amp; Jacobsen, B. (2013). Are monthly seasonals real? A three century perspective. Review of Finance, 17(5), 1743-1785.</w:t>
      </w:r>
    </w:p>
    <w:p w:rsidR="00F52346" w:rsidRDefault="00F52346" w:rsidP="008B193E"/>
    <w:p w:rsidR="00A95985" w:rsidRDefault="00A95985" w:rsidP="008B193E"/>
    <w:p w:rsidR="00A95985" w:rsidRDefault="00A95985" w:rsidP="008B193E"/>
    <w:p w:rsidR="0004732B" w:rsidRPr="0004732B" w:rsidRDefault="0004732B" w:rsidP="008B193E"/>
    <w:p w:rsidR="00A95985" w:rsidRDefault="00A95985" w:rsidP="008B193E"/>
    <w:p w:rsidR="00A95985" w:rsidRDefault="00A95985" w:rsidP="00A95985">
      <w:pPr>
        <w:pStyle w:val="Heading1"/>
      </w:pPr>
      <w:bookmarkStart w:id="67" w:name="_Toc396762731"/>
      <w:r>
        <w:t>Appendix</w:t>
      </w:r>
      <w:r w:rsidR="0084130F">
        <w:t xml:space="preserve"> A</w:t>
      </w:r>
      <w:bookmarkEnd w:id="67"/>
    </w:p>
    <w:p w:rsidR="0004732B" w:rsidRPr="0004732B" w:rsidRDefault="0004732B" w:rsidP="0004732B"/>
    <w:p w:rsidR="0084130F" w:rsidRDefault="0084130F" w:rsidP="0084130F"/>
    <w:p w:rsidR="0084130F" w:rsidRDefault="0084130F" w:rsidP="0004732B">
      <w:pPr>
        <w:pStyle w:val="NoSpacing"/>
        <w:spacing w:after="120" w:line="360" w:lineRule="auto"/>
        <w:jc w:val="center"/>
        <w:rPr>
          <w:rFonts w:ascii="Times New Roman" w:hAnsi="Times New Roman" w:cs="Times New Roman"/>
        </w:rPr>
      </w:pPr>
      <w:r>
        <w:rPr>
          <w:rFonts w:ascii="Times New Roman" w:hAnsi="Times New Roman" w:cs="Times New Roman"/>
        </w:rPr>
        <w:lastRenderedPageBreak/>
        <w:t>Figure A.1: SAD Onset/Recovery Variable</w:t>
      </w:r>
    </w:p>
    <w:p w:rsidR="0084130F" w:rsidRDefault="0084130F" w:rsidP="0084130F">
      <w:pPr>
        <w:pStyle w:val="NoSpacing"/>
        <w:jc w:val="center"/>
        <w:rPr>
          <w:rFonts w:ascii="Times New Roman" w:hAnsi="Times New Roman" w:cs="Times New Roman"/>
        </w:rPr>
      </w:pPr>
      <w:r>
        <w:rPr>
          <w:noProof/>
        </w:rPr>
        <w:drawing>
          <wp:inline distT="0" distB="0" distL="0" distR="0">
            <wp:extent cx="2990850" cy="2095500"/>
            <wp:effectExtent l="0" t="0" r="0" b="0"/>
            <wp:docPr id="6"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rsidR="0084130F" w:rsidRDefault="0084130F" w:rsidP="0084130F">
      <w:pPr>
        <w:pStyle w:val="NoSpacing"/>
        <w:jc w:val="both"/>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Pr>
          <w:rFonts w:ascii="Times New Roman" w:hAnsi="Times New Roman" w:cs="Times New Roman"/>
          <w:sz w:val="18"/>
          <w:szCs w:val="18"/>
        </w:rPr>
        <w:t xml:space="preserve">: The graph depicts the dynamics of the SAD onset/recovery variable constructed by Kamstra, Kramer and Levi (2014) based on the clinical incidence of SAD symptoms among patients from Northern America. </w:t>
      </w:r>
    </w:p>
    <w:p w:rsidR="0084130F" w:rsidRDefault="0084130F" w:rsidP="0084130F"/>
    <w:p w:rsidR="0084130F" w:rsidRDefault="0084130F" w:rsidP="0084130F"/>
    <w:p w:rsidR="00A95985" w:rsidRPr="0004732B" w:rsidRDefault="00A95985" w:rsidP="0004732B">
      <w:pPr>
        <w:spacing w:after="120" w:line="360" w:lineRule="auto"/>
        <w:jc w:val="center"/>
        <w:rPr>
          <w:rFonts w:ascii="Times New Roman" w:hAnsi="Times New Roman" w:cs="Times New Roman"/>
        </w:rPr>
      </w:pPr>
      <w:r w:rsidRPr="0004732B">
        <w:rPr>
          <w:rFonts w:ascii="Times New Roman" w:hAnsi="Times New Roman" w:cs="Times New Roman"/>
        </w:rPr>
        <w:t>Table A.1: Inflation Rate Data Description</w:t>
      </w:r>
    </w:p>
    <w:tbl>
      <w:tblPr>
        <w:tblW w:w="9340" w:type="dxa"/>
        <w:tblInd w:w="108" w:type="dxa"/>
        <w:tblLook w:val="04A0"/>
      </w:tblPr>
      <w:tblGrid>
        <w:gridCol w:w="1516"/>
        <w:gridCol w:w="2672"/>
        <w:gridCol w:w="3796"/>
        <w:gridCol w:w="1356"/>
      </w:tblGrid>
      <w:tr w:rsidR="00A95985" w:rsidRPr="00AE5FE7" w:rsidTr="00D0485F">
        <w:trPr>
          <w:trHeight w:val="570"/>
        </w:trPr>
        <w:tc>
          <w:tcPr>
            <w:tcW w:w="1516" w:type="dxa"/>
            <w:tcBorders>
              <w:top w:val="single" w:sz="4" w:space="0" w:color="auto"/>
              <w:left w:val="nil"/>
              <w:bottom w:val="single" w:sz="4" w:space="0" w:color="auto"/>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Inflation Rate</w:t>
            </w:r>
          </w:p>
        </w:tc>
        <w:tc>
          <w:tcPr>
            <w:tcW w:w="2672" w:type="dxa"/>
            <w:tcBorders>
              <w:top w:val="single" w:sz="4" w:space="0" w:color="auto"/>
              <w:left w:val="nil"/>
              <w:bottom w:val="single" w:sz="4" w:space="0" w:color="auto"/>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Bloomberg/Datastream code</w:t>
            </w:r>
          </w:p>
        </w:tc>
        <w:tc>
          <w:tcPr>
            <w:tcW w:w="3796" w:type="dxa"/>
            <w:tcBorders>
              <w:top w:val="single" w:sz="4" w:space="0" w:color="auto"/>
              <w:left w:val="nil"/>
              <w:bottom w:val="single" w:sz="4" w:space="0" w:color="auto"/>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Description</w:t>
            </w:r>
          </w:p>
        </w:tc>
        <w:tc>
          <w:tcPr>
            <w:tcW w:w="1356" w:type="dxa"/>
            <w:tcBorders>
              <w:top w:val="single" w:sz="4" w:space="0" w:color="auto"/>
              <w:left w:val="nil"/>
              <w:bottom w:val="single" w:sz="4" w:space="0" w:color="auto"/>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Modification</w:t>
            </w:r>
          </w:p>
        </w:tc>
      </w:tr>
      <w:tr w:rsidR="00A95985" w:rsidRPr="00AE5FE7" w:rsidTr="00D0485F">
        <w:trPr>
          <w:trHeight w:val="675"/>
        </w:trPr>
        <w:tc>
          <w:tcPr>
            <w:tcW w:w="151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Australia</w:t>
            </w:r>
          </w:p>
        </w:tc>
        <w:tc>
          <w:tcPr>
            <w:tcW w:w="2672"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AUCPI Index</w:t>
            </w:r>
          </w:p>
        </w:tc>
        <w:tc>
          <w:tcPr>
            <w:tcW w:w="3796"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AU CPI ALL Groups Goods Component (Q3 2011-Q2 2012=100), NSA</w:t>
            </w:r>
          </w:p>
        </w:tc>
        <w:tc>
          <w:tcPr>
            <w:tcW w:w="135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QoQ</w:t>
            </w:r>
          </w:p>
        </w:tc>
      </w:tr>
      <w:tr w:rsidR="00A95985" w:rsidRPr="00AE5FE7" w:rsidTr="00D0485F">
        <w:trPr>
          <w:trHeight w:val="255"/>
        </w:trPr>
        <w:tc>
          <w:tcPr>
            <w:tcW w:w="151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Canada</w:t>
            </w:r>
          </w:p>
        </w:tc>
        <w:tc>
          <w:tcPr>
            <w:tcW w:w="2672"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CACPI Index</w:t>
            </w:r>
          </w:p>
        </w:tc>
        <w:tc>
          <w:tcPr>
            <w:tcW w:w="3796"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CA STCA CPI (2002=100), NSA</w:t>
            </w:r>
          </w:p>
        </w:tc>
        <w:tc>
          <w:tcPr>
            <w:tcW w:w="135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MoM</w:t>
            </w:r>
          </w:p>
        </w:tc>
      </w:tr>
      <w:tr w:rsidR="00A95985" w:rsidRPr="00AE5FE7" w:rsidTr="00D0485F">
        <w:trPr>
          <w:trHeight w:val="630"/>
        </w:trPr>
        <w:tc>
          <w:tcPr>
            <w:tcW w:w="151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Germany</w:t>
            </w:r>
          </w:p>
        </w:tc>
        <w:tc>
          <w:tcPr>
            <w:tcW w:w="2672"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GRCPI Index, GRCP2000 Index</w:t>
            </w:r>
          </w:p>
        </w:tc>
        <w:tc>
          <w:tcPr>
            <w:tcW w:w="3796"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xml:space="preserve">West Germany CPI for 1975-1991 and DE CPI (2010=100) after 1991, NSA </w:t>
            </w:r>
          </w:p>
        </w:tc>
        <w:tc>
          <w:tcPr>
            <w:tcW w:w="135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MoM</w:t>
            </w:r>
          </w:p>
        </w:tc>
      </w:tr>
      <w:tr w:rsidR="00A95985" w:rsidRPr="00AE5FE7" w:rsidTr="00D0485F">
        <w:trPr>
          <w:trHeight w:val="375"/>
        </w:trPr>
        <w:tc>
          <w:tcPr>
            <w:tcW w:w="151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Japan</w:t>
            </w:r>
          </w:p>
        </w:tc>
        <w:tc>
          <w:tcPr>
            <w:tcW w:w="2672"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JPCONPRCF</w:t>
            </w:r>
          </w:p>
        </w:tc>
        <w:tc>
          <w:tcPr>
            <w:tcW w:w="3796"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JP CPI, National Measure (2010=100), NSA</w:t>
            </w:r>
          </w:p>
        </w:tc>
        <w:tc>
          <w:tcPr>
            <w:tcW w:w="135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MoM</w:t>
            </w:r>
          </w:p>
        </w:tc>
      </w:tr>
      <w:tr w:rsidR="00A95985" w:rsidRPr="00AE5FE7" w:rsidTr="00D0485F">
        <w:trPr>
          <w:trHeight w:val="450"/>
        </w:trPr>
        <w:tc>
          <w:tcPr>
            <w:tcW w:w="151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United Kingdom</w:t>
            </w:r>
          </w:p>
        </w:tc>
        <w:tc>
          <w:tcPr>
            <w:tcW w:w="2672"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UKRPI Index/UKCHAW..</w:t>
            </w:r>
          </w:p>
        </w:tc>
        <w:tc>
          <w:tcPr>
            <w:tcW w:w="3796" w:type="dxa"/>
            <w:tcBorders>
              <w:top w:val="nil"/>
              <w:left w:val="nil"/>
              <w:bottom w:val="nil"/>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sz w:val="20"/>
                <w:szCs w:val="20"/>
              </w:rPr>
            </w:pPr>
            <w:r w:rsidRPr="00AE5FE7">
              <w:rPr>
                <w:rFonts w:ascii="Times New Roman" w:eastAsia="Times New Roman" w:hAnsi="Times New Roman" w:cs="Times New Roman"/>
                <w:sz w:val="20"/>
                <w:szCs w:val="20"/>
              </w:rPr>
              <w:t>UK RPI All Intems (Jan 1987=100), NSA</w:t>
            </w:r>
          </w:p>
        </w:tc>
        <w:tc>
          <w:tcPr>
            <w:tcW w:w="1356" w:type="dxa"/>
            <w:tcBorders>
              <w:top w:val="nil"/>
              <w:left w:val="nil"/>
              <w:bottom w:val="nil"/>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MoM</w:t>
            </w:r>
          </w:p>
        </w:tc>
      </w:tr>
      <w:tr w:rsidR="00A95985" w:rsidRPr="00AE5FE7" w:rsidTr="00D0485F">
        <w:trPr>
          <w:trHeight w:val="540"/>
        </w:trPr>
        <w:tc>
          <w:tcPr>
            <w:tcW w:w="1516" w:type="dxa"/>
            <w:tcBorders>
              <w:top w:val="nil"/>
              <w:left w:val="nil"/>
              <w:bottom w:val="single" w:sz="4" w:space="0" w:color="auto"/>
              <w:right w:val="nil"/>
            </w:tcBorders>
            <w:shd w:val="clear" w:color="auto" w:fill="auto"/>
            <w:noWrap/>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United States</w:t>
            </w:r>
          </w:p>
        </w:tc>
        <w:tc>
          <w:tcPr>
            <w:tcW w:w="2672" w:type="dxa"/>
            <w:tcBorders>
              <w:top w:val="nil"/>
              <w:left w:val="nil"/>
              <w:bottom w:val="single" w:sz="4" w:space="0" w:color="auto"/>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CPURNSA Index</w:t>
            </w:r>
          </w:p>
        </w:tc>
        <w:tc>
          <w:tcPr>
            <w:tcW w:w="3796" w:type="dxa"/>
            <w:tcBorders>
              <w:top w:val="nil"/>
              <w:left w:val="nil"/>
              <w:bottom w:val="single" w:sz="4" w:space="0" w:color="auto"/>
              <w:right w:val="nil"/>
            </w:tcBorders>
            <w:shd w:val="clear" w:color="auto" w:fill="auto"/>
            <w:vAlign w:val="center"/>
            <w:hideMark/>
          </w:tcPr>
          <w:p w:rsidR="00A95985" w:rsidRPr="00AE5FE7" w:rsidRDefault="00A95985" w:rsidP="00D0485F">
            <w:pPr>
              <w:spacing w:after="0" w:line="240" w:lineRule="auto"/>
              <w:rPr>
                <w:rFonts w:ascii="Times New Roman" w:eastAsia="Times New Roman" w:hAnsi="Times New Roman" w:cs="Times New Roman"/>
                <w:sz w:val="20"/>
                <w:szCs w:val="20"/>
              </w:rPr>
            </w:pPr>
            <w:r w:rsidRPr="00AE5FE7">
              <w:rPr>
                <w:rFonts w:ascii="Times New Roman" w:eastAsia="Times New Roman" w:hAnsi="Times New Roman" w:cs="Times New Roman"/>
                <w:sz w:val="20"/>
                <w:szCs w:val="20"/>
              </w:rPr>
              <w:t>US CPI Urban Consumers (1982-1984=100), NSA</w:t>
            </w:r>
          </w:p>
        </w:tc>
        <w:tc>
          <w:tcPr>
            <w:tcW w:w="1356" w:type="dxa"/>
            <w:tcBorders>
              <w:top w:val="nil"/>
              <w:left w:val="nil"/>
              <w:bottom w:val="single" w:sz="4" w:space="0" w:color="auto"/>
              <w:right w:val="nil"/>
            </w:tcBorders>
            <w:shd w:val="clear" w:color="auto" w:fill="auto"/>
            <w:noWrap/>
            <w:vAlign w:val="center"/>
            <w:hideMark/>
          </w:tcPr>
          <w:p w:rsidR="00A95985" w:rsidRPr="00AE5FE7" w:rsidRDefault="00A95985" w:rsidP="00D0485F">
            <w:pPr>
              <w:spacing w:after="0" w:line="240" w:lineRule="auto"/>
              <w:jc w:val="center"/>
              <w:rPr>
                <w:rFonts w:ascii="Times New Roman" w:eastAsia="Times New Roman" w:hAnsi="Times New Roman" w:cs="Times New Roman"/>
                <w:color w:val="000000"/>
                <w:sz w:val="20"/>
                <w:szCs w:val="20"/>
              </w:rPr>
            </w:pPr>
            <w:r w:rsidRPr="00AE5FE7">
              <w:rPr>
                <w:rFonts w:ascii="Times New Roman" w:eastAsia="Times New Roman" w:hAnsi="Times New Roman" w:cs="Times New Roman"/>
                <w:color w:val="000000"/>
                <w:sz w:val="20"/>
                <w:szCs w:val="20"/>
              </w:rPr>
              <w:t>% MoM</w:t>
            </w:r>
          </w:p>
        </w:tc>
      </w:tr>
    </w:tbl>
    <w:p w:rsidR="00A95985" w:rsidRDefault="00A95985" w:rsidP="00A95985">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The table reports the</w:t>
      </w:r>
      <w:r>
        <w:rPr>
          <w:rFonts w:ascii="Times New Roman" w:hAnsi="Times New Roman" w:cs="Times New Roman"/>
          <w:sz w:val="18"/>
          <w:szCs w:val="18"/>
        </w:rPr>
        <w:t xml:space="preserve"> price indices used to capture inflation dynamics. The sample starts in January 1980 and ends in December 2013. In case of Germany, a price index for West Germany was used until the beginning of 1991. All indices are non-seasonally adjusted (NSA).</w:t>
      </w:r>
    </w:p>
    <w:p w:rsidR="00A95985" w:rsidRDefault="00A95985" w:rsidP="00A95985">
      <w:pPr>
        <w:spacing w:after="0" w:line="240" w:lineRule="auto"/>
        <w:jc w:val="both"/>
        <w:rPr>
          <w:rFonts w:ascii="Times New Roman" w:hAnsi="Times New Roman" w:cs="Times New Roman"/>
          <w:sz w:val="18"/>
          <w:szCs w:val="18"/>
        </w:rPr>
      </w:pPr>
    </w:p>
    <w:p w:rsidR="00A95985" w:rsidRDefault="00A95985" w:rsidP="00A95985">
      <w:pPr>
        <w:spacing w:after="0" w:line="240" w:lineRule="auto"/>
        <w:jc w:val="both"/>
      </w:pPr>
      <w:r w:rsidRPr="00DB60A9">
        <w:rPr>
          <w:rFonts w:ascii="Times New Roman" w:hAnsi="Times New Roman" w:cs="Times New Roman"/>
          <w:sz w:val="18"/>
          <w:szCs w:val="18"/>
        </w:rPr>
        <w:t xml:space="preserve"> </w:t>
      </w:r>
    </w:p>
    <w:p w:rsidR="0004732B" w:rsidRDefault="0004732B" w:rsidP="00A95985">
      <w:pPr>
        <w:jc w:val="center"/>
        <w:rPr>
          <w:rFonts w:ascii="Times New Roman" w:hAnsi="Times New Roman" w:cs="Times New Roman"/>
        </w:rPr>
      </w:pPr>
    </w:p>
    <w:p w:rsidR="0004732B" w:rsidRDefault="0004732B" w:rsidP="00A95985">
      <w:pPr>
        <w:jc w:val="center"/>
        <w:rPr>
          <w:rFonts w:ascii="Times New Roman" w:hAnsi="Times New Roman" w:cs="Times New Roman"/>
        </w:rPr>
      </w:pPr>
    </w:p>
    <w:p w:rsidR="00A95985" w:rsidRPr="0004732B" w:rsidRDefault="00A95985" w:rsidP="0004732B">
      <w:pPr>
        <w:spacing w:after="120" w:line="360" w:lineRule="auto"/>
        <w:jc w:val="center"/>
        <w:rPr>
          <w:rFonts w:ascii="Times New Roman" w:hAnsi="Times New Roman" w:cs="Times New Roman"/>
        </w:rPr>
      </w:pPr>
      <w:r w:rsidRPr="0004732B">
        <w:rPr>
          <w:rFonts w:ascii="Times New Roman" w:hAnsi="Times New Roman" w:cs="Times New Roman"/>
        </w:rPr>
        <w:t>Table A.2: Normality and Stationarity Tests</w:t>
      </w:r>
    </w:p>
    <w:tbl>
      <w:tblPr>
        <w:tblW w:w="9220" w:type="dxa"/>
        <w:tblInd w:w="93" w:type="dxa"/>
        <w:tblLook w:val="04A0"/>
      </w:tblPr>
      <w:tblGrid>
        <w:gridCol w:w="1460"/>
        <w:gridCol w:w="2000"/>
        <w:gridCol w:w="985"/>
        <w:gridCol w:w="935"/>
        <w:gridCol w:w="985"/>
        <w:gridCol w:w="935"/>
        <w:gridCol w:w="985"/>
        <w:gridCol w:w="935"/>
      </w:tblGrid>
      <w:tr w:rsidR="00A95985" w:rsidRPr="00740523" w:rsidTr="00D0485F">
        <w:trPr>
          <w:trHeight w:val="675"/>
        </w:trPr>
        <w:tc>
          <w:tcPr>
            <w:tcW w:w="1460" w:type="dxa"/>
            <w:vMerge w:val="restart"/>
            <w:tcBorders>
              <w:top w:val="single" w:sz="4" w:space="0" w:color="auto"/>
              <w:left w:val="nil"/>
              <w:bottom w:val="single" w:sz="4" w:space="0" w:color="000000"/>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Asset Country</w:t>
            </w:r>
          </w:p>
        </w:tc>
        <w:tc>
          <w:tcPr>
            <w:tcW w:w="2000" w:type="dxa"/>
            <w:vMerge w:val="restart"/>
            <w:tcBorders>
              <w:top w:val="single" w:sz="4" w:space="0" w:color="auto"/>
              <w:left w:val="nil"/>
              <w:bottom w:val="single" w:sz="4" w:space="0" w:color="000000"/>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Country</w:t>
            </w:r>
          </w:p>
        </w:tc>
        <w:tc>
          <w:tcPr>
            <w:tcW w:w="1920" w:type="dxa"/>
            <w:gridSpan w:val="2"/>
            <w:tcBorders>
              <w:top w:val="single" w:sz="4" w:space="0" w:color="auto"/>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Jarque-Bera Test</w:t>
            </w:r>
          </w:p>
        </w:tc>
        <w:tc>
          <w:tcPr>
            <w:tcW w:w="1920" w:type="dxa"/>
            <w:gridSpan w:val="2"/>
            <w:tcBorders>
              <w:top w:val="single" w:sz="4" w:space="0" w:color="auto"/>
              <w:left w:val="nil"/>
              <w:bottom w:val="nil"/>
              <w:right w:val="nil"/>
            </w:tcBorders>
            <w:shd w:val="clear" w:color="auto" w:fill="auto"/>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Augmented Dickey-Fuller Test</w:t>
            </w:r>
          </w:p>
        </w:tc>
        <w:tc>
          <w:tcPr>
            <w:tcW w:w="1920" w:type="dxa"/>
            <w:gridSpan w:val="2"/>
            <w:tcBorders>
              <w:top w:val="single" w:sz="4" w:space="0" w:color="auto"/>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KPSS Test</w:t>
            </w:r>
          </w:p>
        </w:tc>
      </w:tr>
      <w:tr w:rsidR="00A95985" w:rsidRPr="00740523" w:rsidTr="00D0485F">
        <w:trPr>
          <w:trHeight w:val="255"/>
        </w:trPr>
        <w:tc>
          <w:tcPr>
            <w:tcW w:w="1460" w:type="dxa"/>
            <w:vMerge/>
            <w:tcBorders>
              <w:top w:val="single" w:sz="4" w:space="0" w:color="auto"/>
              <w:left w:val="nil"/>
              <w:bottom w:val="single" w:sz="4" w:space="0" w:color="000000"/>
              <w:right w:val="nil"/>
            </w:tcBorders>
            <w:vAlign w:val="center"/>
            <w:hideMark/>
          </w:tcPr>
          <w:p w:rsidR="00A95985" w:rsidRPr="00740523" w:rsidRDefault="00A95985" w:rsidP="00D0485F">
            <w:pPr>
              <w:spacing w:after="0" w:line="240" w:lineRule="auto"/>
              <w:rPr>
                <w:rFonts w:ascii="Times New Roman" w:eastAsia="Times New Roman" w:hAnsi="Times New Roman" w:cs="Times New Roman"/>
                <w:color w:val="000000"/>
                <w:sz w:val="20"/>
                <w:szCs w:val="20"/>
              </w:rPr>
            </w:pPr>
          </w:p>
        </w:tc>
        <w:tc>
          <w:tcPr>
            <w:tcW w:w="2000" w:type="dxa"/>
            <w:vMerge/>
            <w:tcBorders>
              <w:top w:val="single" w:sz="4" w:space="0" w:color="auto"/>
              <w:left w:val="nil"/>
              <w:bottom w:val="single" w:sz="4" w:space="0" w:color="000000"/>
              <w:right w:val="nil"/>
            </w:tcBorders>
            <w:vAlign w:val="center"/>
            <w:hideMark/>
          </w:tcPr>
          <w:p w:rsidR="00A95985" w:rsidRPr="00740523" w:rsidRDefault="00A95985" w:rsidP="00D0485F">
            <w:pPr>
              <w:spacing w:after="0" w:line="240" w:lineRule="auto"/>
              <w:rPr>
                <w:rFonts w:ascii="Times New Roman" w:eastAsia="Times New Roman" w:hAnsi="Times New Roman" w:cs="Times New Roman"/>
                <w:color w:val="000000"/>
                <w:sz w:val="20"/>
                <w:szCs w:val="20"/>
              </w:rPr>
            </w:pP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P-value</w:t>
            </w: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P-value</w:t>
            </w: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P-value</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lastRenderedPageBreak/>
              <w:t>Inflation</w:t>
            </w: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-3.8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237.6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-11.3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123.8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187.6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-16.8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0.06</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1210.1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-11.6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0.02</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372.0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-8.5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0.06</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-8.1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0.02</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Nominal</w:t>
            </w: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17.2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-17.1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27.3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35.0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-16.8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196.2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-16.2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84.9</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-17.3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CRSP Universe</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232.5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-24.3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0.06</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12.9</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-16.7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Infl-link</w:t>
            </w: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7.6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130.6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-14.6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65.0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-10.3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1279.8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-9.3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98.5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-19.8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160.2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-13.7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153.1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-19.6</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0.9</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0.01</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Comparator</w:t>
            </w: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17.7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-13.4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8.8</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0.02</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-14.4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0.40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-8.3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23.5</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17.4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9.2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0.02</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-13.3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37.0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-18.0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Equities</w:t>
            </w: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2201.9</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-20.7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154.1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122.7</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36.2</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-19.4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6609.3</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-22.0</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0.08</w:t>
            </w:r>
          </w:p>
        </w:tc>
      </w:tr>
      <w:tr w:rsidR="00A95985" w:rsidRPr="00740523" w:rsidTr="00D0485F">
        <w:trPr>
          <w:trHeight w:val="255"/>
        </w:trPr>
        <w:tc>
          <w:tcPr>
            <w:tcW w:w="146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90.1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-20.4</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nil"/>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r w:rsidR="00A95985" w:rsidRPr="00740523" w:rsidTr="00D0485F">
        <w:trPr>
          <w:trHeight w:val="255"/>
        </w:trPr>
        <w:tc>
          <w:tcPr>
            <w:tcW w:w="1460"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 </w:t>
            </w:r>
          </w:p>
        </w:tc>
        <w:tc>
          <w:tcPr>
            <w:tcW w:w="2000"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Developed</w:t>
            </w: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576.8</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-19.0</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b/>
                <w:bCs/>
                <w:color w:val="000000"/>
                <w:sz w:val="20"/>
                <w:szCs w:val="20"/>
              </w:rPr>
            </w:pPr>
            <w:r w:rsidRPr="00740523">
              <w:rPr>
                <w:rFonts w:ascii="Times New Roman" w:eastAsia="Times New Roman" w:hAnsi="Times New Roman" w:cs="Times New Roman"/>
                <w:b/>
                <w:bCs/>
                <w:color w:val="000000"/>
                <w:sz w:val="20"/>
                <w:szCs w:val="20"/>
              </w:rPr>
              <w:t>0.00</w:t>
            </w:r>
          </w:p>
        </w:tc>
        <w:tc>
          <w:tcPr>
            <w:tcW w:w="98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w:t>
            </w:r>
          </w:p>
        </w:tc>
        <w:tc>
          <w:tcPr>
            <w:tcW w:w="935" w:type="dxa"/>
            <w:tcBorders>
              <w:top w:val="nil"/>
              <w:left w:val="nil"/>
              <w:bottom w:val="single" w:sz="4" w:space="0" w:color="auto"/>
              <w:right w:val="nil"/>
            </w:tcBorders>
            <w:shd w:val="clear" w:color="auto" w:fill="auto"/>
            <w:noWrap/>
            <w:vAlign w:val="center"/>
            <w:hideMark/>
          </w:tcPr>
          <w:p w:rsidR="00A95985" w:rsidRPr="00740523" w:rsidRDefault="00A95985" w:rsidP="00D0485F">
            <w:pPr>
              <w:spacing w:after="0" w:line="240" w:lineRule="auto"/>
              <w:jc w:val="center"/>
              <w:rPr>
                <w:rFonts w:ascii="Times New Roman" w:eastAsia="Times New Roman" w:hAnsi="Times New Roman" w:cs="Times New Roman"/>
                <w:color w:val="000000"/>
                <w:sz w:val="20"/>
                <w:szCs w:val="20"/>
              </w:rPr>
            </w:pPr>
            <w:r w:rsidRPr="00740523">
              <w:rPr>
                <w:rFonts w:ascii="Times New Roman" w:eastAsia="Times New Roman" w:hAnsi="Times New Roman" w:cs="Times New Roman"/>
                <w:color w:val="000000"/>
                <w:sz w:val="20"/>
                <w:szCs w:val="20"/>
              </w:rPr>
              <w:t>0.10</w:t>
            </w:r>
          </w:p>
        </w:tc>
      </w:tr>
    </w:tbl>
    <w:p w:rsidR="00A95985" w:rsidRPr="00DB60A9" w:rsidRDefault="00A95985" w:rsidP="00A95985">
      <w:pPr>
        <w:spacing w:after="0" w:line="240" w:lineRule="auto"/>
        <w:jc w:val="both"/>
        <w:rPr>
          <w:rFonts w:ascii="Times New Roman" w:hAnsi="Times New Roman" w:cs="Times New Roman"/>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The table reports the test statistic and P-value for Jarque-Bera Test (H</w:t>
      </w:r>
      <w:r w:rsidRPr="00DB60A9">
        <w:rPr>
          <w:rFonts w:ascii="Times New Roman" w:hAnsi="Times New Roman" w:cs="Times New Roman"/>
          <w:sz w:val="18"/>
          <w:szCs w:val="18"/>
          <w:vertAlign w:val="subscript"/>
        </w:rPr>
        <w:t>0</w:t>
      </w:r>
      <w:r w:rsidRPr="00DB60A9">
        <w:rPr>
          <w:rFonts w:ascii="Times New Roman" w:hAnsi="Times New Roman" w:cs="Times New Roman"/>
          <w:sz w:val="18"/>
          <w:szCs w:val="18"/>
        </w:rPr>
        <w:t>: the series is Normal), Augmented Dickey-Fuller Test (H</w:t>
      </w:r>
      <w:r w:rsidRPr="00DB60A9">
        <w:rPr>
          <w:rFonts w:ascii="Times New Roman" w:hAnsi="Times New Roman" w:cs="Times New Roman"/>
          <w:sz w:val="18"/>
          <w:szCs w:val="18"/>
          <w:vertAlign w:val="subscript"/>
        </w:rPr>
        <w:t>0</w:t>
      </w:r>
      <w:r w:rsidRPr="00DB60A9">
        <w:rPr>
          <w:rFonts w:ascii="Times New Roman" w:hAnsi="Times New Roman" w:cs="Times New Roman"/>
          <w:sz w:val="18"/>
          <w:szCs w:val="18"/>
        </w:rPr>
        <w:t>: the series contains a unit root) and KPSS Test (H</w:t>
      </w:r>
      <w:r w:rsidRPr="00DB60A9">
        <w:rPr>
          <w:rFonts w:ascii="Times New Roman" w:hAnsi="Times New Roman" w:cs="Times New Roman"/>
          <w:sz w:val="18"/>
          <w:szCs w:val="18"/>
          <w:vertAlign w:val="subscript"/>
        </w:rPr>
        <w:t>0</w:t>
      </w:r>
      <w:r w:rsidRPr="00DB60A9">
        <w:rPr>
          <w:rFonts w:ascii="Times New Roman" w:hAnsi="Times New Roman" w:cs="Times New Roman"/>
          <w:sz w:val="18"/>
          <w:szCs w:val="18"/>
        </w:rPr>
        <w:t xml:space="preserve">: the series is stationary). KPSS test is conducted without including a trend term </w:t>
      </w:r>
      <w:r>
        <w:rPr>
          <w:rFonts w:ascii="Times New Roman" w:hAnsi="Times New Roman" w:cs="Times New Roman"/>
          <w:sz w:val="18"/>
          <w:szCs w:val="18"/>
        </w:rPr>
        <w:t xml:space="preserve">in case of </w:t>
      </w:r>
      <w:r w:rsidRPr="00DB60A9">
        <w:rPr>
          <w:rFonts w:ascii="Times New Roman" w:hAnsi="Times New Roman" w:cs="Times New Roman"/>
          <w:sz w:val="18"/>
          <w:szCs w:val="18"/>
        </w:rPr>
        <w:t>returns</w:t>
      </w:r>
      <w:r>
        <w:rPr>
          <w:rFonts w:ascii="Times New Roman" w:hAnsi="Times New Roman" w:cs="Times New Roman"/>
          <w:sz w:val="18"/>
          <w:szCs w:val="18"/>
        </w:rPr>
        <w:t xml:space="preserve"> as they are mean-reverting and with a trend term in case of inflation rate. T</w:t>
      </w:r>
      <w:r w:rsidRPr="00DB60A9">
        <w:rPr>
          <w:rFonts w:ascii="Times New Roman" w:hAnsi="Times New Roman" w:cs="Times New Roman"/>
          <w:sz w:val="18"/>
          <w:szCs w:val="18"/>
        </w:rPr>
        <w:t xml:space="preserve">he number of lags is the square root of the sample size as suggested by Kwiatkowski et al. (1992). </w:t>
      </w:r>
      <w:r>
        <w:rPr>
          <w:rFonts w:ascii="Times New Roman" w:hAnsi="Times New Roman" w:cs="Times New Roman"/>
          <w:sz w:val="18"/>
          <w:szCs w:val="18"/>
        </w:rPr>
        <w:t xml:space="preserve">The numbers in </w:t>
      </w:r>
      <w:r w:rsidRPr="00323D62">
        <w:rPr>
          <w:rFonts w:ascii="Times New Roman" w:hAnsi="Times New Roman" w:cs="Times New Roman"/>
          <w:b/>
          <w:sz w:val="18"/>
          <w:szCs w:val="18"/>
        </w:rPr>
        <w:t>bold</w:t>
      </w:r>
      <w:r>
        <w:rPr>
          <w:rFonts w:ascii="Times New Roman" w:hAnsi="Times New Roman" w:cs="Times New Roman"/>
          <w:sz w:val="18"/>
          <w:szCs w:val="18"/>
        </w:rPr>
        <w:t xml:space="preserve"> indicate the rejection of the null hypothesis at 5% significance level.</w:t>
      </w:r>
    </w:p>
    <w:p w:rsidR="00A95985" w:rsidRDefault="00A95985" w:rsidP="00A95985"/>
    <w:p w:rsidR="00A95985" w:rsidRDefault="00A95985" w:rsidP="00A95985"/>
    <w:p w:rsidR="0004732B" w:rsidRDefault="0004732B" w:rsidP="00A95985">
      <w:pPr>
        <w:jc w:val="center"/>
        <w:rPr>
          <w:rFonts w:ascii="Times New Roman" w:hAnsi="Times New Roman" w:cs="Times New Roman"/>
          <w:sz w:val="20"/>
          <w:szCs w:val="20"/>
        </w:rPr>
      </w:pPr>
    </w:p>
    <w:p w:rsidR="00A95985" w:rsidRPr="0004732B" w:rsidRDefault="00A95985" w:rsidP="0004732B">
      <w:pPr>
        <w:spacing w:after="120" w:line="360" w:lineRule="auto"/>
        <w:jc w:val="center"/>
        <w:rPr>
          <w:rFonts w:ascii="Times New Roman" w:hAnsi="Times New Roman" w:cs="Times New Roman"/>
        </w:rPr>
      </w:pPr>
      <w:r w:rsidRPr="0004732B">
        <w:rPr>
          <w:rFonts w:ascii="Times New Roman" w:hAnsi="Times New Roman" w:cs="Times New Roman"/>
        </w:rPr>
        <w:t>Table A.3: Autocorrelation and Heteroscedasticity Tests</w:t>
      </w:r>
    </w:p>
    <w:tbl>
      <w:tblPr>
        <w:tblW w:w="9020" w:type="dxa"/>
        <w:tblInd w:w="93" w:type="dxa"/>
        <w:tblLook w:val="04A0"/>
      </w:tblPr>
      <w:tblGrid>
        <w:gridCol w:w="1260"/>
        <w:gridCol w:w="2000"/>
        <w:gridCol w:w="985"/>
        <w:gridCol w:w="935"/>
        <w:gridCol w:w="985"/>
        <w:gridCol w:w="935"/>
        <w:gridCol w:w="985"/>
        <w:gridCol w:w="935"/>
      </w:tblGrid>
      <w:tr w:rsidR="00A95985" w:rsidRPr="00C06FA8" w:rsidTr="00D0485F">
        <w:trPr>
          <w:trHeight w:val="300"/>
        </w:trPr>
        <w:tc>
          <w:tcPr>
            <w:tcW w:w="1260" w:type="dxa"/>
            <w:vMerge w:val="restart"/>
            <w:tcBorders>
              <w:top w:val="single" w:sz="4" w:space="0" w:color="auto"/>
              <w:left w:val="nil"/>
              <w:bottom w:val="single" w:sz="4" w:space="0" w:color="000000"/>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Asset Class</w:t>
            </w:r>
          </w:p>
        </w:tc>
        <w:tc>
          <w:tcPr>
            <w:tcW w:w="2000" w:type="dxa"/>
            <w:vMerge w:val="restart"/>
            <w:tcBorders>
              <w:top w:val="single" w:sz="4" w:space="0" w:color="auto"/>
              <w:left w:val="nil"/>
              <w:bottom w:val="single" w:sz="4" w:space="0" w:color="000000"/>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Country</w:t>
            </w:r>
          </w:p>
        </w:tc>
        <w:tc>
          <w:tcPr>
            <w:tcW w:w="3840" w:type="dxa"/>
            <w:gridSpan w:val="4"/>
            <w:tcBorders>
              <w:top w:val="single" w:sz="4" w:space="0" w:color="auto"/>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Ljung-Box Q-test</w:t>
            </w:r>
          </w:p>
        </w:tc>
        <w:tc>
          <w:tcPr>
            <w:tcW w:w="1920" w:type="dxa"/>
            <w:gridSpan w:val="2"/>
            <w:vMerge w:val="restart"/>
            <w:tcBorders>
              <w:top w:val="single" w:sz="4" w:space="0" w:color="auto"/>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ARCH Test</w:t>
            </w:r>
          </w:p>
        </w:tc>
      </w:tr>
      <w:tr w:rsidR="00A95985" w:rsidRPr="00C06FA8" w:rsidTr="00D0485F">
        <w:trPr>
          <w:trHeight w:val="300"/>
        </w:trPr>
        <w:tc>
          <w:tcPr>
            <w:tcW w:w="1260" w:type="dxa"/>
            <w:vMerge/>
            <w:tcBorders>
              <w:top w:val="single" w:sz="4" w:space="0" w:color="auto"/>
              <w:left w:val="nil"/>
              <w:bottom w:val="single" w:sz="4" w:space="0" w:color="000000"/>
              <w:right w:val="nil"/>
            </w:tcBorders>
            <w:vAlign w:val="center"/>
            <w:hideMark/>
          </w:tcPr>
          <w:p w:rsidR="00A95985" w:rsidRPr="00C06FA8" w:rsidRDefault="00A95985" w:rsidP="00D0485F">
            <w:pPr>
              <w:spacing w:after="0" w:line="240" w:lineRule="auto"/>
              <w:rPr>
                <w:rFonts w:ascii="Times New Roman" w:eastAsia="Times New Roman" w:hAnsi="Times New Roman" w:cs="Times New Roman"/>
                <w:color w:val="000000"/>
                <w:sz w:val="20"/>
                <w:szCs w:val="20"/>
              </w:rPr>
            </w:pPr>
          </w:p>
        </w:tc>
        <w:tc>
          <w:tcPr>
            <w:tcW w:w="2000" w:type="dxa"/>
            <w:vMerge/>
            <w:tcBorders>
              <w:top w:val="single" w:sz="4" w:space="0" w:color="auto"/>
              <w:left w:val="nil"/>
              <w:bottom w:val="single" w:sz="4" w:space="0" w:color="000000"/>
              <w:right w:val="nil"/>
            </w:tcBorders>
            <w:vAlign w:val="center"/>
            <w:hideMark/>
          </w:tcPr>
          <w:p w:rsidR="00A95985" w:rsidRPr="00C06FA8" w:rsidRDefault="00A95985" w:rsidP="00D0485F">
            <w:pPr>
              <w:spacing w:after="0" w:line="240" w:lineRule="auto"/>
              <w:rPr>
                <w:rFonts w:ascii="Times New Roman" w:eastAsia="Times New Roman" w:hAnsi="Times New Roman" w:cs="Times New Roman"/>
                <w:color w:val="000000"/>
                <w:sz w:val="20"/>
                <w:szCs w:val="20"/>
              </w:rPr>
            </w:pPr>
          </w:p>
        </w:tc>
        <w:tc>
          <w:tcPr>
            <w:tcW w:w="1920" w:type="dxa"/>
            <w:gridSpan w:val="2"/>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Returns</w:t>
            </w:r>
          </w:p>
        </w:tc>
        <w:tc>
          <w:tcPr>
            <w:tcW w:w="1920" w:type="dxa"/>
            <w:gridSpan w:val="2"/>
            <w:tcBorders>
              <w:top w:val="nil"/>
              <w:left w:val="nil"/>
              <w:bottom w:val="nil"/>
              <w:right w:val="nil"/>
            </w:tcBorders>
            <w:shd w:val="clear" w:color="auto" w:fill="auto"/>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Squared returns</w:t>
            </w:r>
          </w:p>
        </w:tc>
        <w:tc>
          <w:tcPr>
            <w:tcW w:w="1920" w:type="dxa"/>
            <w:gridSpan w:val="2"/>
            <w:vMerge/>
            <w:tcBorders>
              <w:top w:val="single" w:sz="4" w:space="0" w:color="auto"/>
              <w:left w:val="nil"/>
              <w:bottom w:val="nil"/>
              <w:right w:val="nil"/>
            </w:tcBorders>
            <w:vAlign w:val="center"/>
            <w:hideMark/>
          </w:tcPr>
          <w:p w:rsidR="00A95985" w:rsidRPr="00C06FA8" w:rsidRDefault="00A95985" w:rsidP="00D0485F">
            <w:pPr>
              <w:spacing w:after="0" w:line="240" w:lineRule="auto"/>
              <w:rPr>
                <w:rFonts w:ascii="Times New Roman" w:eastAsia="Times New Roman" w:hAnsi="Times New Roman" w:cs="Times New Roman"/>
                <w:color w:val="000000"/>
                <w:sz w:val="20"/>
                <w:szCs w:val="20"/>
              </w:rPr>
            </w:pPr>
          </w:p>
        </w:tc>
      </w:tr>
      <w:tr w:rsidR="00A95985" w:rsidRPr="00C06FA8" w:rsidTr="00D0485F">
        <w:trPr>
          <w:trHeight w:val="255"/>
        </w:trPr>
        <w:tc>
          <w:tcPr>
            <w:tcW w:w="1260" w:type="dxa"/>
            <w:vMerge/>
            <w:tcBorders>
              <w:top w:val="single" w:sz="4" w:space="0" w:color="auto"/>
              <w:left w:val="nil"/>
              <w:bottom w:val="single" w:sz="4" w:space="0" w:color="000000"/>
              <w:right w:val="nil"/>
            </w:tcBorders>
            <w:vAlign w:val="center"/>
            <w:hideMark/>
          </w:tcPr>
          <w:p w:rsidR="00A95985" w:rsidRPr="00C06FA8" w:rsidRDefault="00A95985" w:rsidP="00D0485F">
            <w:pPr>
              <w:spacing w:after="0" w:line="240" w:lineRule="auto"/>
              <w:rPr>
                <w:rFonts w:ascii="Times New Roman" w:eastAsia="Times New Roman" w:hAnsi="Times New Roman" w:cs="Times New Roman"/>
                <w:color w:val="000000"/>
                <w:sz w:val="20"/>
                <w:szCs w:val="20"/>
              </w:rPr>
            </w:pPr>
          </w:p>
        </w:tc>
        <w:tc>
          <w:tcPr>
            <w:tcW w:w="2000" w:type="dxa"/>
            <w:vMerge/>
            <w:tcBorders>
              <w:top w:val="single" w:sz="4" w:space="0" w:color="auto"/>
              <w:left w:val="nil"/>
              <w:bottom w:val="single" w:sz="4" w:space="0" w:color="000000"/>
              <w:right w:val="nil"/>
            </w:tcBorders>
            <w:vAlign w:val="center"/>
            <w:hideMark/>
          </w:tcPr>
          <w:p w:rsidR="00A95985" w:rsidRPr="00C06FA8" w:rsidRDefault="00A95985" w:rsidP="00D0485F">
            <w:pPr>
              <w:spacing w:after="0" w:line="240" w:lineRule="auto"/>
              <w:rPr>
                <w:rFonts w:ascii="Times New Roman" w:eastAsia="Times New Roman" w:hAnsi="Times New Roman" w:cs="Times New Roman"/>
                <w:color w:val="000000"/>
                <w:sz w:val="20"/>
                <w:szCs w:val="20"/>
              </w:rPr>
            </w:pP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P-value</w:t>
            </w: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P-value</w:t>
            </w: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Statistic</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P-value</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Inflation</w:t>
            </w: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176.6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120.4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44.8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138.2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78.2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43.8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16.7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11.1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0.05</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53.6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17.4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17.5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59.6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26.4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13.0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0.02</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143.1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198.1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86.0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225.0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296.9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114.4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Nominal</w:t>
            </w: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0.38</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15.4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0.64</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32.8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21.7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33.5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9.6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0.09</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22.6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48.3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34.2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32.1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22.6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14.5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47.5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29.2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CRSP Universe</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13.0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105.0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65.2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0.04</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29.4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24.0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Infl-link</w:t>
            </w: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0.56</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0.57</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0.76</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0.43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33.1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30.0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15.3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9.4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0.09</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24.8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20.1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36.6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32.9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22.0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18.6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20.5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17.5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Comparator</w:t>
            </w: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0.81</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0.53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0.40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8.6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0.13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0.82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0.86</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0.48</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0.69</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0.73</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0.42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7.7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0.17</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0.27</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0.42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45.8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30.1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13.3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0.02</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9.7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0.08</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10.0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0.08</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Developed</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7.6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0.18</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63.2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37.6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Equities</w:t>
            </w: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Australia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11.3</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0.24</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Canada</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6.5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0.26</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16.9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16.5</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Germany</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0.34</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32.6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21.9</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Japan</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7.2</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0.20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20.4</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16.1</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Kingdom</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11.6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0.04</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19.7</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0.00</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15.0</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0.01</w:t>
            </w:r>
          </w:p>
        </w:tc>
      </w:tr>
      <w:tr w:rsidR="00A95985" w:rsidRPr="00C06FA8" w:rsidTr="00D0485F">
        <w:trPr>
          <w:trHeight w:val="255"/>
        </w:trPr>
        <w:tc>
          <w:tcPr>
            <w:tcW w:w="126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p>
        </w:tc>
        <w:tc>
          <w:tcPr>
            <w:tcW w:w="2000"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United States</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5.6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0.35</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12.8</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b/>
                <w:bCs/>
                <w:color w:val="000000"/>
                <w:sz w:val="20"/>
                <w:szCs w:val="20"/>
              </w:rPr>
            </w:pPr>
            <w:r w:rsidRPr="00C06FA8">
              <w:rPr>
                <w:rFonts w:ascii="Times New Roman" w:eastAsia="Times New Roman" w:hAnsi="Times New Roman" w:cs="Times New Roman"/>
                <w:b/>
                <w:bCs/>
                <w:color w:val="000000"/>
                <w:sz w:val="20"/>
                <w:szCs w:val="20"/>
              </w:rPr>
              <w:t>0.03</w:t>
            </w:r>
          </w:p>
        </w:tc>
        <w:tc>
          <w:tcPr>
            <w:tcW w:w="98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10.6</w:t>
            </w:r>
          </w:p>
        </w:tc>
        <w:tc>
          <w:tcPr>
            <w:tcW w:w="935" w:type="dxa"/>
            <w:tcBorders>
              <w:top w:val="nil"/>
              <w:left w:val="nil"/>
              <w:bottom w:val="nil"/>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0.06</w:t>
            </w:r>
          </w:p>
        </w:tc>
      </w:tr>
      <w:tr w:rsidR="00A95985" w:rsidRPr="00C06FA8" w:rsidTr="00D0485F">
        <w:trPr>
          <w:trHeight w:val="255"/>
        </w:trPr>
        <w:tc>
          <w:tcPr>
            <w:tcW w:w="1260"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 </w:t>
            </w:r>
          </w:p>
        </w:tc>
        <w:tc>
          <w:tcPr>
            <w:tcW w:w="2000"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Developed</w:t>
            </w: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10.8</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0.05</w:t>
            </w: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3.7</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0.60</w:t>
            </w:r>
          </w:p>
        </w:tc>
        <w:tc>
          <w:tcPr>
            <w:tcW w:w="98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2.9</w:t>
            </w:r>
          </w:p>
        </w:tc>
        <w:tc>
          <w:tcPr>
            <w:tcW w:w="935" w:type="dxa"/>
            <w:tcBorders>
              <w:top w:val="nil"/>
              <w:left w:val="nil"/>
              <w:bottom w:val="single" w:sz="4" w:space="0" w:color="auto"/>
              <w:right w:val="nil"/>
            </w:tcBorders>
            <w:shd w:val="clear" w:color="auto" w:fill="auto"/>
            <w:noWrap/>
            <w:vAlign w:val="center"/>
            <w:hideMark/>
          </w:tcPr>
          <w:p w:rsidR="00A95985" w:rsidRPr="00C06FA8" w:rsidRDefault="00A95985" w:rsidP="00D0485F">
            <w:pPr>
              <w:spacing w:after="0" w:line="240" w:lineRule="auto"/>
              <w:jc w:val="center"/>
              <w:rPr>
                <w:rFonts w:ascii="Times New Roman" w:eastAsia="Times New Roman" w:hAnsi="Times New Roman" w:cs="Times New Roman"/>
                <w:color w:val="000000"/>
                <w:sz w:val="20"/>
                <w:szCs w:val="20"/>
              </w:rPr>
            </w:pPr>
            <w:r w:rsidRPr="00C06FA8">
              <w:rPr>
                <w:rFonts w:ascii="Times New Roman" w:eastAsia="Times New Roman" w:hAnsi="Times New Roman" w:cs="Times New Roman"/>
                <w:color w:val="000000"/>
                <w:sz w:val="20"/>
                <w:szCs w:val="20"/>
              </w:rPr>
              <w:t>0.71</w:t>
            </w:r>
          </w:p>
        </w:tc>
      </w:tr>
    </w:tbl>
    <w:p w:rsidR="00A95985" w:rsidRPr="00DB60A9" w:rsidRDefault="00A95985" w:rsidP="00A95985">
      <w:pPr>
        <w:spacing w:after="0" w:line="240" w:lineRule="auto"/>
        <w:jc w:val="both"/>
        <w:rPr>
          <w:rFonts w:ascii="Times New Roman" w:hAnsi="Times New Roman" w:cs="Times New Roman"/>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 xml:space="preserve">The table reports the test statistic and P-value </w:t>
      </w:r>
      <w:r w:rsidRPr="00C06FA8">
        <w:rPr>
          <w:rFonts w:ascii="Times New Roman" w:hAnsi="Times New Roman" w:cs="Times New Roman"/>
          <w:sz w:val="16"/>
          <w:szCs w:val="18"/>
        </w:rPr>
        <w:t xml:space="preserve">for </w:t>
      </w:r>
      <w:r w:rsidRPr="00C06FA8">
        <w:rPr>
          <w:rFonts w:ascii="Times New Roman" w:eastAsia="Times New Roman" w:hAnsi="Times New Roman" w:cs="Times New Roman"/>
          <w:color w:val="000000"/>
          <w:sz w:val="18"/>
          <w:szCs w:val="20"/>
        </w:rPr>
        <w:t>Ljung-Box Q-test</w:t>
      </w:r>
      <w:r w:rsidRPr="00C06FA8">
        <w:rPr>
          <w:rFonts w:ascii="Times New Roman" w:hAnsi="Times New Roman" w:cs="Times New Roman"/>
          <w:sz w:val="16"/>
          <w:szCs w:val="18"/>
        </w:rPr>
        <w:t xml:space="preserve"> </w:t>
      </w:r>
      <w:r w:rsidRPr="00DB60A9">
        <w:rPr>
          <w:rFonts w:ascii="Times New Roman" w:hAnsi="Times New Roman" w:cs="Times New Roman"/>
          <w:sz w:val="18"/>
          <w:szCs w:val="18"/>
        </w:rPr>
        <w:t>(H</w:t>
      </w:r>
      <w:r w:rsidRPr="00DB60A9">
        <w:rPr>
          <w:rFonts w:ascii="Times New Roman" w:hAnsi="Times New Roman" w:cs="Times New Roman"/>
          <w:sz w:val="18"/>
          <w:szCs w:val="18"/>
          <w:vertAlign w:val="subscript"/>
        </w:rPr>
        <w:t>0</w:t>
      </w:r>
      <w:r>
        <w:rPr>
          <w:rFonts w:ascii="Times New Roman" w:hAnsi="Times New Roman" w:cs="Times New Roman"/>
          <w:sz w:val="18"/>
          <w:szCs w:val="18"/>
        </w:rPr>
        <w:t xml:space="preserve">: there is no autocorrelation up to lag i), Engle’s ARCH test </w:t>
      </w:r>
      <w:r w:rsidRPr="00DB60A9">
        <w:rPr>
          <w:rFonts w:ascii="Times New Roman" w:hAnsi="Times New Roman" w:cs="Times New Roman"/>
          <w:sz w:val="18"/>
          <w:szCs w:val="18"/>
        </w:rPr>
        <w:t>(H</w:t>
      </w:r>
      <w:r w:rsidRPr="00DB60A9">
        <w:rPr>
          <w:rFonts w:ascii="Times New Roman" w:hAnsi="Times New Roman" w:cs="Times New Roman"/>
          <w:sz w:val="18"/>
          <w:szCs w:val="18"/>
          <w:vertAlign w:val="subscript"/>
        </w:rPr>
        <w:t>0</w:t>
      </w:r>
      <w:r>
        <w:rPr>
          <w:rFonts w:ascii="Times New Roman" w:hAnsi="Times New Roman" w:cs="Times New Roman"/>
          <w:sz w:val="18"/>
          <w:szCs w:val="18"/>
        </w:rPr>
        <w:t>: the series exhibits no conditional heteroscedasticity (ARCH effects)</w:t>
      </w:r>
      <w:r w:rsidRPr="00DB60A9">
        <w:rPr>
          <w:rFonts w:ascii="Times New Roman" w:hAnsi="Times New Roman" w:cs="Times New Roman"/>
          <w:sz w:val="18"/>
          <w:szCs w:val="18"/>
        </w:rPr>
        <w:t>)</w:t>
      </w:r>
      <w:r>
        <w:rPr>
          <w:rFonts w:ascii="Times New Roman" w:hAnsi="Times New Roman" w:cs="Times New Roman"/>
          <w:sz w:val="18"/>
          <w:szCs w:val="18"/>
        </w:rPr>
        <w:t xml:space="preserve">. The test statistic and p-values are computed for 5 lags. The numbers in </w:t>
      </w:r>
      <w:r w:rsidRPr="00323D62">
        <w:rPr>
          <w:rFonts w:ascii="Times New Roman" w:hAnsi="Times New Roman" w:cs="Times New Roman"/>
          <w:b/>
          <w:sz w:val="18"/>
          <w:szCs w:val="18"/>
        </w:rPr>
        <w:t xml:space="preserve">bold </w:t>
      </w:r>
      <w:r>
        <w:rPr>
          <w:rFonts w:ascii="Times New Roman" w:hAnsi="Times New Roman" w:cs="Times New Roman"/>
          <w:sz w:val="18"/>
          <w:szCs w:val="18"/>
        </w:rPr>
        <w:t>indicate the rejection of the null hypothesis at 5% significance level.</w:t>
      </w:r>
    </w:p>
    <w:p w:rsidR="00A95985" w:rsidRDefault="00A95985" w:rsidP="00A95985"/>
    <w:p w:rsidR="0004732B" w:rsidRDefault="0004732B" w:rsidP="00A95985"/>
    <w:p w:rsidR="0004732B" w:rsidRDefault="0004732B" w:rsidP="00A95985"/>
    <w:p w:rsidR="005A06CB" w:rsidRPr="0004732B" w:rsidRDefault="0004732B" w:rsidP="0004732B">
      <w:pPr>
        <w:spacing w:after="120" w:line="360" w:lineRule="auto"/>
        <w:jc w:val="center"/>
        <w:rPr>
          <w:rFonts w:ascii="Times New Roman" w:hAnsi="Times New Roman" w:cs="Times New Roman"/>
        </w:rPr>
      </w:pPr>
      <w:r w:rsidRPr="0004732B">
        <w:rPr>
          <w:rFonts w:ascii="Times New Roman" w:hAnsi="Times New Roman" w:cs="Times New Roman"/>
        </w:rPr>
        <w:t>Table A.4</w:t>
      </w:r>
      <w:r w:rsidR="005A06CB" w:rsidRPr="0004732B">
        <w:rPr>
          <w:rFonts w:ascii="Times New Roman" w:hAnsi="Times New Roman" w:cs="Times New Roman"/>
        </w:rPr>
        <w:t>: Robust Regressions of Monthly Nominal Bond Returns</w:t>
      </w:r>
    </w:p>
    <w:tbl>
      <w:tblPr>
        <w:tblW w:w="10509" w:type="dxa"/>
        <w:jc w:val="center"/>
        <w:tblInd w:w="93" w:type="dxa"/>
        <w:tblLook w:val="04A0"/>
      </w:tblPr>
      <w:tblGrid>
        <w:gridCol w:w="1380"/>
        <w:gridCol w:w="1120"/>
        <w:gridCol w:w="766"/>
        <w:gridCol w:w="718"/>
        <w:gridCol w:w="1136"/>
        <w:gridCol w:w="954"/>
        <w:gridCol w:w="1288"/>
        <w:gridCol w:w="954"/>
        <w:gridCol w:w="1260"/>
        <w:gridCol w:w="933"/>
      </w:tblGrid>
      <w:tr w:rsidR="005A06CB" w:rsidRPr="002217A6" w:rsidTr="00D502BF">
        <w:trPr>
          <w:trHeight w:val="300"/>
          <w:jc w:val="center"/>
        </w:trPr>
        <w:tc>
          <w:tcPr>
            <w:tcW w:w="1380" w:type="dxa"/>
            <w:vMerge w:val="restart"/>
            <w:tcBorders>
              <w:top w:val="single" w:sz="4" w:space="0" w:color="auto"/>
              <w:left w:val="nil"/>
              <w:bottom w:val="single" w:sz="4" w:space="0" w:color="000000"/>
              <w:right w:val="nil"/>
            </w:tcBorders>
            <w:shd w:val="clear" w:color="auto" w:fill="auto"/>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Nominal Bond Excess Returns</w:t>
            </w:r>
          </w:p>
        </w:tc>
        <w:tc>
          <w:tcPr>
            <w:tcW w:w="1120" w:type="dxa"/>
            <w:vMerge w:val="restart"/>
            <w:tcBorders>
              <w:top w:val="single" w:sz="4" w:space="0" w:color="auto"/>
              <w:left w:val="nil"/>
              <w:bottom w:val="single" w:sz="4" w:space="0" w:color="000000"/>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Dummy</w:t>
            </w:r>
          </w:p>
        </w:tc>
        <w:tc>
          <w:tcPr>
            <w:tcW w:w="1484" w:type="dxa"/>
            <w:gridSpan w:val="2"/>
            <w:tcBorders>
              <w:top w:val="single" w:sz="4" w:space="0" w:color="auto"/>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Newey-West</w:t>
            </w:r>
          </w:p>
        </w:tc>
        <w:tc>
          <w:tcPr>
            <w:tcW w:w="2090" w:type="dxa"/>
            <w:gridSpan w:val="2"/>
            <w:tcBorders>
              <w:top w:val="single" w:sz="4" w:space="0" w:color="auto"/>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Huber</w:t>
            </w:r>
          </w:p>
        </w:tc>
        <w:tc>
          <w:tcPr>
            <w:tcW w:w="2242" w:type="dxa"/>
            <w:gridSpan w:val="2"/>
            <w:tcBorders>
              <w:top w:val="single" w:sz="4" w:space="0" w:color="auto"/>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Tukey</w:t>
            </w:r>
          </w:p>
        </w:tc>
        <w:tc>
          <w:tcPr>
            <w:tcW w:w="2193" w:type="dxa"/>
            <w:gridSpan w:val="2"/>
            <w:tcBorders>
              <w:top w:val="single" w:sz="4" w:space="0" w:color="auto"/>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Hampel</w:t>
            </w:r>
          </w:p>
        </w:tc>
      </w:tr>
      <w:tr w:rsidR="005A06CB" w:rsidRPr="002217A6" w:rsidTr="00D502BF">
        <w:trPr>
          <w:trHeight w:val="255"/>
          <w:jc w:val="center"/>
        </w:trPr>
        <w:tc>
          <w:tcPr>
            <w:tcW w:w="1380" w:type="dxa"/>
            <w:vMerge/>
            <w:tcBorders>
              <w:top w:val="single" w:sz="4" w:space="0" w:color="auto"/>
              <w:left w:val="nil"/>
              <w:bottom w:val="single" w:sz="4" w:space="0" w:color="000000"/>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vMerge/>
            <w:tcBorders>
              <w:top w:val="single" w:sz="4" w:space="0" w:color="auto"/>
              <w:left w:val="nil"/>
              <w:bottom w:val="single" w:sz="4" w:space="0" w:color="000000"/>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766"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β</w:t>
            </w:r>
          </w:p>
        </w:tc>
        <w:tc>
          <w:tcPr>
            <w:tcW w:w="718"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t-stat</w:t>
            </w:r>
          </w:p>
        </w:tc>
        <w:tc>
          <w:tcPr>
            <w:tcW w:w="1136"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β</w:t>
            </w:r>
          </w:p>
        </w:tc>
        <w:tc>
          <w:tcPr>
            <w:tcW w:w="954"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t-stat</w:t>
            </w:r>
          </w:p>
        </w:tc>
        <w:tc>
          <w:tcPr>
            <w:tcW w:w="1288"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β</w:t>
            </w:r>
          </w:p>
        </w:tc>
        <w:tc>
          <w:tcPr>
            <w:tcW w:w="954"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t-stat</w:t>
            </w:r>
          </w:p>
        </w:tc>
        <w:tc>
          <w:tcPr>
            <w:tcW w:w="1260"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β</w:t>
            </w:r>
          </w:p>
        </w:tc>
        <w:tc>
          <w:tcPr>
            <w:tcW w:w="933"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t-stat</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lastRenderedPageBreak/>
              <w:t>Australia</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0.0030</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4F81BD"/>
                <w:sz w:val="20"/>
                <w:szCs w:val="20"/>
              </w:rPr>
            </w:pPr>
            <w:r w:rsidRPr="002217A6">
              <w:rPr>
                <w:rFonts w:ascii="Times New Roman" w:eastAsia="Times New Roman" w:hAnsi="Times New Roman" w:cs="Times New Roman"/>
                <w:color w:val="4F81BD"/>
                <w:sz w:val="20"/>
                <w:szCs w:val="20"/>
              </w:rPr>
              <w:t>1.73</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0.0030</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2.00</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0.0032</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2.10</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0.0031</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2.02</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0.0036</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0.84</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0.0045</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1.25</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0.0053</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1.44</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0.0046</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1.28</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Canada</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0.0038</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2.28</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0.0031</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2.00</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0.0028</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4F81BD"/>
                <w:sz w:val="20"/>
                <w:szCs w:val="20"/>
              </w:rPr>
            </w:pPr>
            <w:r w:rsidRPr="002217A6">
              <w:rPr>
                <w:rFonts w:ascii="Times New Roman" w:eastAsia="Times New Roman" w:hAnsi="Times New Roman" w:cs="Times New Roman"/>
                <w:color w:val="4F81BD"/>
                <w:sz w:val="20"/>
                <w:szCs w:val="20"/>
              </w:rPr>
              <w:t>1.79</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0.0031</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1.96</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0.0104</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2.58</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0.0083</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2.22</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0.0073</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4F81BD"/>
                <w:sz w:val="20"/>
                <w:szCs w:val="20"/>
              </w:rPr>
            </w:pPr>
            <w:r w:rsidRPr="002217A6">
              <w:rPr>
                <w:rFonts w:ascii="Times New Roman" w:eastAsia="Times New Roman" w:hAnsi="Times New Roman" w:cs="Times New Roman"/>
                <w:color w:val="4F81BD"/>
                <w:sz w:val="20"/>
                <w:szCs w:val="20"/>
              </w:rPr>
              <w:t>1.95</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0.0083</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2.20</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Germany</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0.0031</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2.67</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0.0025</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2.30</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0.0022</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2.04</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0.0025</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2.28</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0.0048</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4F81BD"/>
                <w:sz w:val="20"/>
                <w:szCs w:val="20"/>
              </w:rPr>
            </w:pPr>
            <w:r w:rsidRPr="002217A6">
              <w:rPr>
                <w:rFonts w:ascii="Times New Roman" w:eastAsia="Times New Roman" w:hAnsi="Times New Roman" w:cs="Times New Roman"/>
                <w:color w:val="4F81BD"/>
                <w:sz w:val="20"/>
                <w:szCs w:val="20"/>
              </w:rPr>
              <w:t>1.75</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0.0032</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1.24</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0.0025</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0.97</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0.0031</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1.22</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Japan</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0.0019</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4F81BD"/>
                <w:sz w:val="20"/>
                <w:szCs w:val="20"/>
              </w:rPr>
            </w:pPr>
            <w:r w:rsidRPr="002217A6">
              <w:rPr>
                <w:rFonts w:ascii="Times New Roman" w:eastAsia="Times New Roman" w:hAnsi="Times New Roman" w:cs="Times New Roman"/>
                <w:color w:val="4F81BD"/>
                <w:sz w:val="20"/>
                <w:szCs w:val="20"/>
              </w:rPr>
              <w:t>1.69</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0.0020</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2.20</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0.0020</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2.30</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0.0021</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2.31</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0.0012</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0.42</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0.0020</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0.92</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0.0025</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1.17</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0.0022</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1.05</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United Kingdom</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0.0045</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2.37</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0.0048</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2.72</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0.0050</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2.82</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0.0049</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2.75</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0.0072</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1.45</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0.0087</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2.06</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0.0092</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2.17</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0.0089</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2.11</w:t>
            </w:r>
          </w:p>
        </w:tc>
      </w:tr>
      <w:tr w:rsidR="005A06CB" w:rsidRPr="002217A6" w:rsidTr="00D502BF">
        <w:trPr>
          <w:trHeight w:val="255"/>
          <w:jc w:val="center"/>
        </w:trPr>
        <w:tc>
          <w:tcPr>
            <w:tcW w:w="1380" w:type="dxa"/>
            <w:vMerge w:val="restart"/>
            <w:tcBorders>
              <w:top w:val="nil"/>
              <w:left w:val="nil"/>
              <w:bottom w:val="nil"/>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United States</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0.0034</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1.99</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0.0034</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2.37</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0.0034</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2.34</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0.0035</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2.38</w:t>
            </w:r>
          </w:p>
        </w:tc>
      </w:tr>
      <w:tr w:rsidR="005A06CB" w:rsidRPr="002217A6" w:rsidTr="00D502BF">
        <w:trPr>
          <w:trHeight w:val="255"/>
          <w:jc w:val="center"/>
        </w:trPr>
        <w:tc>
          <w:tcPr>
            <w:tcW w:w="1380" w:type="dxa"/>
            <w:vMerge/>
            <w:tcBorders>
              <w:top w:val="nil"/>
              <w:left w:val="nil"/>
              <w:bottom w:val="nil"/>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0.0105</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3.10</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0.0108</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3.14</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0.0107</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3.12</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0.0109</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3.16</w:t>
            </w:r>
          </w:p>
        </w:tc>
      </w:tr>
      <w:tr w:rsidR="005A06CB" w:rsidRPr="002217A6" w:rsidTr="00D502BF">
        <w:trPr>
          <w:trHeight w:val="255"/>
          <w:jc w:val="center"/>
        </w:trPr>
        <w:tc>
          <w:tcPr>
            <w:tcW w:w="1380" w:type="dxa"/>
            <w:vMerge w:val="restart"/>
            <w:tcBorders>
              <w:top w:val="nil"/>
              <w:left w:val="nil"/>
              <w:bottom w:val="single" w:sz="4" w:space="0" w:color="000000"/>
              <w:right w:val="nil"/>
            </w:tcBorders>
            <w:shd w:val="clear" w:color="auto" w:fill="auto"/>
            <w:noWrap/>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Developed (6)</w:t>
            </w:r>
          </w:p>
        </w:tc>
        <w:tc>
          <w:tcPr>
            <w:tcW w:w="112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H1 H2</w:t>
            </w:r>
          </w:p>
        </w:tc>
        <w:tc>
          <w:tcPr>
            <w:tcW w:w="76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0.0032</w:t>
            </w:r>
          </w:p>
        </w:tc>
        <w:tc>
          <w:tcPr>
            <w:tcW w:w="71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2.58</w:t>
            </w:r>
          </w:p>
        </w:tc>
        <w:tc>
          <w:tcPr>
            <w:tcW w:w="1136"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0.0033</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2.98</w:t>
            </w:r>
          </w:p>
        </w:tc>
        <w:tc>
          <w:tcPr>
            <w:tcW w:w="1288"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0.0032</w:t>
            </w:r>
          </w:p>
        </w:tc>
        <w:tc>
          <w:tcPr>
            <w:tcW w:w="954"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2.89</w:t>
            </w:r>
          </w:p>
        </w:tc>
        <w:tc>
          <w:tcPr>
            <w:tcW w:w="1260"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0.0033</w:t>
            </w:r>
          </w:p>
        </w:tc>
        <w:tc>
          <w:tcPr>
            <w:tcW w:w="933" w:type="dxa"/>
            <w:tcBorders>
              <w:top w:val="nil"/>
              <w:left w:val="nil"/>
              <w:bottom w:val="nil"/>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2.99</w:t>
            </w:r>
          </w:p>
        </w:tc>
      </w:tr>
      <w:tr w:rsidR="005A06CB" w:rsidRPr="002217A6" w:rsidTr="00D502BF">
        <w:trPr>
          <w:trHeight w:val="255"/>
          <w:jc w:val="center"/>
        </w:trPr>
        <w:tc>
          <w:tcPr>
            <w:tcW w:w="1380" w:type="dxa"/>
            <w:vMerge/>
            <w:tcBorders>
              <w:top w:val="nil"/>
              <w:left w:val="nil"/>
              <w:bottom w:val="single" w:sz="4" w:space="0" w:color="000000"/>
              <w:right w:val="nil"/>
            </w:tcBorders>
            <w:vAlign w:val="center"/>
            <w:hideMark/>
          </w:tcPr>
          <w:p w:rsidR="005A06CB" w:rsidRPr="002217A6" w:rsidRDefault="005A06CB" w:rsidP="00D0485F">
            <w:pPr>
              <w:spacing w:after="0" w:line="240" w:lineRule="auto"/>
              <w:rPr>
                <w:rFonts w:ascii="Times New Roman" w:eastAsia="Times New Roman" w:hAnsi="Times New Roman" w:cs="Times New Roman"/>
                <w:color w:val="000000"/>
                <w:sz w:val="20"/>
                <w:szCs w:val="20"/>
              </w:rPr>
            </w:pPr>
          </w:p>
        </w:tc>
        <w:tc>
          <w:tcPr>
            <w:tcW w:w="1120"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SAD</w:t>
            </w:r>
          </w:p>
        </w:tc>
        <w:tc>
          <w:tcPr>
            <w:tcW w:w="766"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0.0061</w:t>
            </w:r>
          </w:p>
        </w:tc>
        <w:tc>
          <w:tcPr>
            <w:tcW w:w="718"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2.16</w:t>
            </w:r>
          </w:p>
        </w:tc>
        <w:tc>
          <w:tcPr>
            <w:tcW w:w="1136"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0.0061</w:t>
            </w:r>
          </w:p>
        </w:tc>
        <w:tc>
          <w:tcPr>
            <w:tcW w:w="954"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2.33</w:t>
            </w:r>
          </w:p>
        </w:tc>
        <w:tc>
          <w:tcPr>
            <w:tcW w:w="1288"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0.0061</w:t>
            </w:r>
          </w:p>
        </w:tc>
        <w:tc>
          <w:tcPr>
            <w:tcW w:w="954"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2.31</w:t>
            </w:r>
          </w:p>
        </w:tc>
        <w:tc>
          <w:tcPr>
            <w:tcW w:w="1260"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color w:val="000000"/>
                <w:sz w:val="20"/>
                <w:szCs w:val="20"/>
              </w:rPr>
            </w:pPr>
            <w:r w:rsidRPr="002217A6">
              <w:rPr>
                <w:rFonts w:ascii="Times New Roman" w:eastAsia="Times New Roman" w:hAnsi="Times New Roman" w:cs="Times New Roman"/>
                <w:color w:val="000000"/>
                <w:sz w:val="20"/>
                <w:szCs w:val="20"/>
              </w:rPr>
              <w:t>0.0062</w:t>
            </w:r>
          </w:p>
        </w:tc>
        <w:tc>
          <w:tcPr>
            <w:tcW w:w="933" w:type="dxa"/>
            <w:tcBorders>
              <w:top w:val="nil"/>
              <w:left w:val="nil"/>
              <w:bottom w:val="single" w:sz="4" w:space="0" w:color="auto"/>
              <w:right w:val="nil"/>
            </w:tcBorders>
            <w:shd w:val="clear" w:color="auto" w:fill="auto"/>
            <w:noWrap/>
            <w:vAlign w:val="center"/>
            <w:hideMark/>
          </w:tcPr>
          <w:p w:rsidR="005A06CB" w:rsidRPr="002217A6" w:rsidRDefault="005A06CB" w:rsidP="00D0485F">
            <w:pPr>
              <w:spacing w:after="0" w:line="240" w:lineRule="auto"/>
              <w:jc w:val="center"/>
              <w:rPr>
                <w:rFonts w:ascii="Times New Roman" w:eastAsia="Times New Roman" w:hAnsi="Times New Roman" w:cs="Times New Roman"/>
                <w:b/>
                <w:bCs/>
                <w:color w:val="000000"/>
                <w:sz w:val="20"/>
                <w:szCs w:val="20"/>
              </w:rPr>
            </w:pPr>
            <w:r w:rsidRPr="002217A6">
              <w:rPr>
                <w:rFonts w:ascii="Times New Roman" w:eastAsia="Times New Roman" w:hAnsi="Times New Roman" w:cs="Times New Roman"/>
                <w:b/>
                <w:bCs/>
                <w:color w:val="000000"/>
                <w:sz w:val="20"/>
                <w:szCs w:val="20"/>
              </w:rPr>
              <w:t>2.33</w:t>
            </w:r>
          </w:p>
        </w:tc>
      </w:tr>
    </w:tbl>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This table shows</w:t>
      </w:r>
      <w:r>
        <w:rPr>
          <w:rFonts w:ascii="Times New Roman" w:hAnsi="Times New Roman" w:cs="Times New Roman"/>
          <w:sz w:val="18"/>
          <w:szCs w:val="18"/>
        </w:rPr>
        <w:t xml:space="preserve"> the estimated values  and</w:t>
      </w:r>
      <w:r w:rsidRPr="006C0856">
        <w:rPr>
          <w:rFonts w:ascii="Times New Roman" w:hAnsi="Times New Roman" w:cs="Times New Roman"/>
          <w:sz w:val="18"/>
          <w:szCs w:val="18"/>
        </w:rPr>
        <w:t xml:space="preserve"> t-values based on </w:t>
      </w:r>
      <w:r>
        <w:rPr>
          <w:rFonts w:ascii="Times New Roman" w:hAnsi="Times New Roman" w:cs="Times New Roman"/>
          <w:sz w:val="18"/>
          <w:szCs w:val="18"/>
        </w:rPr>
        <w:t xml:space="preserve">different techniques: OLS, </w:t>
      </w:r>
      <w:r w:rsidRPr="006C0856">
        <w:rPr>
          <w:rFonts w:ascii="Times New Roman" w:hAnsi="Times New Roman" w:cs="Times New Roman"/>
          <w:sz w:val="18"/>
          <w:szCs w:val="18"/>
        </w:rPr>
        <w:t>Newey-West standard errors</w:t>
      </w:r>
      <w:r>
        <w:rPr>
          <w:rFonts w:ascii="Times New Roman" w:hAnsi="Times New Roman" w:cs="Times New Roman"/>
          <w:sz w:val="18"/>
          <w:szCs w:val="18"/>
        </w:rPr>
        <w:t xml:space="preserve">, M-estimation based on the proposal of Huber, Tukey and Hampel respectively, </w:t>
      </w:r>
      <w:r w:rsidRPr="006C0856">
        <w:rPr>
          <w:rFonts w:ascii="Times New Roman" w:hAnsi="Times New Roman" w:cs="Times New Roman"/>
          <w:sz w:val="18"/>
          <w:szCs w:val="18"/>
        </w:rPr>
        <w:t>for the β in the regression</w:t>
      </w:r>
      <w:r>
        <w:rPr>
          <w:rFonts w:ascii="Times New Roman" w:hAnsi="Times New Roman" w:cs="Times New Roman"/>
          <w:sz w:val="18"/>
          <w:szCs w:val="18"/>
        </w:rPr>
        <w:t>:</w:t>
      </w:r>
      <w:r w:rsidRPr="006C0856">
        <w:rPr>
          <w:rFonts w:ascii="Times New Roman" w:hAnsi="Times New Roman" w:cs="Times New Roman"/>
          <w:sz w:val="18"/>
          <w:szCs w:val="18"/>
        </w:rPr>
        <w:t xml:space="preserve"> </w:t>
      </w:r>
    </w:p>
    <w:p w:rsidR="005A06CB" w:rsidRPr="006C0856" w:rsidRDefault="005A06CB" w:rsidP="005A06CB">
      <w:pPr>
        <w:pStyle w:val="NoSpacing"/>
        <w:rPr>
          <w:rFonts w:ascii="Times New Roman" w:hAnsi="Times New Roman" w:cs="Times New Roman"/>
          <w:sz w:val="18"/>
          <w:szCs w:val="18"/>
        </w:rPr>
      </w:pP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r>
      <w:r w:rsidRPr="006C0856">
        <w:rPr>
          <w:rFonts w:ascii="Times New Roman" w:hAnsi="Times New Roman" w:cs="Times New Roman"/>
          <w:sz w:val="18"/>
          <w:szCs w:val="18"/>
        </w:rPr>
        <w:tab/>
        <w:t>Y</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α + βX</w:t>
      </w:r>
      <w:r w:rsidRPr="006C0856">
        <w:rPr>
          <w:rFonts w:ascii="Times New Roman" w:hAnsi="Times New Roman" w:cs="Times New Roman"/>
          <w:sz w:val="18"/>
          <w:szCs w:val="18"/>
          <w:vertAlign w:val="subscript"/>
        </w:rPr>
        <w:t>t</w:t>
      </w:r>
      <w:r w:rsidRPr="006C0856">
        <w:rPr>
          <w:rFonts w:ascii="Times New Roman" w:hAnsi="Times New Roman" w:cs="Times New Roman"/>
          <w:sz w:val="18"/>
          <w:szCs w:val="18"/>
        </w:rPr>
        <w:t xml:space="preserve"> + ε</w:t>
      </w:r>
      <w:r w:rsidRPr="006C0856">
        <w:rPr>
          <w:rFonts w:ascii="Times New Roman" w:hAnsi="Times New Roman" w:cs="Times New Roman"/>
          <w:sz w:val="18"/>
          <w:szCs w:val="18"/>
          <w:vertAlign w:val="subscript"/>
        </w:rPr>
        <w:t>t</w:t>
      </w:r>
    </w:p>
    <w:p w:rsidR="005A06CB" w:rsidRDefault="00362576" w:rsidP="005A06CB">
      <w:pPr>
        <w:pStyle w:val="NoSpacing"/>
        <w:jc w:val="both"/>
        <w:rPr>
          <w:rFonts w:ascii="Times New Roman" w:hAnsi="Times New Roman" w:cs="Times New Roman"/>
          <w:sz w:val="18"/>
          <w:szCs w:val="18"/>
        </w:rPr>
      </w:pPr>
      <w:r>
        <w:rPr>
          <w:rFonts w:ascii="Times New Roman" w:hAnsi="Times New Roman" w:cs="Times New Roman"/>
          <w:sz w:val="18"/>
          <w:szCs w:val="18"/>
        </w:rPr>
        <w:t>where Y are</w:t>
      </w:r>
      <w:r w:rsidR="005A06CB" w:rsidRPr="006C0856">
        <w:rPr>
          <w:rFonts w:ascii="Times New Roman" w:hAnsi="Times New Roman" w:cs="Times New Roman"/>
          <w:sz w:val="18"/>
          <w:szCs w:val="18"/>
        </w:rPr>
        <w:t xml:space="preserve"> bond</w:t>
      </w:r>
      <w:r>
        <w:rPr>
          <w:rFonts w:ascii="Times New Roman" w:hAnsi="Times New Roman" w:cs="Times New Roman"/>
          <w:sz w:val="18"/>
          <w:szCs w:val="18"/>
        </w:rPr>
        <w:t xml:space="preserve"> excess</w:t>
      </w:r>
      <w:r w:rsidR="005A06CB" w:rsidRPr="006C0856">
        <w:rPr>
          <w:rFonts w:ascii="Times New Roman" w:hAnsi="Times New Roman" w:cs="Times New Roman"/>
          <w:sz w:val="18"/>
          <w:szCs w:val="18"/>
        </w:rPr>
        <w:t xml:space="preserve"> returns </w:t>
      </w:r>
      <w:r w:rsidR="005A06CB">
        <w:rPr>
          <w:rFonts w:ascii="Times New Roman" w:hAnsi="Times New Roman" w:cs="Times New Roman"/>
          <w:sz w:val="18"/>
          <w:szCs w:val="18"/>
        </w:rPr>
        <w:t>(calculated based on Datastream bond indices) at the monthly frequency</w:t>
      </w:r>
      <w:r w:rsidR="005A06CB" w:rsidRPr="006C0856">
        <w:rPr>
          <w:rFonts w:ascii="Times New Roman" w:hAnsi="Times New Roman" w:cs="Times New Roman"/>
          <w:sz w:val="18"/>
          <w:szCs w:val="18"/>
        </w:rPr>
        <w:t>. X depends on t</w:t>
      </w:r>
      <w:r w:rsidR="005A06CB">
        <w:rPr>
          <w:rFonts w:ascii="Times New Roman" w:hAnsi="Times New Roman" w:cs="Times New Roman"/>
          <w:sz w:val="18"/>
          <w:szCs w:val="18"/>
        </w:rPr>
        <w:t>he seasonal pattern tested. In case of H</w:t>
      </w:r>
      <w:r w:rsidR="005A06CB" w:rsidRPr="006C0856">
        <w:rPr>
          <w:rFonts w:ascii="Times New Roman" w:hAnsi="Times New Roman" w:cs="Times New Roman"/>
          <w:sz w:val="18"/>
          <w:szCs w:val="18"/>
        </w:rPr>
        <w:t>1 H2</w:t>
      </w:r>
      <w:r w:rsidR="005A06CB">
        <w:rPr>
          <w:rFonts w:ascii="Times New Roman" w:hAnsi="Times New Roman" w:cs="Times New Roman"/>
          <w:sz w:val="18"/>
          <w:szCs w:val="18"/>
        </w:rPr>
        <w:t>,</w:t>
      </w:r>
      <w:r w:rsidR="005A06CB" w:rsidRPr="006C0856">
        <w:rPr>
          <w:rFonts w:ascii="Times New Roman" w:hAnsi="Times New Roman" w:cs="Times New Roman"/>
          <w:sz w:val="18"/>
          <w:szCs w:val="18"/>
        </w:rPr>
        <w:t xml:space="preserve"> X is a dummy that takes on the value of 1 for July to December and 0 otherwise. For SAD</w:t>
      </w:r>
      <w:r w:rsidR="005A06CB">
        <w:rPr>
          <w:rFonts w:ascii="Times New Roman" w:hAnsi="Times New Roman" w:cs="Times New Roman"/>
          <w:sz w:val="18"/>
          <w:szCs w:val="18"/>
        </w:rPr>
        <w:t>, X</w:t>
      </w:r>
      <w:r w:rsidR="005A06CB" w:rsidRPr="006C0856">
        <w:rPr>
          <w:rFonts w:ascii="Times New Roman" w:hAnsi="Times New Roman" w:cs="Times New Roman"/>
          <w:sz w:val="18"/>
          <w:szCs w:val="18"/>
        </w:rPr>
        <w:t xml:space="preserve"> is set equal to the 12 monthly values from the Kamstra, Kramer, and Levi (2014) paper. </w:t>
      </w:r>
      <w:r>
        <w:rPr>
          <w:rFonts w:ascii="Times New Roman" w:hAnsi="Times New Roman" w:cs="Times New Roman"/>
          <w:sz w:val="18"/>
          <w:szCs w:val="18"/>
        </w:rPr>
        <w:t xml:space="preserve">Developed portfolio is equally-weighted on six countries. </w:t>
      </w:r>
      <w:r w:rsidR="005A06CB">
        <w:rPr>
          <w:rFonts w:ascii="Times New Roman" w:hAnsi="Times New Roman" w:cs="Times New Roman"/>
          <w:sz w:val="18"/>
          <w:szCs w:val="18"/>
        </w:rPr>
        <w:t>Huber M-est</w:t>
      </w:r>
      <w:r>
        <w:rPr>
          <w:rFonts w:ascii="Times New Roman" w:hAnsi="Times New Roman" w:cs="Times New Roman"/>
          <w:sz w:val="18"/>
          <w:szCs w:val="18"/>
        </w:rPr>
        <w:t>imation is performed with k=1.5, Tukey’s estimation with k=4.685.</w:t>
      </w:r>
      <w:r w:rsidR="005A06CB">
        <w:rPr>
          <w:rFonts w:ascii="Times New Roman" w:hAnsi="Times New Roman" w:cs="Times New Roman"/>
          <w:sz w:val="18"/>
          <w:szCs w:val="18"/>
        </w:rPr>
        <w:t xml:space="preserve"> Hampel estimation is performed with a=1.5, b=3.6 and c=8.</w:t>
      </w:r>
      <w:r>
        <w:rPr>
          <w:rFonts w:ascii="Times New Roman" w:hAnsi="Times New Roman" w:cs="Times New Roman"/>
          <w:sz w:val="18"/>
          <w:szCs w:val="18"/>
        </w:rPr>
        <w:t xml:space="preserve"> The analysis is based on the sample of nominal bond excess returns as depicted in Table 3.1. </w:t>
      </w:r>
      <w:r w:rsidR="005A06CB">
        <w:rPr>
          <w:rFonts w:ascii="Times New Roman" w:hAnsi="Times New Roman" w:cs="Times New Roman"/>
          <w:sz w:val="18"/>
          <w:szCs w:val="18"/>
        </w:rPr>
        <w:t xml:space="preserve"> The numbers in </w:t>
      </w:r>
      <w:r w:rsidR="005A06CB" w:rsidRPr="00D0262F">
        <w:rPr>
          <w:rFonts w:ascii="Times New Roman" w:hAnsi="Times New Roman" w:cs="Times New Roman"/>
          <w:b/>
          <w:sz w:val="18"/>
          <w:szCs w:val="18"/>
        </w:rPr>
        <w:t>Bold</w:t>
      </w:r>
      <w:r w:rsidR="005A06CB">
        <w:rPr>
          <w:rFonts w:ascii="Times New Roman" w:hAnsi="Times New Roman" w:cs="Times New Roman"/>
          <w:sz w:val="18"/>
          <w:szCs w:val="18"/>
        </w:rPr>
        <w:t xml:space="preserve"> show statistical significance at 5% significance level, while those in </w:t>
      </w:r>
      <w:r w:rsidR="005A06CB" w:rsidRPr="0052717D">
        <w:rPr>
          <w:rFonts w:ascii="Times New Roman" w:eastAsia="Times New Roman" w:hAnsi="Times New Roman" w:cs="Times New Roman"/>
          <w:color w:val="4F81BD"/>
          <w:sz w:val="20"/>
          <w:szCs w:val="20"/>
        </w:rPr>
        <w:t xml:space="preserve">Blue </w:t>
      </w:r>
      <w:r w:rsidR="005A06CB">
        <w:rPr>
          <w:rFonts w:ascii="Times New Roman" w:hAnsi="Times New Roman" w:cs="Times New Roman"/>
          <w:sz w:val="18"/>
          <w:szCs w:val="18"/>
        </w:rPr>
        <w:t>at 10% significance level.</w:t>
      </w:r>
    </w:p>
    <w:p w:rsidR="005A06CB" w:rsidRDefault="005A06CB" w:rsidP="005A06CB">
      <w:pPr>
        <w:rPr>
          <w:rFonts w:ascii="Times New Roman" w:hAnsi="Times New Roman" w:cs="Times New Roman"/>
          <w:b/>
          <w:sz w:val="28"/>
        </w:rPr>
      </w:pPr>
    </w:p>
    <w:p w:rsidR="005A06CB" w:rsidRDefault="0052717D" w:rsidP="0052717D">
      <w:pPr>
        <w:spacing w:after="120" w:line="360" w:lineRule="auto"/>
        <w:jc w:val="center"/>
        <w:rPr>
          <w:rFonts w:ascii="Times New Roman" w:hAnsi="Times New Roman" w:cs="Times New Roman"/>
        </w:rPr>
      </w:pPr>
      <w:r>
        <w:rPr>
          <w:rFonts w:ascii="Times New Roman" w:hAnsi="Times New Roman" w:cs="Times New Roman"/>
        </w:rPr>
        <w:t>Table A.5</w:t>
      </w:r>
      <w:r w:rsidR="005A06CB">
        <w:rPr>
          <w:rFonts w:ascii="Times New Roman" w:hAnsi="Times New Roman" w:cs="Times New Roman"/>
        </w:rPr>
        <w:t>: Correlation between National and U</w:t>
      </w:r>
      <w:r w:rsidR="007D32A7">
        <w:rPr>
          <w:rFonts w:ascii="Times New Roman" w:hAnsi="Times New Roman" w:cs="Times New Roman"/>
        </w:rPr>
        <w:t>.</w:t>
      </w:r>
      <w:r w:rsidR="005A06CB">
        <w:rPr>
          <w:rFonts w:ascii="Times New Roman" w:hAnsi="Times New Roman" w:cs="Times New Roman"/>
        </w:rPr>
        <w:t>S</w:t>
      </w:r>
      <w:r w:rsidR="007D32A7">
        <w:rPr>
          <w:rFonts w:ascii="Times New Roman" w:hAnsi="Times New Roman" w:cs="Times New Roman"/>
        </w:rPr>
        <w:t>.</w:t>
      </w:r>
      <w:r w:rsidR="005A06CB">
        <w:rPr>
          <w:rFonts w:ascii="Times New Roman" w:hAnsi="Times New Roman" w:cs="Times New Roman"/>
        </w:rPr>
        <w:t xml:space="preserve"> Inflation Rate</w:t>
      </w:r>
    </w:p>
    <w:tbl>
      <w:tblPr>
        <w:tblW w:w="3940" w:type="dxa"/>
        <w:jc w:val="center"/>
        <w:tblInd w:w="93" w:type="dxa"/>
        <w:tblLook w:val="04A0"/>
      </w:tblPr>
      <w:tblGrid>
        <w:gridCol w:w="2260"/>
        <w:gridCol w:w="1680"/>
      </w:tblGrid>
      <w:tr w:rsidR="005A06CB" w:rsidRPr="00853D08" w:rsidTr="00D0485F">
        <w:trPr>
          <w:trHeight w:val="720"/>
          <w:jc w:val="center"/>
        </w:trPr>
        <w:tc>
          <w:tcPr>
            <w:tcW w:w="3940" w:type="dxa"/>
            <w:gridSpan w:val="2"/>
            <w:tcBorders>
              <w:top w:val="single" w:sz="4" w:space="0" w:color="auto"/>
              <w:left w:val="nil"/>
              <w:bottom w:val="single" w:sz="4" w:space="0" w:color="auto"/>
              <w:right w:val="nil"/>
            </w:tcBorders>
            <w:shd w:val="clear" w:color="auto" w:fill="auto"/>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Correlation Coefficient between National Inflation Rate and U</w:t>
            </w:r>
            <w:r w:rsidR="007D32A7">
              <w:rPr>
                <w:rFonts w:ascii="Times New Roman" w:eastAsia="Times New Roman" w:hAnsi="Times New Roman" w:cs="Times New Roman"/>
                <w:color w:val="291C00"/>
                <w:sz w:val="20"/>
                <w:szCs w:val="20"/>
              </w:rPr>
              <w:t>.</w:t>
            </w:r>
            <w:r w:rsidRPr="00853D08">
              <w:rPr>
                <w:rFonts w:ascii="Times New Roman" w:eastAsia="Times New Roman" w:hAnsi="Times New Roman" w:cs="Times New Roman"/>
                <w:color w:val="291C00"/>
                <w:sz w:val="20"/>
                <w:szCs w:val="20"/>
              </w:rPr>
              <w:t>S</w:t>
            </w:r>
            <w:r w:rsidR="007D32A7">
              <w:rPr>
                <w:rFonts w:ascii="Times New Roman" w:eastAsia="Times New Roman" w:hAnsi="Times New Roman" w:cs="Times New Roman"/>
                <w:color w:val="291C00"/>
                <w:sz w:val="20"/>
                <w:szCs w:val="20"/>
              </w:rPr>
              <w:t>.</w:t>
            </w:r>
            <w:r w:rsidRPr="00853D08">
              <w:rPr>
                <w:rFonts w:ascii="Times New Roman" w:eastAsia="Times New Roman" w:hAnsi="Times New Roman" w:cs="Times New Roman"/>
                <w:color w:val="291C00"/>
                <w:sz w:val="20"/>
                <w:szCs w:val="20"/>
              </w:rPr>
              <w:t xml:space="preserve"> Inflation</w:t>
            </w:r>
          </w:p>
        </w:tc>
      </w:tr>
      <w:tr w:rsidR="005A06CB" w:rsidRPr="00853D08" w:rsidTr="00D0485F">
        <w:trPr>
          <w:trHeight w:val="270"/>
          <w:jc w:val="center"/>
        </w:trPr>
        <w:tc>
          <w:tcPr>
            <w:tcW w:w="2260" w:type="dxa"/>
            <w:tcBorders>
              <w:top w:val="nil"/>
              <w:left w:val="nil"/>
              <w:bottom w:val="single" w:sz="4" w:space="0" w:color="auto"/>
              <w:right w:val="nil"/>
            </w:tcBorders>
            <w:shd w:val="clear" w:color="auto" w:fill="auto"/>
            <w:vAlign w:val="center"/>
            <w:hideMark/>
          </w:tcPr>
          <w:p w:rsidR="005A06CB" w:rsidRPr="00853D08" w:rsidRDefault="005A06CB" w:rsidP="00D0485F">
            <w:pPr>
              <w:spacing w:after="0" w:line="240" w:lineRule="auto"/>
              <w:rPr>
                <w:rFonts w:ascii="Times New Roman" w:eastAsia="Times New Roman" w:hAnsi="Times New Roman" w:cs="Times New Roman"/>
                <w:i/>
                <w:iCs/>
                <w:color w:val="291C00"/>
                <w:sz w:val="20"/>
                <w:szCs w:val="20"/>
              </w:rPr>
            </w:pPr>
            <w:r w:rsidRPr="00853D08">
              <w:rPr>
                <w:rFonts w:ascii="Times New Roman" w:eastAsia="Times New Roman" w:hAnsi="Times New Roman" w:cs="Times New Roman"/>
                <w:i/>
                <w:iCs/>
                <w:color w:val="291C00"/>
                <w:sz w:val="20"/>
                <w:szCs w:val="20"/>
              </w:rPr>
              <w:t>Monthly frequency</w:t>
            </w:r>
          </w:p>
        </w:tc>
        <w:tc>
          <w:tcPr>
            <w:tcW w:w="1680" w:type="dxa"/>
            <w:tcBorders>
              <w:top w:val="nil"/>
              <w:left w:val="nil"/>
              <w:bottom w:val="single" w:sz="4" w:space="0" w:color="auto"/>
              <w:right w:val="nil"/>
            </w:tcBorders>
            <w:shd w:val="clear" w:color="auto" w:fill="auto"/>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 </w:t>
            </w:r>
          </w:p>
        </w:tc>
      </w:tr>
      <w:tr w:rsidR="005A06CB" w:rsidRPr="00853D08" w:rsidTr="00D0485F">
        <w:trPr>
          <w:trHeight w:val="270"/>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Australia</w:t>
            </w:r>
          </w:p>
        </w:tc>
        <w:tc>
          <w:tcPr>
            <w:tcW w:w="1680" w:type="dxa"/>
            <w:tcBorders>
              <w:top w:val="nil"/>
              <w:left w:val="nil"/>
              <w:bottom w:val="nil"/>
              <w:right w:val="nil"/>
            </w:tcBorders>
            <w:shd w:val="clear" w:color="auto" w:fill="auto"/>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853D08"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Canada</w:t>
            </w:r>
          </w:p>
        </w:tc>
        <w:tc>
          <w:tcPr>
            <w:tcW w:w="1680" w:type="dxa"/>
            <w:tcBorders>
              <w:top w:val="nil"/>
              <w:left w:val="nil"/>
              <w:bottom w:val="nil"/>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0.58</w:t>
            </w:r>
          </w:p>
        </w:tc>
      </w:tr>
      <w:tr w:rsidR="005A06CB" w:rsidRPr="00853D08"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Germany</w:t>
            </w:r>
          </w:p>
        </w:tc>
        <w:tc>
          <w:tcPr>
            <w:tcW w:w="1680" w:type="dxa"/>
            <w:tcBorders>
              <w:top w:val="nil"/>
              <w:left w:val="nil"/>
              <w:bottom w:val="nil"/>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0.29</w:t>
            </w:r>
          </w:p>
        </w:tc>
      </w:tr>
      <w:tr w:rsidR="005A06CB" w:rsidRPr="00853D08"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Japan</w:t>
            </w:r>
          </w:p>
        </w:tc>
        <w:tc>
          <w:tcPr>
            <w:tcW w:w="1680" w:type="dxa"/>
            <w:tcBorders>
              <w:top w:val="nil"/>
              <w:left w:val="nil"/>
              <w:bottom w:val="nil"/>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0.30</w:t>
            </w:r>
          </w:p>
        </w:tc>
      </w:tr>
      <w:tr w:rsidR="005A06CB" w:rsidRPr="00853D08"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United Kingdom</w:t>
            </w:r>
          </w:p>
        </w:tc>
        <w:tc>
          <w:tcPr>
            <w:tcW w:w="1680" w:type="dxa"/>
            <w:tcBorders>
              <w:top w:val="nil"/>
              <w:left w:val="nil"/>
              <w:bottom w:val="nil"/>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0.39</w:t>
            </w:r>
          </w:p>
        </w:tc>
      </w:tr>
      <w:tr w:rsidR="005A06CB" w:rsidRPr="00853D08"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United States</w:t>
            </w:r>
          </w:p>
        </w:tc>
        <w:tc>
          <w:tcPr>
            <w:tcW w:w="1680" w:type="dxa"/>
            <w:tcBorders>
              <w:top w:val="nil"/>
              <w:left w:val="nil"/>
              <w:bottom w:val="nil"/>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1.00</w:t>
            </w:r>
          </w:p>
        </w:tc>
      </w:tr>
      <w:tr w:rsidR="005A06CB" w:rsidRPr="00853D08" w:rsidTr="00D0485F">
        <w:trPr>
          <w:trHeight w:val="255"/>
          <w:jc w:val="center"/>
        </w:trPr>
        <w:tc>
          <w:tcPr>
            <w:tcW w:w="2260" w:type="dxa"/>
            <w:tcBorders>
              <w:top w:val="nil"/>
              <w:left w:val="nil"/>
              <w:bottom w:val="single" w:sz="4" w:space="0" w:color="auto"/>
              <w:right w:val="nil"/>
            </w:tcBorders>
            <w:shd w:val="clear" w:color="auto" w:fill="auto"/>
            <w:noWrap/>
            <w:vAlign w:val="bottom"/>
            <w:hideMark/>
          </w:tcPr>
          <w:p w:rsidR="005A06CB" w:rsidRPr="00853D08" w:rsidRDefault="005A06CB" w:rsidP="00D0485F">
            <w:pPr>
              <w:spacing w:after="0" w:line="240" w:lineRule="auto"/>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Developed (5)</w:t>
            </w:r>
          </w:p>
        </w:tc>
        <w:tc>
          <w:tcPr>
            <w:tcW w:w="1680" w:type="dxa"/>
            <w:tcBorders>
              <w:top w:val="nil"/>
              <w:left w:val="nil"/>
              <w:bottom w:val="single" w:sz="4" w:space="0" w:color="auto"/>
              <w:right w:val="nil"/>
            </w:tcBorders>
            <w:shd w:val="clear" w:color="auto" w:fill="auto"/>
            <w:noWrap/>
            <w:vAlign w:val="center"/>
            <w:hideMark/>
          </w:tcPr>
          <w:p w:rsidR="005A06CB" w:rsidRPr="00853D08" w:rsidRDefault="005A06CB" w:rsidP="00D0485F">
            <w:pPr>
              <w:spacing w:after="0" w:line="240" w:lineRule="auto"/>
              <w:jc w:val="center"/>
              <w:rPr>
                <w:rFonts w:ascii="Times New Roman" w:eastAsia="Times New Roman" w:hAnsi="Times New Roman" w:cs="Times New Roman"/>
                <w:color w:val="291C00"/>
                <w:sz w:val="20"/>
                <w:szCs w:val="20"/>
              </w:rPr>
            </w:pPr>
            <w:r w:rsidRPr="00853D08">
              <w:rPr>
                <w:rFonts w:ascii="Times New Roman" w:eastAsia="Times New Roman" w:hAnsi="Times New Roman" w:cs="Times New Roman"/>
                <w:color w:val="291C00"/>
                <w:sz w:val="20"/>
                <w:szCs w:val="20"/>
              </w:rPr>
              <w:t>0.76</w:t>
            </w:r>
          </w:p>
        </w:tc>
      </w:tr>
    </w:tbl>
    <w:p w:rsidR="005A06CB"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correlation coefficient between time-series of National inflation rate and U</w:t>
      </w:r>
      <w:r w:rsidR="007D32A7">
        <w:rPr>
          <w:rFonts w:ascii="Times New Roman" w:hAnsi="Times New Roman" w:cs="Times New Roman"/>
          <w:sz w:val="18"/>
          <w:szCs w:val="18"/>
        </w:rPr>
        <w:t>.</w:t>
      </w:r>
      <w:r>
        <w:rPr>
          <w:rFonts w:ascii="Times New Roman" w:hAnsi="Times New Roman" w:cs="Times New Roman"/>
          <w:sz w:val="18"/>
          <w:szCs w:val="18"/>
        </w:rPr>
        <w:t>S</w:t>
      </w:r>
      <w:r w:rsidR="007D32A7">
        <w:rPr>
          <w:rFonts w:ascii="Times New Roman" w:hAnsi="Times New Roman" w:cs="Times New Roman"/>
          <w:sz w:val="18"/>
          <w:szCs w:val="18"/>
        </w:rPr>
        <w:t>.</w:t>
      </w:r>
      <w:r>
        <w:rPr>
          <w:rFonts w:ascii="Times New Roman" w:hAnsi="Times New Roman" w:cs="Times New Roman"/>
          <w:sz w:val="18"/>
          <w:szCs w:val="18"/>
        </w:rPr>
        <w:t xml:space="preserve"> inflation rate. </w:t>
      </w:r>
      <w:r w:rsidRPr="00853D08">
        <w:rPr>
          <w:rFonts w:ascii="Times New Roman" w:hAnsi="Times New Roman" w:cs="Times New Roman"/>
          <w:sz w:val="18"/>
          <w:szCs w:val="18"/>
        </w:rPr>
        <w:t xml:space="preserve">Australia has only quarterly inflation and hence </w:t>
      </w:r>
      <w:r w:rsidR="007D32A7">
        <w:rPr>
          <w:rFonts w:ascii="Times New Roman" w:hAnsi="Times New Roman" w:cs="Times New Roman"/>
          <w:sz w:val="18"/>
          <w:szCs w:val="18"/>
        </w:rPr>
        <w:t>the correlation coefficient is missing</w:t>
      </w:r>
      <w:r w:rsidRPr="00853D08">
        <w:rPr>
          <w:rFonts w:ascii="Times New Roman" w:hAnsi="Times New Roman" w:cs="Times New Roman"/>
          <w:sz w:val="18"/>
          <w:szCs w:val="18"/>
        </w:rPr>
        <w:t>.</w:t>
      </w:r>
    </w:p>
    <w:p w:rsidR="005A06CB" w:rsidRDefault="005A06CB"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362576" w:rsidRDefault="00362576" w:rsidP="005A06CB">
      <w:pPr>
        <w:pStyle w:val="NoSpacing"/>
        <w:rPr>
          <w:rFonts w:ascii="Times New Roman" w:hAnsi="Times New Roman" w:cs="Times New Roman"/>
          <w:sz w:val="18"/>
          <w:szCs w:val="18"/>
        </w:rPr>
      </w:pPr>
    </w:p>
    <w:p w:rsidR="0052717D" w:rsidRDefault="0052717D" w:rsidP="005A06CB">
      <w:pPr>
        <w:pStyle w:val="NoSpacing"/>
        <w:rPr>
          <w:rFonts w:ascii="Times New Roman" w:hAnsi="Times New Roman" w:cs="Times New Roman"/>
          <w:sz w:val="18"/>
          <w:szCs w:val="18"/>
        </w:rPr>
      </w:pPr>
    </w:p>
    <w:p w:rsidR="005A06CB" w:rsidRDefault="005A06CB" w:rsidP="005A06CB">
      <w:pPr>
        <w:pStyle w:val="NoSpacing"/>
        <w:rPr>
          <w:rFonts w:ascii="Times New Roman" w:hAnsi="Times New Roman" w:cs="Times New Roman"/>
          <w:sz w:val="18"/>
          <w:szCs w:val="18"/>
        </w:rPr>
      </w:pPr>
    </w:p>
    <w:p w:rsidR="005A06CB" w:rsidRDefault="0052717D" w:rsidP="0052717D">
      <w:pPr>
        <w:spacing w:after="120" w:line="360" w:lineRule="auto"/>
        <w:jc w:val="center"/>
        <w:rPr>
          <w:rFonts w:ascii="Times New Roman" w:hAnsi="Times New Roman" w:cs="Times New Roman"/>
        </w:rPr>
      </w:pPr>
      <w:r>
        <w:rPr>
          <w:rFonts w:ascii="Times New Roman" w:hAnsi="Times New Roman" w:cs="Times New Roman"/>
          <w:noProof/>
        </w:rPr>
        <w:t>Table A.6</w:t>
      </w:r>
      <w:r w:rsidR="005A06CB">
        <w:rPr>
          <w:rFonts w:ascii="Times New Roman" w:hAnsi="Times New Roman" w:cs="Times New Roman"/>
          <w:noProof/>
        </w:rPr>
        <w:t xml:space="preserve">: </w:t>
      </w:r>
      <w:r w:rsidR="005A06CB" w:rsidRPr="002920B9">
        <w:rPr>
          <w:rFonts w:ascii="Times New Roman" w:hAnsi="Times New Roman" w:cs="Times New Roman"/>
          <w:noProof/>
        </w:rPr>
        <w:t>Time series regressions of</w:t>
      </w:r>
      <w:r w:rsidR="00362576">
        <w:rPr>
          <w:rFonts w:ascii="Times New Roman" w:hAnsi="Times New Roman" w:cs="Times New Roman"/>
          <w:noProof/>
        </w:rPr>
        <w:t xml:space="preserve"> Bond R</w:t>
      </w:r>
      <w:r w:rsidR="005A06CB">
        <w:rPr>
          <w:rFonts w:ascii="Times New Roman" w:hAnsi="Times New Roman" w:cs="Times New Roman"/>
          <w:noProof/>
        </w:rPr>
        <w:t>eturns on U</w:t>
      </w:r>
      <w:r w:rsidR="00362576">
        <w:rPr>
          <w:rFonts w:ascii="Times New Roman" w:hAnsi="Times New Roman" w:cs="Times New Roman"/>
          <w:noProof/>
        </w:rPr>
        <w:t>.</w:t>
      </w:r>
      <w:r w:rsidR="005A06CB">
        <w:rPr>
          <w:rFonts w:ascii="Times New Roman" w:hAnsi="Times New Roman" w:cs="Times New Roman"/>
          <w:noProof/>
        </w:rPr>
        <w:t>S</w:t>
      </w:r>
      <w:r w:rsidR="00362576">
        <w:rPr>
          <w:rFonts w:ascii="Times New Roman" w:hAnsi="Times New Roman" w:cs="Times New Roman"/>
          <w:noProof/>
        </w:rPr>
        <w:t>.</w:t>
      </w:r>
      <w:r w:rsidR="005A06CB" w:rsidRPr="002920B9">
        <w:rPr>
          <w:rFonts w:ascii="Times New Roman" w:hAnsi="Times New Roman" w:cs="Times New Roman"/>
          <w:noProof/>
        </w:rPr>
        <w:t xml:space="preserve"> inflation rate</w:t>
      </w:r>
      <w:r w:rsidR="005A06CB">
        <w:rPr>
          <w:rFonts w:ascii="Times New Roman" w:hAnsi="Times New Roman" w:cs="Times New Roman"/>
          <w:noProof/>
        </w:rPr>
        <w:t xml:space="preserve"> and H1 H2 dummy</w:t>
      </w:r>
    </w:p>
    <w:tbl>
      <w:tblPr>
        <w:tblW w:w="7580" w:type="dxa"/>
        <w:jc w:val="center"/>
        <w:tblInd w:w="93" w:type="dxa"/>
        <w:tblLook w:val="04A0"/>
      </w:tblPr>
      <w:tblGrid>
        <w:gridCol w:w="2600"/>
        <w:gridCol w:w="1233"/>
        <w:gridCol w:w="1007"/>
        <w:gridCol w:w="939"/>
        <w:gridCol w:w="841"/>
        <w:gridCol w:w="960"/>
      </w:tblGrid>
      <w:tr w:rsidR="005A06CB" w:rsidRPr="004E5495" w:rsidTr="00D0485F">
        <w:trPr>
          <w:trHeight w:val="390"/>
          <w:jc w:val="center"/>
        </w:trPr>
        <w:tc>
          <w:tcPr>
            <w:tcW w:w="2600" w:type="dxa"/>
            <w:vMerge w:val="restart"/>
            <w:tcBorders>
              <w:top w:val="single" w:sz="4" w:space="0" w:color="auto"/>
              <w:left w:val="nil"/>
              <w:bottom w:val="single" w:sz="4" w:space="0" w:color="000000"/>
              <w:right w:val="nil"/>
            </w:tcBorders>
            <w:shd w:val="clear" w:color="auto" w:fill="auto"/>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Nominal Bond Excess Returns</w:t>
            </w:r>
          </w:p>
        </w:tc>
        <w:tc>
          <w:tcPr>
            <w:tcW w:w="2240" w:type="dxa"/>
            <w:gridSpan w:val="2"/>
            <w:tcBorders>
              <w:top w:val="single" w:sz="4" w:space="0" w:color="auto"/>
              <w:left w:val="nil"/>
              <w:bottom w:val="nil"/>
              <w:right w:val="nil"/>
            </w:tcBorders>
            <w:shd w:val="clear" w:color="auto" w:fill="auto"/>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U</w:t>
            </w:r>
            <w:r w:rsidR="00FB132C">
              <w:rPr>
                <w:rFonts w:ascii="Times New Roman" w:eastAsia="Times New Roman" w:hAnsi="Times New Roman" w:cs="Times New Roman"/>
                <w:color w:val="000000"/>
                <w:sz w:val="20"/>
                <w:szCs w:val="20"/>
              </w:rPr>
              <w:t>.</w:t>
            </w:r>
            <w:r w:rsidRPr="004E5495">
              <w:rPr>
                <w:rFonts w:ascii="Times New Roman" w:eastAsia="Times New Roman" w:hAnsi="Times New Roman" w:cs="Times New Roman"/>
                <w:color w:val="000000"/>
                <w:sz w:val="20"/>
                <w:szCs w:val="20"/>
              </w:rPr>
              <w:t>S</w:t>
            </w:r>
            <w:r w:rsidR="00FB132C">
              <w:rPr>
                <w:rFonts w:ascii="Times New Roman" w:eastAsia="Times New Roman" w:hAnsi="Times New Roman" w:cs="Times New Roman"/>
                <w:color w:val="000000"/>
                <w:sz w:val="20"/>
                <w:szCs w:val="20"/>
              </w:rPr>
              <w:t>.</w:t>
            </w:r>
            <w:r w:rsidRPr="004E5495">
              <w:rPr>
                <w:rFonts w:ascii="Times New Roman" w:eastAsia="Times New Roman" w:hAnsi="Times New Roman" w:cs="Times New Roman"/>
                <w:color w:val="000000"/>
                <w:sz w:val="20"/>
                <w:szCs w:val="20"/>
              </w:rPr>
              <w:t xml:space="preserve"> Inflation</w:t>
            </w:r>
          </w:p>
        </w:tc>
        <w:tc>
          <w:tcPr>
            <w:tcW w:w="1780" w:type="dxa"/>
            <w:gridSpan w:val="2"/>
            <w:tcBorders>
              <w:top w:val="single" w:sz="4" w:space="0" w:color="auto"/>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H1 H2</w:t>
            </w:r>
          </w:p>
        </w:tc>
        <w:tc>
          <w:tcPr>
            <w:tcW w:w="960" w:type="dxa"/>
            <w:vMerge w:val="restart"/>
            <w:tcBorders>
              <w:top w:val="single" w:sz="4" w:space="0" w:color="auto"/>
              <w:left w:val="nil"/>
              <w:bottom w:val="single" w:sz="4" w:space="0" w:color="000000"/>
              <w:right w:val="nil"/>
            </w:tcBorders>
            <w:shd w:val="clear" w:color="auto" w:fill="auto"/>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R</w:t>
            </w:r>
            <w:r w:rsidRPr="004E5495">
              <w:rPr>
                <w:rFonts w:ascii="Times New Roman" w:eastAsia="Times New Roman" w:hAnsi="Times New Roman" w:cs="Times New Roman"/>
                <w:color w:val="000000"/>
                <w:sz w:val="20"/>
                <w:szCs w:val="20"/>
                <w:vertAlign w:val="superscript"/>
              </w:rPr>
              <w:t>2</w:t>
            </w:r>
          </w:p>
        </w:tc>
      </w:tr>
      <w:tr w:rsidR="005A06CB" w:rsidRPr="004E5495" w:rsidTr="00D0485F">
        <w:trPr>
          <w:trHeight w:val="330"/>
          <w:jc w:val="center"/>
        </w:trPr>
        <w:tc>
          <w:tcPr>
            <w:tcW w:w="2600" w:type="dxa"/>
            <w:vMerge/>
            <w:tcBorders>
              <w:top w:val="single" w:sz="4" w:space="0" w:color="auto"/>
              <w:left w:val="nil"/>
              <w:bottom w:val="single" w:sz="4" w:space="0" w:color="000000"/>
              <w:right w:val="nil"/>
            </w:tcBorders>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p>
        </w:tc>
        <w:tc>
          <w:tcPr>
            <w:tcW w:w="1233"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β</w:t>
            </w:r>
            <w:r w:rsidRPr="004E5495">
              <w:rPr>
                <w:rFonts w:ascii="Times New Roman" w:eastAsia="Times New Roman" w:hAnsi="Times New Roman" w:cs="Times New Roman"/>
                <w:color w:val="000000"/>
                <w:sz w:val="20"/>
                <w:szCs w:val="20"/>
                <w:vertAlign w:val="subscript"/>
              </w:rPr>
              <w:t>1</w:t>
            </w:r>
          </w:p>
        </w:tc>
        <w:tc>
          <w:tcPr>
            <w:tcW w:w="1007"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t-stat</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β</w:t>
            </w:r>
            <w:r w:rsidRPr="004E5495">
              <w:rPr>
                <w:rFonts w:ascii="Times New Roman" w:eastAsia="Times New Roman" w:hAnsi="Times New Roman" w:cs="Times New Roman"/>
                <w:color w:val="000000"/>
                <w:sz w:val="20"/>
                <w:szCs w:val="20"/>
                <w:vertAlign w:val="subscript"/>
              </w:rPr>
              <w:t>2</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t-stat</w:t>
            </w:r>
          </w:p>
        </w:tc>
        <w:tc>
          <w:tcPr>
            <w:tcW w:w="960" w:type="dxa"/>
            <w:vMerge/>
            <w:tcBorders>
              <w:top w:val="single" w:sz="4" w:space="0" w:color="auto"/>
              <w:left w:val="nil"/>
              <w:bottom w:val="single" w:sz="4" w:space="0" w:color="000000"/>
              <w:right w:val="nil"/>
            </w:tcBorders>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p>
        </w:tc>
      </w:tr>
      <w:tr w:rsidR="005A06CB" w:rsidRPr="004E5495" w:rsidTr="00D0485F">
        <w:trPr>
          <w:trHeight w:val="285"/>
          <w:jc w:val="center"/>
        </w:trPr>
        <w:tc>
          <w:tcPr>
            <w:tcW w:w="2600" w:type="dxa"/>
            <w:tcBorders>
              <w:top w:val="nil"/>
              <w:left w:val="nil"/>
              <w:bottom w:val="single" w:sz="4" w:space="0" w:color="auto"/>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i/>
                <w:iCs/>
                <w:color w:val="000000"/>
                <w:sz w:val="20"/>
                <w:szCs w:val="20"/>
              </w:rPr>
            </w:pPr>
            <w:r w:rsidRPr="004E5495">
              <w:rPr>
                <w:rFonts w:ascii="Times New Roman" w:eastAsia="Times New Roman" w:hAnsi="Times New Roman" w:cs="Times New Roman"/>
                <w:i/>
                <w:iCs/>
                <w:color w:val="000000"/>
                <w:sz w:val="20"/>
                <w:szCs w:val="20"/>
              </w:rPr>
              <w:lastRenderedPageBreak/>
              <w:t>Monthly frequency</w:t>
            </w:r>
          </w:p>
        </w:tc>
        <w:tc>
          <w:tcPr>
            <w:tcW w:w="1233"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 </w:t>
            </w:r>
          </w:p>
        </w:tc>
        <w:tc>
          <w:tcPr>
            <w:tcW w:w="1007"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 </w:t>
            </w:r>
          </w:p>
        </w:tc>
        <w:tc>
          <w:tcPr>
            <w:tcW w:w="939" w:type="dxa"/>
            <w:tcBorders>
              <w:top w:val="single" w:sz="4" w:space="0" w:color="auto"/>
              <w:left w:val="nil"/>
              <w:bottom w:val="single" w:sz="4" w:space="0" w:color="auto"/>
              <w:right w:val="nil"/>
            </w:tcBorders>
            <w:shd w:val="clear" w:color="auto" w:fill="auto"/>
            <w:noWrap/>
            <w:vAlign w:val="bottom"/>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 </w:t>
            </w:r>
          </w:p>
        </w:tc>
        <w:tc>
          <w:tcPr>
            <w:tcW w:w="841" w:type="dxa"/>
            <w:tcBorders>
              <w:top w:val="single" w:sz="4" w:space="0" w:color="auto"/>
              <w:left w:val="nil"/>
              <w:bottom w:val="single" w:sz="4" w:space="0" w:color="auto"/>
              <w:right w:val="nil"/>
            </w:tcBorders>
            <w:shd w:val="clear" w:color="auto" w:fill="auto"/>
            <w:noWrap/>
            <w:vAlign w:val="bottom"/>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 </w:t>
            </w:r>
          </w:p>
        </w:tc>
        <w:tc>
          <w:tcPr>
            <w:tcW w:w="960"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 </w:t>
            </w:r>
          </w:p>
        </w:tc>
      </w:tr>
      <w:tr w:rsidR="005A06CB" w:rsidRPr="004E5495" w:rsidTr="00D0485F">
        <w:trPr>
          <w:trHeight w:val="255"/>
          <w:jc w:val="center"/>
        </w:trPr>
        <w:tc>
          <w:tcPr>
            <w:tcW w:w="2600" w:type="dxa"/>
            <w:tcBorders>
              <w:top w:val="nil"/>
              <w:left w:val="nil"/>
              <w:bottom w:val="nil"/>
              <w:right w:val="nil"/>
            </w:tcBorders>
            <w:shd w:val="clear" w:color="auto" w:fill="auto"/>
            <w:noWrap/>
            <w:vAlign w:val="bottom"/>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Australia</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-0.419</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-1.37</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0.002</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1.08</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0.018</w:t>
            </w:r>
          </w:p>
        </w:tc>
      </w:tr>
      <w:tr w:rsidR="005A06CB" w:rsidRPr="004E5495" w:rsidTr="00D0485F">
        <w:trPr>
          <w:trHeight w:val="240"/>
          <w:jc w:val="center"/>
        </w:trPr>
        <w:tc>
          <w:tcPr>
            <w:tcW w:w="2600" w:type="dxa"/>
            <w:tcBorders>
              <w:top w:val="nil"/>
              <w:left w:val="nil"/>
              <w:bottom w:val="nil"/>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Canada</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-0.705</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-2.93</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0.002</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1.19</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0.033</w:t>
            </w:r>
          </w:p>
        </w:tc>
      </w:tr>
      <w:tr w:rsidR="005A06CB" w:rsidRPr="004E5495" w:rsidTr="00D0485F">
        <w:trPr>
          <w:trHeight w:val="240"/>
          <w:jc w:val="center"/>
        </w:trPr>
        <w:tc>
          <w:tcPr>
            <w:tcW w:w="2600" w:type="dxa"/>
            <w:tcBorders>
              <w:top w:val="nil"/>
              <w:left w:val="nil"/>
              <w:bottom w:val="nil"/>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Germany</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-0.890</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-4.61</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0.001</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0.90</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0.086</w:t>
            </w:r>
          </w:p>
        </w:tc>
      </w:tr>
      <w:tr w:rsidR="005A06CB" w:rsidRPr="004E5495" w:rsidTr="00D0485F">
        <w:trPr>
          <w:trHeight w:val="240"/>
          <w:jc w:val="center"/>
        </w:trPr>
        <w:tc>
          <w:tcPr>
            <w:tcW w:w="2600" w:type="dxa"/>
            <w:tcBorders>
              <w:top w:val="nil"/>
              <w:left w:val="nil"/>
              <w:bottom w:val="nil"/>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Japan</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-0.447</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-2.10</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0.001</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0.69</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0.024</w:t>
            </w:r>
          </w:p>
        </w:tc>
      </w:tr>
      <w:tr w:rsidR="005A06CB" w:rsidRPr="004E5495" w:rsidTr="00D0485F">
        <w:trPr>
          <w:trHeight w:val="240"/>
          <w:jc w:val="center"/>
        </w:trPr>
        <w:tc>
          <w:tcPr>
            <w:tcW w:w="2600" w:type="dxa"/>
            <w:tcBorders>
              <w:top w:val="nil"/>
              <w:left w:val="nil"/>
              <w:bottom w:val="nil"/>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United Kingdom</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-0.977</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-3.09</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0.002</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1.03</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0.045</w:t>
            </w:r>
          </w:p>
        </w:tc>
      </w:tr>
      <w:tr w:rsidR="005A06CB" w:rsidRPr="004E5495" w:rsidTr="00D0485F">
        <w:trPr>
          <w:trHeight w:val="240"/>
          <w:jc w:val="center"/>
        </w:trPr>
        <w:tc>
          <w:tcPr>
            <w:tcW w:w="260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United States</w:t>
            </w:r>
          </w:p>
        </w:tc>
        <w:tc>
          <w:tcPr>
            <w:tcW w:w="1233"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-0.922</w:t>
            </w:r>
          </w:p>
        </w:tc>
        <w:tc>
          <w:tcPr>
            <w:tcW w:w="1007"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-3.30</w:t>
            </w:r>
          </w:p>
        </w:tc>
        <w:tc>
          <w:tcPr>
            <w:tcW w:w="939"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0.001</w:t>
            </w:r>
          </w:p>
        </w:tc>
        <w:tc>
          <w:tcPr>
            <w:tcW w:w="841"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0.69</w:t>
            </w:r>
          </w:p>
        </w:tc>
        <w:tc>
          <w:tcPr>
            <w:tcW w:w="960" w:type="dxa"/>
            <w:tcBorders>
              <w:top w:val="nil"/>
              <w:left w:val="nil"/>
              <w:bottom w:val="nil"/>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0.049</w:t>
            </w:r>
          </w:p>
        </w:tc>
      </w:tr>
      <w:tr w:rsidR="005A06CB" w:rsidRPr="004E5495" w:rsidTr="00D0485F">
        <w:trPr>
          <w:trHeight w:val="240"/>
          <w:jc w:val="center"/>
        </w:trPr>
        <w:tc>
          <w:tcPr>
            <w:tcW w:w="2600" w:type="dxa"/>
            <w:tcBorders>
              <w:top w:val="nil"/>
              <w:left w:val="nil"/>
              <w:bottom w:val="single" w:sz="4" w:space="0" w:color="auto"/>
              <w:right w:val="nil"/>
            </w:tcBorders>
            <w:shd w:val="clear" w:color="auto" w:fill="auto"/>
            <w:vAlign w:val="center"/>
            <w:hideMark/>
          </w:tcPr>
          <w:p w:rsidR="005A06CB" w:rsidRPr="004E5495" w:rsidRDefault="005A06CB" w:rsidP="00D0485F">
            <w:pPr>
              <w:spacing w:after="0" w:line="240" w:lineRule="auto"/>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Developed (6)</w:t>
            </w:r>
          </w:p>
        </w:tc>
        <w:tc>
          <w:tcPr>
            <w:tcW w:w="1233"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-0.835</w:t>
            </w:r>
          </w:p>
        </w:tc>
        <w:tc>
          <w:tcPr>
            <w:tcW w:w="1007"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b/>
                <w:bCs/>
                <w:color w:val="000000"/>
                <w:sz w:val="20"/>
                <w:szCs w:val="20"/>
              </w:rPr>
            </w:pPr>
            <w:r w:rsidRPr="004E5495">
              <w:rPr>
                <w:rFonts w:ascii="Times New Roman" w:eastAsia="Times New Roman" w:hAnsi="Times New Roman" w:cs="Times New Roman"/>
                <w:b/>
                <w:bCs/>
                <w:color w:val="000000"/>
                <w:sz w:val="20"/>
                <w:szCs w:val="20"/>
              </w:rPr>
              <w:t>-4.27</w:t>
            </w:r>
          </w:p>
        </w:tc>
        <w:tc>
          <w:tcPr>
            <w:tcW w:w="939"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0.001</w:t>
            </w:r>
          </w:p>
        </w:tc>
        <w:tc>
          <w:tcPr>
            <w:tcW w:w="841"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0.97</w:t>
            </w:r>
          </w:p>
        </w:tc>
        <w:tc>
          <w:tcPr>
            <w:tcW w:w="960" w:type="dxa"/>
            <w:tcBorders>
              <w:top w:val="nil"/>
              <w:left w:val="nil"/>
              <w:bottom w:val="single" w:sz="4" w:space="0" w:color="auto"/>
              <w:right w:val="nil"/>
            </w:tcBorders>
            <w:shd w:val="clear" w:color="auto" w:fill="auto"/>
            <w:noWrap/>
            <w:vAlign w:val="center"/>
            <w:hideMark/>
          </w:tcPr>
          <w:p w:rsidR="005A06CB" w:rsidRPr="004E5495" w:rsidRDefault="005A06CB" w:rsidP="00D0485F">
            <w:pPr>
              <w:spacing w:after="0" w:line="240" w:lineRule="auto"/>
              <w:jc w:val="center"/>
              <w:rPr>
                <w:rFonts w:ascii="Times New Roman" w:eastAsia="Times New Roman" w:hAnsi="Times New Roman" w:cs="Times New Roman"/>
                <w:color w:val="000000"/>
                <w:sz w:val="20"/>
                <w:szCs w:val="20"/>
              </w:rPr>
            </w:pPr>
            <w:r w:rsidRPr="004E5495">
              <w:rPr>
                <w:rFonts w:ascii="Times New Roman" w:eastAsia="Times New Roman" w:hAnsi="Times New Roman" w:cs="Times New Roman"/>
                <w:color w:val="000000"/>
                <w:sz w:val="20"/>
                <w:szCs w:val="20"/>
              </w:rPr>
              <w:t>0.077</w:t>
            </w:r>
          </w:p>
        </w:tc>
      </w:tr>
    </w:tbl>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i/>
          <w:sz w:val="18"/>
          <w:szCs w:val="18"/>
        </w:rPr>
        <w:t>Notes</w:t>
      </w:r>
      <w:r w:rsidRPr="001221C6">
        <w:rPr>
          <w:rFonts w:ascii="Times New Roman" w:hAnsi="Times New Roman" w:cs="Times New Roman"/>
          <w:sz w:val="18"/>
          <w:szCs w:val="18"/>
        </w:rPr>
        <w:t>: This table shows coefficients and t-values based on Newey-West standard errors for the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and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 xml:space="preserve"> </w:t>
      </w:r>
      <w:r w:rsidRPr="001221C6">
        <w:rPr>
          <w:rFonts w:ascii="Times New Roman" w:hAnsi="Times New Roman" w:cs="Times New Roman"/>
          <w:sz w:val="18"/>
          <w:szCs w:val="18"/>
        </w:rPr>
        <w:t xml:space="preserve">in the regression </w:t>
      </w:r>
    </w:p>
    <w:p w:rsidR="005A06CB" w:rsidRPr="001221C6" w:rsidRDefault="005A06CB" w:rsidP="005A06CB">
      <w:pPr>
        <w:pStyle w:val="NoSpacing"/>
        <w:rPr>
          <w:rFonts w:ascii="Times New Roman" w:hAnsi="Times New Roman" w:cs="Times New Roman"/>
          <w:sz w:val="18"/>
          <w:szCs w:val="18"/>
        </w:rPr>
      </w:pP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r>
      <w:r w:rsidRPr="001221C6">
        <w:rPr>
          <w:rFonts w:ascii="Times New Roman" w:hAnsi="Times New Roman" w:cs="Times New Roman"/>
          <w:sz w:val="18"/>
          <w:szCs w:val="18"/>
        </w:rPr>
        <w:tab/>
        <w:t>Y</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 α + β</w:t>
      </w:r>
      <w:r w:rsidRPr="00336849">
        <w:rPr>
          <w:rFonts w:ascii="Times New Roman" w:hAnsi="Times New Roman" w:cs="Times New Roman"/>
          <w:sz w:val="18"/>
          <w:szCs w:val="18"/>
          <w:vertAlign w:val="subscript"/>
        </w:rPr>
        <w:t>1</w:t>
      </w:r>
      <w:r w:rsidRPr="001221C6">
        <w:rPr>
          <w:rFonts w:ascii="Times New Roman" w:hAnsi="Times New Roman" w:cs="Times New Roman"/>
          <w:sz w:val="18"/>
          <w:szCs w:val="18"/>
        </w:rPr>
        <w:t>X</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sidRPr="00336849">
        <w:rPr>
          <w:rFonts w:ascii="Times New Roman" w:hAnsi="Times New Roman" w:cs="Times New Roman"/>
          <w:sz w:val="18"/>
          <w:szCs w:val="18"/>
        </w:rPr>
        <w:t xml:space="preserve"> </w:t>
      </w:r>
      <w:r w:rsidRPr="001221C6">
        <w:rPr>
          <w:rFonts w:ascii="Times New Roman" w:hAnsi="Times New Roman" w:cs="Times New Roman"/>
          <w:sz w:val="18"/>
          <w:szCs w:val="18"/>
        </w:rPr>
        <w:t>β</w:t>
      </w:r>
      <w:r>
        <w:rPr>
          <w:rFonts w:ascii="Times New Roman" w:hAnsi="Times New Roman" w:cs="Times New Roman"/>
          <w:sz w:val="18"/>
          <w:szCs w:val="18"/>
          <w:vertAlign w:val="subscript"/>
        </w:rPr>
        <w:t>2</w:t>
      </w:r>
      <w:r>
        <w:rPr>
          <w:rFonts w:ascii="Times New Roman" w:hAnsi="Times New Roman" w:cs="Times New Roman"/>
          <w:sz w:val="18"/>
          <w:szCs w:val="18"/>
        </w:rPr>
        <w:t>Z</w:t>
      </w:r>
      <w:r w:rsidRPr="001221C6">
        <w:rPr>
          <w:rFonts w:ascii="Times New Roman" w:hAnsi="Times New Roman" w:cs="Times New Roman"/>
          <w:sz w:val="18"/>
          <w:szCs w:val="18"/>
          <w:vertAlign w:val="subscript"/>
        </w:rPr>
        <w:t>t</w:t>
      </w:r>
      <w:r w:rsidRPr="001221C6">
        <w:rPr>
          <w:rFonts w:ascii="Times New Roman" w:hAnsi="Times New Roman" w:cs="Times New Roman"/>
          <w:sz w:val="18"/>
          <w:szCs w:val="18"/>
        </w:rPr>
        <w:t xml:space="preserve"> +</w:t>
      </w:r>
      <w:r>
        <w:rPr>
          <w:rFonts w:ascii="Times New Roman" w:hAnsi="Times New Roman" w:cs="Times New Roman"/>
          <w:sz w:val="18"/>
          <w:szCs w:val="18"/>
        </w:rPr>
        <w:t xml:space="preserve"> </w:t>
      </w:r>
      <w:r w:rsidRPr="001221C6">
        <w:rPr>
          <w:rFonts w:ascii="Times New Roman" w:hAnsi="Times New Roman" w:cs="Times New Roman"/>
          <w:sz w:val="18"/>
          <w:szCs w:val="18"/>
        </w:rPr>
        <w:t>ε</w:t>
      </w:r>
      <w:r w:rsidRPr="001221C6">
        <w:rPr>
          <w:rFonts w:ascii="Times New Roman" w:hAnsi="Times New Roman" w:cs="Times New Roman"/>
          <w:sz w:val="18"/>
          <w:szCs w:val="18"/>
          <w:vertAlign w:val="subscript"/>
        </w:rPr>
        <w:t>t</w:t>
      </w:r>
    </w:p>
    <w:p w:rsidR="005A06CB" w:rsidRPr="001221C6" w:rsidRDefault="00362576" w:rsidP="005A06CB">
      <w:pPr>
        <w:pStyle w:val="NoSpacing"/>
        <w:jc w:val="both"/>
        <w:rPr>
          <w:rFonts w:ascii="Times New Roman" w:hAnsi="Times New Roman" w:cs="Times New Roman"/>
          <w:sz w:val="18"/>
          <w:szCs w:val="18"/>
        </w:rPr>
      </w:pPr>
      <w:r>
        <w:rPr>
          <w:rFonts w:ascii="Times New Roman" w:hAnsi="Times New Roman" w:cs="Times New Roman"/>
          <w:sz w:val="18"/>
          <w:szCs w:val="18"/>
        </w:rPr>
        <w:t xml:space="preserve">where Y are nominal </w:t>
      </w:r>
      <w:r w:rsidR="005A06CB" w:rsidRPr="001221C6">
        <w:rPr>
          <w:rFonts w:ascii="Times New Roman" w:hAnsi="Times New Roman" w:cs="Times New Roman"/>
          <w:sz w:val="18"/>
          <w:szCs w:val="18"/>
        </w:rPr>
        <w:t>bond</w:t>
      </w:r>
      <w:r>
        <w:rPr>
          <w:rFonts w:ascii="Times New Roman" w:hAnsi="Times New Roman" w:cs="Times New Roman"/>
          <w:sz w:val="18"/>
          <w:szCs w:val="18"/>
        </w:rPr>
        <w:t xml:space="preserve"> excess</w:t>
      </w:r>
      <w:r w:rsidR="005A06CB" w:rsidRPr="001221C6">
        <w:rPr>
          <w:rFonts w:ascii="Times New Roman" w:hAnsi="Times New Roman" w:cs="Times New Roman"/>
          <w:sz w:val="18"/>
          <w:szCs w:val="18"/>
        </w:rPr>
        <w:t xml:space="preserve"> returns</w:t>
      </w:r>
      <w:r>
        <w:rPr>
          <w:rFonts w:ascii="Times New Roman" w:hAnsi="Times New Roman" w:cs="Times New Roman"/>
          <w:sz w:val="18"/>
          <w:szCs w:val="18"/>
        </w:rPr>
        <w:t xml:space="preserve"> (based on Datastream indices)</w:t>
      </w:r>
      <w:r w:rsidR="005A06CB" w:rsidRPr="001221C6">
        <w:rPr>
          <w:rFonts w:ascii="Times New Roman" w:hAnsi="Times New Roman" w:cs="Times New Roman"/>
          <w:sz w:val="18"/>
          <w:szCs w:val="18"/>
        </w:rPr>
        <w:t xml:space="preserve"> at the monthly</w:t>
      </w:r>
      <w:r w:rsidR="005A06CB">
        <w:rPr>
          <w:rFonts w:ascii="Times New Roman" w:hAnsi="Times New Roman" w:cs="Times New Roman"/>
          <w:sz w:val="18"/>
          <w:szCs w:val="18"/>
        </w:rPr>
        <w:t xml:space="preserve"> frequency, while</w:t>
      </w:r>
      <w:r w:rsidR="005A06CB" w:rsidRPr="001221C6">
        <w:rPr>
          <w:rFonts w:ascii="Times New Roman" w:hAnsi="Times New Roman" w:cs="Times New Roman"/>
          <w:sz w:val="18"/>
          <w:szCs w:val="18"/>
        </w:rPr>
        <w:t xml:space="preserve"> X is the</w:t>
      </w:r>
      <w:r w:rsidR="005A06CB">
        <w:rPr>
          <w:rFonts w:ascii="Times New Roman" w:hAnsi="Times New Roman" w:cs="Times New Roman"/>
          <w:sz w:val="18"/>
          <w:szCs w:val="18"/>
        </w:rPr>
        <w:t xml:space="preserve"> </w:t>
      </w:r>
      <w:r w:rsidR="005A06CB" w:rsidRPr="001221C6">
        <w:rPr>
          <w:rFonts w:ascii="Times New Roman" w:hAnsi="Times New Roman" w:cs="Times New Roman"/>
          <w:sz w:val="18"/>
          <w:szCs w:val="18"/>
        </w:rPr>
        <w:t xml:space="preserve">inflation </w:t>
      </w:r>
      <w:r w:rsidR="005A06CB">
        <w:rPr>
          <w:rFonts w:ascii="Times New Roman" w:hAnsi="Times New Roman" w:cs="Times New Roman"/>
          <w:sz w:val="18"/>
          <w:szCs w:val="18"/>
        </w:rPr>
        <w:t xml:space="preserve">rate recorded in United States and Z is a dummy which takes value of 1 during July-December and 0 during January-June. </w:t>
      </w:r>
      <w:r>
        <w:rPr>
          <w:rFonts w:ascii="Times New Roman" w:hAnsi="Times New Roman" w:cs="Times New Roman"/>
          <w:sz w:val="18"/>
          <w:szCs w:val="18"/>
        </w:rPr>
        <w:t>Developed portfolio is equally-weighted on six countries. The analysis is based on the sample of nominal bond excess returns as depicted in Table 3.1. The num</w:t>
      </w:r>
      <w:r w:rsidR="005A06CB" w:rsidRPr="001221C6">
        <w:rPr>
          <w:rFonts w:ascii="Times New Roman" w:hAnsi="Times New Roman" w:cs="Times New Roman"/>
          <w:sz w:val="18"/>
          <w:szCs w:val="18"/>
        </w:rPr>
        <w:t xml:space="preserve">bers in </w:t>
      </w:r>
      <w:r w:rsidR="005A06CB" w:rsidRPr="001221C6">
        <w:rPr>
          <w:rFonts w:ascii="Times New Roman" w:hAnsi="Times New Roman" w:cs="Times New Roman"/>
          <w:b/>
          <w:sz w:val="18"/>
          <w:szCs w:val="18"/>
        </w:rPr>
        <w:t>Bold</w:t>
      </w:r>
      <w:r w:rsidR="005A06CB" w:rsidRPr="001221C6">
        <w:rPr>
          <w:rFonts w:ascii="Times New Roman" w:hAnsi="Times New Roman" w:cs="Times New Roman"/>
          <w:sz w:val="18"/>
          <w:szCs w:val="18"/>
        </w:rPr>
        <w:t xml:space="preserve"> show statistical significance at 5% significance level, while those in Blue at 10% significance level.</w:t>
      </w:r>
    </w:p>
    <w:p w:rsidR="005A06CB" w:rsidRDefault="005A06CB" w:rsidP="005A06CB">
      <w:pPr>
        <w:pStyle w:val="NoSpacing"/>
        <w:rPr>
          <w:rFonts w:ascii="Times New Roman" w:hAnsi="Times New Roman" w:cs="Times New Roman"/>
        </w:rPr>
      </w:pPr>
    </w:p>
    <w:p w:rsidR="005A06CB" w:rsidRDefault="005A06CB" w:rsidP="005A06CB">
      <w:pPr>
        <w:pStyle w:val="NoSpacing"/>
        <w:rPr>
          <w:rFonts w:ascii="Times New Roman" w:hAnsi="Times New Roman" w:cs="Times New Roman"/>
        </w:rPr>
      </w:pPr>
    </w:p>
    <w:p w:rsidR="0052717D" w:rsidRDefault="0052717D" w:rsidP="005A06CB">
      <w:pPr>
        <w:pStyle w:val="NoSpacing"/>
        <w:rPr>
          <w:rFonts w:ascii="Times New Roman" w:hAnsi="Times New Roman" w:cs="Times New Roman"/>
        </w:rPr>
      </w:pPr>
    </w:p>
    <w:p w:rsidR="0052717D" w:rsidRDefault="0052717D" w:rsidP="005A06CB">
      <w:pPr>
        <w:pStyle w:val="NoSpacing"/>
        <w:rPr>
          <w:rFonts w:ascii="Times New Roman" w:hAnsi="Times New Roman" w:cs="Times New Roman"/>
        </w:rPr>
      </w:pPr>
    </w:p>
    <w:p w:rsidR="005A06CB" w:rsidRDefault="0052717D" w:rsidP="0052717D">
      <w:pPr>
        <w:spacing w:after="120" w:line="360" w:lineRule="auto"/>
        <w:jc w:val="center"/>
        <w:rPr>
          <w:rFonts w:ascii="Times New Roman" w:hAnsi="Times New Roman" w:cs="Times New Roman"/>
        </w:rPr>
      </w:pPr>
      <w:r>
        <w:rPr>
          <w:rFonts w:ascii="Times New Roman" w:hAnsi="Times New Roman" w:cs="Times New Roman"/>
        </w:rPr>
        <w:t>Table A.7</w:t>
      </w:r>
      <w:r w:rsidR="005A06CB">
        <w:rPr>
          <w:rFonts w:ascii="Times New Roman" w:hAnsi="Times New Roman" w:cs="Times New Roman"/>
        </w:rPr>
        <w:t>: Correlation between Contemporaneous and Lead Inflation rate</w:t>
      </w:r>
    </w:p>
    <w:tbl>
      <w:tblPr>
        <w:tblW w:w="3940" w:type="dxa"/>
        <w:jc w:val="center"/>
        <w:tblInd w:w="93" w:type="dxa"/>
        <w:tblLook w:val="04A0"/>
      </w:tblPr>
      <w:tblGrid>
        <w:gridCol w:w="2260"/>
        <w:gridCol w:w="1680"/>
      </w:tblGrid>
      <w:tr w:rsidR="005A06CB" w:rsidRPr="00676300" w:rsidTr="00D0485F">
        <w:trPr>
          <w:trHeight w:val="720"/>
          <w:jc w:val="center"/>
        </w:trPr>
        <w:tc>
          <w:tcPr>
            <w:tcW w:w="3940" w:type="dxa"/>
            <w:gridSpan w:val="2"/>
            <w:tcBorders>
              <w:top w:val="single" w:sz="4" w:space="0" w:color="auto"/>
              <w:left w:val="nil"/>
              <w:bottom w:val="single" w:sz="4" w:space="0" w:color="auto"/>
              <w:right w:val="nil"/>
            </w:tcBorders>
            <w:shd w:val="clear" w:color="auto" w:fill="auto"/>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Correlation Coefficient between Contemporaneous and Lead Inflation rate</w:t>
            </w:r>
          </w:p>
        </w:tc>
      </w:tr>
      <w:tr w:rsidR="005A06CB" w:rsidRPr="00676300" w:rsidTr="00D0485F">
        <w:trPr>
          <w:trHeight w:val="270"/>
          <w:jc w:val="center"/>
        </w:trPr>
        <w:tc>
          <w:tcPr>
            <w:tcW w:w="2260" w:type="dxa"/>
            <w:tcBorders>
              <w:top w:val="nil"/>
              <w:left w:val="nil"/>
              <w:bottom w:val="single" w:sz="4" w:space="0" w:color="auto"/>
              <w:right w:val="nil"/>
            </w:tcBorders>
            <w:shd w:val="clear" w:color="auto" w:fill="auto"/>
            <w:vAlign w:val="center"/>
            <w:hideMark/>
          </w:tcPr>
          <w:p w:rsidR="005A06CB" w:rsidRPr="00676300" w:rsidRDefault="005A06CB" w:rsidP="00D0485F">
            <w:pPr>
              <w:spacing w:after="0" w:line="240" w:lineRule="auto"/>
              <w:rPr>
                <w:rFonts w:ascii="Times New Roman" w:eastAsia="Times New Roman" w:hAnsi="Times New Roman" w:cs="Times New Roman"/>
                <w:i/>
                <w:iCs/>
                <w:color w:val="291C00"/>
                <w:sz w:val="20"/>
                <w:szCs w:val="20"/>
              </w:rPr>
            </w:pPr>
            <w:r w:rsidRPr="00676300">
              <w:rPr>
                <w:rFonts w:ascii="Times New Roman" w:eastAsia="Times New Roman" w:hAnsi="Times New Roman" w:cs="Times New Roman"/>
                <w:i/>
                <w:iCs/>
                <w:color w:val="291C00"/>
                <w:sz w:val="20"/>
                <w:szCs w:val="20"/>
              </w:rPr>
              <w:t>Monthly frequency</w:t>
            </w:r>
          </w:p>
        </w:tc>
        <w:tc>
          <w:tcPr>
            <w:tcW w:w="1680" w:type="dxa"/>
            <w:tcBorders>
              <w:top w:val="nil"/>
              <w:left w:val="nil"/>
              <w:bottom w:val="single" w:sz="4" w:space="0" w:color="auto"/>
              <w:right w:val="nil"/>
            </w:tcBorders>
            <w:shd w:val="clear" w:color="auto" w:fill="auto"/>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 </w:t>
            </w:r>
          </w:p>
        </w:tc>
      </w:tr>
      <w:tr w:rsidR="005A06CB" w:rsidRPr="00676300" w:rsidTr="00D0485F">
        <w:trPr>
          <w:trHeight w:val="270"/>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Australia</w:t>
            </w:r>
          </w:p>
        </w:tc>
        <w:tc>
          <w:tcPr>
            <w:tcW w:w="1680" w:type="dxa"/>
            <w:tcBorders>
              <w:top w:val="nil"/>
              <w:left w:val="nil"/>
              <w:bottom w:val="nil"/>
              <w:right w:val="nil"/>
            </w:tcBorders>
            <w:shd w:val="clear" w:color="auto" w:fill="auto"/>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p>
        </w:tc>
      </w:tr>
      <w:tr w:rsidR="005A06CB" w:rsidRPr="00676300"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Canada</w:t>
            </w:r>
          </w:p>
        </w:tc>
        <w:tc>
          <w:tcPr>
            <w:tcW w:w="1680" w:type="dxa"/>
            <w:tcBorders>
              <w:top w:val="nil"/>
              <w:left w:val="nil"/>
              <w:bottom w:val="nil"/>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0.31</w:t>
            </w:r>
          </w:p>
        </w:tc>
      </w:tr>
      <w:tr w:rsidR="005A06CB" w:rsidRPr="00676300"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Germany</w:t>
            </w:r>
          </w:p>
        </w:tc>
        <w:tc>
          <w:tcPr>
            <w:tcW w:w="1680" w:type="dxa"/>
            <w:tcBorders>
              <w:top w:val="nil"/>
              <w:left w:val="nil"/>
              <w:bottom w:val="nil"/>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0.06</w:t>
            </w:r>
          </w:p>
        </w:tc>
      </w:tr>
      <w:tr w:rsidR="005A06CB" w:rsidRPr="00676300"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Japan</w:t>
            </w:r>
          </w:p>
        </w:tc>
        <w:tc>
          <w:tcPr>
            <w:tcW w:w="1680" w:type="dxa"/>
            <w:tcBorders>
              <w:top w:val="nil"/>
              <w:left w:val="nil"/>
              <w:bottom w:val="nil"/>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0.16</w:t>
            </w:r>
          </w:p>
        </w:tc>
      </w:tr>
      <w:tr w:rsidR="005A06CB" w:rsidRPr="00676300"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United Kingdom</w:t>
            </w:r>
          </w:p>
        </w:tc>
        <w:tc>
          <w:tcPr>
            <w:tcW w:w="1680" w:type="dxa"/>
            <w:tcBorders>
              <w:top w:val="nil"/>
              <w:left w:val="nil"/>
              <w:bottom w:val="nil"/>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0.31</w:t>
            </w:r>
          </w:p>
        </w:tc>
      </w:tr>
      <w:tr w:rsidR="005A06CB" w:rsidRPr="00676300" w:rsidTr="00D0485F">
        <w:trPr>
          <w:trHeight w:val="255"/>
          <w:jc w:val="center"/>
        </w:trPr>
        <w:tc>
          <w:tcPr>
            <w:tcW w:w="2260" w:type="dxa"/>
            <w:tcBorders>
              <w:top w:val="nil"/>
              <w:left w:val="nil"/>
              <w:bottom w:val="nil"/>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United States</w:t>
            </w:r>
          </w:p>
        </w:tc>
        <w:tc>
          <w:tcPr>
            <w:tcW w:w="1680" w:type="dxa"/>
            <w:tcBorders>
              <w:top w:val="nil"/>
              <w:left w:val="nil"/>
              <w:bottom w:val="nil"/>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0.55</w:t>
            </w:r>
          </w:p>
        </w:tc>
      </w:tr>
      <w:tr w:rsidR="005A06CB" w:rsidRPr="00676300" w:rsidTr="00D0485F">
        <w:trPr>
          <w:trHeight w:val="255"/>
          <w:jc w:val="center"/>
        </w:trPr>
        <w:tc>
          <w:tcPr>
            <w:tcW w:w="2260" w:type="dxa"/>
            <w:tcBorders>
              <w:top w:val="nil"/>
              <w:left w:val="nil"/>
              <w:bottom w:val="single" w:sz="4" w:space="0" w:color="auto"/>
              <w:right w:val="nil"/>
            </w:tcBorders>
            <w:shd w:val="clear" w:color="auto" w:fill="auto"/>
            <w:noWrap/>
            <w:vAlign w:val="bottom"/>
            <w:hideMark/>
          </w:tcPr>
          <w:p w:rsidR="005A06CB" w:rsidRPr="00676300" w:rsidRDefault="005A06CB" w:rsidP="00D0485F">
            <w:pPr>
              <w:spacing w:after="0" w:line="240" w:lineRule="auto"/>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Developed (5)</w:t>
            </w:r>
          </w:p>
        </w:tc>
        <w:tc>
          <w:tcPr>
            <w:tcW w:w="1680" w:type="dxa"/>
            <w:tcBorders>
              <w:top w:val="nil"/>
              <w:left w:val="nil"/>
              <w:bottom w:val="single" w:sz="4" w:space="0" w:color="auto"/>
              <w:right w:val="nil"/>
            </w:tcBorders>
            <w:shd w:val="clear" w:color="auto" w:fill="auto"/>
            <w:noWrap/>
            <w:vAlign w:val="center"/>
            <w:hideMark/>
          </w:tcPr>
          <w:p w:rsidR="005A06CB" w:rsidRPr="00676300" w:rsidRDefault="005A06CB" w:rsidP="00D0485F">
            <w:pPr>
              <w:spacing w:after="0" w:line="240" w:lineRule="auto"/>
              <w:jc w:val="center"/>
              <w:rPr>
                <w:rFonts w:ascii="Times New Roman" w:eastAsia="Times New Roman" w:hAnsi="Times New Roman" w:cs="Times New Roman"/>
                <w:color w:val="291C00"/>
                <w:sz w:val="20"/>
                <w:szCs w:val="20"/>
              </w:rPr>
            </w:pPr>
            <w:r w:rsidRPr="00676300">
              <w:rPr>
                <w:rFonts w:ascii="Times New Roman" w:eastAsia="Times New Roman" w:hAnsi="Times New Roman" w:cs="Times New Roman"/>
                <w:color w:val="291C00"/>
                <w:sz w:val="20"/>
                <w:szCs w:val="20"/>
              </w:rPr>
              <w:t>0.53</w:t>
            </w:r>
          </w:p>
        </w:tc>
      </w:tr>
    </w:tbl>
    <w:p w:rsidR="005A06CB" w:rsidRDefault="005A06CB" w:rsidP="005A06CB">
      <w:pPr>
        <w:pStyle w:val="NoSpacing"/>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 xml:space="preserve">correlation coefficient between time-series of contemporaneous and lead inflation measures. </w:t>
      </w:r>
      <w:r w:rsidRPr="00853D08">
        <w:rPr>
          <w:rFonts w:ascii="Times New Roman" w:hAnsi="Times New Roman" w:cs="Times New Roman"/>
          <w:sz w:val="18"/>
          <w:szCs w:val="18"/>
        </w:rPr>
        <w:t>Australia has only quarterly inflation and hence at the monthly frequency there are no national inflation results.</w:t>
      </w:r>
    </w:p>
    <w:p w:rsidR="005A06CB" w:rsidRDefault="005A06CB" w:rsidP="005A06CB">
      <w:pPr>
        <w:pStyle w:val="NoSpacing"/>
        <w:rPr>
          <w:rFonts w:ascii="Times New Roman" w:hAnsi="Times New Roman" w:cs="Times New Roman"/>
        </w:rPr>
      </w:pPr>
    </w:p>
    <w:p w:rsidR="005A06CB" w:rsidRDefault="005A06CB" w:rsidP="005A06CB">
      <w:pPr>
        <w:pStyle w:val="NoSpacing"/>
        <w:jc w:val="center"/>
        <w:rPr>
          <w:rFonts w:ascii="Times New Roman" w:hAnsi="Times New Roman" w:cs="Times New Roman"/>
        </w:rPr>
      </w:pPr>
    </w:p>
    <w:p w:rsidR="005A06CB" w:rsidRDefault="005A06CB" w:rsidP="005A06CB">
      <w:pPr>
        <w:pStyle w:val="NoSpacing"/>
        <w:jc w:val="center"/>
        <w:rPr>
          <w:rFonts w:ascii="Times New Roman" w:hAnsi="Times New Roman" w:cs="Times New Roman"/>
        </w:rPr>
      </w:pPr>
    </w:p>
    <w:p w:rsidR="0052717D" w:rsidRDefault="0052717D" w:rsidP="005A06CB">
      <w:pPr>
        <w:pStyle w:val="NoSpacing"/>
        <w:jc w:val="center"/>
        <w:rPr>
          <w:rFonts w:ascii="Times New Roman" w:hAnsi="Times New Roman" w:cs="Times New Roman"/>
        </w:rPr>
      </w:pPr>
    </w:p>
    <w:p w:rsidR="005A06CB" w:rsidRDefault="0052717D" w:rsidP="005A06CB">
      <w:pPr>
        <w:pStyle w:val="NoSpacing"/>
        <w:jc w:val="center"/>
        <w:rPr>
          <w:rFonts w:ascii="Times New Roman" w:hAnsi="Times New Roman" w:cs="Times New Roman"/>
        </w:rPr>
      </w:pPr>
      <w:r>
        <w:rPr>
          <w:rFonts w:ascii="Times New Roman" w:hAnsi="Times New Roman" w:cs="Times New Roman"/>
        </w:rPr>
        <w:t>Table A.8</w:t>
      </w:r>
      <w:r w:rsidR="005A06CB">
        <w:rPr>
          <w:rFonts w:ascii="Times New Roman" w:hAnsi="Times New Roman" w:cs="Times New Roman"/>
        </w:rPr>
        <w:t>: Correlation between U</w:t>
      </w:r>
      <w:r w:rsidR="00E12AF6">
        <w:rPr>
          <w:rFonts w:ascii="Times New Roman" w:hAnsi="Times New Roman" w:cs="Times New Roman"/>
        </w:rPr>
        <w:t>.</w:t>
      </w:r>
      <w:r w:rsidR="005A06CB">
        <w:rPr>
          <w:rFonts w:ascii="Times New Roman" w:hAnsi="Times New Roman" w:cs="Times New Roman"/>
        </w:rPr>
        <w:t>S</w:t>
      </w:r>
      <w:r w:rsidR="00E12AF6">
        <w:rPr>
          <w:rFonts w:ascii="Times New Roman" w:hAnsi="Times New Roman" w:cs="Times New Roman"/>
        </w:rPr>
        <w:t>.</w:t>
      </w:r>
      <w:r w:rsidR="005A06CB">
        <w:rPr>
          <w:rFonts w:ascii="Times New Roman" w:hAnsi="Times New Roman" w:cs="Times New Roman"/>
        </w:rPr>
        <w:t xml:space="preserve"> inflation rate and SAD</w:t>
      </w:r>
    </w:p>
    <w:p w:rsidR="005A06CB" w:rsidRDefault="005A06CB" w:rsidP="005A06CB">
      <w:pPr>
        <w:pStyle w:val="NoSpacing"/>
        <w:jc w:val="center"/>
        <w:rPr>
          <w:rFonts w:ascii="Times New Roman" w:hAnsi="Times New Roman" w:cs="Times New Roman"/>
        </w:rPr>
      </w:pPr>
    </w:p>
    <w:tbl>
      <w:tblPr>
        <w:tblW w:w="4260" w:type="dxa"/>
        <w:jc w:val="center"/>
        <w:tblInd w:w="93" w:type="dxa"/>
        <w:tblLook w:val="04A0"/>
      </w:tblPr>
      <w:tblGrid>
        <w:gridCol w:w="2729"/>
        <w:gridCol w:w="1531"/>
      </w:tblGrid>
      <w:tr w:rsidR="005A06CB" w:rsidRPr="00213DB4" w:rsidTr="00D0485F">
        <w:trPr>
          <w:trHeight w:val="570"/>
          <w:jc w:val="center"/>
        </w:trPr>
        <w:tc>
          <w:tcPr>
            <w:tcW w:w="4260" w:type="dxa"/>
            <w:gridSpan w:val="2"/>
            <w:tcBorders>
              <w:top w:val="single" w:sz="4" w:space="0" w:color="auto"/>
              <w:left w:val="nil"/>
              <w:bottom w:val="single" w:sz="4" w:space="0" w:color="auto"/>
              <w:right w:val="nil"/>
            </w:tcBorders>
            <w:shd w:val="clear" w:color="auto" w:fill="auto"/>
            <w:vAlign w:val="center"/>
            <w:hideMark/>
          </w:tcPr>
          <w:p w:rsidR="005A06CB" w:rsidRPr="00213DB4" w:rsidRDefault="005A06CB" w:rsidP="00D0485F">
            <w:pPr>
              <w:spacing w:after="0" w:line="240" w:lineRule="auto"/>
              <w:jc w:val="center"/>
              <w:rPr>
                <w:rFonts w:ascii="Times New Roman" w:eastAsia="Times New Roman" w:hAnsi="Times New Roman" w:cs="Times New Roman"/>
                <w:color w:val="291C00"/>
                <w:sz w:val="20"/>
                <w:szCs w:val="20"/>
              </w:rPr>
            </w:pPr>
            <w:r w:rsidRPr="00213DB4">
              <w:rPr>
                <w:rFonts w:ascii="Times New Roman" w:eastAsia="Times New Roman" w:hAnsi="Times New Roman" w:cs="Times New Roman"/>
                <w:color w:val="291C00"/>
                <w:sz w:val="20"/>
                <w:szCs w:val="20"/>
              </w:rPr>
              <w:t>Correlation Coefficient between U</w:t>
            </w:r>
            <w:r w:rsidR="00E12AF6">
              <w:rPr>
                <w:rFonts w:ascii="Times New Roman" w:eastAsia="Times New Roman" w:hAnsi="Times New Roman" w:cs="Times New Roman"/>
                <w:color w:val="291C00"/>
                <w:sz w:val="20"/>
                <w:szCs w:val="20"/>
              </w:rPr>
              <w:t>.</w:t>
            </w:r>
            <w:r w:rsidRPr="00213DB4">
              <w:rPr>
                <w:rFonts w:ascii="Times New Roman" w:eastAsia="Times New Roman" w:hAnsi="Times New Roman" w:cs="Times New Roman"/>
                <w:color w:val="291C00"/>
                <w:sz w:val="20"/>
                <w:szCs w:val="20"/>
              </w:rPr>
              <w:t>S</w:t>
            </w:r>
            <w:r w:rsidR="00E12AF6">
              <w:rPr>
                <w:rFonts w:ascii="Times New Roman" w:eastAsia="Times New Roman" w:hAnsi="Times New Roman" w:cs="Times New Roman"/>
                <w:color w:val="291C00"/>
                <w:sz w:val="20"/>
                <w:szCs w:val="20"/>
              </w:rPr>
              <w:t>.</w:t>
            </w:r>
            <w:r w:rsidRPr="00213DB4">
              <w:rPr>
                <w:rFonts w:ascii="Times New Roman" w:eastAsia="Times New Roman" w:hAnsi="Times New Roman" w:cs="Times New Roman"/>
                <w:color w:val="291C00"/>
                <w:sz w:val="20"/>
                <w:szCs w:val="20"/>
              </w:rPr>
              <w:t xml:space="preserve"> inflation rate and SAD</w:t>
            </w:r>
          </w:p>
        </w:tc>
      </w:tr>
      <w:tr w:rsidR="005A06CB" w:rsidRPr="00213DB4" w:rsidTr="00D0485F">
        <w:trPr>
          <w:trHeight w:val="255"/>
          <w:jc w:val="center"/>
        </w:trPr>
        <w:tc>
          <w:tcPr>
            <w:tcW w:w="2729" w:type="dxa"/>
            <w:tcBorders>
              <w:top w:val="nil"/>
              <w:left w:val="nil"/>
              <w:bottom w:val="nil"/>
              <w:right w:val="nil"/>
            </w:tcBorders>
            <w:shd w:val="clear" w:color="auto" w:fill="auto"/>
            <w:noWrap/>
            <w:vAlign w:val="bottom"/>
            <w:hideMark/>
          </w:tcPr>
          <w:p w:rsidR="005A06CB" w:rsidRPr="00213DB4" w:rsidRDefault="005A06CB" w:rsidP="00D0485F">
            <w:pPr>
              <w:spacing w:after="0" w:line="240" w:lineRule="auto"/>
              <w:rPr>
                <w:rFonts w:ascii="Times New Roman" w:eastAsia="Times New Roman" w:hAnsi="Times New Roman" w:cs="Times New Roman"/>
                <w:color w:val="291C00"/>
                <w:sz w:val="20"/>
                <w:szCs w:val="20"/>
              </w:rPr>
            </w:pPr>
            <w:r w:rsidRPr="00213DB4">
              <w:rPr>
                <w:rFonts w:ascii="Times New Roman" w:eastAsia="Times New Roman" w:hAnsi="Times New Roman" w:cs="Times New Roman"/>
                <w:color w:val="291C00"/>
                <w:sz w:val="20"/>
                <w:szCs w:val="20"/>
              </w:rPr>
              <w:t>Monthly</w:t>
            </w:r>
          </w:p>
        </w:tc>
        <w:tc>
          <w:tcPr>
            <w:tcW w:w="1531" w:type="dxa"/>
            <w:tcBorders>
              <w:top w:val="nil"/>
              <w:left w:val="nil"/>
              <w:bottom w:val="nil"/>
              <w:right w:val="nil"/>
            </w:tcBorders>
            <w:shd w:val="clear" w:color="auto" w:fill="auto"/>
            <w:noWrap/>
            <w:vAlign w:val="center"/>
            <w:hideMark/>
          </w:tcPr>
          <w:p w:rsidR="005A06CB" w:rsidRPr="00213DB4" w:rsidRDefault="005A06CB" w:rsidP="00D0485F">
            <w:pPr>
              <w:spacing w:after="0" w:line="240" w:lineRule="auto"/>
              <w:jc w:val="center"/>
              <w:rPr>
                <w:rFonts w:ascii="Times New Roman" w:eastAsia="Times New Roman" w:hAnsi="Times New Roman" w:cs="Times New Roman"/>
                <w:color w:val="291C00"/>
                <w:sz w:val="20"/>
                <w:szCs w:val="20"/>
              </w:rPr>
            </w:pPr>
            <w:r w:rsidRPr="00213DB4">
              <w:rPr>
                <w:rFonts w:ascii="Times New Roman" w:eastAsia="Times New Roman" w:hAnsi="Times New Roman" w:cs="Times New Roman"/>
                <w:color w:val="291C00"/>
                <w:sz w:val="20"/>
                <w:szCs w:val="20"/>
              </w:rPr>
              <w:t>-0.12</w:t>
            </w:r>
          </w:p>
        </w:tc>
      </w:tr>
      <w:tr w:rsidR="005A06CB" w:rsidRPr="00213DB4" w:rsidTr="00D0485F">
        <w:trPr>
          <w:trHeight w:val="255"/>
          <w:jc w:val="center"/>
        </w:trPr>
        <w:tc>
          <w:tcPr>
            <w:tcW w:w="2729" w:type="dxa"/>
            <w:tcBorders>
              <w:top w:val="nil"/>
              <w:left w:val="nil"/>
              <w:bottom w:val="single" w:sz="4" w:space="0" w:color="auto"/>
              <w:right w:val="nil"/>
            </w:tcBorders>
            <w:shd w:val="clear" w:color="auto" w:fill="auto"/>
            <w:noWrap/>
            <w:vAlign w:val="bottom"/>
            <w:hideMark/>
          </w:tcPr>
          <w:p w:rsidR="005A06CB" w:rsidRPr="00213DB4" w:rsidRDefault="005A06CB" w:rsidP="00D0485F">
            <w:pPr>
              <w:spacing w:after="0" w:line="240" w:lineRule="auto"/>
              <w:rPr>
                <w:rFonts w:ascii="Times New Roman" w:eastAsia="Times New Roman" w:hAnsi="Times New Roman" w:cs="Times New Roman"/>
                <w:color w:val="291C00"/>
                <w:sz w:val="20"/>
                <w:szCs w:val="20"/>
              </w:rPr>
            </w:pPr>
            <w:r w:rsidRPr="00213DB4">
              <w:rPr>
                <w:rFonts w:ascii="Times New Roman" w:eastAsia="Times New Roman" w:hAnsi="Times New Roman" w:cs="Times New Roman"/>
                <w:color w:val="291C00"/>
                <w:sz w:val="20"/>
                <w:szCs w:val="20"/>
              </w:rPr>
              <w:t>Quarterly</w:t>
            </w:r>
          </w:p>
        </w:tc>
        <w:tc>
          <w:tcPr>
            <w:tcW w:w="1531" w:type="dxa"/>
            <w:tcBorders>
              <w:top w:val="nil"/>
              <w:left w:val="nil"/>
              <w:bottom w:val="single" w:sz="4" w:space="0" w:color="auto"/>
              <w:right w:val="nil"/>
            </w:tcBorders>
            <w:shd w:val="clear" w:color="auto" w:fill="auto"/>
            <w:noWrap/>
            <w:vAlign w:val="center"/>
            <w:hideMark/>
          </w:tcPr>
          <w:p w:rsidR="005A06CB" w:rsidRPr="00213DB4" w:rsidRDefault="005A06CB" w:rsidP="00D0485F">
            <w:pPr>
              <w:spacing w:after="0" w:line="240" w:lineRule="auto"/>
              <w:jc w:val="center"/>
              <w:rPr>
                <w:rFonts w:ascii="Times New Roman" w:eastAsia="Times New Roman" w:hAnsi="Times New Roman" w:cs="Times New Roman"/>
                <w:color w:val="291C00"/>
                <w:sz w:val="20"/>
                <w:szCs w:val="20"/>
              </w:rPr>
            </w:pPr>
            <w:r w:rsidRPr="00213DB4">
              <w:rPr>
                <w:rFonts w:ascii="Times New Roman" w:eastAsia="Times New Roman" w:hAnsi="Times New Roman" w:cs="Times New Roman"/>
                <w:color w:val="291C00"/>
                <w:sz w:val="20"/>
                <w:szCs w:val="20"/>
              </w:rPr>
              <w:t>-0.21</w:t>
            </w:r>
          </w:p>
        </w:tc>
      </w:tr>
    </w:tbl>
    <w:p w:rsidR="005A06CB" w:rsidRDefault="005A06CB" w:rsidP="005A06CB">
      <w:pPr>
        <w:pStyle w:val="NoSpacing"/>
        <w:jc w:val="both"/>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sidRPr="006C0856">
        <w:rPr>
          <w:rFonts w:ascii="Times New Roman" w:hAnsi="Times New Roman" w:cs="Times New Roman"/>
          <w:sz w:val="18"/>
          <w:szCs w:val="18"/>
        </w:rPr>
        <w:t xml:space="preserve">: This table shows </w:t>
      </w:r>
      <w:r>
        <w:rPr>
          <w:rFonts w:ascii="Times New Roman" w:hAnsi="Times New Roman" w:cs="Times New Roman"/>
          <w:sz w:val="18"/>
          <w:szCs w:val="18"/>
        </w:rPr>
        <w:t>correlation coefficient between U</w:t>
      </w:r>
      <w:r w:rsidR="00E12AF6">
        <w:rPr>
          <w:rFonts w:ascii="Times New Roman" w:hAnsi="Times New Roman" w:cs="Times New Roman"/>
          <w:sz w:val="18"/>
          <w:szCs w:val="18"/>
        </w:rPr>
        <w:t>.</w:t>
      </w:r>
      <w:r>
        <w:rPr>
          <w:rFonts w:ascii="Times New Roman" w:hAnsi="Times New Roman" w:cs="Times New Roman"/>
          <w:sz w:val="18"/>
          <w:szCs w:val="18"/>
        </w:rPr>
        <w:t>S</w:t>
      </w:r>
      <w:r w:rsidR="00E12AF6">
        <w:rPr>
          <w:rFonts w:ascii="Times New Roman" w:hAnsi="Times New Roman" w:cs="Times New Roman"/>
          <w:sz w:val="18"/>
          <w:szCs w:val="18"/>
        </w:rPr>
        <w:t>.</w:t>
      </w:r>
      <w:r>
        <w:rPr>
          <w:rFonts w:ascii="Times New Roman" w:hAnsi="Times New Roman" w:cs="Times New Roman"/>
          <w:sz w:val="18"/>
          <w:szCs w:val="18"/>
        </w:rPr>
        <w:t xml:space="preserve"> inflation rate and SAD variable of Kramer, Kamstra and Levi (2014) over 1952 – 2013.</w:t>
      </w: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Pr="0052717D" w:rsidRDefault="0052717D" w:rsidP="0052717D">
      <w:pPr>
        <w:pStyle w:val="NoSpacing"/>
        <w:spacing w:after="120" w:line="360" w:lineRule="auto"/>
        <w:jc w:val="center"/>
        <w:rPr>
          <w:rFonts w:ascii="Times New Roman" w:hAnsi="Times New Roman" w:cs="Times New Roman"/>
        </w:rPr>
      </w:pPr>
      <w:r w:rsidRPr="0052717D">
        <w:rPr>
          <w:rFonts w:ascii="Times New Roman" w:hAnsi="Times New Roman" w:cs="Times New Roman"/>
        </w:rPr>
        <w:t>Figure A.2</w:t>
      </w:r>
      <w:r w:rsidR="005A06CB" w:rsidRPr="0052717D">
        <w:rPr>
          <w:rFonts w:ascii="Times New Roman" w:hAnsi="Times New Roman" w:cs="Times New Roman"/>
        </w:rPr>
        <w:t>: U</w:t>
      </w:r>
      <w:r w:rsidR="00E12AF6">
        <w:rPr>
          <w:rFonts w:ascii="Times New Roman" w:hAnsi="Times New Roman" w:cs="Times New Roman"/>
        </w:rPr>
        <w:t>.</w:t>
      </w:r>
      <w:r w:rsidR="005A06CB" w:rsidRPr="0052717D">
        <w:rPr>
          <w:rFonts w:ascii="Times New Roman" w:hAnsi="Times New Roman" w:cs="Times New Roman"/>
        </w:rPr>
        <w:t>S</w:t>
      </w:r>
      <w:r w:rsidR="00E12AF6">
        <w:rPr>
          <w:rFonts w:ascii="Times New Roman" w:hAnsi="Times New Roman" w:cs="Times New Roman"/>
        </w:rPr>
        <w:t>.</w:t>
      </w:r>
      <w:r w:rsidR="005A06CB" w:rsidRPr="0052717D">
        <w:rPr>
          <w:rFonts w:ascii="Times New Roman" w:hAnsi="Times New Roman" w:cs="Times New Roman"/>
        </w:rPr>
        <w:t xml:space="preserve"> Inflation and Bond yield dynamics</w:t>
      </w:r>
    </w:p>
    <w:p w:rsidR="005A06CB" w:rsidRPr="00FC08F8" w:rsidRDefault="005A06CB" w:rsidP="005A06CB">
      <w:pPr>
        <w:pStyle w:val="NoSpacing"/>
        <w:jc w:val="center"/>
        <w:rPr>
          <w:rFonts w:ascii="Times New Roman" w:hAnsi="Times New Roman" w:cs="Times New Roman"/>
          <w:sz w:val="20"/>
          <w:szCs w:val="20"/>
        </w:rPr>
      </w:pPr>
      <w:r>
        <w:rPr>
          <w:noProof/>
        </w:rPr>
        <w:lastRenderedPageBreak/>
        <w:drawing>
          <wp:inline distT="0" distB="0" distL="0" distR="0">
            <wp:extent cx="5248276" cy="3043239"/>
            <wp:effectExtent l="0" t="0" r="0" b="5080"/>
            <wp:docPr id="4"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rsidR="005A06CB" w:rsidRDefault="005A06CB" w:rsidP="005A06CB">
      <w:pPr>
        <w:pStyle w:val="NoSpacing"/>
        <w:jc w:val="center"/>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r w:rsidRPr="006C0856">
        <w:rPr>
          <w:rFonts w:ascii="Times New Roman" w:hAnsi="Times New Roman" w:cs="Times New Roman"/>
          <w:i/>
          <w:sz w:val="18"/>
          <w:szCs w:val="18"/>
        </w:rPr>
        <w:t>Note</w:t>
      </w:r>
      <w:r>
        <w:rPr>
          <w:rFonts w:ascii="Times New Roman" w:hAnsi="Times New Roman" w:cs="Times New Roman"/>
          <w:i/>
          <w:sz w:val="18"/>
          <w:szCs w:val="18"/>
        </w:rPr>
        <w:t>s</w:t>
      </w:r>
      <w:r>
        <w:rPr>
          <w:rFonts w:ascii="Times New Roman" w:hAnsi="Times New Roman" w:cs="Times New Roman"/>
          <w:sz w:val="18"/>
          <w:szCs w:val="18"/>
        </w:rPr>
        <w:t>: The graph depicts the dynamics of the yield of 10Y U</w:t>
      </w:r>
      <w:r w:rsidR="00E12AF6">
        <w:rPr>
          <w:rFonts w:ascii="Times New Roman" w:hAnsi="Times New Roman" w:cs="Times New Roman"/>
          <w:sz w:val="18"/>
          <w:szCs w:val="18"/>
        </w:rPr>
        <w:t>.</w:t>
      </w:r>
      <w:r>
        <w:rPr>
          <w:rFonts w:ascii="Times New Roman" w:hAnsi="Times New Roman" w:cs="Times New Roman"/>
          <w:sz w:val="18"/>
          <w:szCs w:val="18"/>
        </w:rPr>
        <w:t>S</w:t>
      </w:r>
      <w:r w:rsidR="00E12AF6">
        <w:rPr>
          <w:rFonts w:ascii="Times New Roman" w:hAnsi="Times New Roman" w:cs="Times New Roman"/>
          <w:sz w:val="18"/>
          <w:szCs w:val="18"/>
        </w:rPr>
        <w:t>.</w:t>
      </w:r>
      <w:r>
        <w:rPr>
          <w:rFonts w:ascii="Times New Roman" w:hAnsi="Times New Roman" w:cs="Times New Roman"/>
          <w:sz w:val="18"/>
          <w:szCs w:val="18"/>
        </w:rPr>
        <w:t xml:space="preserve"> Treasuries and U</w:t>
      </w:r>
      <w:r w:rsidR="00E12AF6">
        <w:rPr>
          <w:rFonts w:ascii="Times New Roman" w:hAnsi="Times New Roman" w:cs="Times New Roman"/>
          <w:sz w:val="18"/>
          <w:szCs w:val="18"/>
        </w:rPr>
        <w:t>.</w:t>
      </w:r>
      <w:r>
        <w:rPr>
          <w:rFonts w:ascii="Times New Roman" w:hAnsi="Times New Roman" w:cs="Times New Roman"/>
          <w:sz w:val="18"/>
          <w:szCs w:val="18"/>
        </w:rPr>
        <w:t>S</w:t>
      </w:r>
      <w:r w:rsidR="00E12AF6">
        <w:rPr>
          <w:rFonts w:ascii="Times New Roman" w:hAnsi="Times New Roman" w:cs="Times New Roman"/>
          <w:sz w:val="18"/>
          <w:szCs w:val="18"/>
        </w:rPr>
        <w:t>.</w:t>
      </w:r>
      <w:r>
        <w:rPr>
          <w:rFonts w:ascii="Times New Roman" w:hAnsi="Times New Roman" w:cs="Times New Roman"/>
          <w:sz w:val="18"/>
          <w:szCs w:val="18"/>
        </w:rPr>
        <w:t xml:space="preserve"> non-seasonally adjusted inflation rate for the period 1952 – 2007. </w:t>
      </w: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center"/>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jc w:val="both"/>
        <w:rPr>
          <w:rFonts w:ascii="Times New Roman" w:hAnsi="Times New Roman" w:cs="Times New Roman"/>
          <w:sz w:val="18"/>
          <w:szCs w:val="18"/>
        </w:rPr>
      </w:pPr>
    </w:p>
    <w:p w:rsidR="005A06CB" w:rsidRPr="0052717D" w:rsidRDefault="0052717D" w:rsidP="0052717D">
      <w:pPr>
        <w:spacing w:after="120" w:line="360" w:lineRule="auto"/>
        <w:jc w:val="center"/>
        <w:rPr>
          <w:rFonts w:ascii="Times New Roman" w:hAnsi="Times New Roman" w:cs="Times New Roman"/>
        </w:rPr>
      </w:pPr>
      <w:r>
        <w:rPr>
          <w:rFonts w:ascii="Times New Roman" w:hAnsi="Times New Roman" w:cs="Times New Roman"/>
        </w:rPr>
        <w:t>Table A.9</w:t>
      </w:r>
      <w:r w:rsidR="005A06CB" w:rsidRPr="0052717D">
        <w:rPr>
          <w:rFonts w:ascii="Times New Roman" w:hAnsi="Times New Roman" w:cs="Times New Roman"/>
        </w:rPr>
        <w:t>: GDP Non-Seasonally Adjusted Data Description</w:t>
      </w:r>
    </w:p>
    <w:tbl>
      <w:tblPr>
        <w:tblW w:w="10432" w:type="dxa"/>
        <w:jc w:val="center"/>
        <w:tblInd w:w="108" w:type="dxa"/>
        <w:tblLook w:val="04A0"/>
      </w:tblPr>
      <w:tblGrid>
        <w:gridCol w:w="1780"/>
        <w:gridCol w:w="2083"/>
        <w:gridCol w:w="4196"/>
        <w:gridCol w:w="1177"/>
        <w:gridCol w:w="1196"/>
      </w:tblGrid>
      <w:tr w:rsidR="005A06CB" w:rsidRPr="0008432F" w:rsidTr="00D0485F">
        <w:trPr>
          <w:trHeight w:val="870"/>
          <w:jc w:val="center"/>
        </w:trPr>
        <w:tc>
          <w:tcPr>
            <w:tcW w:w="1780" w:type="dxa"/>
            <w:tcBorders>
              <w:top w:val="single" w:sz="4" w:space="0" w:color="auto"/>
              <w:left w:val="nil"/>
              <w:bottom w:val="single" w:sz="4" w:space="0" w:color="auto"/>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Real GDP non-seasonally</w:t>
            </w:r>
            <w:r>
              <w:rPr>
                <w:rFonts w:ascii="Times New Roman" w:eastAsia="Times New Roman" w:hAnsi="Times New Roman" w:cs="Times New Roman"/>
                <w:color w:val="291C00"/>
                <w:sz w:val="20"/>
                <w:szCs w:val="20"/>
              </w:rPr>
              <w:t xml:space="preserve"> </w:t>
            </w:r>
            <w:r w:rsidRPr="0008432F">
              <w:rPr>
                <w:rFonts w:ascii="Times New Roman" w:eastAsia="Times New Roman" w:hAnsi="Times New Roman" w:cs="Times New Roman"/>
                <w:color w:val="291C00"/>
                <w:sz w:val="20"/>
                <w:szCs w:val="20"/>
              </w:rPr>
              <w:t>adjusted (NSA)</w:t>
            </w:r>
          </w:p>
        </w:tc>
        <w:tc>
          <w:tcPr>
            <w:tcW w:w="2083" w:type="dxa"/>
            <w:tcBorders>
              <w:top w:val="single" w:sz="4" w:space="0" w:color="auto"/>
              <w:left w:val="nil"/>
              <w:bottom w:val="single" w:sz="4" w:space="0" w:color="auto"/>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Bloomberg/Datastream code</w:t>
            </w:r>
          </w:p>
        </w:tc>
        <w:tc>
          <w:tcPr>
            <w:tcW w:w="4196" w:type="dxa"/>
            <w:tcBorders>
              <w:top w:val="single" w:sz="4" w:space="0" w:color="auto"/>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Description</w:t>
            </w:r>
          </w:p>
        </w:tc>
        <w:tc>
          <w:tcPr>
            <w:tcW w:w="1177" w:type="dxa"/>
            <w:tcBorders>
              <w:top w:val="single" w:sz="4" w:space="0" w:color="auto"/>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Source</w:t>
            </w:r>
          </w:p>
        </w:tc>
        <w:tc>
          <w:tcPr>
            <w:tcW w:w="1196" w:type="dxa"/>
            <w:tcBorders>
              <w:top w:val="single" w:sz="4" w:space="0" w:color="auto"/>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Sample</w:t>
            </w:r>
          </w:p>
        </w:tc>
      </w:tr>
      <w:tr w:rsidR="005A06CB" w:rsidRPr="0008432F" w:rsidTr="00D0485F">
        <w:trPr>
          <w:trHeight w:val="510"/>
          <w:jc w:val="center"/>
        </w:trPr>
        <w:tc>
          <w:tcPr>
            <w:tcW w:w="1780"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Australia</w:t>
            </w:r>
          </w:p>
        </w:tc>
        <w:tc>
          <w:tcPr>
            <w:tcW w:w="2083"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sz w:val="20"/>
                <w:szCs w:val="20"/>
              </w:rPr>
            </w:pPr>
            <w:r w:rsidRPr="0008432F">
              <w:rPr>
                <w:rFonts w:ascii="Times New Roman" w:eastAsia="Times New Roman" w:hAnsi="Times New Roman" w:cs="Times New Roman"/>
                <w:sz w:val="20"/>
                <w:szCs w:val="20"/>
              </w:rPr>
              <w:t>AUNAGDCV Index</w:t>
            </w:r>
          </w:p>
        </w:tc>
        <w:tc>
          <w:tcPr>
            <w:tcW w:w="4196"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AU GDP NSA by Expenditure, Chain Linked Prices (mn AUD), NSA</w:t>
            </w:r>
          </w:p>
        </w:tc>
        <w:tc>
          <w:tcPr>
            <w:tcW w:w="1177"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Bloomberg</w:t>
            </w:r>
          </w:p>
        </w:tc>
        <w:tc>
          <w:tcPr>
            <w:tcW w:w="1196"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1975-2013</w:t>
            </w:r>
          </w:p>
        </w:tc>
      </w:tr>
      <w:tr w:rsidR="005A06CB" w:rsidRPr="0008432F" w:rsidTr="00D0485F">
        <w:trPr>
          <w:trHeight w:val="765"/>
          <w:jc w:val="center"/>
        </w:trPr>
        <w:tc>
          <w:tcPr>
            <w:tcW w:w="1780"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Canada</w:t>
            </w:r>
          </w:p>
        </w:tc>
        <w:tc>
          <w:tcPr>
            <w:tcW w:w="2083"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CNGDP...C</w:t>
            </w:r>
          </w:p>
        </w:tc>
        <w:tc>
          <w:tcPr>
            <w:tcW w:w="4196"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CA GDP Income Approach, Total at market prices, Constant Prices (mn CAD 2007 prices), NSA</w:t>
            </w:r>
          </w:p>
        </w:tc>
        <w:tc>
          <w:tcPr>
            <w:tcW w:w="1177"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Datastream</w:t>
            </w:r>
          </w:p>
        </w:tc>
        <w:tc>
          <w:tcPr>
            <w:tcW w:w="1196"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Pr>
                <w:rFonts w:ascii="Times New Roman" w:eastAsia="Times New Roman" w:hAnsi="Times New Roman" w:cs="Times New Roman"/>
                <w:color w:val="291C00"/>
                <w:sz w:val="20"/>
                <w:szCs w:val="20"/>
              </w:rPr>
              <w:t>1981-</w:t>
            </w:r>
            <w:r w:rsidRPr="0008432F">
              <w:rPr>
                <w:rFonts w:ascii="Times New Roman" w:eastAsia="Times New Roman" w:hAnsi="Times New Roman" w:cs="Times New Roman"/>
                <w:color w:val="291C00"/>
                <w:sz w:val="20"/>
                <w:szCs w:val="20"/>
              </w:rPr>
              <w:t>2013</w:t>
            </w:r>
          </w:p>
        </w:tc>
      </w:tr>
      <w:tr w:rsidR="005A06CB" w:rsidRPr="0008432F" w:rsidTr="00D0485F">
        <w:trPr>
          <w:trHeight w:val="1020"/>
          <w:jc w:val="center"/>
        </w:trPr>
        <w:tc>
          <w:tcPr>
            <w:tcW w:w="1780"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Germany</w:t>
            </w:r>
          </w:p>
        </w:tc>
        <w:tc>
          <w:tcPr>
            <w:tcW w:w="2083"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WGGDP.95C, GDPB00E Index</w:t>
            </w:r>
          </w:p>
        </w:tc>
        <w:tc>
          <w:tcPr>
            <w:tcW w:w="4196"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West Germany GDP, Expenditure Approach,  Constant Prices (mn EUR 1995 prices)</w:t>
            </w:r>
            <w:r>
              <w:rPr>
                <w:rFonts w:ascii="Times New Roman" w:eastAsia="Times New Roman" w:hAnsi="Times New Roman" w:cs="Times New Roman"/>
                <w:color w:val="291C00"/>
                <w:sz w:val="20"/>
                <w:szCs w:val="20"/>
              </w:rPr>
              <w:t xml:space="preserve"> until 1991</w:t>
            </w:r>
            <w:r w:rsidRPr="0008432F">
              <w:rPr>
                <w:rFonts w:ascii="Times New Roman" w:eastAsia="Times New Roman" w:hAnsi="Times New Roman" w:cs="Times New Roman"/>
                <w:color w:val="291C00"/>
                <w:sz w:val="20"/>
                <w:szCs w:val="20"/>
              </w:rPr>
              <w:t>, then DE GDP Chain Linked Pan German level Index (2005=100), NSA</w:t>
            </w:r>
          </w:p>
        </w:tc>
        <w:tc>
          <w:tcPr>
            <w:tcW w:w="1177"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Datastream, Bloomberg</w:t>
            </w:r>
          </w:p>
        </w:tc>
        <w:tc>
          <w:tcPr>
            <w:tcW w:w="1196"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1975-2013</w:t>
            </w:r>
          </w:p>
        </w:tc>
      </w:tr>
      <w:tr w:rsidR="005A06CB" w:rsidRPr="0008432F" w:rsidTr="00D0485F">
        <w:trPr>
          <w:trHeight w:val="510"/>
          <w:jc w:val="center"/>
        </w:trPr>
        <w:tc>
          <w:tcPr>
            <w:tcW w:w="1780"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Japan</w:t>
            </w:r>
          </w:p>
        </w:tc>
        <w:tc>
          <w:tcPr>
            <w:tcW w:w="2083"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sz w:val="20"/>
                <w:szCs w:val="20"/>
              </w:rPr>
            </w:pPr>
            <w:r w:rsidRPr="0008432F">
              <w:rPr>
                <w:rFonts w:ascii="Times New Roman" w:eastAsia="Times New Roman" w:hAnsi="Times New Roman" w:cs="Times New Roman"/>
                <w:sz w:val="20"/>
                <w:szCs w:val="20"/>
              </w:rPr>
              <w:t>JPGDP...C</w:t>
            </w:r>
          </w:p>
        </w:tc>
        <w:tc>
          <w:tcPr>
            <w:tcW w:w="4196"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JP Expenditure Approach, GDP, Constant Prices (bn JPY 2005 chnd prices), NSA</w:t>
            </w:r>
          </w:p>
        </w:tc>
        <w:tc>
          <w:tcPr>
            <w:tcW w:w="1177"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Datastream</w:t>
            </w:r>
          </w:p>
        </w:tc>
        <w:tc>
          <w:tcPr>
            <w:tcW w:w="1196"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1980-2013</w:t>
            </w:r>
          </w:p>
        </w:tc>
      </w:tr>
      <w:tr w:rsidR="005A06CB" w:rsidRPr="0008432F" w:rsidTr="00D0485F">
        <w:trPr>
          <w:trHeight w:val="555"/>
          <w:jc w:val="center"/>
        </w:trPr>
        <w:tc>
          <w:tcPr>
            <w:tcW w:w="1780"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United Kingdom</w:t>
            </w:r>
          </w:p>
        </w:tc>
        <w:tc>
          <w:tcPr>
            <w:tcW w:w="2083"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p>
        </w:tc>
        <w:tc>
          <w:tcPr>
            <w:tcW w:w="4196" w:type="dxa"/>
            <w:tcBorders>
              <w:top w:val="nil"/>
              <w:left w:val="nil"/>
              <w:bottom w:val="nil"/>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sz w:val="20"/>
                <w:szCs w:val="20"/>
              </w:rPr>
            </w:pPr>
            <w:r w:rsidRPr="0008432F">
              <w:rPr>
                <w:rFonts w:ascii="Times New Roman" w:eastAsia="Times New Roman" w:hAnsi="Times New Roman" w:cs="Times New Roman"/>
                <w:sz w:val="20"/>
                <w:szCs w:val="20"/>
              </w:rPr>
              <w:t>UK GDP at market prices, Volume index (2005=100), NSA</w:t>
            </w:r>
          </w:p>
        </w:tc>
        <w:tc>
          <w:tcPr>
            <w:tcW w:w="1177"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Eurostat</w:t>
            </w:r>
          </w:p>
        </w:tc>
        <w:tc>
          <w:tcPr>
            <w:tcW w:w="1196" w:type="dxa"/>
            <w:tcBorders>
              <w:top w:val="nil"/>
              <w:left w:val="nil"/>
              <w:bottom w:val="nil"/>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1975-2013</w:t>
            </w:r>
          </w:p>
        </w:tc>
      </w:tr>
      <w:tr w:rsidR="005A06CB" w:rsidRPr="0008432F" w:rsidTr="00D0485F">
        <w:trPr>
          <w:trHeight w:val="480"/>
          <w:jc w:val="center"/>
        </w:trPr>
        <w:tc>
          <w:tcPr>
            <w:tcW w:w="1780" w:type="dxa"/>
            <w:tcBorders>
              <w:top w:val="nil"/>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United States</w:t>
            </w:r>
          </w:p>
        </w:tc>
        <w:tc>
          <w:tcPr>
            <w:tcW w:w="2083" w:type="dxa"/>
            <w:tcBorders>
              <w:top w:val="nil"/>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USXGDPR.D</w:t>
            </w:r>
          </w:p>
        </w:tc>
        <w:tc>
          <w:tcPr>
            <w:tcW w:w="4196" w:type="dxa"/>
            <w:tcBorders>
              <w:top w:val="nil"/>
              <w:left w:val="nil"/>
              <w:bottom w:val="single" w:sz="4" w:space="0" w:color="auto"/>
              <w:right w:val="nil"/>
            </w:tcBorders>
            <w:shd w:val="clear" w:color="auto" w:fill="auto"/>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US real GDP, Constant Prices (bn USD 2005 prices) NSA</w:t>
            </w:r>
          </w:p>
        </w:tc>
        <w:tc>
          <w:tcPr>
            <w:tcW w:w="1177" w:type="dxa"/>
            <w:tcBorders>
              <w:top w:val="nil"/>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Datastream</w:t>
            </w:r>
          </w:p>
        </w:tc>
        <w:tc>
          <w:tcPr>
            <w:tcW w:w="1196" w:type="dxa"/>
            <w:tcBorders>
              <w:top w:val="nil"/>
              <w:left w:val="nil"/>
              <w:bottom w:val="single" w:sz="4" w:space="0" w:color="auto"/>
              <w:right w:val="nil"/>
            </w:tcBorders>
            <w:shd w:val="clear" w:color="auto" w:fill="auto"/>
            <w:noWrap/>
            <w:vAlign w:val="center"/>
            <w:hideMark/>
          </w:tcPr>
          <w:p w:rsidR="005A06CB" w:rsidRPr="0008432F" w:rsidRDefault="005A06CB" w:rsidP="00D0485F">
            <w:pPr>
              <w:spacing w:after="0" w:line="240" w:lineRule="auto"/>
              <w:rPr>
                <w:rFonts w:ascii="Times New Roman" w:eastAsia="Times New Roman" w:hAnsi="Times New Roman" w:cs="Times New Roman"/>
                <w:color w:val="291C00"/>
                <w:sz w:val="20"/>
                <w:szCs w:val="20"/>
              </w:rPr>
            </w:pPr>
            <w:r w:rsidRPr="0008432F">
              <w:rPr>
                <w:rFonts w:ascii="Times New Roman" w:eastAsia="Times New Roman" w:hAnsi="Times New Roman" w:cs="Times New Roman"/>
                <w:color w:val="291C00"/>
                <w:sz w:val="20"/>
                <w:szCs w:val="20"/>
              </w:rPr>
              <w:t>1980-2013</w:t>
            </w:r>
          </w:p>
        </w:tc>
      </w:tr>
    </w:tbl>
    <w:p w:rsidR="005A06CB" w:rsidRDefault="005A06CB" w:rsidP="005A06CB">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 xml:space="preserve">The table reports </w:t>
      </w:r>
      <w:r>
        <w:rPr>
          <w:rFonts w:ascii="Times New Roman" w:hAnsi="Times New Roman" w:cs="Times New Roman"/>
          <w:sz w:val="18"/>
          <w:szCs w:val="18"/>
        </w:rPr>
        <w:t>the source and details of NSA GDP data used to capture the dynamics of economic activity. In case of Germany, GDP for West Germany was used until the beginning of 1991. All indices are non-seasonally adjusted (NSA).</w:t>
      </w:r>
    </w:p>
    <w:p w:rsidR="0052717D" w:rsidRDefault="0052717D" w:rsidP="0052717D">
      <w:pPr>
        <w:spacing w:after="120" w:line="360" w:lineRule="auto"/>
        <w:jc w:val="center"/>
        <w:rPr>
          <w:rFonts w:ascii="Times New Roman" w:hAnsi="Times New Roman" w:cs="Times New Roman"/>
        </w:rPr>
      </w:pPr>
    </w:p>
    <w:p w:rsidR="005A06CB" w:rsidRPr="0052717D" w:rsidRDefault="0052717D" w:rsidP="0052717D">
      <w:pPr>
        <w:spacing w:after="120" w:line="360" w:lineRule="auto"/>
        <w:jc w:val="center"/>
        <w:rPr>
          <w:rFonts w:ascii="Times New Roman" w:hAnsi="Times New Roman" w:cs="Times New Roman"/>
        </w:rPr>
      </w:pPr>
      <w:r>
        <w:rPr>
          <w:rFonts w:ascii="Times New Roman" w:hAnsi="Times New Roman" w:cs="Times New Roman"/>
        </w:rPr>
        <w:t>Table A.10</w:t>
      </w:r>
      <w:r w:rsidR="005A06CB" w:rsidRPr="0052717D">
        <w:rPr>
          <w:rFonts w:ascii="Times New Roman" w:hAnsi="Times New Roman" w:cs="Times New Roman"/>
        </w:rPr>
        <w:t>: Industrial Production Non-Seasonally Adjusted Data Description</w:t>
      </w:r>
    </w:p>
    <w:tbl>
      <w:tblPr>
        <w:tblW w:w="10560" w:type="dxa"/>
        <w:jc w:val="center"/>
        <w:tblInd w:w="108" w:type="dxa"/>
        <w:tblLook w:val="04A0"/>
      </w:tblPr>
      <w:tblGrid>
        <w:gridCol w:w="2216"/>
        <w:gridCol w:w="2083"/>
        <w:gridCol w:w="3936"/>
        <w:gridCol w:w="1196"/>
        <w:gridCol w:w="1276"/>
      </w:tblGrid>
      <w:tr w:rsidR="005A06CB" w:rsidRPr="000507DC" w:rsidTr="00D0485F">
        <w:trPr>
          <w:trHeight w:val="870"/>
          <w:jc w:val="center"/>
        </w:trPr>
        <w:tc>
          <w:tcPr>
            <w:tcW w:w="2216" w:type="dxa"/>
            <w:tcBorders>
              <w:top w:val="single" w:sz="4" w:space="0" w:color="auto"/>
              <w:left w:val="nil"/>
              <w:bottom w:val="single" w:sz="4" w:space="0" w:color="auto"/>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lastRenderedPageBreak/>
              <w:t>Industrial production non-seasonally adjusted (NSA)</w:t>
            </w:r>
          </w:p>
        </w:tc>
        <w:tc>
          <w:tcPr>
            <w:tcW w:w="1936" w:type="dxa"/>
            <w:tcBorders>
              <w:top w:val="single" w:sz="4" w:space="0" w:color="auto"/>
              <w:left w:val="nil"/>
              <w:bottom w:val="single" w:sz="4" w:space="0" w:color="auto"/>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Bloomberg/Datastream code</w:t>
            </w:r>
          </w:p>
        </w:tc>
        <w:tc>
          <w:tcPr>
            <w:tcW w:w="3936" w:type="dxa"/>
            <w:tcBorders>
              <w:top w:val="single" w:sz="4" w:space="0" w:color="auto"/>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Description</w:t>
            </w:r>
          </w:p>
        </w:tc>
        <w:tc>
          <w:tcPr>
            <w:tcW w:w="1196" w:type="dxa"/>
            <w:tcBorders>
              <w:top w:val="single" w:sz="4" w:space="0" w:color="auto"/>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Source</w:t>
            </w:r>
          </w:p>
        </w:tc>
        <w:tc>
          <w:tcPr>
            <w:tcW w:w="1276" w:type="dxa"/>
            <w:tcBorders>
              <w:top w:val="single" w:sz="4" w:space="0" w:color="auto"/>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Sample</w:t>
            </w:r>
          </w:p>
        </w:tc>
      </w:tr>
      <w:tr w:rsidR="005A06CB" w:rsidRPr="000507DC" w:rsidTr="00D0485F">
        <w:trPr>
          <w:trHeight w:val="600"/>
          <w:jc w:val="center"/>
        </w:trPr>
        <w:tc>
          <w:tcPr>
            <w:tcW w:w="221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Australia</w:t>
            </w:r>
          </w:p>
        </w:tc>
        <w:tc>
          <w:tcPr>
            <w:tcW w:w="193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sz w:val="20"/>
                <w:szCs w:val="20"/>
              </w:rPr>
            </w:pPr>
            <w:r w:rsidRPr="000507DC">
              <w:rPr>
                <w:rFonts w:ascii="Times New Roman" w:eastAsia="Times New Roman" w:hAnsi="Times New Roman" w:cs="Times New Roman"/>
                <w:sz w:val="20"/>
                <w:szCs w:val="20"/>
              </w:rPr>
              <w:t>AUIPTOL Index</w:t>
            </w:r>
          </w:p>
        </w:tc>
        <w:tc>
          <w:tcPr>
            <w:tcW w:w="3936" w:type="dxa"/>
            <w:tcBorders>
              <w:top w:val="nil"/>
              <w:left w:val="nil"/>
              <w:bottom w:val="nil"/>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AU Industrial Production Index Total NSA (Volume Q3 2009-Q2 2010=100)</w:t>
            </w:r>
          </w:p>
        </w:tc>
        <w:tc>
          <w:tcPr>
            <w:tcW w:w="119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Bloomberg</w:t>
            </w:r>
          </w:p>
        </w:tc>
        <w:tc>
          <w:tcPr>
            <w:tcW w:w="127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1975 - 2013</w:t>
            </w:r>
          </w:p>
        </w:tc>
      </w:tr>
      <w:tr w:rsidR="005A06CB" w:rsidRPr="000507DC" w:rsidTr="00D0485F">
        <w:trPr>
          <w:trHeight w:val="510"/>
          <w:jc w:val="center"/>
        </w:trPr>
        <w:tc>
          <w:tcPr>
            <w:tcW w:w="221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Germany</w:t>
            </w:r>
          </w:p>
        </w:tc>
        <w:tc>
          <w:tcPr>
            <w:tcW w:w="1936" w:type="dxa"/>
            <w:tcBorders>
              <w:top w:val="nil"/>
              <w:left w:val="nil"/>
              <w:bottom w:val="nil"/>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sz w:val="20"/>
                <w:szCs w:val="20"/>
              </w:rPr>
            </w:pPr>
            <w:r w:rsidRPr="000507DC">
              <w:rPr>
                <w:rFonts w:ascii="Times New Roman" w:eastAsia="Times New Roman" w:hAnsi="Times New Roman" w:cs="Times New Roman"/>
                <w:sz w:val="20"/>
                <w:szCs w:val="20"/>
              </w:rPr>
              <w:t>BDI66..IG/since 1991 Eurostat</w:t>
            </w:r>
          </w:p>
        </w:tc>
        <w:tc>
          <w:tcPr>
            <w:tcW w:w="3936" w:type="dxa"/>
            <w:tcBorders>
              <w:top w:val="nil"/>
              <w:left w:val="nil"/>
              <w:bottom w:val="nil"/>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DE Industrial Production (Volume Index)</w:t>
            </w:r>
          </w:p>
        </w:tc>
        <w:tc>
          <w:tcPr>
            <w:tcW w:w="119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Datastream</w:t>
            </w:r>
          </w:p>
        </w:tc>
        <w:tc>
          <w:tcPr>
            <w:tcW w:w="127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1975 - 2014</w:t>
            </w:r>
          </w:p>
        </w:tc>
      </w:tr>
      <w:tr w:rsidR="005A06CB" w:rsidRPr="000507DC" w:rsidTr="00D0485F">
        <w:trPr>
          <w:trHeight w:val="255"/>
          <w:jc w:val="center"/>
        </w:trPr>
        <w:tc>
          <w:tcPr>
            <w:tcW w:w="221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Japan</w:t>
            </w:r>
          </w:p>
        </w:tc>
        <w:tc>
          <w:tcPr>
            <w:tcW w:w="193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sz w:val="20"/>
                <w:szCs w:val="20"/>
              </w:rPr>
            </w:pPr>
            <w:r w:rsidRPr="000507DC">
              <w:rPr>
                <w:rFonts w:ascii="Times New Roman" w:eastAsia="Times New Roman" w:hAnsi="Times New Roman" w:cs="Times New Roman"/>
                <w:sz w:val="20"/>
                <w:szCs w:val="20"/>
              </w:rPr>
              <w:t>JNIPNSA Index</w:t>
            </w:r>
          </w:p>
        </w:tc>
        <w:tc>
          <w:tcPr>
            <w:tcW w:w="3936" w:type="dxa"/>
            <w:tcBorders>
              <w:top w:val="nil"/>
              <w:left w:val="nil"/>
              <w:bottom w:val="nil"/>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JP Industrial Production Index (Volume), NSA</w:t>
            </w:r>
          </w:p>
        </w:tc>
        <w:tc>
          <w:tcPr>
            <w:tcW w:w="119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Bloomberg</w:t>
            </w:r>
          </w:p>
        </w:tc>
        <w:tc>
          <w:tcPr>
            <w:tcW w:w="127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1978 - 2013</w:t>
            </w:r>
          </w:p>
        </w:tc>
      </w:tr>
      <w:tr w:rsidR="005A06CB" w:rsidRPr="000507DC" w:rsidTr="00D0485F">
        <w:trPr>
          <w:trHeight w:val="255"/>
          <w:jc w:val="center"/>
        </w:trPr>
        <w:tc>
          <w:tcPr>
            <w:tcW w:w="221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United Kingdom</w:t>
            </w:r>
          </w:p>
        </w:tc>
        <w:tc>
          <w:tcPr>
            <w:tcW w:w="193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sz w:val="20"/>
                <w:szCs w:val="20"/>
              </w:rPr>
            </w:pPr>
          </w:p>
        </w:tc>
        <w:tc>
          <w:tcPr>
            <w:tcW w:w="3936" w:type="dxa"/>
            <w:tcBorders>
              <w:top w:val="nil"/>
              <w:left w:val="nil"/>
              <w:bottom w:val="nil"/>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UK Volume Index of Production, NSA</w:t>
            </w:r>
          </w:p>
        </w:tc>
        <w:tc>
          <w:tcPr>
            <w:tcW w:w="119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Eurostat</w:t>
            </w:r>
          </w:p>
        </w:tc>
        <w:tc>
          <w:tcPr>
            <w:tcW w:w="1276" w:type="dxa"/>
            <w:tcBorders>
              <w:top w:val="nil"/>
              <w:left w:val="nil"/>
              <w:bottom w:val="nil"/>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1986 - 2013</w:t>
            </w:r>
          </w:p>
        </w:tc>
      </w:tr>
      <w:tr w:rsidR="005A06CB" w:rsidRPr="000507DC" w:rsidTr="00D0485F">
        <w:trPr>
          <w:trHeight w:val="255"/>
          <w:jc w:val="center"/>
        </w:trPr>
        <w:tc>
          <w:tcPr>
            <w:tcW w:w="2216" w:type="dxa"/>
            <w:tcBorders>
              <w:top w:val="nil"/>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United States</w:t>
            </w:r>
          </w:p>
        </w:tc>
        <w:tc>
          <w:tcPr>
            <w:tcW w:w="1936" w:type="dxa"/>
            <w:tcBorders>
              <w:top w:val="nil"/>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sz w:val="20"/>
                <w:szCs w:val="20"/>
              </w:rPr>
            </w:pPr>
            <w:r w:rsidRPr="000507DC">
              <w:rPr>
                <w:rFonts w:ascii="Times New Roman" w:eastAsia="Times New Roman" w:hAnsi="Times New Roman" w:cs="Times New Roman"/>
                <w:sz w:val="20"/>
                <w:szCs w:val="20"/>
              </w:rPr>
              <w:t>USIPTOT.G</w:t>
            </w:r>
          </w:p>
        </w:tc>
        <w:tc>
          <w:tcPr>
            <w:tcW w:w="3936" w:type="dxa"/>
            <w:tcBorders>
              <w:top w:val="nil"/>
              <w:left w:val="nil"/>
              <w:bottom w:val="single" w:sz="4" w:space="0" w:color="auto"/>
              <w:right w:val="nil"/>
            </w:tcBorders>
            <w:shd w:val="clear" w:color="auto" w:fill="auto"/>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US Industrial Production (Total Index Volume)</w:t>
            </w:r>
          </w:p>
        </w:tc>
        <w:tc>
          <w:tcPr>
            <w:tcW w:w="1196" w:type="dxa"/>
            <w:tcBorders>
              <w:top w:val="nil"/>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Datastream</w:t>
            </w:r>
          </w:p>
        </w:tc>
        <w:tc>
          <w:tcPr>
            <w:tcW w:w="1276" w:type="dxa"/>
            <w:tcBorders>
              <w:top w:val="nil"/>
              <w:left w:val="nil"/>
              <w:bottom w:val="single" w:sz="4" w:space="0" w:color="auto"/>
              <w:right w:val="nil"/>
            </w:tcBorders>
            <w:shd w:val="clear" w:color="auto" w:fill="auto"/>
            <w:noWrap/>
            <w:vAlign w:val="center"/>
            <w:hideMark/>
          </w:tcPr>
          <w:p w:rsidR="005A06CB" w:rsidRPr="000507DC" w:rsidRDefault="005A06CB" w:rsidP="00D0485F">
            <w:pPr>
              <w:spacing w:after="0" w:line="240" w:lineRule="auto"/>
              <w:rPr>
                <w:rFonts w:ascii="Times New Roman" w:eastAsia="Times New Roman" w:hAnsi="Times New Roman" w:cs="Times New Roman"/>
                <w:color w:val="291C00"/>
                <w:sz w:val="20"/>
                <w:szCs w:val="20"/>
              </w:rPr>
            </w:pPr>
            <w:r w:rsidRPr="000507DC">
              <w:rPr>
                <w:rFonts w:ascii="Times New Roman" w:eastAsia="Times New Roman" w:hAnsi="Times New Roman" w:cs="Times New Roman"/>
                <w:color w:val="291C00"/>
                <w:sz w:val="20"/>
                <w:szCs w:val="20"/>
              </w:rPr>
              <w:t>1975 - 2013</w:t>
            </w:r>
          </w:p>
        </w:tc>
      </w:tr>
    </w:tbl>
    <w:p w:rsidR="005A06CB" w:rsidRPr="000507DC" w:rsidRDefault="005A06CB" w:rsidP="005A06CB">
      <w:pPr>
        <w:spacing w:after="0" w:line="240" w:lineRule="auto"/>
        <w:jc w:val="both"/>
        <w:rPr>
          <w:rFonts w:ascii="Times New Roman" w:hAnsi="Times New Roman" w:cs="Times New Roman"/>
          <w:sz w:val="18"/>
          <w:szCs w:val="18"/>
        </w:rPr>
      </w:pPr>
    </w:p>
    <w:p w:rsidR="005A06CB" w:rsidRDefault="005A06CB" w:rsidP="005A06CB">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 xml:space="preserve">The table reports </w:t>
      </w:r>
      <w:r>
        <w:rPr>
          <w:rFonts w:ascii="Times New Roman" w:hAnsi="Times New Roman" w:cs="Times New Roman"/>
          <w:sz w:val="18"/>
          <w:szCs w:val="18"/>
        </w:rPr>
        <w:t>the source and details of NSA Industrial Production data used to capture the dynamics of economic activity. In case of Germany, GDP for West Germany was used until the beginning of 1991. All indices are non-seasonally adjusted (NSA).</w:t>
      </w:r>
    </w:p>
    <w:p w:rsidR="005A06CB" w:rsidRDefault="005A06CB" w:rsidP="005A06CB">
      <w:pPr>
        <w:spacing w:after="0" w:line="240" w:lineRule="auto"/>
        <w:jc w:val="both"/>
        <w:rPr>
          <w:rFonts w:ascii="Times New Roman" w:hAnsi="Times New Roman" w:cs="Times New Roman"/>
          <w:i/>
          <w:sz w:val="18"/>
          <w:szCs w:val="18"/>
        </w:rPr>
      </w:pPr>
    </w:p>
    <w:p w:rsidR="005A06CB" w:rsidRDefault="005A06CB" w:rsidP="005A06CB">
      <w:pPr>
        <w:pStyle w:val="NoSpacing"/>
        <w:jc w:val="both"/>
        <w:rPr>
          <w:rFonts w:ascii="Times New Roman" w:hAnsi="Times New Roman" w:cs="Times New Roman"/>
        </w:rPr>
      </w:pPr>
    </w:p>
    <w:p w:rsidR="005A06CB" w:rsidRDefault="005A06CB" w:rsidP="005A06CB">
      <w:pPr>
        <w:rPr>
          <w:rFonts w:ascii="Times New Roman" w:hAnsi="Times New Roman" w:cs="Times New Roman"/>
          <w:b/>
        </w:rPr>
      </w:pPr>
    </w:p>
    <w:p w:rsidR="0052717D" w:rsidRDefault="0052717D" w:rsidP="005A06CB">
      <w:pPr>
        <w:rPr>
          <w:rFonts w:ascii="Times New Roman" w:hAnsi="Times New Roman" w:cs="Times New Roman"/>
          <w:b/>
        </w:rPr>
      </w:pPr>
    </w:p>
    <w:p w:rsidR="005A06CB" w:rsidRPr="0052717D" w:rsidRDefault="0052717D" w:rsidP="0052717D">
      <w:pPr>
        <w:spacing w:after="120" w:line="360" w:lineRule="auto"/>
        <w:jc w:val="center"/>
        <w:rPr>
          <w:rFonts w:ascii="Times New Roman" w:hAnsi="Times New Roman" w:cs="Times New Roman"/>
        </w:rPr>
      </w:pPr>
      <w:r>
        <w:rPr>
          <w:rFonts w:ascii="Times New Roman" w:hAnsi="Times New Roman" w:cs="Times New Roman"/>
        </w:rPr>
        <w:t>Table A.11</w:t>
      </w:r>
      <w:r w:rsidR="005A06CB" w:rsidRPr="0052717D">
        <w:rPr>
          <w:rFonts w:ascii="Times New Roman" w:hAnsi="Times New Roman" w:cs="Times New Roman"/>
        </w:rPr>
        <w:t>: Unemployment Rate Non-Seasonally Adjusted Data Description</w:t>
      </w:r>
    </w:p>
    <w:tbl>
      <w:tblPr>
        <w:tblW w:w="10880" w:type="dxa"/>
        <w:jc w:val="center"/>
        <w:tblInd w:w="108" w:type="dxa"/>
        <w:tblLook w:val="04A0"/>
      </w:tblPr>
      <w:tblGrid>
        <w:gridCol w:w="1757"/>
        <w:gridCol w:w="2295"/>
        <w:gridCol w:w="3876"/>
        <w:gridCol w:w="1236"/>
        <w:gridCol w:w="1716"/>
      </w:tblGrid>
      <w:tr w:rsidR="005A06CB" w:rsidRPr="00E81F25" w:rsidTr="00D0485F">
        <w:trPr>
          <w:trHeight w:val="870"/>
          <w:jc w:val="center"/>
        </w:trPr>
        <w:tc>
          <w:tcPr>
            <w:tcW w:w="1757" w:type="dxa"/>
            <w:tcBorders>
              <w:top w:val="single" w:sz="4" w:space="0" w:color="auto"/>
              <w:left w:val="nil"/>
              <w:bottom w:val="single" w:sz="4" w:space="0" w:color="auto"/>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Unemployment Rate non-seasonally adjusted (NSA)</w:t>
            </w:r>
          </w:p>
        </w:tc>
        <w:tc>
          <w:tcPr>
            <w:tcW w:w="2295" w:type="dxa"/>
            <w:tcBorders>
              <w:top w:val="single" w:sz="4" w:space="0" w:color="auto"/>
              <w:left w:val="nil"/>
              <w:bottom w:val="single" w:sz="4" w:space="0" w:color="auto"/>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Bloomberg/Datastream code</w:t>
            </w:r>
          </w:p>
        </w:tc>
        <w:tc>
          <w:tcPr>
            <w:tcW w:w="3876" w:type="dxa"/>
            <w:tcBorders>
              <w:top w:val="single" w:sz="4" w:space="0" w:color="auto"/>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Description</w:t>
            </w:r>
          </w:p>
        </w:tc>
        <w:tc>
          <w:tcPr>
            <w:tcW w:w="1236" w:type="dxa"/>
            <w:tcBorders>
              <w:top w:val="single" w:sz="4" w:space="0" w:color="auto"/>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Source</w:t>
            </w:r>
          </w:p>
        </w:tc>
        <w:tc>
          <w:tcPr>
            <w:tcW w:w="1716" w:type="dxa"/>
            <w:tcBorders>
              <w:top w:val="single" w:sz="4" w:space="0" w:color="auto"/>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Sample</w:t>
            </w:r>
          </w:p>
        </w:tc>
      </w:tr>
      <w:tr w:rsidR="005A06CB" w:rsidRPr="00E81F25" w:rsidTr="00D0485F">
        <w:trPr>
          <w:trHeight w:val="675"/>
          <w:jc w:val="center"/>
        </w:trPr>
        <w:tc>
          <w:tcPr>
            <w:tcW w:w="1757"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Australia</w:t>
            </w:r>
          </w:p>
        </w:tc>
        <w:tc>
          <w:tcPr>
            <w:tcW w:w="2295"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AUUN%TOTR</w:t>
            </w:r>
          </w:p>
        </w:tc>
        <w:tc>
          <w:tcPr>
            <w:tcW w:w="3876"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AU Unemployment Rate Labour Force Survey Estimate (as percentage of labour force), NSA</w:t>
            </w:r>
          </w:p>
        </w:tc>
        <w:tc>
          <w:tcPr>
            <w:tcW w:w="123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02/1978-12/2013</w:t>
            </w:r>
          </w:p>
        </w:tc>
      </w:tr>
      <w:tr w:rsidR="005A06CB" w:rsidRPr="00E81F25" w:rsidTr="00D0485F">
        <w:trPr>
          <w:trHeight w:val="510"/>
          <w:jc w:val="center"/>
        </w:trPr>
        <w:tc>
          <w:tcPr>
            <w:tcW w:w="1757"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Canada</w:t>
            </w:r>
          </w:p>
        </w:tc>
        <w:tc>
          <w:tcPr>
            <w:tcW w:w="2295"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CAUNCUB5 Index/CNUN%TOTR</w:t>
            </w:r>
          </w:p>
        </w:tc>
        <w:tc>
          <w:tcPr>
            <w:tcW w:w="3876"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CA Unemployment Rate (15 years and over), household labour force survey NSA</w:t>
            </w:r>
          </w:p>
        </w:tc>
        <w:tc>
          <w:tcPr>
            <w:tcW w:w="123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01/1976-12/2013</w:t>
            </w:r>
          </w:p>
        </w:tc>
      </w:tr>
      <w:tr w:rsidR="005A06CB" w:rsidRPr="00E81F25" w:rsidTr="00D0485F">
        <w:trPr>
          <w:trHeight w:val="510"/>
          <w:jc w:val="center"/>
        </w:trPr>
        <w:tc>
          <w:tcPr>
            <w:tcW w:w="1757"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Germany</w:t>
            </w:r>
          </w:p>
        </w:tc>
        <w:tc>
          <w:tcPr>
            <w:tcW w:w="2295"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GCUETOTL Index/BDUN%TOTR</w:t>
            </w:r>
          </w:p>
        </w:tc>
        <w:tc>
          <w:tcPr>
            <w:tcW w:w="3876"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DE Registered Unemployed (15-65 years) as a percentage of the civilian labour, NSA</w:t>
            </w:r>
          </w:p>
        </w:tc>
        <w:tc>
          <w:tcPr>
            <w:tcW w:w="123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01/1975-12/2013</w:t>
            </w:r>
          </w:p>
        </w:tc>
      </w:tr>
      <w:tr w:rsidR="005A06CB" w:rsidRPr="00E81F25" w:rsidTr="00D0485F">
        <w:trPr>
          <w:trHeight w:val="510"/>
          <w:jc w:val="center"/>
        </w:trPr>
        <w:tc>
          <w:tcPr>
            <w:tcW w:w="1757"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Japan</w:t>
            </w:r>
          </w:p>
        </w:tc>
        <w:tc>
          <w:tcPr>
            <w:tcW w:w="2295"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JPUN%TOTR</w:t>
            </w:r>
          </w:p>
        </w:tc>
        <w:tc>
          <w:tcPr>
            <w:tcW w:w="3876"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JP Unemployment Rate (as percentage of labour force), NSA</w:t>
            </w:r>
          </w:p>
        </w:tc>
        <w:tc>
          <w:tcPr>
            <w:tcW w:w="123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01/1975-12/2013</w:t>
            </w:r>
          </w:p>
        </w:tc>
      </w:tr>
      <w:tr w:rsidR="005A06CB" w:rsidRPr="00E81F25" w:rsidTr="00D0485F">
        <w:trPr>
          <w:trHeight w:val="510"/>
          <w:jc w:val="center"/>
        </w:trPr>
        <w:tc>
          <w:tcPr>
            <w:tcW w:w="1757"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United Kingdom</w:t>
            </w:r>
          </w:p>
        </w:tc>
        <w:tc>
          <w:tcPr>
            <w:tcW w:w="2295"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UKESUNEMR</w:t>
            </w:r>
          </w:p>
        </w:tc>
        <w:tc>
          <w:tcPr>
            <w:tcW w:w="3876" w:type="dxa"/>
            <w:tcBorders>
              <w:top w:val="nil"/>
              <w:left w:val="nil"/>
              <w:bottom w:val="nil"/>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UK Unemployment rate Labour Force Survey, NSA</w:t>
            </w:r>
          </w:p>
        </w:tc>
        <w:tc>
          <w:tcPr>
            <w:tcW w:w="123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nil"/>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01/1983-12/2013</w:t>
            </w:r>
          </w:p>
        </w:tc>
      </w:tr>
      <w:tr w:rsidR="005A06CB" w:rsidRPr="00E81F25" w:rsidTr="00D0485F">
        <w:trPr>
          <w:trHeight w:val="510"/>
          <w:jc w:val="center"/>
        </w:trPr>
        <w:tc>
          <w:tcPr>
            <w:tcW w:w="1757" w:type="dxa"/>
            <w:tcBorders>
              <w:top w:val="nil"/>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United States</w:t>
            </w:r>
          </w:p>
        </w:tc>
        <w:tc>
          <w:tcPr>
            <w:tcW w:w="2295" w:type="dxa"/>
            <w:tcBorders>
              <w:top w:val="nil"/>
              <w:left w:val="nil"/>
              <w:bottom w:val="single" w:sz="4" w:space="0" w:color="auto"/>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USURTOTN Index/USUN%TOTR</w:t>
            </w:r>
          </w:p>
        </w:tc>
        <w:tc>
          <w:tcPr>
            <w:tcW w:w="3876" w:type="dxa"/>
            <w:tcBorders>
              <w:top w:val="nil"/>
              <w:left w:val="nil"/>
              <w:bottom w:val="single" w:sz="4" w:space="0" w:color="auto"/>
              <w:right w:val="nil"/>
            </w:tcBorders>
            <w:shd w:val="clear" w:color="auto" w:fill="auto"/>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US Unemployment Rate Total in Labor Force NSA</w:t>
            </w:r>
          </w:p>
        </w:tc>
        <w:tc>
          <w:tcPr>
            <w:tcW w:w="1236" w:type="dxa"/>
            <w:tcBorders>
              <w:top w:val="nil"/>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Datastream</w:t>
            </w:r>
          </w:p>
        </w:tc>
        <w:tc>
          <w:tcPr>
            <w:tcW w:w="1716" w:type="dxa"/>
            <w:tcBorders>
              <w:top w:val="nil"/>
              <w:left w:val="nil"/>
              <w:bottom w:val="single" w:sz="4" w:space="0" w:color="auto"/>
              <w:right w:val="nil"/>
            </w:tcBorders>
            <w:shd w:val="clear" w:color="auto" w:fill="auto"/>
            <w:noWrap/>
            <w:vAlign w:val="center"/>
            <w:hideMark/>
          </w:tcPr>
          <w:p w:rsidR="005A06CB" w:rsidRPr="00E81F25" w:rsidRDefault="005A06CB" w:rsidP="00D0485F">
            <w:pPr>
              <w:spacing w:after="0" w:line="240" w:lineRule="auto"/>
              <w:rPr>
                <w:rFonts w:ascii="Times New Roman" w:eastAsia="Times New Roman" w:hAnsi="Times New Roman" w:cs="Times New Roman"/>
                <w:color w:val="291C00"/>
                <w:sz w:val="20"/>
                <w:szCs w:val="20"/>
              </w:rPr>
            </w:pPr>
            <w:r w:rsidRPr="00E81F25">
              <w:rPr>
                <w:rFonts w:ascii="Times New Roman" w:eastAsia="Times New Roman" w:hAnsi="Times New Roman" w:cs="Times New Roman"/>
                <w:color w:val="291C00"/>
                <w:sz w:val="20"/>
                <w:szCs w:val="20"/>
              </w:rPr>
              <w:t>01/1975-12/2013</w:t>
            </w:r>
          </w:p>
        </w:tc>
      </w:tr>
    </w:tbl>
    <w:p w:rsidR="005A06CB" w:rsidRDefault="005A06CB" w:rsidP="005A06CB">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The table reports</w:t>
      </w:r>
      <w:r>
        <w:rPr>
          <w:rFonts w:ascii="Times New Roman" w:hAnsi="Times New Roman" w:cs="Times New Roman"/>
          <w:sz w:val="18"/>
          <w:szCs w:val="18"/>
        </w:rPr>
        <w:t xml:space="preserve"> the</w:t>
      </w:r>
      <w:r w:rsidRPr="00DB60A9">
        <w:rPr>
          <w:rFonts w:ascii="Times New Roman" w:hAnsi="Times New Roman" w:cs="Times New Roman"/>
          <w:sz w:val="18"/>
          <w:szCs w:val="18"/>
        </w:rPr>
        <w:t xml:space="preserve"> </w:t>
      </w:r>
      <w:r>
        <w:rPr>
          <w:rFonts w:ascii="Times New Roman" w:hAnsi="Times New Roman" w:cs="Times New Roman"/>
          <w:sz w:val="18"/>
          <w:szCs w:val="18"/>
        </w:rPr>
        <w:t xml:space="preserve">source and details of NSA Unemployment Rate data used to capture the dynamics of </w:t>
      </w:r>
      <w:r w:rsidR="00E12AF6">
        <w:rPr>
          <w:rFonts w:ascii="Times New Roman" w:hAnsi="Times New Roman" w:cs="Times New Roman"/>
          <w:sz w:val="18"/>
          <w:szCs w:val="18"/>
        </w:rPr>
        <w:t>labour market</w:t>
      </w:r>
      <w:r>
        <w:rPr>
          <w:rFonts w:ascii="Times New Roman" w:hAnsi="Times New Roman" w:cs="Times New Roman"/>
          <w:sz w:val="18"/>
          <w:szCs w:val="18"/>
        </w:rPr>
        <w:t xml:space="preserve">. </w:t>
      </w:r>
    </w:p>
    <w:p w:rsidR="005A06CB" w:rsidRDefault="005A06CB" w:rsidP="005A06CB">
      <w:pPr>
        <w:spacing w:after="0" w:line="240" w:lineRule="auto"/>
        <w:jc w:val="both"/>
        <w:rPr>
          <w:rFonts w:ascii="Times New Roman" w:hAnsi="Times New Roman" w:cs="Times New Roman"/>
          <w:sz w:val="18"/>
          <w:szCs w:val="18"/>
        </w:rPr>
      </w:pPr>
    </w:p>
    <w:p w:rsidR="005A06CB" w:rsidRDefault="005A06CB" w:rsidP="005A06CB">
      <w:pPr>
        <w:spacing w:after="0" w:line="240" w:lineRule="auto"/>
        <w:jc w:val="both"/>
        <w:rPr>
          <w:rFonts w:ascii="Times New Roman" w:hAnsi="Times New Roman" w:cs="Times New Roman"/>
          <w:sz w:val="18"/>
          <w:szCs w:val="18"/>
        </w:rPr>
      </w:pPr>
    </w:p>
    <w:p w:rsidR="005A06CB" w:rsidRDefault="005A06CB" w:rsidP="005A06CB">
      <w:pPr>
        <w:spacing w:after="0" w:line="240" w:lineRule="auto"/>
        <w:jc w:val="both"/>
        <w:rPr>
          <w:rFonts w:ascii="Times New Roman" w:hAnsi="Times New Roman" w:cs="Times New Roman"/>
          <w:sz w:val="18"/>
          <w:szCs w:val="18"/>
        </w:rPr>
      </w:pPr>
    </w:p>
    <w:p w:rsidR="005A06CB" w:rsidRDefault="005A06CB" w:rsidP="005A06CB">
      <w:pPr>
        <w:spacing w:after="0" w:line="240" w:lineRule="auto"/>
        <w:jc w:val="both"/>
        <w:rPr>
          <w:rFonts w:ascii="Times New Roman" w:hAnsi="Times New Roman" w:cs="Times New Roman"/>
          <w:sz w:val="18"/>
          <w:szCs w:val="18"/>
        </w:rPr>
      </w:pPr>
    </w:p>
    <w:p w:rsidR="0052717D" w:rsidRDefault="0052717D" w:rsidP="005A06CB">
      <w:pPr>
        <w:spacing w:after="0" w:line="240" w:lineRule="auto"/>
        <w:jc w:val="both"/>
        <w:rPr>
          <w:rFonts w:ascii="Times New Roman" w:hAnsi="Times New Roman" w:cs="Times New Roman"/>
          <w:sz w:val="18"/>
          <w:szCs w:val="18"/>
        </w:rPr>
      </w:pPr>
    </w:p>
    <w:p w:rsidR="0052717D" w:rsidRDefault="0052717D" w:rsidP="005A06CB">
      <w:pPr>
        <w:spacing w:after="0" w:line="240" w:lineRule="auto"/>
        <w:jc w:val="both"/>
        <w:rPr>
          <w:rFonts w:ascii="Times New Roman" w:hAnsi="Times New Roman" w:cs="Times New Roman"/>
          <w:sz w:val="18"/>
          <w:szCs w:val="18"/>
        </w:rPr>
      </w:pPr>
    </w:p>
    <w:p w:rsidR="0052717D" w:rsidRDefault="0052717D" w:rsidP="005A06CB">
      <w:pPr>
        <w:spacing w:after="0" w:line="240" w:lineRule="auto"/>
        <w:jc w:val="both"/>
        <w:rPr>
          <w:rFonts w:ascii="Times New Roman" w:hAnsi="Times New Roman" w:cs="Times New Roman"/>
          <w:sz w:val="18"/>
          <w:szCs w:val="18"/>
        </w:rPr>
      </w:pPr>
    </w:p>
    <w:p w:rsidR="0052717D" w:rsidRDefault="0052717D" w:rsidP="005A06CB">
      <w:pPr>
        <w:spacing w:after="0" w:line="240" w:lineRule="auto"/>
        <w:jc w:val="both"/>
        <w:rPr>
          <w:rFonts w:ascii="Times New Roman" w:hAnsi="Times New Roman" w:cs="Times New Roman"/>
          <w:sz w:val="18"/>
          <w:szCs w:val="18"/>
        </w:rPr>
      </w:pPr>
    </w:p>
    <w:p w:rsidR="0052717D" w:rsidRDefault="0052717D" w:rsidP="005A06CB">
      <w:pPr>
        <w:spacing w:after="0" w:line="240" w:lineRule="auto"/>
        <w:jc w:val="both"/>
        <w:rPr>
          <w:rFonts w:ascii="Times New Roman" w:hAnsi="Times New Roman" w:cs="Times New Roman"/>
          <w:sz w:val="18"/>
          <w:szCs w:val="18"/>
        </w:rPr>
      </w:pPr>
    </w:p>
    <w:p w:rsidR="005A06CB" w:rsidRPr="0052717D" w:rsidRDefault="0052717D" w:rsidP="0052717D">
      <w:pPr>
        <w:spacing w:after="120" w:line="360" w:lineRule="auto"/>
        <w:jc w:val="center"/>
        <w:rPr>
          <w:rFonts w:ascii="Times New Roman" w:hAnsi="Times New Roman" w:cs="Times New Roman"/>
        </w:rPr>
      </w:pPr>
      <w:r>
        <w:rPr>
          <w:rFonts w:ascii="Times New Roman" w:hAnsi="Times New Roman" w:cs="Times New Roman"/>
        </w:rPr>
        <w:t>Table A.12</w:t>
      </w:r>
      <w:r w:rsidR="005A06CB" w:rsidRPr="0052717D">
        <w:rPr>
          <w:rFonts w:ascii="Times New Roman" w:hAnsi="Times New Roman" w:cs="Times New Roman"/>
        </w:rPr>
        <w:t>: Consumer Confidence Data Description</w:t>
      </w:r>
    </w:p>
    <w:tbl>
      <w:tblPr>
        <w:tblW w:w="10720" w:type="dxa"/>
        <w:jc w:val="center"/>
        <w:tblInd w:w="93" w:type="dxa"/>
        <w:tblLook w:val="04A0"/>
      </w:tblPr>
      <w:tblGrid>
        <w:gridCol w:w="1760"/>
        <w:gridCol w:w="2020"/>
        <w:gridCol w:w="5120"/>
        <w:gridCol w:w="1820"/>
      </w:tblGrid>
      <w:tr w:rsidR="005A06CB" w:rsidRPr="00744D10" w:rsidTr="00D0485F">
        <w:trPr>
          <w:trHeight w:val="660"/>
          <w:jc w:val="center"/>
        </w:trPr>
        <w:tc>
          <w:tcPr>
            <w:tcW w:w="1760" w:type="dxa"/>
            <w:tcBorders>
              <w:top w:val="single" w:sz="4" w:space="0" w:color="auto"/>
              <w:left w:val="nil"/>
              <w:bottom w:val="single" w:sz="4" w:space="0" w:color="auto"/>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lastRenderedPageBreak/>
              <w:t>Consumer Confidence</w:t>
            </w:r>
          </w:p>
        </w:tc>
        <w:tc>
          <w:tcPr>
            <w:tcW w:w="2020" w:type="dxa"/>
            <w:tcBorders>
              <w:top w:val="single" w:sz="4" w:space="0" w:color="auto"/>
              <w:left w:val="nil"/>
              <w:bottom w:val="single" w:sz="4" w:space="0" w:color="auto"/>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Bloomberg code</w:t>
            </w:r>
          </w:p>
        </w:tc>
        <w:tc>
          <w:tcPr>
            <w:tcW w:w="5120" w:type="dxa"/>
            <w:tcBorders>
              <w:top w:val="single" w:sz="4" w:space="0" w:color="auto"/>
              <w:left w:val="nil"/>
              <w:bottom w:val="single" w:sz="4" w:space="0" w:color="auto"/>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Description</w:t>
            </w:r>
          </w:p>
        </w:tc>
        <w:tc>
          <w:tcPr>
            <w:tcW w:w="1820" w:type="dxa"/>
            <w:tcBorders>
              <w:top w:val="single" w:sz="4" w:space="0" w:color="auto"/>
              <w:left w:val="nil"/>
              <w:bottom w:val="single" w:sz="4" w:space="0" w:color="auto"/>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Sample</w:t>
            </w:r>
          </w:p>
        </w:tc>
      </w:tr>
      <w:tr w:rsidR="005A06CB" w:rsidRPr="00744D10" w:rsidTr="00D0485F">
        <w:trPr>
          <w:trHeight w:val="675"/>
          <w:jc w:val="center"/>
        </w:trPr>
        <w:tc>
          <w:tcPr>
            <w:tcW w:w="1760" w:type="dxa"/>
            <w:tcBorders>
              <w:top w:val="nil"/>
              <w:left w:val="nil"/>
              <w:bottom w:val="nil"/>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Australia</w:t>
            </w:r>
          </w:p>
        </w:tc>
        <w:tc>
          <w:tcPr>
            <w:tcW w:w="20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sz w:val="20"/>
                <w:szCs w:val="20"/>
              </w:rPr>
            </w:pPr>
            <w:r w:rsidRPr="00744D10">
              <w:rPr>
                <w:rFonts w:ascii="Times New Roman" w:eastAsia="Times New Roman" w:hAnsi="Times New Roman" w:cs="Times New Roman"/>
                <w:sz w:val="20"/>
                <w:szCs w:val="20"/>
              </w:rPr>
              <w:t>WMCCCONN Index</w:t>
            </w:r>
          </w:p>
        </w:tc>
        <w:tc>
          <w:tcPr>
            <w:tcW w:w="51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Westpac-Melbourne Institute Consumer Confidence Consumer Sentiment, (NSA, % Balance/Diffusion Index)</w:t>
            </w:r>
          </w:p>
        </w:tc>
        <w:tc>
          <w:tcPr>
            <w:tcW w:w="18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01/1975-12/2013</w:t>
            </w:r>
          </w:p>
        </w:tc>
      </w:tr>
      <w:tr w:rsidR="005A06CB" w:rsidRPr="00744D10" w:rsidTr="00D0485F">
        <w:trPr>
          <w:trHeight w:val="510"/>
          <w:jc w:val="center"/>
        </w:trPr>
        <w:tc>
          <w:tcPr>
            <w:tcW w:w="1760" w:type="dxa"/>
            <w:tcBorders>
              <w:top w:val="nil"/>
              <w:left w:val="nil"/>
              <w:bottom w:val="nil"/>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Canada</w:t>
            </w:r>
          </w:p>
        </w:tc>
        <w:tc>
          <w:tcPr>
            <w:tcW w:w="20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sz w:val="20"/>
                <w:szCs w:val="20"/>
              </w:rPr>
            </w:pPr>
            <w:r w:rsidRPr="00744D10">
              <w:rPr>
                <w:rFonts w:ascii="Times New Roman" w:eastAsia="Times New Roman" w:hAnsi="Times New Roman" w:cs="Times New Roman"/>
                <w:sz w:val="20"/>
                <w:szCs w:val="20"/>
              </w:rPr>
              <w:t>OECAA037 Index</w:t>
            </w:r>
          </w:p>
        </w:tc>
        <w:tc>
          <w:tcPr>
            <w:tcW w:w="51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OECD Canada Comp Leading Indic Cons Conf Stock (SA, Index)</w:t>
            </w:r>
          </w:p>
        </w:tc>
        <w:tc>
          <w:tcPr>
            <w:tcW w:w="18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01/1975-12/2013</w:t>
            </w:r>
          </w:p>
        </w:tc>
      </w:tr>
      <w:tr w:rsidR="005A06CB" w:rsidRPr="00744D10" w:rsidTr="00D0485F">
        <w:trPr>
          <w:trHeight w:val="510"/>
          <w:jc w:val="center"/>
        </w:trPr>
        <w:tc>
          <w:tcPr>
            <w:tcW w:w="1760" w:type="dxa"/>
            <w:tcBorders>
              <w:top w:val="nil"/>
              <w:left w:val="nil"/>
              <w:bottom w:val="nil"/>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Germany</w:t>
            </w:r>
          </w:p>
        </w:tc>
        <w:tc>
          <w:tcPr>
            <w:tcW w:w="20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sz w:val="20"/>
                <w:szCs w:val="20"/>
              </w:rPr>
            </w:pPr>
            <w:r w:rsidRPr="00744D10">
              <w:rPr>
                <w:rFonts w:ascii="Times New Roman" w:eastAsia="Times New Roman" w:hAnsi="Times New Roman" w:cs="Times New Roman"/>
                <w:sz w:val="20"/>
                <w:szCs w:val="20"/>
              </w:rPr>
              <w:t>EUCCDE Index</w:t>
            </w:r>
          </w:p>
        </w:tc>
        <w:tc>
          <w:tcPr>
            <w:tcW w:w="51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European Commission Consumer Confidence Indicator (NSA, % Balance/Diffusion Index)</w:t>
            </w:r>
          </w:p>
        </w:tc>
        <w:tc>
          <w:tcPr>
            <w:tcW w:w="18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01/1985 - 12/2013</w:t>
            </w:r>
          </w:p>
        </w:tc>
      </w:tr>
      <w:tr w:rsidR="005A06CB" w:rsidRPr="00744D10" w:rsidTr="00D0485F">
        <w:trPr>
          <w:trHeight w:val="510"/>
          <w:jc w:val="center"/>
        </w:trPr>
        <w:tc>
          <w:tcPr>
            <w:tcW w:w="1760" w:type="dxa"/>
            <w:tcBorders>
              <w:top w:val="nil"/>
              <w:left w:val="nil"/>
              <w:bottom w:val="nil"/>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Japan</w:t>
            </w:r>
          </w:p>
        </w:tc>
        <w:tc>
          <w:tcPr>
            <w:tcW w:w="20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JCOMHCF Index</w:t>
            </w:r>
          </w:p>
        </w:tc>
        <w:tc>
          <w:tcPr>
            <w:tcW w:w="51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Japan Consumer Confidence Households Confidence (NSA, % Balance/Diffusion Index)</w:t>
            </w:r>
          </w:p>
        </w:tc>
        <w:tc>
          <w:tcPr>
            <w:tcW w:w="18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06/1982 - 12/2013</w:t>
            </w:r>
          </w:p>
        </w:tc>
      </w:tr>
      <w:tr w:rsidR="005A06CB" w:rsidRPr="00744D10" w:rsidTr="00D0485F">
        <w:trPr>
          <w:trHeight w:val="510"/>
          <w:jc w:val="center"/>
        </w:trPr>
        <w:tc>
          <w:tcPr>
            <w:tcW w:w="1760" w:type="dxa"/>
            <w:tcBorders>
              <w:top w:val="nil"/>
              <w:left w:val="nil"/>
              <w:bottom w:val="nil"/>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United Kingdom</w:t>
            </w:r>
          </w:p>
        </w:tc>
        <w:tc>
          <w:tcPr>
            <w:tcW w:w="20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EUCCUK Index</w:t>
            </w:r>
          </w:p>
        </w:tc>
        <w:tc>
          <w:tcPr>
            <w:tcW w:w="51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European Commission Consumer Confidence Indicator UK (NSA, % Balance/Diffusion Index)</w:t>
            </w:r>
          </w:p>
        </w:tc>
        <w:tc>
          <w:tcPr>
            <w:tcW w:w="1820" w:type="dxa"/>
            <w:tcBorders>
              <w:top w:val="nil"/>
              <w:left w:val="nil"/>
              <w:bottom w:val="nil"/>
              <w:right w:val="nil"/>
            </w:tcBorders>
            <w:shd w:val="clear" w:color="auto" w:fill="auto"/>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01/1985 - 12/2013</w:t>
            </w:r>
          </w:p>
        </w:tc>
      </w:tr>
      <w:tr w:rsidR="005A06CB" w:rsidRPr="00744D10" w:rsidTr="00D0485F">
        <w:trPr>
          <w:trHeight w:val="255"/>
          <w:jc w:val="center"/>
        </w:trPr>
        <w:tc>
          <w:tcPr>
            <w:tcW w:w="1760" w:type="dxa"/>
            <w:tcBorders>
              <w:top w:val="nil"/>
              <w:left w:val="nil"/>
              <w:bottom w:val="single" w:sz="4" w:space="0" w:color="auto"/>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United States</w:t>
            </w:r>
          </w:p>
        </w:tc>
        <w:tc>
          <w:tcPr>
            <w:tcW w:w="2020" w:type="dxa"/>
            <w:tcBorders>
              <w:top w:val="nil"/>
              <w:left w:val="nil"/>
              <w:bottom w:val="single" w:sz="4" w:space="0" w:color="auto"/>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sz w:val="20"/>
                <w:szCs w:val="20"/>
              </w:rPr>
            </w:pPr>
            <w:r w:rsidRPr="00744D10">
              <w:rPr>
                <w:rFonts w:ascii="Times New Roman" w:eastAsia="Times New Roman" w:hAnsi="Times New Roman" w:cs="Times New Roman"/>
                <w:sz w:val="20"/>
                <w:szCs w:val="20"/>
              </w:rPr>
              <w:t>CONSSENT Index</w:t>
            </w:r>
          </w:p>
        </w:tc>
        <w:tc>
          <w:tcPr>
            <w:tcW w:w="5120" w:type="dxa"/>
            <w:tcBorders>
              <w:top w:val="nil"/>
              <w:left w:val="nil"/>
              <w:bottom w:val="single" w:sz="4" w:space="0" w:color="auto"/>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University of Michigan Index of Consumer Sentiment</w:t>
            </w:r>
          </w:p>
        </w:tc>
        <w:tc>
          <w:tcPr>
            <w:tcW w:w="1820" w:type="dxa"/>
            <w:tcBorders>
              <w:top w:val="nil"/>
              <w:left w:val="nil"/>
              <w:bottom w:val="single" w:sz="4" w:space="0" w:color="auto"/>
              <w:right w:val="nil"/>
            </w:tcBorders>
            <w:shd w:val="clear" w:color="auto" w:fill="auto"/>
            <w:noWrap/>
            <w:vAlign w:val="center"/>
            <w:hideMark/>
          </w:tcPr>
          <w:p w:rsidR="005A06CB" w:rsidRPr="00744D10" w:rsidRDefault="005A06CB" w:rsidP="00D0485F">
            <w:pPr>
              <w:spacing w:after="0" w:line="240" w:lineRule="auto"/>
              <w:rPr>
                <w:rFonts w:ascii="Times New Roman" w:eastAsia="Times New Roman" w:hAnsi="Times New Roman" w:cs="Times New Roman"/>
                <w:color w:val="291C00"/>
                <w:sz w:val="20"/>
                <w:szCs w:val="20"/>
              </w:rPr>
            </w:pPr>
            <w:r w:rsidRPr="00744D10">
              <w:rPr>
                <w:rFonts w:ascii="Times New Roman" w:eastAsia="Times New Roman" w:hAnsi="Times New Roman" w:cs="Times New Roman"/>
                <w:color w:val="291C00"/>
                <w:sz w:val="20"/>
                <w:szCs w:val="20"/>
              </w:rPr>
              <w:t>01/1978 - 12/2013</w:t>
            </w:r>
          </w:p>
        </w:tc>
      </w:tr>
    </w:tbl>
    <w:p w:rsidR="005A06CB" w:rsidRDefault="005A06CB" w:rsidP="005A06CB">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 xml:space="preserve">The table reports </w:t>
      </w:r>
      <w:r>
        <w:rPr>
          <w:rFonts w:ascii="Times New Roman" w:hAnsi="Times New Roman" w:cs="Times New Roman"/>
          <w:sz w:val="18"/>
          <w:szCs w:val="18"/>
        </w:rPr>
        <w:t>the details of Consumer Sentiment data used as a proxy for investor sentiment. The data is extracted from Bloomberg.</w:t>
      </w:r>
    </w:p>
    <w:p w:rsidR="005A06CB" w:rsidRDefault="005A06CB" w:rsidP="005A06CB">
      <w:pPr>
        <w:rPr>
          <w:rFonts w:ascii="Times New Roman" w:hAnsi="Times New Roman" w:cs="Times New Roman"/>
          <w:b/>
          <w:sz w:val="28"/>
        </w:rPr>
      </w:pPr>
    </w:p>
    <w:p w:rsidR="005A06CB" w:rsidRDefault="005A06CB" w:rsidP="005A06CB">
      <w:pPr>
        <w:rPr>
          <w:rFonts w:ascii="Times New Roman" w:hAnsi="Times New Roman" w:cs="Times New Roman"/>
          <w:b/>
          <w:sz w:val="28"/>
        </w:rPr>
      </w:pPr>
    </w:p>
    <w:p w:rsidR="005A06CB" w:rsidRDefault="005A06CB" w:rsidP="005A06CB">
      <w:pPr>
        <w:rPr>
          <w:rFonts w:ascii="Times New Roman" w:hAnsi="Times New Roman" w:cs="Times New Roman"/>
          <w:b/>
          <w:sz w:val="28"/>
        </w:rPr>
      </w:pPr>
    </w:p>
    <w:p w:rsidR="005A06CB" w:rsidRDefault="005A06CB" w:rsidP="005A06CB">
      <w:pPr>
        <w:jc w:val="center"/>
        <w:rPr>
          <w:rFonts w:ascii="Times New Roman" w:hAnsi="Times New Roman" w:cs="Times New Roman"/>
          <w:sz w:val="20"/>
          <w:szCs w:val="20"/>
        </w:rPr>
      </w:pPr>
    </w:p>
    <w:p w:rsidR="005A06CB" w:rsidRPr="0052717D" w:rsidRDefault="0052717D" w:rsidP="0052717D">
      <w:pPr>
        <w:spacing w:after="120" w:line="360" w:lineRule="auto"/>
        <w:jc w:val="center"/>
        <w:rPr>
          <w:rFonts w:ascii="Times New Roman" w:hAnsi="Times New Roman" w:cs="Times New Roman"/>
        </w:rPr>
      </w:pPr>
      <w:r>
        <w:rPr>
          <w:rFonts w:ascii="Times New Roman" w:hAnsi="Times New Roman" w:cs="Times New Roman"/>
        </w:rPr>
        <w:t>Table A.13</w:t>
      </w:r>
      <w:r w:rsidR="005A06CB" w:rsidRPr="0052717D">
        <w:rPr>
          <w:rFonts w:ascii="Times New Roman" w:hAnsi="Times New Roman" w:cs="Times New Roman"/>
        </w:rPr>
        <w:t>: Implied Volatility Measures Description</w:t>
      </w:r>
    </w:p>
    <w:tbl>
      <w:tblPr>
        <w:tblW w:w="10720" w:type="dxa"/>
        <w:jc w:val="center"/>
        <w:tblInd w:w="93" w:type="dxa"/>
        <w:tblLook w:val="04A0"/>
      </w:tblPr>
      <w:tblGrid>
        <w:gridCol w:w="1760"/>
        <w:gridCol w:w="2020"/>
        <w:gridCol w:w="5120"/>
        <w:gridCol w:w="1820"/>
      </w:tblGrid>
      <w:tr w:rsidR="005A06CB" w:rsidRPr="00CA1950" w:rsidTr="00D0485F">
        <w:trPr>
          <w:trHeight w:val="255"/>
          <w:jc w:val="center"/>
        </w:trPr>
        <w:tc>
          <w:tcPr>
            <w:tcW w:w="1760" w:type="dxa"/>
            <w:tcBorders>
              <w:top w:val="single" w:sz="4" w:space="0" w:color="auto"/>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Implied Volatility</w:t>
            </w:r>
          </w:p>
        </w:tc>
        <w:tc>
          <w:tcPr>
            <w:tcW w:w="2020" w:type="dxa"/>
            <w:tcBorders>
              <w:top w:val="single" w:sz="4" w:space="0" w:color="auto"/>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Bloomberg code</w:t>
            </w:r>
          </w:p>
        </w:tc>
        <w:tc>
          <w:tcPr>
            <w:tcW w:w="5120" w:type="dxa"/>
            <w:tcBorders>
              <w:top w:val="single" w:sz="4" w:space="0" w:color="auto"/>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Description</w:t>
            </w:r>
          </w:p>
        </w:tc>
        <w:tc>
          <w:tcPr>
            <w:tcW w:w="1820" w:type="dxa"/>
            <w:tcBorders>
              <w:top w:val="single" w:sz="4" w:space="0" w:color="auto"/>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Sample</w:t>
            </w:r>
          </w:p>
        </w:tc>
      </w:tr>
      <w:tr w:rsidR="005A06CB" w:rsidRPr="00CA1950" w:rsidTr="00D0485F">
        <w:trPr>
          <w:trHeight w:val="630"/>
          <w:jc w:val="center"/>
        </w:trPr>
        <w:tc>
          <w:tcPr>
            <w:tcW w:w="1760" w:type="dxa"/>
            <w:tcBorders>
              <w:top w:val="nil"/>
              <w:left w:val="nil"/>
              <w:bottom w:val="nil"/>
              <w:right w:val="nil"/>
            </w:tcBorders>
            <w:shd w:val="clear" w:color="auto" w:fill="auto"/>
            <w:noWrap/>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United States</w:t>
            </w:r>
          </w:p>
        </w:tc>
        <w:tc>
          <w:tcPr>
            <w:tcW w:w="2020" w:type="dxa"/>
            <w:tcBorders>
              <w:top w:val="nil"/>
              <w:left w:val="nil"/>
              <w:bottom w:val="nil"/>
              <w:right w:val="nil"/>
            </w:tcBorders>
            <w:shd w:val="clear" w:color="auto" w:fill="auto"/>
            <w:noWrap/>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VIX Index</w:t>
            </w:r>
          </w:p>
        </w:tc>
        <w:tc>
          <w:tcPr>
            <w:tcW w:w="5120" w:type="dxa"/>
            <w:tcBorders>
              <w:top w:val="nil"/>
              <w:left w:val="nil"/>
              <w:bottom w:val="nil"/>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Captures market expectations of near-term volatility conveyed by S&amp;P 500 stock index option prices.</w:t>
            </w:r>
          </w:p>
        </w:tc>
        <w:tc>
          <w:tcPr>
            <w:tcW w:w="1820" w:type="dxa"/>
            <w:tcBorders>
              <w:top w:val="nil"/>
              <w:left w:val="nil"/>
              <w:bottom w:val="nil"/>
              <w:right w:val="nil"/>
            </w:tcBorders>
            <w:shd w:val="clear" w:color="auto" w:fill="auto"/>
            <w:noWrap/>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 xml:space="preserve">01/1990 - 12/2013 </w:t>
            </w:r>
          </w:p>
        </w:tc>
      </w:tr>
      <w:tr w:rsidR="005A06CB" w:rsidRPr="00CA1950" w:rsidTr="00D0485F">
        <w:trPr>
          <w:trHeight w:val="915"/>
          <w:jc w:val="center"/>
        </w:trPr>
        <w:tc>
          <w:tcPr>
            <w:tcW w:w="1760" w:type="dxa"/>
            <w:tcBorders>
              <w:top w:val="nil"/>
              <w:left w:val="nil"/>
              <w:bottom w:val="single" w:sz="4" w:space="0" w:color="auto"/>
              <w:right w:val="nil"/>
            </w:tcBorders>
            <w:shd w:val="clear" w:color="auto" w:fill="auto"/>
            <w:noWrap/>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United States</w:t>
            </w:r>
          </w:p>
        </w:tc>
        <w:tc>
          <w:tcPr>
            <w:tcW w:w="2020" w:type="dxa"/>
            <w:tcBorders>
              <w:top w:val="nil"/>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MOVE Index</w:t>
            </w:r>
          </w:p>
        </w:tc>
        <w:tc>
          <w:tcPr>
            <w:tcW w:w="5120" w:type="dxa"/>
            <w:tcBorders>
              <w:top w:val="nil"/>
              <w:left w:val="nil"/>
              <w:bottom w:val="single" w:sz="4" w:space="0" w:color="auto"/>
              <w:right w:val="nil"/>
            </w:tcBorders>
            <w:shd w:val="clear" w:color="auto" w:fill="auto"/>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Average implied volatility across a wide range of outstanding options on the two-year, five-year, 10-year, and 30-year U.S. Treasury securities.</w:t>
            </w:r>
          </w:p>
        </w:tc>
        <w:tc>
          <w:tcPr>
            <w:tcW w:w="1820" w:type="dxa"/>
            <w:tcBorders>
              <w:top w:val="nil"/>
              <w:left w:val="nil"/>
              <w:bottom w:val="single" w:sz="4" w:space="0" w:color="auto"/>
              <w:right w:val="nil"/>
            </w:tcBorders>
            <w:shd w:val="clear" w:color="auto" w:fill="auto"/>
            <w:noWrap/>
            <w:vAlign w:val="center"/>
            <w:hideMark/>
          </w:tcPr>
          <w:p w:rsidR="005A06CB" w:rsidRPr="00CA1950" w:rsidRDefault="005A06CB" w:rsidP="00D0485F">
            <w:pPr>
              <w:spacing w:after="0" w:line="240" w:lineRule="auto"/>
              <w:rPr>
                <w:rFonts w:ascii="Times New Roman" w:eastAsia="Times New Roman" w:hAnsi="Times New Roman" w:cs="Times New Roman"/>
                <w:color w:val="291C00"/>
                <w:sz w:val="20"/>
                <w:szCs w:val="20"/>
              </w:rPr>
            </w:pPr>
            <w:r w:rsidRPr="00CA1950">
              <w:rPr>
                <w:rFonts w:ascii="Times New Roman" w:eastAsia="Times New Roman" w:hAnsi="Times New Roman" w:cs="Times New Roman"/>
                <w:color w:val="291C00"/>
                <w:sz w:val="20"/>
                <w:szCs w:val="20"/>
              </w:rPr>
              <w:t>04/1988 - 12/2013</w:t>
            </w:r>
          </w:p>
        </w:tc>
      </w:tr>
    </w:tbl>
    <w:p w:rsidR="005A06CB" w:rsidRDefault="005A06CB" w:rsidP="005A06CB">
      <w:pPr>
        <w:spacing w:after="0" w:line="240" w:lineRule="auto"/>
        <w:jc w:val="both"/>
        <w:rPr>
          <w:rFonts w:ascii="Times New Roman" w:hAnsi="Times New Roman" w:cs="Times New Roman"/>
          <w:sz w:val="18"/>
          <w:szCs w:val="18"/>
        </w:rPr>
      </w:pPr>
      <w:r w:rsidRPr="00DB60A9">
        <w:rPr>
          <w:rFonts w:ascii="Times New Roman" w:hAnsi="Times New Roman" w:cs="Times New Roman"/>
          <w:i/>
          <w:sz w:val="18"/>
          <w:szCs w:val="18"/>
        </w:rPr>
        <w:t xml:space="preserve">Notes: </w:t>
      </w:r>
      <w:r w:rsidRPr="00DB60A9">
        <w:rPr>
          <w:rFonts w:ascii="Times New Roman" w:hAnsi="Times New Roman" w:cs="Times New Roman"/>
          <w:sz w:val="18"/>
          <w:szCs w:val="18"/>
        </w:rPr>
        <w:t xml:space="preserve">The table reports </w:t>
      </w:r>
      <w:r>
        <w:rPr>
          <w:rFonts w:ascii="Times New Roman" w:hAnsi="Times New Roman" w:cs="Times New Roman"/>
          <w:sz w:val="18"/>
          <w:szCs w:val="18"/>
        </w:rPr>
        <w:t>the details of implied volatility indices used as a proxy for risk appetite. The data is extracted from Bloomberg.</w:t>
      </w:r>
    </w:p>
    <w:p w:rsidR="005A06CB" w:rsidRDefault="005A06CB" w:rsidP="005A06CB">
      <w:pPr>
        <w:rPr>
          <w:rFonts w:ascii="Times New Roman" w:hAnsi="Times New Roman" w:cs="Times New Roman"/>
          <w:b/>
          <w:sz w:val="28"/>
        </w:rPr>
      </w:pPr>
    </w:p>
    <w:p w:rsidR="005A06CB" w:rsidRDefault="005A06CB" w:rsidP="005A06CB">
      <w:pPr>
        <w:rPr>
          <w:rFonts w:ascii="Times New Roman" w:hAnsi="Times New Roman" w:cs="Times New Roman"/>
          <w:b/>
          <w:sz w:val="28"/>
        </w:rPr>
      </w:pPr>
    </w:p>
    <w:p w:rsidR="005A06CB" w:rsidRDefault="005A06CB" w:rsidP="005A06CB">
      <w:pPr>
        <w:pStyle w:val="NoSpacing"/>
        <w:jc w:val="both"/>
        <w:rPr>
          <w:rFonts w:ascii="Times New Roman" w:hAnsi="Times New Roman" w:cs="Times New Roman"/>
          <w:sz w:val="18"/>
          <w:szCs w:val="18"/>
        </w:rPr>
      </w:pPr>
    </w:p>
    <w:p w:rsidR="005A06CB" w:rsidRDefault="005A06CB" w:rsidP="005A06CB">
      <w:pPr>
        <w:pStyle w:val="NoSpacing"/>
        <w:spacing w:line="360" w:lineRule="auto"/>
        <w:jc w:val="both"/>
        <w:rPr>
          <w:rFonts w:ascii="Times New Roman" w:hAnsi="Times New Roman" w:cs="Times New Roman"/>
        </w:rPr>
      </w:pPr>
    </w:p>
    <w:p w:rsidR="005A06CB" w:rsidRDefault="005A06CB" w:rsidP="005A06CB">
      <w:pPr>
        <w:pStyle w:val="NoSpacing"/>
        <w:spacing w:line="360" w:lineRule="auto"/>
        <w:jc w:val="both"/>
        <w:rPr>
          <w:rFonts w:ascii="Times New Roman" w:hAnsi="Times New Roman" w:cs="Times New Roman"/>
        </w:rPr>
      </w:pPr>
    </w:p>
    <w:p w:rsidR="005A06CB" w:rsidRDefault="005A06CB" w:rsidP="005A06CB">
      <w:pPr>
        <w:pStyle w:val="NoSpacing"/>
        <w:spacing w:line="360" w:lineRule="auto"/>
        <w:jc w:val="both"/>
        <w:rPr>
          <w:rFonts w:ascii="Times New Roman" w:hAnsi="Times New Roman" w:cs="Times New Roman"/>
        </w:rPr>
      </w:pPr>
    </w:p>
    <w:p w:rsidR="005A06CB" w:rsidRDefault="005A06CB" w:rsidP="005A06CB">
      <w:pPr>
        <w:pStyle w:val="NoSpacing"/>
        <w:spacing w:line="360" w:lineRule="auto"/>
        <w:jc w:val="both"/>
        <w:rPr>
          <w:rFonts w:ascii="Times New Roman" w:hAnsi="Times New Roman" w:cs="Times New Roman"/>
        </w:rPr>
      </w:pPr>
    </w:p>
    <w:p w:rsidR="002211A5" w:rsidRDefault="002211A5" w:rsidP="002211A5">
      <w:pPr>
        <w:rPr>
          <w:rFonts w:ascii="Times New Roman" w:hAnsi="Times New Roman" w:cs="Times New Roman"/>
          <w:b/>
        </w:rPr>
        <w:sectPr w:rsidR="002211A5" w:rsidSect="00EF2575">
          <w:footerReference w:type="default" r:id="rId38"/>
          <w:pgSz w:w="12240" w:h="15840" w:code="1"/>
          <w:pgMar w:top="1440" w:right="1440" w:bottom="1440" w:left="1440" w:header="720" w:footer="720" w:gutter="0"/>
          <w:pgNumType w:start="0"/>
          <w:cols w:space="720"/>
          <w:titlePg/>
          <w:docGrid w:linePitch="360"/>
        </w:sectPr>
      </w:pPr>
    </w:p>
    <w:p w:rsidR="002211A5" w:rsidRPr="002211A5" w:rsidRDefault="002211A5" w:rsidP="0004732B">
      <w:pPr>
        <w:pStyle w:val="Heading1"/>
      </w:pPr>
      <w:bookmarkStart w:id="68" w:name="_Toc396762732"/>
      <w:r w:rsidRPr="002211A5">
        <w:lastRenderedPageBreak/>
        <w:t>Appendix B</w:t>
      </w:r>
      <w:bookmarkEnd w:id="68"/>
    </w:p>
    <w:p w:rsidR="002211A5" w:rsidRPr="00E74080" w:rsidRDefault="002211A5" w:rsidP="00E74080">
      <w:pPr>
        <w:spacing w:before="120" w:after="120" w:line="240" w:lineRule="auto"/>
        <w:rPr>
          <w:rFonts w:ascii="Times New Roman" w:hAnsi="Times New Roman" w:cs="Times New Roman"/>
        </w:rPr>
      </w:pPr>
      <w:r w:rsidRPr="00E74080">
        <w:rPr>
          <w:rFonts w:ascii="Times New Roman" w:hAnsi="Times New Roman" w:cs="Times New Roman"/>
        </w:rPr>
        <w:t>Table B.1: Explanations for stocks seasonal pattern</w:t>
      </w:r>
    </w:p>
    <w:tbl>
      <w:tblPr>
        <w:tblStyle w:val="LightList"/>
        <w:tblW w:w="0" w:type="auto"/>
        <w:tblLook w:val="04A0"/>
      </w:tblPr>
      <w:tblGrid>
        <w:gridCol w:w="603"/>
        <w:gridCol w:w="1566"/>
        <w:gridCol w:w="1338"/>
        <w:gridCol w:w="1577"/>
        <w:gridCol w:w="1627"/>
        <w:gridCol w:w="2453"/>
        <w:gridCol w:w="1372"/>
        <w:gridCol w:w="2266"/>
        <w:gridCol w:w="1814"/>
      </w:tblGrid>
      <w:tr w:rsidR="00E74080" w:rsidRPr="00E74080" w:rsidTr="00E74080">
        <w:trPr>
          <w:cnfStyle w:val="100000000000"/>
        </w:trPr>
        <w:tc>
          <w:tcPr>
            <w:cnfStyle w:val="001000000000"/>
            <w:tcW w:w="611" w:type="dxa"/>
            <w:shd w:val="clear" w:color="auto" w:fill="auto"/>
          </w:tcPr>
          <w:p w:rsidR="00E74080" w:rsidRPr="00E74080" w:rsidRDefault="00E74080" w:rsidP="00482160">
            <w:pPr>
              <w:rPr>
                <w:rFonts w:ascii="Times New Roman" w:hAnsi="Times New Roman" w:cs="Times New Roman"/>
                <w:b w:val="0"/>
                <w:color w:val="auto"/>
                <w:sz w:val="20"/>
                <w:szCs w:val="20"/>
              </w:rPr>
            </w:pPr>
            <w:r w:rsidRPr="00E74080">
              <w:rPr>
                <w:rFonts w:ascii="Times New Roman" w:hAnsi="Times New Roman" w:cs="Times New Roman"/>
                <w:color w:val="auto"/>
                <w:sz w:val="20"/>
                <w:szCs w:val="20"/>
              </w:rPr>
              <w:t>No.</w:t>
            </w:r>
          </w:p>
        </w:tc>
        <w:tc>
          <w:tcPr>
            <w:tcW w:w="1638"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Empirical studies</w:t>
            </w:r>
          </w:p>
        </w:tc>
        <w:tc>
          <w:tcPr>
            <w:tcW w:w="1444"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Data period used</w:t>
            </w:r>
          </w:p>
        </w:tc>
        <w:tc>
          <w:tcPr>
            <w:tcW w:w="1600"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Country/Index</w:t>
            </w:r>
          </w:p>
        </w:tc>
        <w:tc>
          <w:tcPr>
            <w:tcW w:w="1663"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Reason given for seasonality</w:t>
            </w:r>
          </w:p>
        </w:tc>
        <w:tc>
          <w:tcPr>
            <w:tcW w:w="2714"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Description</w:t>
            </w:r>
          </w:p>
        </w:tc>
        <w:tc>
          <w:tcPr>
            <w:tcW w:w="1414"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Agents</w:t>
            </w:r>
          </w:p>
        </w:tc>
        <w:tc>
          <w:tcPr>
            <w:tcW w:w="2549"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Seasonal pattern for stocks</w:t>
            </w:r>
          </w:p>
        </w:tc>
        <w:tc>
          <w:tcPr>
            <w:tcW w:w="1981"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Seasonal pattern for bonds</w:t>
            </w:r>
          </w:p>
        </w:tc>
      </w:tr>
      <w:tr w:rsidR="00E74080" w:rsidRPr="00E74080" w:rsidTr="00E74080">
        <w:trPr>
          <w:cnfStyle w:val="000000100000"/>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Wachtel (1942)</w:t>
            </w:r>
          </w:p>
          <w:p w:rsidR="00E74080" w:rsidRPr="00E74080" w:rsidRDefault="00E74080" w:rsidP="00482160">
            <w:pPr>
              <w:jc w:val="both"/>
              <w:cnfStyle w:val="000000100000"/>
              <w:rPr>
                <w:rFonts w:ascii="Times New Roman" w:hAnsi="Times New Roman" w:cs="Times New Roman"/>
                <w:sz w:val="20"/>
                <w:szCs w:val="20"/>
              </w:rPr>
            </w:pP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1972 - 1942</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US/DJIA</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Tax-loss selling</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Investors sell losing stocks before the end of the tax year to avoid paying capital gains taxes and reinvest at the turn of the year. Abnormal returns in January represent only a recovery from depressed levels.</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 and corporations</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Lower returns in December and higher returns in January</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Not applicable</w:t>
            </w:r>
          </w:p>
        </w:tc>
      </w:tr>
      <w:tr w:rsidR="00E74080" w:rsidRPr="00E74080" w:rsidTr="00E74080">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2.</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Lakonishok, Shleifer,  Thaler and Vishny (1991)</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1985 - 1989</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US/769 equity pension funds; CRSP data on NYSE, American and NASDAQ stocks</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“Window-dressing”</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To impress sponsors, fund managers sell off losing stocks prior to the end-of-the-year reporting date and then repurchase them in January</w:t>
            </w:r>
            <w:r w:rsidRPr="00E74080">
              <w:rPr>
                <w:rStyle w:val="FootnoteReference"/>
                <w:rFonts w:ascii="Times New Roman" w:hAnsi="Times New Roman" w:cs="Times New Roman"/>
                <w:sz w:val="20"/>
                <w:szCs w:val="20"/>
              </w:rPr>
              <w:footnoteReference w:id="58"/>
            </w:r>
            <w:r w:rsidRPr="00E74080">
              <w:rPr>
                <w:rFonts w:ascii="Times New Roman" w:hAnsi="Times New Roman" w:cs="Times New Roman"/>
                <w:sz w:val="20"/>
                <w:szCs w:val="20"/>
              </w:rPr>
              <w:t xml:space="preserve">. </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Institutional investors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Better performance of small stocks at the beginning of the year.</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The selling of risky bonds by bond funds put downward pressure on price in December and upside pressure in in January. Low risk bonds face the opposite effects. </w:t>
            </w:r>
          </w:p>
        </w:tc>
      </w:tr>
      <w:tr w:rsidR="00E74080" w:rsidRPr="00E74080" w:rsidTr="00E74080">
        <w:trPr>
          <w:cnfStyle w:val="000000100000"/>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3.</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Rozeff and Kinney (1976)</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1904 - 1974</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 xml:space="preserve">US, AU/CRSP NYSE </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 xml:space="preserve">Accounting  information </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Without formally testing the advanced hypothesis, they suggest that the beginning of the tax and accounting year for most companies and also the period of accounting earnings announcements could be related to the seasonality pattern.</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Non-specific</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January</w:t>
            </w:r>
            <w:r w:rsidRPr="00E74080">
              <w:rPr>
                <w:rStyle w:val="FootnoteReference"/>
                <w:rFonts w:ascii="Times New Roman" w:hAnsi="Times New Roman" w:cs="Times New Roman"/>
                <w:sz w:val="20"/>
                <w:szCs w:val="20"/>
              </w:rPr>
              <w:footnoteReference w:id="59"/>
            </w:r>
            <w:r w:rsidRPr="00E74080">
              <w:rPr>
                <w:rFonts w:ascii="Times New Roman" w:hAnsi="Times New Roman" w:cs="Times New Roman"/>
                <w:sz w:val="20"/>
                <w:szCs w:val="20"/>
              </w:rPr>
              <w:t xml:space="preserve"> records higher mean of returns in US and July in case of Australia. </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Not applicable</w:t>
            </w:r>
          </w:p>
        </w:tc>
      </w:tr>
      <w:tr w:rsidR="00E74080" w:rsidRPr="00E74080" w:rsidTr="00E74080">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 xml:space="preserve">4. </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Ogden (1990)</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1969 - 1986</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US/CRSP data</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Liquidity hypothesis</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Cash inflows in December-January (profits of privately owned businesses, bonuses for individuals etc.) explain </w:t>
            </w:r>
            <w:r w:rsidRPr="00E74080">
              <w:rPr>
                <w:rFonts w:ascii="Times New Roman" w:hAnsi="Times New Roman" w:cs="Times New Roman"/>
                <w:sz w:val="20"/>
                <w:szCs w:val="20"/>
              </w:rPr>
              <w:lastRenderedPageBreak/>
              <w:t>higher demand for stocks in January. The liquidity is also inversely related to the stringency of the monetary policy</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lastRenderedPageBreak/>
              <w:t>Individuals and corporations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Higher returns than average in January</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Abundant liquidity could also imply demand for bonds and thus higher returns at the </w:t>
            </w:r>
            <w:r w:rsidRPr="00E74080">
              <w:rPr>
                <w:rFonts w:ascii="Times New Roman" w:hAnsi="Times New Roman" w:cs="Times New Roman"/>
                <w:sz w:val="20"/>
                <w:szCs w:val="20"/>
              </w:rPr>
              <w:lastRenderedPageBreak/>
              <w:t>beginning of the year.</w:t>
            </w:r>
          </w:p>
        </w:tc>
      </w:tr>
      <w:tr w:rsidR="00E74080" w:rsidRPr="00E74080" w:rsidTr="00E74080">
        <w:trPr>
          <w:cnfStyle w:val="000000100000"/>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lastRenderedPageBreak/>
              <w:t xml:space="preserve">5. </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Ritter (1988)</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1971 – 1985</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 buy/sell ratio of individual investors at Merrill Lynch</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Parking the proceeds hypothesis</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Some of the proceeds from the sale of losers in December are “parked” until January. The focus is on the behaviour of individual from net sellers to net buyers.</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Small stocks outperform large stocks in January and other months</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The price of bonds faces upside pressure in December and downward pressure in January as investors might invest the proceeds in fixed income instruments.</w:t>
            </w:r>
          </w:p>
        </w:tc>
      </w:tr>
      <w:tr w:rsidR="00E74080" w:rsidRPr="00E74080" w:rsidTr="00E74080">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6.</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Ciccone (2011)</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1983 - 2007</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US/CRSP</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Optimistic expectations</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Renewed optimism related to the beginning of the calendar year makes investors to buy stocks in January. “False hope syndrome” which assumes hopes about a correction of their failure next time explains the persistence of the effect after being discovered.</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Superior performance of stocks in January compared to the other months. High dispersion firms outperform low dispersion firms in</w:t>
            </w:r>
          </w:p>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January.</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Optimistic investors are likely to ignore bonds at the beginning of the year, resulting in lower bond returns in January.</w:t>
            </w:r>
          </w:p>
        </w:tc>
      </w:tr>
      <w:tr w:rsidR="00E74080" w:rsidRPr="00E74080" w:rsidTr="00E74080">
        <w:trPr>
          <w:cnfStyle w:val="000000100000"/>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7.</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Wachtel (1942),</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Zhang and Jacobsen (2013)</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1972 – 1942, 1693 - 2009</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 UK</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Christmas optimism</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Positive feeling around Christmas and outlook for the new year could be visible in the equity market at the beginning of January.</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Higher returns than average in January</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Relatively lower bond returns at the beginning of the year.</w:t>
            </w:r>
          </w:p>
        </w:tc>
      </w:tr>
      <w:tr w:rsidR="00E74080" w:rsidRPr="00E74080" w:rsidTr="00E74080">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8.</w:t>
            </w:r>
          </w:p>
        </w:tc>
        <w:tc>
          <w:tcPr>
            <w:tcW w:w="1638" w:type="dxa"/>
          </w:tcPr>
          <w:p w:rsidR="00E74080" w:rsidRPr="00E74080" w:rsidRDefault="000F696A" w:rsidP="00482160">
            <w:pPr>
              <w:jc w:val="both"/>
              <w:cnfStyle w:val="000000000000"/>
              <w:rPr>
                <w:rFonts w:ascii="Times New Roman" w:hAnsi="Times New Roman" w:cs="Times New Roman"/>
                <w:sz w:val="20"/>
                <w:szCs w:val="20"/>
              </w:rPr>
            </w:pPr>
            <w:r>
              <w:rPr>
                <w:rFonts w:ascii="Times New Roman" w:hAnsi="Times New Roman" w:cs="Times New Roman"/>
                <w:sz w:val="20"/>
                <w:szCs w:val="20"/>
              </w:rPr>
              <w:t>Sullivan, Timmermann and</w:t>
            </w:r>
            <w:r w:rsidR="00E74080" w:rsidRPr="00E74080">
              <w:rPr>
                <w:rFonts w:ascii="Times New Roman" w:hAnsi="Times New Roman" w:cs="Times New Roman"/>
                <w:sz w:val="20"/>
                <w:szCs w:val="20"/>
              </w:rPr>
              <w:t xml:space="preserve"> White (2001)</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1897 - 1996</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US/DJIA</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Data-mining problems</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The patterns were found by chance, especially as data with outliers are subjected to data-mining biases</w:t>
            </w:r>
            <w:r w:rsidRPr="00E74080">
              <w:rPr>
                <w:rStyle w:val="FootnoteReference"/>
                <w:rFonts w:ascii="Times New Roman" w:hAnsi="Times New Roman" w:cs="Times New Roman"/>
                <w:sz w:val="20"/>
                <w:szCs w:val="20"/>
              </w:rPr>
              <w:footnoteReference w:id="60"/>
            </w:r>
            <w:r w:rsidRPr="00E74080">
              <w:rPr>
                <w:rFonts w:ascii="Times New Roman" w:hAnsi="Times New Roman" w:cs="Times New Roman"/>
                <w:sz w:val="20"/>
                <w:szCs w:val="20"/>
              </w:rPr>
              <w:t xml:space="preserve">. </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Researchers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When controlling for outliers, when testing out-of-sample or using new data, the calendar effects disappear.</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When controlling for outliers, when testing out-of-sample or using new data, the calendar effects disappear.</w:t>
            </w:r>
          </w:p>
        </w:tc>
      </w:tr>
      <w:tr w:rsidR="00E74080" w:rsidRPr="00E74080" w:rsidTr="00E74080">
        <w:trPr>
          <w:cnfStyle w:val="000000100000"/>
          <w:trHeight w:val="2954"/>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lastRenderedPageBreak/>
              <w:t>9.</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Bouman and Jacobsen (2002)</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1970 - 1998</w:t>
            </w:r>
            <w:r w:rsidRPr="00E74080">
              <w:rPr>
                <w:rStyle w:val="FootnoteReference"/>
                <w:rFonts w:ascii="Times New Roman" w:hAnsi="Times New Roman" w:cs="Times New Roman"/>
                <w:sz w:val="20"/>
                <w:szCs w:val="20"/>
              </w:rPr>
              <w:footnoteReference w:id="61"/>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 countries/MSCI Reinvestment Indices</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Holiday effect</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A lower number of investors during summer or an increase in risk aversion suggest a contemporary decrease in price and higher expected returns. Higher returns during winter could be the result of overspending during the holiday (higher liquidity premium).</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Higher returns for stocks during November-April compared to May-October.</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May-October bond returns will exceed those from November-April.</w:t>
            </w:r>
          </w:p>
        </w:tc>
      </w:tr>
      <w:tr w:rsidR="00E74080" w:rsidRPr="00E74080" w:rsidTr="00E74080">
        <w:trPr>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10.</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Doeswijk (2008)</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1970 - 2003</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US/MSCI World Index</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Optimism cycle</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The outlook for earnings and economy changes during the calendar year. The Investors are overly optimistic in the last quarter and the first part of the new year and as we advance in the year, their optimism softens. </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The relative performance of stocks is better in November-April than during May – October.</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Bonds record higher returns during May – October than in the period November – April.</w:t>
            </w:r>
          </w:p>
        </w:tc>
      </w:tr>
      <w:tr w:rsidR="00E74080" w:rsidRPr="00E74080" w:rsidTr="00E74080">
        <w:trPr>
          <w:cnfStyle w:val="000000100000"/>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11.</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Hong and Yu (2009)</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Different samples (the oldest starting with 1962 and the latest 1999) up to 2003, 2005</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51 countries</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“gone fishin’ ” hypothesis</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Investors are “gone fishin’ ” and the trading volume declines during summer.</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Non-specific (individual and institutional investors)</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Lower average stock returns during summer (July–September for Northern Hemisphere countries and January–March for Southern Hemisphere countries).</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Bond returns are relatively lower during summer.</w:t>
            </w:r>
          </w:p>
        </w:tc>
      </w:tr>
      <w:tr w:rsidR="00E74080" w:rsidRPr="00E74080" w:rsidTr="00E74080">
        <w:trPr>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12.</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Ogden (2003)</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1947 - 2000</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US/NYSE </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An annual cycle of economic activities and risk conditions</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There are complementary seasonalities in economic activity and stock returns; Expectations of poor macroeconomic conditions for October through March translate into lower returns during April – September and make the investors require a premium for holding stocks during October – March (equity </w:t>
            </w:r>
            <w:r w:rsidRPr="00E74080">
              <w:rPr>
                <w:rFonts w:ascii="Times New Roman" w:hAnsi="Times New Roman" w:cs="Times New Roman"/>
                <w:sz w:val="20"/>
                <w:szCs w:val="20"/>
              </w:rPr>
              <w:lastRenderedPageBreak/>
              <w:t>market has forecasting power for dynamics of economic activity).</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lastRenderedPageBreak/>
              <w:t xml:space="preserve">Non-specific </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October – March equity returns surpass those recorded in April – September.</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Bonds record higher returns during April – September than in the period October – March.</w:t>
            </w:r>
          </w:p>
        </w:tc>
      </w:tr>
      <w:tr w:rsidR="00E74080" w:rsidRPr="00E74080" w:rsidTr="00E74080">
        <w:trPr>
          <w:cnfStyle w:val="000000100000"/>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lastRenderedPageBreak/>
              <w:t>13.</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Gerlach (2007)</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1980 - 2003</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US/S&amp;P 500, CRSP EW</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Days of macroeconomic announcements are characterised by unusual high returns.</w:t>
            </w:r>
          </w:p>
        </w:tc>
        <w:tc>
          <w:tcPr>
            <w:tcW w:w="27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Higher returns during fall are explained by relatively large price movements on announcement days of economic data.</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 xml:space="preserve">Non-specific (individual and institutional investors) </w:t>
            </w: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Returns during fall (October – December) are on average higher than the mean return for the rest of the year.</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Fall months display lower than average bond returns .</w:t>
            </w:r>
          </w:p>
        </w:tc>
      </w:tr>
      <w:tr w:rsidR="00E74080" w:rsidRPr="00E74080" w:rsidTr="00E74080">
        <w:trPr>
          <w:trHeight w:val="39"/>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14a.</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Kamstra, Kramer and Levi (2003a)</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Different sample periods – Jan 1928 – Dec 2001 </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9 countries (4 US indices)</w:t>
            </w:r>
            <w:r w:rsidRPr="00E74080">
              <w:rPr>
                <w:rStyle w:val="FootnoteReference"/>
                <w:rFonts w:ascii="Times New Roman" w:hAnsi="Times New Roman" w:cs="Times New Roman"/>
                <w:sz w:val="20"/>
                <w:szCs w:val="20"/>
              </w:rPr>
              <w:footnoteReference w:id="62"/>
            </w:r>
          </w:p>
        </w:tc>
        <w:tc>
          <w:tcPr>
            <w:tcW w:w="1663" w:type="dxa"/>
            <w:vMerge w:val="restart"/>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Seasonal Affective Disorder (SAD)</w:t>
            </w:r>
          </w:p>
          <w:p w:rsidR="00E74080" w:rsidRPr="00E74080" w:rsidRDefault="00E74080" w:rsidP="00482160">
            <w:pPr>
              <w:jc w:val="both"/>
              <w:cnfStyle w:val="000000000000"/>
              <w:rPr>
                <w:rFonts w:ascii="Times New Roman" w:hAnsi="Times New Roman" w:cs="Times New Roman"/>
                <w:sz w:val="20"/>
                <w:szCs w:val="20"/>
              </w:rPr>
            </w:pPr>
          </w:p>
        </w:tc>
        <w:tc>
          <w:tcPr>
            <w:tcW w:w="2714" w:type="dxa"/>
            <w:vMerge w:val="restart"/>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A depression related to the decreasing daylight during autumn which influences the mood translates into risk aversion during fall and as the day becomes longer, the risk appetite of the investors recovers.</w:t>
            </w:r>
          </w:p>
        </w:tc>
        <w:tc>
          <w:tcPr>
            <w:tcW w:w="1414" w:type="dxa"/>
            <w:vMerge w:val="restart"/>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Below average returns in the fall and relatively higher returns in the winter</w:t>
            </w:r>
            <w:r w:rsidRPr="00E74080">
              <w:rPr>
                <w:rStyle w:val="FootnoteReference"/>
                <w:rFonts w:ascii="Times New Roman" w:hAnsi="Times New Roman" w:cs="Times New Roman"/>
                <w:sz w:val="20"/>
                <w:szCs w:val="20"/>
              </w:rPr>
              <w:footnoteReference w:id="63"/>
            </w:r>
            <w:r w:rsidRPr="00E74080">
              <w:rPr>
                <w:rFonts w:ascii="Times New Roman" w:hAnsi="Times New Roman" w:cs="Times New Roman"/>
                <w:sz w:val="20"/>
                <w:szCs w:val="20"/>
                <w:vertAlign w:val="superscript"/>
              </w:rPr>
              <w:t>,</w:t>
            </w:r>
            <w:r w:rsidRPr="00E74080">
              <w:rPr>
                <w:rStyle w:val="FootnoteReference"/>
                <w:rFonts w:ascii="Times New Roman" w:hAnsi="Times New Roman" w:cs="Times New Roman"/>
                <w:sz w:val="20"/>
                <w:szCs w:val="20"/>
              </w:rPr>
              <w:footnoteReference w:id="64"/>
            </w:r>
            <w:r w:rsidRPr="00E74080">
              <w:rPr>
                <w:rFonts w:ascii="Times New Roman" w:hAnsi="Times New Roman" w:cs="Times New Roman"/>
                <w:sz w:val="20"/>
                <w:szCs w:val="20"/>
              </w:rPr>
              <w:t xml:space="preserve">.  </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Higher bond returns during fall and below average bond returns during winter</w:t>
            </w:r>
          </w:p>
        </w:tc>
      </w:tr>
      <w:tr w:rsidR="00E74080" w:rsidRPr="00E74080" w:rsidTr="00E74080">
        <w:trPr>
          <w:cnfStyle w:val="000000100000"/>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14b.</w:t>
            </w:r>
          </w:p>
        </w:tc>
        <w:tc>
          <w:tcPr>
            <w:tcW w:w="1638"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Kamstra, Kramer and Levi (2003b)</w:t>
            </w:r>
          </w:p>
        </w:tc>
        <w:tc>
          <w:tcPr>
            <w:tcW w:w="144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1941 – 2001</w:t>
            </w:r>
            <w:r w:rsidRPr="00E74080">
              <w:rPr>
                <w:rStyle w:val="FootnoteReference"/>
                <w:rFonts w:ascii="Times New Roman" w:hAnsi="Times New Roman" w:cs="Times New Roman"/>
                <w:sz w:val="20"/>
                <w:szCs w:val="20"/>
              </w:rPr>
              <w:footnoteReference w:id="65"/>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1962 – 2001</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1992 - 2002</w:t>
            </w:r>
          </w:p>
        </w:tc>
        <w:tc>
          <w:tcPr>
            <w:tcW w:w="160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 CRSP 1-10Y TR indexes</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 CRSP decile returns</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 CRSP mutual funds database</w:t>
            </w:r>
          </w:p>
        </w:tc>
        <w:tc>
          <w:tcPr>
            <w:tcW w:w="1663" w:type="dxa"/>
            <w:vMerge/>
          </w:tcPr>
          <w:p w:rsidR="00E74080" w:rsidRPr="00E74080" w:rsidRDefault="00E74080" w:rsidP="00482160">
            <w:pPr>
              <w:jc w:val="both"/>
              <w:cnfStyle w:val="000000100000"/>
              <w:rPr>
                <w:rFonts w:ascii="Times New Roman" w:hAnsi="Times New Roman" w:cs="Times New Roman"/>
                <w:sz w:val="20"/>
                <w:szCs w:val="20"/>
              </w:rPr>
            </w:pPr>
          </w:p>
        </w:tc>
        <w:tc>
          <w:tcPr>
            <w:tcW w:w="2714" w:type="dxa"/>
            <w:vMerge/>
          </w:tcPr>
          <w:p w:rsidR="00E74080" w:rsidRPr="00E74080" w:rsidRDefault="00E74080" w:rsidP="00482160">
            <w:pPr>
              <w:jc w:val="both"/>
              <w:cnfStyle w:val="000000100000"/>
              <w:rPr>
                <w:rFonts w:ascii="Times New Roman" w:hAnsi="Times New Roman" w:cs="Times New Roman"/>
                <w:sz w:val="20"/>
                <w:szCs w:val="20"/>
              </w:rPr>
            </w:pPr>
          </w:p>
        </w:tc>
        <w:tc>
          <w:tcPr>
            <w:tcW w:w="1414" w:type="dxa"/>
            <w:vMerge/>
          </w:tcPr>
          <w:p w:rsidR="00E74080" w:rsidRPr="00E74080" w:rsidRDefault="00E74080" w:rsidP="00482160">
            <w:pPr>
              <w:jc w:val="both"/>
              <w:cnfStyle w:val="000000100000"/>
              <w:rPr>
                <w:rFonts w:ascii="Times New Roman" w:hAnsi="Times New Roman" w:cs="Times New Roman"/>
                <w:sz w:val="20"/>
                <w:szCs w:val="20"/>
              </w:rPr>
            </w:pPr>
          </w:p>
        </w:tc>
        <w:tc>
          <w:tcPr>
            <w:tcW w:w="254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The magnitude of SAD effect increases with the risk of stocks.</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Equity mutual funds flows are below average in the fall and rose at the beginning of the year.</w:t>
            </w:r>
          </w:p>
        </w:tc>
        <w:tc>
          <w:tcPr>
            <w:tcW w:w="198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Investors’ risk aversion drives up returns in fall and decrease returns in the winter</w:t>
            </w:r>
            <w:r w:rsidRPr="00E74080">
              <w:rPr>
                <w:rStyle w:val="FootnoteReference"/>
                <w:rFonts w:ascii="Times New Roman" w:hAnsi="Times New Roman" w:cs="Times New Roman"/>
                <w:sz w:val="20"/>
                <w:szCs w:val="20"/>
              </w:rPr>
              <w:footnoteReference w:id="66"/>
            </w:r>
            <w:r w:rsidRPr="00E74080">
              <w:rPr>
                <w:rFonts w:ascii="Times New Roman" w:hAnsi="Times New Roman" w:cs="Times New Roman"/>
                <w:sz w:val="20"/>
                <w:szCs w:val="20"/>
              </w:rPr>
              <w:t xml:space="preserve"> as the day lengthens. </w:t>
            </w:r>
          </w:p>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 xml:space="preserve">Bond mutual funds flows outperform in fall compared to winter.  </w:t>
            </w:r>
          </w:p>
        </w:tc>
      </w:tr>
      <w:tr w:rsidR="00E74080" w:rsidRPr="00E74080" w:rsidTr="00E74080">
        <w:trPr>
          <w:trHeight w:val="33"/>
        </w:trPr>
        <w:tc>
          <w:tcPr>
            <w:cnfStyle w:val="001000000000"/>
            <w:tcW w:w="611"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15.</w:t>
            </w:r>
          </w:p>
        </w:tc>
        <w:tc>
          <w:tcPr>
            <w:tcW w:w="1638"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Shigeki, Takashi, Katsuhiko (2011)</w:t>
            </w:r>
          </w:p>
        </w:tc>
        <w:tc>
          <w:tcPr>
            <w:tcW w:w="144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1950 - 2008</w:t>
            </w:r>
          </w:p>
        </w:tc>
        <w:tc>
          <w:tcPr>
            <w:tcW w:w="160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JP/Nikkei 225, TOPIX </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“Dekansho-bushi effect”</w:t>
            </w:r>
          </w:p>
        </w:tc>
        <w:tc>
          <w:tcPr>
            <w:tcW w:w="27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The “fresh start” feeling related to the new year (“Oshogatsu”), fiscal year and spring lift the optimism of the investors until June. </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254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The first half of the year (January-June) outperforms the latter (July-December).</w:t>
            </w:r>
          </w:p>
        </w:tc>
        <w:tc>
          <w:tcPr>
            <w:tcW w:w="198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Superior returns for bonds in the second half of the year compared to the first one.</w:t>
            </w:r>
          </w:p>
        </w:tc>
      </w:tr>
    </w:tbl>
    <w:p w:rsidR="002211A5" w:rsidRPr="00DB60A9" w:rsidRDefault="002211A5" w:rsidP="002211A5">
      <w:pPr>
        <w:rPr>
          <w:rFonts w:ascii="Times New Roman" w:hAnsi="Times New Roman" w:cs="Times New Roman"/>
        </w:rPr>
      </w:pPr>
    </w:p>
    <w:p w:rsidR="002211A5" w:rsidRDefault="002211A5" w:rsidP="002211A5">
      <w:pPr>
        <w:rPr>
          <w:rFonts w:ascii="Times New Roman" w:hAnsi="Times New Roman" w:cs="Times New Roman"/>
          <w:b/>
        </w:rPr>
      </w:pPr>
    </w:p>
    <w:p w:rsidR="00E74080" w:rsidRDefault="00E74080" w:rsidP="002211A5">
      <w:pPr>
        <w:rPr>
          <w:rFonts w:ascii="Times New Roman" w:hAnsi="Times New Roman" w:cs="Times New Roman"/>
          <w:b/>
        </w:rPr>
      </w:pPr>
    </w:p>
    <w:p w:rsidR="00E74080" w:rsidRDefault="00E74080" w:rsidP="002211A5">
      <w:pPr>
        <w:rPr>
          <w:rFonts w:ascii="Times New Roman" w:hAnsi="Times New Roman" w:cs="Times New Roman"/>
          <w:b/>
        </w:rPr>
      </w:pPr>
    </w:p>
    <w:p w:rsidR="002211A5" w:rsidRPr="00E74080" w:rsidRDefault="002211A5" w:rsidP="002211A5">
      <w:pPr>
        <w:rPr>
          <w:rFonts w:ascii="Times New Roman" w:hAnsi="Times New Roman" w:cs="Times New Roman"/>
        </w:rPr>
      </w:pPr>
      <w:r w:rsidRPr="00E74080">
        <w:rPr>
          <w:rFonts w:ascii="Times New Roman" w:hAnsi="Times New Roman" w:cs="Times New Roman"/>
        </w:rPr>
        <w:lastRenderedPageBreak/>
        <w:t xml:space="preserve">Table </w:t>
      </w:r>
      <w:r w:rsidR="00E74080" w:rsidRPr="00E74080">
        <w:rPr>
          <w:rFonts w:ascii="Times New Roman" w:hAnsi="Times New Roman" w:cs="Times New Roman"/>
        </w:rPr>
        <w:t>B.</w:t>
      </w:r>
      <w:r w:rsidRPr="00E74080">
        <w:rPr>
          <w:rFonts w:ascii="Times New Roman" w:hAnsi="Times New Roman" w:cs="Times New Roman"/>
        </w:rPr>
        <w:t>2: Explanations for seasonality of fixed income instruments</w:t>
      </w:r>
    </w:p>
    <w:tbl>
      <w:tblPr>
        <w:tblStyle w:val="LightList"/>
        <w:tblW w:w="0" w:type="auto"/>
        <w:tblLook w:val="04A0"/>
      </w:tblPr>
      <w:tblGrid>
        <w:gridCol w:w="533"/>
        <w:gridCol w:w="1592"/>
        <w:gridCol w:w="1166"/>
        <w:gridCol w:w="1762"/>
        <w:gridCol w:w="1587"/>
        <w:gridCol w:w="2498"/>
        <w:gridCol w:w="1390"/>
        <w:gridCol w:w="4088"/>
      </w:tblGrid>
      <w:tr w:rsidR="00E74080" w:rsidRPr="00E74080" w:rsidTr="00E74080">
        <w:trPr>
          <w:cnfStyle w:val="100000000000"/>
          <w:trHeight w:val="33"/>
        </w:trPr>
        <w:tc>
          <w:tcPr>
            <w:cnfStyle w:val="001000000000"/>
            <w:tcW w:w="538" w:type="dxa"/>
            <w:shd w:val="clear" w:color="auto" w:fill="auto"/>
          </w:tcPr>
          <w:p w:rsidR="00E74080" w:rsidRPr="00E74080" w:rsidRDefault="00E74080" w:rsidP="00482160">
            <w:pPr>
              <w:rPr>
                <w:rFonts w:ascii="Times New Roman" w:hAnsi="Times New Roman" w:cs="Times New Roman"/>
                <w:b w:val="0"/>
                <w:color w:val="auto"/>
                <w:sz w:val="20"/>
                <w:szCs w:val="20"/>
              </w:rPr>
            </w:pPr>
            <w:r w:rsidRPr="00E74080">
              <w:rPr>
                <w:rFonts w:ascii="Times New Roman" w:hAnsi="Times New Roman" w:cs="Times New Roman"/>
                <w:color w:val="auto"/>
                <w:sz w:val="20"/>
                <w:szCs w:val="20"/>
              </w:rPr>
              <w:t>No.</w:t>
            </w:r>
          </w:p>
        </w:tc>
        <w:tc>
          <w:tcPr>
            <w:tcW w:w="1640"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Empirical studies</w:t>
            </w:r>
          </w:p>
        </w:tc>
        <w:tc>
          <w:tcPr>
            <w:tcW w:w="1235"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Data period used</w:t>
            </w:r>
          </w:p>
        </w:tc>
        <w:tc>
          <w:tcPr>
            <w:tcW w:w="1811"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Country/Index</w:t>
            </w:r>
          </w:p>
        </w:tc>
        <w:tc>
          <w:tcPr>
            <w:tcW w:w="1663"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Reason given for seasonality</w:t>
            </w:r>
          </w:p>
        </w:tc>
        <w:tc>
          <w:tcPr>
            <w:tcW w:w="2719"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Description</w:t>
            </w:r>
          </w:p>
        </w:tc>
        <w:tc>
          <w:tcPr>
            <w:tcW w:w="1414"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Agents</w:t>
            </w:r>
          </w:p>
        </w:tc>
        <w:tc>
          <w:tcPr>
            <w:tcW w:w="4539" w:type="dxa"/>
            <w:shd w:val="clear" w:color="auto" w:fill="auto"/>
          </w:tcPr>
          <w:p w:rsidR="00E74080" w:rsidRPr="00E74080" w:rsidRDefault="00E74080" w:rsidP="00482160">
            <w:pPr>
              <w:cnfStyle w:val="100000000000"/>
              <w:rPr>
                <w:rFonts w:ascii="Times New Roman" w:hAnsi="Times New Roman" w:cs="Times New Roman"/>
                <w:b w:val="0"/>
                <w:color w:val="auto"/>
                <w:sz w:val="20"/>
                <w:szCs w:val="20"/>
              </w:rPr>
            </w:pPr>
            <w:r w:rsidRPr="00E74080">
              <w:rPr>
                <w:rFonts w:ascii="Times New Roman" w:hAnsi="Times New Roman" w:cs="Times New Roman"/>
                <w:color w:val="auto"/>
                <w:sz w:val="20"/>
                <w:szCs w:val="20"/>
              </w:rPr>
              <w:t>Seasonal pattern for bonds</w:t>
            </w:r>
          </w:p>
        </w:tc>
      </w:tr>
      <w:tr w:rsidR="00E74080" w:rsidRPr="00E74080" w:rsidTr="00E74080">
        <w:trPr>
          <w:cnfStyle w:val="000000100000"/>
          <w:trHeight w:val="33"/>
        </w:trPr>
        <w:tc>
          <w:tcPr>
            <w:cnfStyle w:val="001000000000"/>
            <w:tcW w:w="538"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1.</w:t>
            </w:r>
          </w:p>
        </w:tc>
        <w:tc>
          <w:tcPr>
            <w:tcW w:w="164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Clayton, Delozier and Ehrhardt (1989)</w:t>
            </w:r>
          </w:p>
        </w:tc>
        <w:tc>
          <w:tcPr>
            <w:tcW w:w="1235"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1966 - 1985</w:t>
            </w:r>
          </w:p>
        </w:tc>
        <w:tc>
          <w:tcPr>
            <w:tcW w:w="181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US/CRSP</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Parking the proceeds hypothesis</w:t>
            </w:r>
          </w:p>
        </w:tc>
        <w:tc>
          <w:tcPr>
            <w:tcW w:w="271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When investors sell their stocks in December, they put their proceeds into bonds.</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453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The price of bonds faces upside pressure in December and downward pressure in January. Impact visible for long-term bonds as it is a less liquid market.</w:t>
            </w:r>
          </w:p>
        </w:tc>
      </w:tr>
      <w:tr w:rsidR="00E74080" w:rsidRPr="00E74080" w:rsidTr="00E74080">
        <w:trPr>
          <w:trHeight w:val="33"/>
        </w:trPr>
        <w:tc>
          <w:tcPr>
            <w:cnfStyle w:val="001000000000"/>
            <w:tcW w:w="538"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2.</w:t>
            </w:r>
          </w:p>
        </w:tc>
        <w:tc>
          <w:tcPr>
            <w:tcW w:w="164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Athanassakos (2006)</w:t>
            </w:r>
          </w:p>
        </w:tc>
        <w:tc>
          <w:tcPr>
            <w:tcW w:w="1235"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1957 - 2003</w:t>
            </w:r>
          </w:p>
        </w:tc>
        <w:tc>
          <w:tcPr>
            <w:tcW w:w="181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CA</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Agency problems, “window-dressing”, portfolio rebalancing</w:t>
            </w:r>
          </w:p>
        </w:tc>
        <w:tc>
          <w:tcPr>
            <w:tcW w:w="271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 xml:space="preserve">The annual portfolio disclosure cycle and the one of performance evaluation of portfolio managers put upside pressure on risk assets price at the beginning of the year and on safe assets towards the end of the year respectively. </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Institutional investors</w:t>
            </w:r>
          </w:p>
        </w:tc>
        <w:tc>
          <w:tcPr>
            <w:tcW w:w="453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Complementary bond-stock seasonal patterns: the returns of bonds are higher in the May-October period than the November-April period, while the opposite holds for stocks.</w:t>
            </w:r>
          </w:p>
        </w:tc>
      </w:tr>
      <w:tr w:rsidR="00E74080" w:rsidRPr="00E74080" w:rsidTr="00E74080">
        <w:trPr>
          <w:cnfStyle w:val="000000100000"/>
          <w:trHeight w:val="33"/>
        </w:trPr>
        <w:tc>
          <w:tcPr>
            <w:cnfStyle w:val="001000000000"/>
            <w:tcW w:w="538"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3.</w:t>
            </w:r>
          </w:p>
        </w:tc>
        <w:tc>
          <w:tcPr>
            <w:tcW w:w="1640"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Matsui (2011)</w:t>
            </w:r>
          </w:p>
        </w:tc>
        <w:tc>
          <w:tcPr>
            <w:tcW w:w="1235"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1995 - 2005</w:t>
            </w:r>
          </w:p>
        </w:tc>
        <w:tc>
          <w:tcPr>
            <w:tcW w:w="1811"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JP/secondary market data</w:t>
            </w:r>
          </w:p>
        </w:tc>
        <w:tc>
          <w:tcPr>
            <w:tcW w:w="1663"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Tax-loss selling, “window-dressing”</w:t>
            </w:r>
          </w:p>
        </w:tc>
        <w:tc>
          <w:tcPr>
            <w:tcW w:w="271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Risky Japanese corporate bonds face upside pressure starting with April as the accounting year starts (“window-dressing”), while the end of tax year in December puts downward pressure on these assets (tax-loss selling).</w:t>
            </w:r>
          </w:p>
        </w:tc>
        <w:tc>
          <w:tcPr>
            <w:tcW w:w="1414"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Individuals (Tax-loss selling), institutionals (“window-dressing”)</w:t>
            </w:r>
          </w:p>
        </w:tc>
        <w:tc>
          <w:tcPr>
            <w:tcW w:w="4539" w:type="dxa"/>
          </w:tcPr>
          <w:p w:rsidR="00E74080" w:rsidRPr="00E74080" w:rsidRDefault="00E74080" w:rsidP="00482160">
            <w:pPr>
              <w:jc w:val="both"/>
              <w:cnfStyle w:val="000000100000"/>
              <w:rPr>
                <w:rFonts w:ascii="Times New Roman" w:hAnsi="Times New Roman" w:cs="Times New Roman"/>
                <w:sz w:val="20"/>
                <w:szCs w:val="20"/>
              </w:rPr>
            </w:pPr>
            <w:r w:rsidRPr="00E74080">
              <w:rPr>
                <w:rFonts w:ascii="Times New Roman" w:hAnsi="Times New Roman" w:cs="Times New Roman"/>
                <w:sz w:val="20"/>
                <w:szCs w:val="20"/>
              </w:rPr>
              <w:t xml:space="preserve">The end of the accounting year in December or March explains a wider spread of Japanese corporate bonds above the Nikkei government bond index from September to December compared to April - August period. </w:t>
            </w:r>
          </w:p>
        </w:tc>
      </w:tr>
      <w:tr w:rsidR="00E74080" w:rsidRPr="00E74080" w:rsidTr="00E74080">
        <w:trPr>
          <w:trHeight w:val="33"/>
        </w:trPr>
        <w:tc>
          <w:tcPr>
            <w:cnfStyle w:val="001000000000"/>
            <w:tcW w:w="538" w:type="dxa"/>
          </w:tcPr>
          <w:p w:rsidR="00E74080" w:rsidRPr="00E74080" w:rsidRDefault="00E74080" w:rsidP="00482160">
            <w:pPr>
              <w:jc w:val="both"/>
              <w:rPr>
                <w:rFonts w:ascii="Times New Roman" w:hAnsi="Times New Roman" w:cs="Times New Roman"/>
                <w:sz w:val="20"/>
                <w:szCs w:val="20"/>
              </w:rPr>
            </w:pPr>
            <w:r w:rsidRPr="00E74080">
              <w:rPr>
                <w:rFonts w:ascii="Times New Roman" w:hAnsi="Times New Roman" w:cs="Times New Roman"/>
                <w:sz w:val="20"/>
                <w:szCs w:val="20"/>
              </w:rPr>
              <w:t>4.</w:t>
            </w:r>
          </w:p>
        </w:tc>
        <w:tc>
          <w:tcPr>
            <w:tcW w:w="1640"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Kamstra, Kramer and Levi (2014)</w:t>
            </w:r>
          </w:p>
        </w:tc>
        <w:tc>
          <w:tcPr>
            <w:tcW w:w="1235"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1952 - 2007</w:t>
            </w:r>
          </w:p>
        </w:tc>
        <w:tc>
          <w:tcPr>
            <w:tcW w:w="1811"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US/CRSP TR indices</w:t>
            </w:r>
          </w:p>
        </w:tc>
        <w:tc>
          <w:tcPr>
            <w:tcW w:w="1663"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Seasonal Affective Disorder (SAD)</w:t>
            </w:r>
          </w:p>
        </w:tc>
        <w:tc>
          <w:tcPr>
            <w:tcW w:w="271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The increased risk aversion during fall leads to higher bond returns and once the day becomes longer, the returns of bonds are likely to be below average.</w:t>
            </w:r>
          </w:p>
        </w:tc>
        <w:tc>
          <w:tcPr>
            <w:tcW w:w="1414"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Individuals</w:t>
            </w:r>
          </w:p>
        </w:tc>
        <w:tc>
          <w:tcPr>
            <w:tcW w:w="4539" w:type="dxa"/>
          </w:tcPr>
          <w:p w:rsidR="00E74080" w:rsidRPr="00E74080" w:rsidRDefault="00E74080" w:rsidP="00482160">
            <w:pPr>
              <w:jc w:val="both"/>
              <w:cnfStyle w:val="000000000000"/>
              <w:rPr>
                <w:rFonts w:ascii="Times New Roman" w:hAnsi="Times New Roman" w:cs="Times New Roman"/>
                <w:sz w:val="20"/>
                <w:szCs w:val="20"/>
              </w:rPr>
            </w:pPr>
            <w:r w:rsidRPr="00E74080">
              <w:rPr>
                <w:rFonts w:ascii="Times New Roman" w:hAnsi="Times New Roman" w:cs="Times New Roman"/>
                <w:sz w:val="20"/>
                <w:szCs w:val="20"/>
              </w:rPr>
              <w:t>Bond returns from October-December outperform those from January-March.</w:t>
            </w:r>
          </w:p>
        </w:tc>
      </w:tr>
    </w:tbl>
    <w:p w:rsidR="00A95985" w:rsidRPr="00A95985" w:rsidRDefault="00A95985" w:rsidP="00A95985"/>
    <w:sectPr w:rsidR="00A95985" w:rsidRPr="00A95985" w:rsidSect="00E74080">
      <w:pgSz w:w="15840" w:h="12240" w:orient="landscape"/>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319AD" w:rsidRDefault="00E319AD" w:rsidP="00FB67CD">
      <w:pPr>
        <w:spacing w:after="0" w:line="240" w:lineRule="auto"/>
      </w:pPr>
      <w:r>
        <w:separator/>
      </w:r>
    </w:p>
  </w:endnote>
  <w:endnote w:type="continuationSeparator" w:id="0">
    <w:p w:rsidR="00E319AD" w:rsidRDefault="00E319AD" w:rsidP="00FB67C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156918"/>
      <w:docPartObj>
        <w:docPartGallery w:val="Page Numbers (Bottom of Page)"/>
        <w:docPartUnique/>
      </w:docPartObj>
    </w:sdtPr>
    <w:sdtContent>
      <w:p w:rsidR="00E319AD" w:rsidRDefault="004C40A2">
        <w:pPr>
          <w:pStyle w:val="Footer"/>
          <w:jc w:val="center"/>
        </w:pPr>
        <w:r>
          <w:fldChar w:fldCharType="begin"/>
        </w:r>
        <w:r w:rsidR="00E319AD">
          <w:instrText xml:space="preserve"> PAGE   \* MERGEFORMAT </w:instrText>
        </w:r>
        <w:r>
          <w:fldChar w:fldCharType="separate"/>
        </w:r>
        <w:r w:rsidR="00A06DD0">
          <w:rPr>
            <w:noProof/>
          </w:rPr>
          <w:t>89</w:t>
        </w:r>
        <w:r>
          <w:rPr>
            <w:noProof/>
          </w:rPr>
          <w:fldChar w:fldCharType="end"/>
        </w:r>
      </w:p>
    </w:sdtContent>
  </w:sdt>
  <w:p w:rsidR="00E319AD" w:rsidRDefault="00E319A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319AD" w:rsidRDefault="00E319AD" w:rsidP="00FB67CD">
      <w:pPr>
        <w:spacing w:after="0" w:line="240" w:lineRule="auto"/>
      </w:pPr>
      <w:r>
        <w:separator/>
      </w:r>
    </w:p>
  </w:footnote>
  <w:footnote w:type="continuationSeparator" w:id="0">
    <w:p w:rsidR="00E319AD" w:rsidRDefault="00E319AD" w:rsidP="00FB67CD">
      <w:pPr>
        <w:spacing w:after="0" w:line="240" w:lineRule="auto"/>
      </w:pPr>
      <w:r>
        <w:continuationSeparator/>
      </w:r>
    </w:p>
  </w:footnote>
  <w:footnote w:id="1">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This thesis was written as a part of the Super-Quant Internship Program at Robeco Asset Management, Rotterdam, The Netherlands</w:t>
      </w:r>
    </w:p>
  </w:footnote>
  <w:footnote w:id="2">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first month of the year exhibits relatively higher stock returns compared to the others.</w:t>
      </w:r>
    </w:p>
  </w:footnote>
  <w:footnote w:id="3">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Higher returns in stock markets during the November – April period compared with the rest of the year.</w:t>
      </w:r>
    </w:p>
  </w:footnote>
  <w:footnote w:id="4">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This is consistent with lower stock returns in the fall as the risk appetite of the investors is affected by less daylight and relatively higher returns in the winter as the day becomes longer and the risk appetite of the investors recovers.</w:t>
      </w:r>
    </w:p>
  </w:footnote>
  <w:footnote w:id="5">
    <w:p w:rsidR="00E319AD" w:rsidRPr="00920046" w:rsidRDefault="00E319AD">
      <w:pPr>
        <w:pStyle w:val="FootnoteText"/>
        <w:rPr>
          <w:rFonts w:ascii="Times New Roman" w:hAnsi="Times New Roman" w:cs="Times New Roman"/>
          <w:sz w:val="18"/>
          <w:szCs w:val="18"/>
        </w:rPr>
      </w:pPr>
      <w:r w:rsidRPr="00920046">
        <w:rPr>
          <w:rStyle w:val="FootnoteReference"/>
          <w:rFonts w:ascii="Times New Roman" w:hAnsi="Times New Roman" w:cs="Times New Roman"/>
          <w:sz w:val="18"/>
          <w:szCs w:val="18"/>
        </w:rPr>
        <w:footnoteRef/>
      </w:r>
      <w:r w:rsidRPr="00920046">
        <w:rPr>
          <w:rFonts w:ascii="Times New Roman" w:hAnsi="Times New Roman" w:cs="Times New Roman"/>
          <w:sz w:val="18"/>
          <w:szCs w:val="18"/>
        </w:rPr>
        <w:t xml:space="preserve"> According to </w:t>
      </w:r>
      <w:r>
        <w:rPr>
          <w:rFonts w:ascii="Times New Roman" w:hAnsi="Times New Roman" w:cs="Times New Roman"/>
          <w:sz w:val="18"/>
          <w:szCs w:val="18"/>
        </w:rPr>
        <w:t>McKinsey Global Institute, Haver and Bank for International Settlements statistics.</w:t>
      </w:r>
    </w:p>
  </w:footnote>
  <w:footnote w:id="6">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current study focuses on the seasonal pattern at monthly level across the calendar year. Therefore, daily and weekly dynamics are out of the scope of this research and the study will report lower frequency patterns from stock and fixed income markets.</w:t>
      </w:r>
    </w:p>
  </w:footnote>
  <w:footnote w:id="7">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I consider investor sentiment proxies (consumer survey and implied volatility for stock options) and an index to gauge economic data surprises (Citi Economic Surprise Index – CESI).</w:t>
      </w:r>
    </w:p>
  </w:footnote>
  <w:footnote w:id="8">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He also contends that the beginning of the year is characterized by the strength of equities, while government bond returns perform relatively better in the second part of the year.</w:t>
      </w:r>
    </w:p>
  </w:footnote>
  <w:footnote w:id="9">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SAD effect has received criticism in the literature. Jacobsen and Marquering (2008, 2009) and Kelly and Meschke (2010) argue that the correlation between the SAD factor and stock market dynamics cannot be considered a relation of causality. Jacobsen and Marquering (2008, 2009) point out that the influence of SAD on stock returns “could just be data-driven inference based on spurious correlations” and cast doubt on the noisiness of the data used, the robustness of the implemented tests and the weakness of the link between depression and risk aversion. Kelly and Meschke (2010) use as arguments the misinterpretation of the psychological literature and the misspecification of the model (the use of an overlapping dummy variable). They show that the magnitude of SAD impact is not linked to the distance from equator (contrary to the Kamstra, Kramer and Levi (2003) finding).    </w:t>
      </w:r>
    </w:p>
    <w:p w:rsidR="00E319AD" w:rsidRPr="00923BDC" w:rsidRDefault="00E319AD" w:rsidP="00923BDC">
      <w:pPr>
        <w:pStyle w:val="FootnoteText"/>
        <w:jc w:val="both"/>
        <w:rPr>
          <w:rFonts w:ascii="Times New Roman" w:hAnsi="Times New Roman" w:cs="Times New Roman"/>
          <w:sz w:val="18"/>
          <w:szCs w:val="18"/>
        </w:rPr>
      </w:pPr>
      <w:r w:rsidRPr="00923BDC">
        <w:rPr>
          <w:rFonts w:ascii="Times New Roman" w:hAnsi="Times New Roman" w:cs="Times New Roman"/>
          <w:sz w:val="18"/>
          <w:szCs w:val="18"/>
        </w:rPr>
        <w:t xml:space="preserve">The SAD effect does not manage to capture a different pattern in the stock markets of the Southern Hemisphere from those of the Northern Hemisphere (the latter is shown by Jacobsen and Marquering (2008)). </w:t>
      </w:r>
      <w:r w:rsidRPr="00923BDC">
        <w:rPr>
          <w:rFonts w:ascii="Times New Roman" w:hAnsi="Times New Roman" w:cs="Times New Roman"/>
          <w:sz w:val="18"/>
          <w:szCs w:val="18"/>
        </w:rPr>
        <w:tab/>
      </w:r>
    </w:p>
    <w:p w:rsidR="00E319AD" w:rsidRPr="00923BDC" w:rsidRDefault="00E319AD" w:rsidP="00923BDC">
      <w:pPr>
        <w:pStyle w:val="FootnoteText"/>
        <w:jc w:val="both"/>
        <w:rPr>
          <w:rFonts w:ascii="Times New Roman" w:hAnsi="Times New Roman" w:cs="Times New Roman"/>
          <w:sz w:val="18"/>
          <w:szCs w:val="18"/>
        </w:rPr>
      </w:pPr>
      <w:r w:rsidRPr="00923BDC">
        <w:rPr>
          <w:rFonts w:ascii="Times New Roman" w:hAnsi="Times New Roman" w:cs="Times New Roman"/>
          <w:sz w:val="18"/>
          <w:szCs w:val="18"/>
        </w:rPr>
        <w:t>Doeswijk (2008) argue that both hypotheses are subjected to data mining as they imply a cyclical pattern which is known in advance to mirror the seasonal pattern of equities.</w:t>
      </w:r>
    </w:p>
  </w:footnote>
  <w:footnote w:id="10">
    <w:p w:rsidR="00E319AD" w:rsidRPr="00923BDC" w:rsidRDefault="00E319AD" w:rsidP="00923BDC">
      <w:pPr>
        <w:pStyle w:val="FootnoteText"/>
        <w:jc w:val="both"/>
        <w:rPr>
          <w:rStyle w:val="FootnoteReference"/>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Style w:val="FootnoteReference"/>
          <w:rFonts w:ascii="Times New Roman" w:hAnsi="Times New Roman" w:cs="Times New Roman"/>
          <w:sz w:val="18"/>
          <w:szCs w:val="18"/>
          <w:vertAlign w:val="baseline"/>
        </w:rPr>
        <w:t>Ilmanen</w:t>
      </w:r>
      <w:r>
        <w:rPr>
          <w:rFonts w:ascii="Times New Roman" w:hAnsi="Times New Roman" w:cs="Times New Roman"/>
          <w:sz w:val="18"/>
          <w:szCs w:val="18"/>
        </w:rPr>
        <w:t xml:space="preserve"> </w:t>
      </w:r>
      <w:r w:rsidRPr="00923BDC">
        <w:rPr>
          <w:rStyle w:val="FootnoteReference"/>
          <w:rFonts w:ascii="Times New Roman" w:hAnsi="Times New Roman" w:cs="Times New Roman"/>
          <w:sz w:val="18"/>
          <w:szCs w:val="18"/>
          <w:vertAlign w:val="baseline"/>
        </w:rPr>
        <w:t xml:space="preserve">(2011) also mentions such a complementary pattern: bond returns during autumn outperform those </w:t>
      </w:r>
      <w:r w:rsidRPr="00923BDC">
        <w:rPr>
          <w:rFonts w:ascii="Times New Roman" w:hAnsi="Times New Roman" w:cs="Times New Roman"/>
          <w:sz w:val="18"/>
          <w:szCs w:val="18"/>
        </w:rPr>
        <w:t xml:space="preserve">recorded </w:t>
      </w:r>
      <w:r w:rsidRPr="00923BDC">
        <w:rPr>
          <w:rStyle w:val="FootnoteReference"/>
          <w:rFonts w:ascii="Times New Roman" w:hAnsi="Times New Roman" w:cs="Times New Roman"/>
          <w:sz w:val="18"/>
          <w:szCs w:val="18"/>
          <w:vertAlign w:val="baseline"/>
        </w:rPr>
        <w:t>at the beginning of the year, while stocks record an opposite pattern</w:t>
      </w:r>
      <w:r w:rsidRPr="001E3E3C">
        <w:rPr>
          <w:rStyle w:val="FootnoteReference"/>
          <w:rFonts w:ascii="Times New Roman" w:hAnsi="Times New Roman" w:cs="Times New Roman"/>
          <w:sz w:val="18"/>
          <w:szCs w:val="18"/>
          <w:vertAlign w:val="baseline"/>
        </w:rPr>
        <w:t>.</w:t>
      </w:r>
    </w:p>
  </w:footnote>
  <w:footnote w:id="11">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measure used for the patients actively suffering from SAD is the difference between those patients who started experienced the SAD symptoms and those who have recovered from the symptoms.</w:t>
      </w:r>
    </w:p>
  </w:footnote>
  <w:footnote w:id="12">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More details about the construction of this variable can be found in Section 2.1 of the KKL(2014) paper. Data can be downloaded from: </w:t>
      </w:r>
      <w:hyperlink r:id="rId1" w:history="1">
        <w:r w:rsidRPr="00923BDC">
          <w:rPr>
            <w:rStyle w:val="Hyperlink"/>
            <w:rFonts w:ascii="Times New Roman" w:hAnsi="Times New Roman" w:cs="Times New Roman"/>
            <w:sz w:val="18"/>
            <w:szCs w:val="18"/>
          </w:rPr>
          <w:t>http://www.markkamstra.com/data.html</w:t>
        </w:r>
      </w:hyperlink>
      <w:r w:rsidRPr="00923BDC">
        <w:rPr>
          <w:rFonts w:ascii="Times New Roman" w:hAnsi="Times New Roman" w:cs="Times New Roman"/>
          <w:sz w:val="18"/>
          <w:szCs w:val="18"/>
        </w:rPr>
        <w:t>.</w:t>
      </w:r>
    </w:p>
  </w:footnote>
  <w:footnote w:id="13">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Appendix B provides a complete overview of the explanations put forward for equities and fixed income instruments.</w:t>
      </w:r>
    </w:p>
  </w:footnote>
  <w:footnote w:id="14">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January for U.S., the first month of the Chinese year for stocks from China.</w:t>
      </w:r>
    </w:p>
  </w:footnote>
  <w:footnote w:id="15">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Expectations of good economic conditions favour stocks, while expectations of an economic slowdown increase the attractiveness of bonds as they offer stable cash-flows.</w:t>
      </w:r>
    </w:p>
  </w:footnote>
  <w:footnote w:id="16">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This is a variation of the Fisher Hypothesis.</w:t>
      </w:r>
    </w:p>
  </w:footnote>
  <w:footnote w:id="17">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seasonality patterns of sub-components can differ from one country to another due to the characteristic of the economy which determines the imported goods, consumer preferences or the level of development which influences the weights of the products assigned in the consumer basket.</w:t>
      </w:r>
    </w:p>
  </w:footnote>
  <w:footnote w:id="18">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hyperlink r:id="rId2" w:history="1">
        <w:r w:rsidRPr="00923BDC">
          <w:rPr>
            <w:rStyle w:val="Hyperlink"/>
            <w:rFonts w:ascii="Times New Roman" w:hAnsi="Times New Roman" w:cs="Times New Roman"/>
            <w:sz w:val="18"/>
            <w:szCs w:val="18"/>
          </w:rPr>
          <w:t>http://www.bls.gov/cpi/cpisaqanda.htm</w:t>
        </w:r>
      </w:hyperlink>
    </w:p>
  </w:footnote>
  <w:footnote w:id="19">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Germany is chosen as being representative for the European markets. Other European markets (e.g. France, Italy, Spain) are not considered to avoid the impact of specific events over time (e.g. European Union convergence (1993) or European Sovereign Debt Crisis (2009-2013)).</w:t>
      </w:r>
    </w:p>
  </w:footnote>
  <w:footnote w:id="20">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To my knowledge, only the study of Smith (2002) uses international government data and considers the same number of bond markets. Five of them coincide with those of the current study, while Australia is replaced by France.</w:t>
      </w:r>
    </w:p>
  </w:footnote>
  <w:footnote w:id="21">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LIBOR rates are considered. When LIBOR rates are not available, an alternative three-month Eurocurrency interest rate is used. Given that there is not a long history on LIBOR rates, for the US analysis I use T-bill rates for the period 1952-2013. The use of interbank money market rates for the main analysis is based on the fact that investors cannot borrow against T-bill rates. </w:t>
      </w:r>
    </w:p>
  </w:footnote>
  <w:footnote w:id="22">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This public short sample was chosen given concerns that the analysis cannot be replicated in the prospect of publishing the empirical study in an academic journal. The main analysis is based on Datastream Data, while results reported in Section 4.5 rely on a longer sample. This longer data set comprises broker data for 1975-1979, Datastream indices for 1980-1985 and JP Morgan indices for 1986-2013. </w:t>
      </w:r>
    </w:p>
  </w:footnote>
  <w:footnote w:id="23">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For more details see Swinkels (2012).</w:t>
      </w:r>
    </w:p>
  </w:footnote>
  <w:footnote w:id="24">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 commonly employed diversification strategy in portfolio management is the combination of stocks and government bonds. This strategy has been advocated on the basis of the low – and sometimes negative – correlation often observed between these financial assets: Gulko (2002), Yang, Zhou and Wang (2009), Baur and Lucey (20</w:t>
      </w:r>
      <w:r>
        <w:rPr>
          <w:rFonts w:ascii="Times New Roman" w:hAnsi="Times New Roman" w:cs="Times New Roman"/>
          <w:sz w:val="18"/>
          <w:szCs w:val="18"/>
        </w:rPr>
        <w:t>10</w:t>
      </w:r>
      <w:r w:rsidRPr="00923BDC">
        <w:rPr>
          <w:rFonts w:ascii="Times New Roman" w:hAnsi="Times New Roman" w:cs="Times New Roman"/>
          <w:sz w:val="18"/>
          <w:szCs w:val="18"/>
        </w:rPr>
        <w:t>).</w:t>
      </w:r>
    </w:p>
  </w:footnote>
  <w:footnote w:id="25">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compensation that investors in nominal bonds demand for bearing inflation risk.</w:t>
      </w:r>
    </w:p>
  </w:footnote>
  <w:footnote w:id="26">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compensation for the difficulty of finding a counterparty at a fair or an acceptable price. Campbell, Shiller, and Viceira (2009), Dudley, Roush and Ezer (2009), Gürkaynak, Sack and Wright (2010) have documented the existence of a time-varying liquidity premium embedded in TIPS yields.</w:t>
      </w:r>
    </w:p>
  </w:footnote>
  <w:footnote w:id="27">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exceptions are some inflation rate series and the returns of ILBs in United Kingdom and Developed portfolio based on KPSS test.</w:t>
      </w:r>
    </w:p>
  </w:footnote>
  <w:footnote w:id="28">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 joint significance test such as a F-test or Wald test can also be considered, see for example Ogden (2003), KKL(2011), and Zhang and Jacobsen (2013).</w:t>
      </w:r>
    </w:p>
  </w:footnote>
  <w:footnote w:id="29">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KKL(2003) use the length of the night in the fall and winter relative to the annual mean of twelve hours which was then transformed into the change in the proportion of individuals from North America displaying SAD symptoms (2014).</w:t>
      </w:r>
    </w:p>
  </w:footnote>
  <w:footnote w:id="30">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For heteroskedasticity and/or autocorrelation</w:t>
      </w:r>
    </w:p>
  </w:footnote>
  <w:footnote w:id="31">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Seemingly Unrelated Regressions</w:t>
      </w:r>
    </w:p>
  </w:footnote>
  <w:footnote w:id="32">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Techniques of Huber (1964) and Hampel (1974)</w:t>
      </w:r>
    </w:p>
  </w:footnote>
  <w:footnote w:id="33">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Seemingly Unrelated Regressions</w:t>
      </w:r>
    </w:p>
  </w:footnote>
  <w:footnote w:id="34">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M-estimator of Huber (1973)</w:t>
      </w:r>
    </w:p>
  </w:footnote>
  <w:footnote w:id="35">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OLS and/or Prais-Winsten feasible generalized least squares (FGLS) with and without fixed effects</w:t>
      </w:r>
    </w:p>
  </w:footnote>
  <w:footnote w:id="36">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For estimating systems-of-equations</w:t>
      </w:r>
    </w:p>
  </w:footnote>
  <w:footnote w:id="37">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Based on a better performance of stocks in the first half of the year, Shigeki, Takashi, Katsuhiko (2011) consider a long position in the Nikkei 225 futures in the first half of the year which is compared with a long position in the second half. The outperformance of stocks during November-April is tested by Doeswijk (2008) using a sector-rotation strategy: long in cyclical stocks and short in defensive stocks during November-April and the strategies with the opposite signs during May-October. This is combined with Jensen’s (1968) alpha and beta to check the extent to which the strategy is explained by beta fluctuations.</w:t>
      </w:r>
    </w:p>
  </w:footnote>
  <w:footnote w:id="38">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nl-NL"/>
        </w:rPr>
        <w:t>Tests for the difference between sample means reinforce the results of the regressions.</w:t>
      </w:r>
    </w:p>
  </w:footnote>
  <w:footnote w:id="39">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Resistant to deviations from the assumptions made.</w:t>
      </w:r>
    </w:p>
  </w:footnote>
  <w:footnote w:id="40">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An estimator </w:t>
      </w:r>
      <m:oMath>
        <m:acc>
          <m:accPr>
            <m:ctrlPr>
              <w:rPr>
                <w:rFonts w:ascii="Cambria Math" w:hAnsi="Times New Roman" w:cs="Times New Roman"/>
                <w:i/>
                <w:sz w:val="18"/>
                <w:szCs w:val="18"/>
              </w:rPr>
            </m:ctrlPr>
          </m:accPr>
          <m:e>
            <m:r>
              <w:rPr>
                <w:rFonts w:ascii="Cambria Math" w:hAnsi="Cambria Math" w:cs="Times New Roman"/>
                <w:sz w:val="18"/>
                <w:szCs w:val="18"/>
              </w:rPr>
              <m:t>α</m:t>
            </m:r>
          </m:e>
        </m:acc>
      </m:oMath>
      <w:r w:rsidRPr="00923BDC">
        <w:rPr>
          <w:rFonts w:ascii="Times New Roman" w:hAnsi="Times New Roman" w:cs="Times New Roman"/>
          <w:sz w:val="18"/>
          <w:szCs w:val="18"/>
        </w:rPr>
        <w:t xml:space="preserve"> of a parameter α is efficient if no other estimator has a smaller variance.</w:t>
      </w:r>
    </w:p>
  </w:footnote>
  <w:footnote w:id="41">
    <w:p w:rsidR="00E319AD" w:rsidRPr="00FC2A7B" w:rsidRDefault="00E319AD">
      <w:pPr>
        <w:pStyle w:val="FootnoteText"/>
        <w:rPr>
          <w:rFonts w:ascii="Times New Roman" w:hAnsi="Times New Roman" w:cs="Times New Roman"/>
          <w:sz w:val="18"/>
          <w:szCs w:val="18"/>
        </w:rPr>
      </w:pPr>
      <w:r w:rsidRPr="00FC2A7B">
        <w:rPr>
          <w:rStyle w:val="FootnoteReference"/>
          <w:rFonts w:ascii="Times New Roman" w:hAnsi="Times New Roman" w:cs="Times New Roman"/>
          <w:sz w:val="18"/>
          <w:szCs w:val="18"/>
        </w:rPr>
        <w:footnoteRef/>
      </w:r>
      <w:r w:rsidRPr="00FC2A7B">
        <w:rPr>
          <w:rFonts w:ascii="Times New Roman" w:hAnsi="Times New Roman" w:cs="Times New Roman"/>
          <w:sz w:val="18"/>
          <w:szCs w:val="18"/>
        </w:rPr>
        <w:t xml:space="preserve"> </w:t>
      </w:r>
      <w:r>
        <w:rPr>
          <w:rFonts w:ascii="Times New Roman" w:hAnsi="Times New Roman" w:cs="Times New Roman"/>
          <w:sz w:val="18"/>
          <w:szCs w:val="18"/>
        </w:rPr>
        <w:t xml:space="preserve">In order to get the annualised value, </w:t>
      </w:r>
      <w:r w:rsidRPr="00FC2A7B">
        <w:rPr>
          <w:rFonts w:ascii="Times New Roman" w:hAnsi="Times New Roman" w:cs="Times New Roman"/>
          <w:sz w:val="18"/>
          <w:szCs w:val="18"/>
        </w:rPr>
        <w:t>I multiply it by √12 assuming that the returns are independent and identically distributed.</w:t>
      </w:r>
    </w:p>
  </w:footnote>
  <w:footnote w:id="42">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en-GB"/>
        </w:rPr>
        <w:t>An opposite pattern was discovered on the Japanese stock market (</w:t>
      </w:r>
      <w:r w:rsidRPr="00923BDC">
        <w:rPr>
          <w:rFonts w:ascii="Times New Roman" w:hAnsi="Times New Roman" w:cs="Times New Roman"/>
          <w:sz w:val="18"/>
          <w:szCs w:val="18"/>
        </w:rPr>
        <w:t xml:space="preserve">“Dekansho-bushi effect”) </w:t>
      </w:r>
      <w:r w:rsidRPr="00923BDC">
        <w:rPr>
          <w:rFonts w:ascii="Times New Roman" w:hAnsi="Times New Roman" w:cs="Times New Roman"/>
          <w:sz w:val="18"/>
          <w:szCs w:val="18"/>
          <w:lang w:val="en-GB"/>
        </w:rPr>
        <w:t>by Shigeki, Takashi, Katsuhiko (2011).</w:t>
      </w:r>
    </w:p>
  </w:footnote>
  <w:footnote w:id="43">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en-GB"/>
        </w:rPr>
        <w:t>Starting with three countries in January 1980 (Germany, United Kingdom and United States) and as data become available the others are incorporated until all six are part of the portfolio starting with March 1987.</w:t>
      </w:r>
    </w:p>
  </w:footnote>
  <w:footnote w:id="44">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results of the test for the difference between population means when variances are unknown and unequal confirm the results of the dummy regressions.</w:t>
      </w:r>
    </w:p>
  </w:footnote>
  <w:footnote w:id="45">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I have also formally tested for the empirical pattern found by Fridson (2000): higher Treasury returns during June-November than the rest of the year. The effect is weaker than the H1 H2 pattern, being statistically significant at 5% level only for the United States and Developed portfolio.</w:t>
      </w:r>
    </w:p>
  </w:footnote>
  <w:footnote w:id="46">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nl-NL"/>
        </w:rPr>
        <w:t xml:space="preserve">The </w:t>
      </w:r>
      <w:r w:rsidRPr="00923BDC">
        <w:rPr>
          <w:rFonts w:ascii="Times New Roman" w:hAnsi="Times New Roman" w:cs="Times New Roman"/>
          <w:sz w:val="18"/>
          <w:szCs w:val="18"/>
        </w:rPr>
        <w:t>correlation</w:t>
      </w:r>
      <w:r w:rsidRPr="00923BDC">
        <w:rPr>
          <w:rFonts w:ascii="Times New Roman" w:hAnsi="Times New Roman" w:cs="Times New Roman"/>
          <w:sz w:val="18"/>
          <w:szCs w:val="18"/>
          <w:lang w:val="nl-NL"/>
        </w:rPr>
        <w:t xml:space="preserve"> of </w:t>
      </w:r>
      <w:r w:rsidRPr="00923BDC">
        <w:rPr>
          <w:rFonts w:ascii="Times New Roman" w:hAnsi="Times New Roman" w:cs="Times New Roman"/>
          <w:sz w:val="18"/>
          <w:szCs w:val="18"/>
        </w:rPr>
        <w:t>national inflation and U.S. inflation rate is low in case of Germany, Japan and United Kingdom. The table with the coefficients of correlation</w:t>
      </w:r>
      <w:r w:rsidRPr="00923BDC">
        <w:rPr>
          <w:rFonts w:ascii="Times New Roman" w:hAnsi="Times New Roman" w:cs="Times New Roman"/>
          <w:sz w:val="18"/>
          <w:szCs w:val="18"/>
          <w:lang w:val="nl-NL"/>
        </w:rPr>
        <w:t xml:space="preserve"> can be found in Table A.5 from Appendix A. </w:t>
      </w:r>
    </w:p>
  </w:footnote>
  <w:footnote w:id="47">
    <w:p w:rsidR="00E319AD" w:rsidRPr="00923BDC" w:rsidRDefault="00E319AD" w:rsidP="00923BDC">
      <w:pPr>
        <w:pStyle w:val="FootnoteText"/>
        <w:jc w:val="both"/>
        <w:rPr>
          <w:rFonts w:ascii="Times New Roman" w:hAnsi="Times New Roman" w:cs="Times New Roman"/>
          <w:sz w:val="18"/>
          <w:szCs w:val="18"/>
          <w:lang w:val="nl-NL"/>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nl-NL"/>
        </w:rPr>
        <w:t xml:space="preserve">I </w:t>
      </w:r>
      <w:r w:rsidRPr="00923BDC">
        <w:rPr>
          <w:rFonts w:ascii="Times New Roman" w:hAnsi="Times New Roman" w:cs="Times New Roman"/>
          <w:sz w:val="18"/>
          <w:szCs w:val="18"/>
        </w:rPr>
        <w:t xml:space="preserve">only test for these two because they are found to be statistically significant and the most consistent across countries. </w:t>
      </w:r>
    </w:p>
  </w:footnote>
  <w:footnote w:id="48">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en-GB"/>
        </w:rPr>
        <w:t>Fiscal year starts in January in Canada, Germany, the United States. For Japan and the United Kingdom it starts in April, while for Australia in July.</w:t>
      </w:r>
    </w:p>
  </w:footnote>
  <w:footnote w:id="49">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r w:rsidRPr="00923BDC">
        <w:rPr>
          <w:rFonts w:ascii="Times New Roman" w:hAnsi="Times New Roman" w:cs="Times New Roman"/>
          <w:sz w:val="18"/>
          <w:szCs w:val="18"/>
          <w:lang w:val="en-GB"/>
        </w:rPr>
        <w:t>Details about this can be found in Table B.2 in Appendix B.</w:t>
      </w:r>
    </w:p>
  </w:footnote>
  <w:footnote w:id="50">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t>
      </w:r>
      <w:hyperlink r:id="rId3" w:history="1">
        <w:r w:rsidRPr="00923BDC">
          <w:rPr>
            <w:rStyle w:val="Hyperlink"/>
            <w:rFonts w:ascii="Times New Roman" w:hAnsi="Times New Roman" w:cs="Times New Roman"/>
            <w:sz w:val="18"/>
            <w:szCs w:val="18"/>
          </w:rPr>
          <w:t>http://epp.eurostat.ec.europa.eu/statistics_explained/index.php/Industrial_production_(volume)_index_overview</w:t>
        </w:r>
      </w:hyperlink>
    </w:p>
  </w:footnote>
  <w:footnote w:id="51">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results are in line with those when using the shorter sample of Datastream indices.</w:t>
      </w:r>
    </w:p>
  </w:footnote>
  <w:footnote w:id="52">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analysis is based on national measures as US GDP does not display a seasonal pattern, while the change in unemployment rate does not have explanatory power for US bond market.</w:t>
      </w:r>
    </w:p>
  </w:footnote>
  <w:footnote w:id="53">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Chicago Board options Exchange Volatility Index (VIX) </w:t>
      </w:r>
    </w:p>
  </w:footnote>
  <w:footnote w:id="54">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Employing the Baker and Wurgler (2007) sentiment measure or the lag indicator did not give conclusive results. </w:t>
      </w:r>
    </w:p>
  </w:footnote>
  <w:footnote w:id="55">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Given the popularity of VIX indicator as “the world's premier barometer of investor sentiment” (http://www.cboe.com/micro/VIX/vixintro.aspx), I rely on this indicator and not use the national equivalents. The VIX is also a</w:t>
      </w:r>
    </w:p>
    <w:p w:rsidR="00E319AD" w:rsidRPr="00923BDC" w:rsidRDefault="00E319AD" w:rsidP="00923BDC">
      <w:pPr>
        <w:pStyle w:val="FootnoteText"/>
        <w:jc w:val="both"/>
        <w:rPr>
          <w:rFonts w:ascii="Times New Roman" w:hAnsi="Times New Roman" w:cs="Times New Roman"/>
          <w:sz w:val="18"/>
          <w:szCs w:val="18"/>
        </w:rPr>
      </w:pPr>
      <w:r w:rsidRPr="00923BDC">
        <w:rPr>
          <w:rFonts w:ascii="Times New Roman" w:hAnsi="Times New Roman" w:cs="Times New Roman"/>
          <w:sz w:val="18"/>
          <w:szCs w:val="18"/>
        </w:rPr>
        <w:t>component of four sentiment indexes surveyed by Illing and Aaron (2012)</w:t>
      </w:r>
    </w:p>
  </w:footnote>
  <w:footnote w:id="56">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 similar analysis on Merrill Lynch Option Volatility Estimate MOVE Index has lead to conclusion that MOVE does not display an H1 H2 or SAD effect. </w:t>
      </w:r>
    </w:p>
  </w:footnote>
  <w:footnote w:id="57">
    <w:p w:rsidR="00E319AD" w:rsidRPr="00923BDC" w:rsidRDefault="00E319AD" w:rsidP="00923BDC">
      <w:pPr>
        <w:pStyle w:val="FootnoteText"/>
        <w:jc w:val="both"/>
        <w:rPr>
          <w:rFonts w:ascii="Times New Roman" w:hAnsi="Times New Roman" w:cs="Times New Roman"/>
          <w:sz w:val="18"/>
          <w:szCs w:val="18"/>
          <w:lang w:val="en-GB"/>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As shown in Table 4.2.</w:t>
      </w:r>
    </w:p>
  </w:footnote>
  <w:footnote w:id="58">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They find evidence of buying losers and selling both extreme winners and losers in the last quarter.</w:t>
      </w:r>
    </w:p>
  </w:footnote>
  <w:footnote w:id="59">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They also note relatively high returns in July, November and December and low returns in February and June for US. In case of Australia, July and January tend to outperform the other months.</w:t>
      </w:r>
    </w:p>
  </w:footnote>
  <w:footnote w:id="60">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Two practices generate data mining: several hypotheses are tested using the same data (individual) or a wide number of papers are based on the same databases and the results are not relevant when looked in isolation (collective).</w:t>
      </w:r>
    </w:p>
  </w:footnote>
  <w:footnote w:id="61">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With the exception of ZA which starts in 1973</w:t>
      </w:r>
    </w:p>
  </w:footnote>
  <w:footnote w:id="62">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Similar results using CRSP data (equal-weighted indices and total return indices)</w:t>
      </w:r>
    </w:p>
  </w:footnote>
  <w:footnote w:id="63">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For Northern Hemisphere, fall is defined as September 21 to December 20 and winter from December 21 to March 20. For Southern Hemisphere, fall is considered from March 21 to June 20 and winter from June 21 to September 20.  </w:t>
      </w:r>
    </w:p>
  </w:footnote>
  <w:footnote w:id="64">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trough is recorded in September and the peak is recorded in January.</w:t>
      </w:r>
    </w:p>
  </w:footnote>
  <w:footnote w:id="65">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Different start of the sample: Jan-May</w:t>
      </w:r>
    </w:p>
  </w:footnote>
  <w:footnote w:id="66">
    <w:p w:rsidR="00E319AD" w:rsidRPr="00923BDC" w:rsidRDefault="00E319AD" w:rsidP="00923BDC">
      <w:pPr>
        <w:pStyle w:val="FootnoteText"/>
        <w:jc w:val="both"/>
        <w:rPr>
          <w:rFonts w:ascii="Times New Roman" w:hAnsi="Times New Roman" w:cs="Times New Roman"/>
          <w:sz w:val="18"/>
          <w:szCs w:val="18"/>
        </w:rPr>
      </w:pPr>
      <w:r w:rsidRPr="00923BDC">
        <w:rPr>
          <w:rStyle w:val="FootnoteReference"/>
          <w:rFonts w:ascii="Times New Roman" w:hAnsi="Times New Roman" w:cs="Times New Roman"/>
          <w:sz w:val="18"/>
          <w:szCs w:val="18"/>
        </w:rPr>
        <w:footnoteRef/>
      </w:r>
      <w:r w:rsidRPr="00923BDC">
        <w:rPr>
          <w:rFonts w:ascii="Times New Roman" w:hAnsi="Times New Roman" w:cs="Times New Roman"/>
          <w:sz w:val="18"/>
          <w:szCs w:val="18"/>
        </w:rPr>
        <w:t xml:space="preserve"> The highest returns are recorded in October, while the lowest returns are found in February.</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92244"/>
    <w:multiLevelType w:val="hybridMultilevel"/>
    <w:tmpl w:val="4E0EF5F6"/>
    <w:lvl w:ilvl="0" w:tplc="0C80CF74">
      <w:start w:val="2"/>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2D46C2"/>
    <w:multiLevelType w:val="multilevel"/>
    <w:tmpl w:val="6F1602BE"/>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2F434EAF"/>
    <w:multiLevelType w:val="hybridMultilevel"/>
    <w:tmpl w:val="3A7040D2"/>
    <w:lvl w:ilvl="0" w:tplc="8228DA16">
      <w:start w:val="2"/>
      <w:numFmt w:val="bullet"/>
      <w:lvlText w:val=""/>
      <w:lvlJc w:val="left"/>
      <w:pPr>
        <w:ind w:left="1069" w:hanging="360"/>
      </w:pPr>
      <w:rPr>
        <w:rFonts w:ascii="Wingdings" w:eastAsiaTheme="minorHAnsi" w:hAnsi="Wingdings"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nsid w:val="346077CB"/>
    <w:multiLevelType w:val="multilevel"/>
    <w:tmpl w:val="EC5E5F40"/>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35DD3079"/>
    <w:multiLevelType w:val="hybridMultilevel"/>
    <w:tmpl w:val="7A72EF26"/>
    <w:lvl w:ilvl="0" w:tplc="59488D1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0C3641"/>
    <w:multiLevelType w:val="multilevel"/>
    <w:tmpl w:val="16DEA578"/>
    <w:lvl w:ilvl="0">
      <w:start w:val="4"/>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nsid w:val="3A4705A2"/>
    <w:multiLevelType w:val="multilevel"/>
    <w:tmpl w:val="9AD8D2C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nsid w:val="3B5277D2"/>
    <w:multiLevelType w:val="hybridMultilevel"/>
    <w:tmpl w:val="D3980A90"/>
    <w:lvl w:ilvl="0" w:tplc="70F28B42">
      <w:start w:val="1"/>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A124AA4"/>
    <w:multiLevelType w:val="multilevel"/>
    <w:tmpl w:val="7B145588"/>
    <w:lvl w:ilvl="0">
      <w:start w:val="2"/>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nsid w:val="4E2F32E5"/>
    <w:multiLevelType w:val="multilevel"/>
    <w:tmpl w:val="87461600"/>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5D4558C6"/>
    <w:multiLevelType w:val="hybridMultilevel"/>
    <w:tmpl w:val="D8688C82"/>
    <w:lvl w:ilvl="0" w:tplc="FBF0B9D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D6528C5"/>
    <w:multiLevelType w:val="multilevel"/>
    <w:tmpl w:val="A0BA7362"/>
    <w:lvl w:ilvl="0">
      <w:start w:val="4"/>
      <w:numFmt w:val="decimal"/>
      <w:lvlText w:val="%1"/>
      <w:lvlJc w:val="left"/>
      <w:pPr>
        <w:ind w:left="570" w:hanging="570"/>
      </w:pPr>
      <w:rPr>
        <w:rFonts w:hint="default"/>
      </w:rPr>
    </w:lvl>
    <w:lvl w:ilvl="1">
      <w:start w:val="2"/>
      <w:numFmt w:val="decimal"/>
      <w:lvlText w:val="%1.%2"/>
      <w:lvlJc w:val="left"/>
      <w:pPr>
        <w:ind w:left="750" w:hanging="57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12">
    <w:nsid w:val="6548575D"/>
    <w:multiLevelType w:val="hybridMultilevel"/>
    <w:tmpl w:val="12BE6444"/>
    <w:lvl w:ilvl="0" w:tplc="59488D10">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5F82DB6"/>
    <w:multiLevelType w:val="hybridMultilevel"/>
    <w:tmpl w:val="50D447D4"/>
    <w:lvl w:ilvl="0" w:tplc="8154DCF6">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FF015EA"/>
    <w:multiLevelType w:val="hybridMultilevel"/>
    <w:tmpl w:val="D8688C82"/>
    <w:lvl w:ilvl="0" w:tplc="FBF0B9D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14B26AB"/>
    <w:multiLevelType w:val="multilevel"/>
    <w:tmpl w:val="6B26239E"/>
    <w:lvl w:ilvl="0">
      <w:start w:val="2"/>
      <w:numFmt w:val="decimal"/>
      <w:lvlText w:val="%1"/>
      <w:lvlJc w:val="left"/>
      <w:pPr>
        <w:ind w:left="525" w:hanging="525"/>
      </w:pPr>
      <w:rPr>
        <w:rFonts w:hint="default"/>
      </w:rPr>
    </w:lvl>
    <w:lvl w:ilvl="1">
      <w:start w:val="2"/>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nsid w:val="7DB85046"/>
    <w:multiLevelType w:val="multilevel"/>
    <w:tmpl w:val="A67ED2B2"/>
    <w:lvl w:ilvl="0">
      <w:start w:val="2"/>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abstractNumId w:val="6"/>
  </w:num>
  <w:num w:numId="2">
    <w:abstractNumId w:val="8"/>
  </w:num>
  <w:num w:numId="3">
    <w:abstractNumId w:val="16"/>
  </w:num>
  <w:num w:numId="4">
    <w:abstractNumId w:val="3"/>
  </w:num>
  <w:num w:numId="5">
    <w:abstractNumId w:val="15"/>
  </w:num>
  <w:num w:numId="6">
    <w:abstractNumId w:val="1"/>
  </w:num>
  <w:num w:numId="7">
    <w:abstractNumId w:val="10"/>
  </w:num>
  <w:num w:numId="8">
    <w:abstractNumId w:val="14"/>
  </w:num>
  <w:num w:numId="9">
    <w:abstractNumId w:val="2"/>
  </w:num>
  <w:num w:numId="10">
    <w:abstractNumId w:val="0"/>
  </w:num>
  <w:num w:numId="11">
    <w:abstractNumId w:val="5"/>
  </w:num>
  <w:num w:numId="12">
    <w:abstractNumId w:val="11"/>
  </w:num>
  <w:num w:numId="13">
    <w:abstractNumId w:val="7"/>
  </w:num>
  <w:num w:numId="14">
    <w:abstractNumId w:val="9"/>
  </w:num>
  <w:num w:numId="15">
    <w:abstractNumId w:val="13"/>
  </w:num>
  <w:num w:numId="16">
    <w:abstractNumId w:val="12"/>
  </w:num>
  <w:num w:numId="1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efaultTabStop w:val="720"/>
  <w:drawingGridHorizontalSpacing w:val="110"/>
  <w:displayHorizontalDrawingGridEvery w:val="2"/>
  <w:characterSpacingControl w:val="doNotCompress"/>
  <w:hdrShapeDefaults>
    <o:shapedefaults v:ext="edit" spidmax="17409"/>
  </w:hdrShapeDefaults>
  <w:footnotePr>
    <w:footnote w:id="-1"/>
    <w:footnote w:id="0"/>
  </w:footnotePr>
  <w:endnotePr>
    <w:endnote w:id="-1"/>
    <w:endnote w:id="0"/>
  </w:endnotePr>
  <w:compat>
    <w:useFELayout/>
  </w:compat>
  <w:rsids>
    <w:rsidRoot w:val="00EE1A2A"/>
    <w:rsid w:val="00022A60"/>
    <w:rsid w:val="00022FB0"/>
    <w:rsid w:val="00026AA7"/>
    <w:rsid w:val="00027ADB"/>
    <w:rsid w:val="000343C0"/>
    <w:rsid w:val="00045C10"/>
    <w:rsid w:val="0004732B"/>
    <w:rsid w:val="0005594A"/>
    <w:rsid w:val="0006465D"/>
    <w:rsid w:val="00075ABD"/>
    <w:rsid w:val="000B5954"/>
    <w:rsid w:val="000B7A30"/>
    <w:rsid w:val="000C4B08"/>
    <w:rsid w:val="000E5EA9"/>
    <w:rsid w:val="000F696A"/>
    <w:rsid w:val="000F7368"/>
    <w:rsid w:val="00107E73"/>
    <w:rsid w:val="001327E3"/>
    <w:rsid w:val="00150260"/>
    <w:rsid w:val="00153AC4"/>
    <w:rsid w:val="00157A8E"/>
    <w:rsid w:val="00165216"/>
    <w:rsid w:val="00191CBB"/>
    <w:rsid w:val="001D096A"/>
    <w:rsid w:val="001E3E3C"/>
    <w:rsid w:val="001F0BFC"/>
    <w:rsid w:val="00205689"/>
    <w:rsid w:val="00205C54"/>
    <w:rsid w:val="002211A5"/>
    <w:rsid w:val="00233091"/>
    <w:rsid w:val="0023383A"/>
    <w:rsid w:val="002515C5"/>
    <w:rsid w:val="0027416D"/>
    <w:rsid w:val="00274E17"/>
    <w:rsid w:val="00294994"/>
    <w:rsid w:val="002B1C29"/>
    <w:rsid w:val="002D4910"/>
    <w:rsid w:val="002F3F36"/>
    <w:rsid w:val="002F44A1"/>
    <w:rsid w:val="002F62E3"/>
    <w:rsid w:val="0031512E"/>
    <w:rsid w:val="0033113C"/>
    <w:rsid w:val="0035065F"/>
    <w:rsid w:val="00355ED8"/>
    <w:rsid w:val="0035797D"/>
    <w:rsid w:val="00362576"/>
    <w:rsid w:val="0038284D"/>
    <w:rsid w:val="003929EA"/>
    <w:rsid w:val="00394175"/>
    <w:rsid w:val="003C3573"/>
    <w:rsid w:val="003E5482"/>
    <w:rsid w:val="003E7DCD"/>
    <w:rsid w:val="003F0AA3"/>
    <w:rsid w:val="004017D2"/>
    <w:rsid w:val="00404196"/>
    <w:rsid w:val="004210F1"/>
    <w:rsid w:val="00446E8A"/>
    <w:rsid w:val="00451F2D"/>
    <w:rsid w:val="004819C8"/>
    <w:rsid w:val="00482160"/>
    <w:rsid w:val="004A1BC4"/>
    <w:rsid w:val="004A6411"/>
    <w:rsid w:val="004B7A39"/>
    <w:rsid w:val="004C2996"/>
    <w:rsid w:val="004C40A2"/>
    <w:rsid w:val="004D4BF3"/>
    <w:rsid w:val="004E3396"/>
    <w:rsid w:val="004F3D3F"/>
    <w:rsid w:val="00504EE6"/>
    <w:rsid w:val="0050703D"/>
    <w:rsid w:val="00523B5F"/>
    <w:rsid w:val="0052717D"/>
    <w:rsid w:val="005333D1"/>
    <w:rsid w:val="005339AF"/>
    <w:rsid w:val="0054483C"/>
    <w:rsid w:val="00560045"/>
    <w:rsid w:val="0057450F"/>
    <w:rsid w:val="00596F4F"/>
    <w:rsid w:val="005A06CB"/>
    <w:rsid w:val="005B38CC"/>
    <w:rsid w:val="005C29A7"/>
    <w:rsid w:val="005D17E4"/>
    <w:rsid w:val="005D42E1"/>
    <w:rsid w:val="005F30B1"/>
    <w:rsid w:val="00602316"/>
    <w:rsid w:val="00610733"/>
    <w:rsid w:val="0062100F"/>
    <w:rsid w:val="00626E59"/>
    <w:rsid w:val="0063297C"/>
    <w:rsid w:val="0067358F"/>
    <w:rsid w:val="006924A9"/>
    <w:rsid w:val="006B2A5E"/>
    <w:rsid w:val="006B660B"/>
    <w:rsid w:val="006C375A"/>
    <w:rsid w:val="006C42DA"/>
    <w:rsid w:val="006C6090"/>
    <w:rsid w:val="006F06A2"/>
    <w:rsid w:val="00702174"/>
    <w:rsid w:val="00711125"/>
    <w:rsid w:val="00735178"/>
    <w:rsid w:val="00737EEE"/>
    <w:rsid w:val="00742E3B"/>
    <w:rsid w:val="0074379A"/>
    <w:rsid w:val="0074701C"/>
    <w:rsid w:val="00757B7C"/>
    <w:rsid w:val="00767E3E"/>
    <w:rsid w:val="007768BC"/>
    <w:rsid w:val="00784909"/>
    <w:rsid w:val="00786B69"/>
    <w:rsid w:val="007A001C"/>
    <w:rsid w:val="007B5C6E"/>
    <w:rsid w:val="007D230C"/>
    <w:rsid w:val="007D32A7"/>
    <w:rsid w:val="007D7A03"/>
    <w:rsid w:val="007F6765"/>
    <w:rsid w:val="00803114"/>
    <w:rsid w:val="0083693B"/>
    <w:rsid w:val="00837808"/>
    <w:rsid w:val="0084130F"/>
    <w:rsid w:val="008421A5"/>
    <w:rsid w:val="00874B7E"/>
    <w:rsid w:val="008842C0"/>
    <w:rsid w:val="008A110F"/>
    <w:rsid w:val="008A2CD6"/>
    <w:rsid w:val="008B193E"/>
    <w:rsid w:val="008D46A9"/>
    <w:rsid w:val="008E1002"/>
    <w:rsid w:val="008E191F"/>
    <w:rsid w:val="008E5EC0"/>
    <w:rsid w:val="009007C4"/>
    <w:rsid w:val="00903A9E"/>
    <w:rsid w:val="00920046"/>
    <w:rsid w:val="00923BDC"/>
    <w:rsid w:val="00926B56"/>
    <w:rsid w:val="00930C6E"/>
    <w:rsid w:val="00936DC1"/>
    <w:rsid w:val="00937206"/>
    <w:rsid w:val="00945302"/>
    <w:rsid w:val="009551F2"/>
    <w:rsid w:val="00955683"/>
    <w:rsid w:val="00962E47"/>
    <w:rsid w:val="00987BBB"/>
    <w:rsid w:val="00991169"/>
    <w:rsid w:val="00995846"/>
    <w:rsid w:val="009A5273"/>
    <w:rsid w:val="009B201A"/>
    <w:rsid w:val="009C0C19"/>
    <w:rsid w:val="009C2309"/>
    <w:rsid w:val="009D5441"/>
    <w:rsid w:val="009E1006"/>
    <w:rsid w:val="009F021D"/>
    <w:rsid w:val="009F44FB"/>
    <w:rsid w:val="00A057DA"/>
    <w:rsid w:val="00A06DD0"/>
    <w:rsid w:val="00A10D9C"/>
    <w:rsid w:val="00A14616"/>
    <w:rsid w:val="00A17405"/>
    <w:rsid w:val="00A32496"/>
    <w:rsid w:val="00A64243"/>
    <w:rsid w:val="00A72704"/>
    <w:rsid w:val="00A95985"/>
    <w:rsid w:val="00A96CAA"/>
    <w:rsid w:val="00AA146B"/>
    <w:rsid w:val="00AA7F86"/>
    <w:rsid w:val="00AC12CE"/>
    <w:rsid w:val="00AC2EF2"/>
    <w:rsid w:val="00B3112B"/>
    <w:rsid w:val="00B427DB"/>
    <w:rsid w:val="00B44C7C"/>
    <w:rsid w:val="00B5592C"/>
    <w:rsid w:val="00B55B07"/>
    <w:rsid w:val="00B6286E"/>
    <w:rsid w:val="00B64BCA"/>
    <w:rsid w:val="00B7742B"/>
    <w:rsid w:val="00BA6A04"/>
    <w:rsid w:val="00BC7F37"/>
    <w:rsid w:val="00BD1393"/>
    <w:rsid w:val="00BE3880"/>
    <w:rsid w:val="00BE7A7A"/>
    <w:rsid w:val="00C15461"/>
    <w:rsid w:val="00C22504"/>
    <w:rsid w:val="00C24ED1"/>
    <w:rsid w:val="00C36B7E"/>
    <w:rsid w:val="00C92357"/>
    <w:rsid w:val="00C92BF1"/>
    <w:rsid w:val="00CC7131"/>
    <w:rsid w:val="00CD0C66"/>
    <w:rsid w:val="00CE5FC1"/>
    <w:rsid w:val="00D0485F"/>
    <w:rsid w:val="00D14941"/>
    <w:rsid w:val="00D24F15"/>
    <w:rsid w:val="00D502BF"/>
    <w:rsid w:val="00D61EE0"/>
    <w:rsid w:val="00D647CE"/>
    <w:rsid w:val="00D6506F"/>
    <w:rsid w:val="00D71FA1"/>
    <w:rsid w:val="00D83653"/>
    <w:rsid w:val="00DA369F"/>
    <w:rsid w:val="00DA5E11"/>
    <w:rsid w:val="00DB4C0D"/>
    <w:rsid w:val="00DE3D62"/>
    <w:rsid w:val="00E106B7"/>
    <w:rsid w:val="00E12AF6"/>
    <w:rsid w:val="00E2264E"/>
    <w:rsid w:val="00E319AD"/>
    <w:rsid w:val="00E32DEF"/>
    <w:rsid w:val="00E33AD1"/>
    <w:rsid w:val="00E3703C"/>
    <w:rsid w:val="00E44B12"/>
    <w:rsid w:val="00E64693"/>
    <w:rsid w:val="00E6544A"/>
    <w:rsid w:val="00E73308"/>
    <w:rsid w:val="00E74080"/>
    <w:rsid w:val="00E7620F"/>
    <w:rsid w:val="00EB70B8"/>
    <w:rsid w:val="00EE1A2A"/>
    <w:rsid w:val="00EE28EB"/>
    <w:rsid w:val="00EF2575"/>
    <w:rsid w:val="00F2127A"/>
    <w:rsid w:val="00F30510"/>
    <w:rsid w:val="00F310E2"/>
    <w:rsid w:val="00F361CD"/>
    <w:rsid w:val="00F40DAA"/>
    <w:rsid w:val="00F4395D"/>
    <w:rsid w:val="00F52346"/>
    <w:rsid w:val="00F93C17"/>
    <w:rsid w:val="00FB132C"/>
    <w:rsid w:val="00FB50F7"/>
    <w:rsid w:val="00FB67CD"/>
    <w:rsid w:val="00FC2A7B"/>
    <w:rsid w:val="00FC58D2"/>
    <w:rsid w:val="00FC5A0E"/>
    <w:rsid w:val="00FD20D1"/>
    <w:rsid w:val="00FF01C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740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EE"/>
  </w:style>
  <w:style w:type="paragraph" w:styleId="Heading1">
    <w:name w:val="heading 1"/>
    <w:basedOn w:val="Normal"/>
    <w:next w:val="Normal"/>
    <w:link w:val="Heading1Char"/>
    <w:uiPriority w:val="9"/>
    <w:qFormat/>
    <w:rsid w:val="00737EEE"/>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37EEE"/>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37EEE"/>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37EEE"/>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37EEE"/>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37EEE"/>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37EEE"/>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37EEE"/>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37EEE"/>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EE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37EEE"/>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37EEE"/>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37EEE"/>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37EEE"/>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37EEE"/>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37EEE"/>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37EEE"/>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37EEE"/>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737EE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37EEE"/>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737EEE"/>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37EEE"/>
    <w:rPr>
      <w:rFonts w:asciiTheme="majorHAnsi" w:eastAsiaTheme="majorEastAsia" w:hAnsiTheme="majorHAnsi" w:cstheme="majorBidi"/>
      <w:i/>
      <w:iCs/>
      <w:spacing w:val="13"/>
      <w:sz w:val="24"/>
      <w:szCs w:val="24"/>
    </w:rPr>
  </w:style>
  <w:style w:type="character" w:styleId="Strong">
    <w:name w:val="Strong"/>
    <w:uiPriority w:val="22"/>
    <w:qFormat/>
    <w:rsid w:val="00737EEE"/>
    <w:rPr>
      <w:b/>
      <w:bCs/>
    </w:rPr>
  </w:style>
  <w:style w:type="character" w:styleId="Emphasis">
    <w:name w:val="Emphasis"/>
    <w:uiPriority w:val="20"/>
    <w:qFormat/>
    <w:rsid w:val="00737EEE"/>
    <w:rPr>
      <w:b/>
      <w:bCs/>
      <w:i/>
      <w:iCs/>
      <w:spacing w:val="10"/>
      <w:bdr w:val="none" w:sz="0" w:space="0" w:color="auto"/>
      <w:shd w:val="clear" w:color="auto" w:fill="auto"/>
    </w:rPr>
  </w:style>
  <w:style w:type="paragraph" w:styleId="NoSpacing">
    <w:name w:val="No Spacing"/>
    <w:basedOn w:val="Normal"/>
    <w:uiPriority w:val="1"/>
    <w:qFormat/>
    <w:rsid w:val="00737EEE"/>
    <w:pPr>
      <w:spacing w:after="0" w:line="240" w:lineRule="auto"/>
    </w:pPr>
  </w:style>
  <w:style w:type="paragraph" w:styleId="ListParagraph">
    <w:name w:val="List Paragraph"/>
    <w:basedOn w:val="Normal"/>
    <w:uiPriority w:val="34"/>
    <w:qFormat/>
    <w:rsid w:val="00737EEE"/>
    <w:pPr>
      <w:ind w:left="720"/>
      <w:contextualSpacing/>
    </w:pPr>
  </w:style>
  <w:style w:type="paragraph" w:styleId="Quote">
    <w:name w:val="Quote"/>
    <w:basedOn w:val="Normal"/>
    <w:next w:val="Normal"/>
    <w:link w:val="QuoteChar"/>
    <w:uiPriority w:val="29"/>
    <w:qFormat/>
    <w:rsid w:val="00737EEE"/>
    <w:pPr>
      <w:spacing w:before="200" w:after="0"/>
      <w:ind w:left="360" w:right="360"/>
    </w:pPr>
    <w:rPr>
      <w:i/>
      <w:iCs/>
    </w:rPr>
  </w:style>
  <w:style w:type="character" w:customStyle="1" w:styleId="QuoteChar">
    <w:name w:val="Quote Char"/>
    <w:basedOn w:val="DefaultParagraphFont"/>
    <w:link w:val="Quote"/>
    <w:uiPriority w:val="29"/>
    <w:rsid w:val="00737EEE"/>
    <w:rPr>
      <w:i/>
      <w:iCs/>
    </w:rPr>
  </w:style>
  <w:style w:type="paragraph" w:styleId="IntenseQuote">
    <w:name w:val="Intense Quote"/>
    <w:basedOn w:val="Normal"/>
    <w:next w:val="Normal"/>
    <w:link w:val="IntenseQuoteChar"/>
    <w:uiPriority w:val="30"/>
    <w:qFormat/>
    <w:rsid w:val="00737EEE"/>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37EEE"/>
    <w:rPr>
      <w:b/>
      <w:bCs/>
      <w:i/>
      <w:iCs/>
    </w:rPr>
  </w:style>
  <w:style w:type="character" w:styleId="SubtleEmphasis">
    <w:name w:val="Subtle Emphasis"/>
    <w:uiPriority w:val="19"/>
    <w:qFormat/>
    <w:rsid w:val="00737EEE"/>
    <w:rPr>
      <w:i/>
      <w:iCs/>
    </w:rPr>
  </w:style>
  <w:style w:type="character" w:styleId="IntenseEmphasis">
    <w:name w:val="Intense Emphasis"/>
    <w:uiPriority w:val="21"/>
    <w:qFormat/>
    <w:rsid w:val="00737EEE"/>
    <w:rPr>
      <w:b/>
      <w:bCs/>
    </w:rPr>
  </w:style>
  <w:style w:type="character" w:styleId="SubtleReference">
    <w:name w:val="Subtle Reference"/>
    <w:uiPriority w:val="31"/>
    <w:qFormat/>
    <w:rsid w:val="00737EEE"/>
    <w:rPr>
      <w:smallCaps/>
    </w:rPr>
  </w:style>
  <w:style w:type="character" w:styleId="IntenseReference">
    <w:name w:val="Intense Reference"/>
    <w:uiPriority w:val="32"/>
    <w:qFormat/>
    <w:rsid w:val="00737EEE"/>
    <w:rPr>
      <w:smallCaps/>
      <w:spacing w:val="5"/>
      <w:u w:val="single"/>
    </w:rPr>
  </w:style>
  <w:style w:type="character" w:styleId="BookTitle">
    <w:name w:val="Book Title"/>
    <w:uiPriority w:val="33"/>
    <w:qFormat/>
    <w:rsid w:val="00737EEE"/>
    <w:rPr>
      <w:i/>
      <w:iCs/>
      <w:smallCaps/>
      <w:spacing w:val="5"/>
    </w:rPr>
  </w:style>
  <w:style w:type="paragraph" w:styleId="TOCHeading">
    <w:name w:val="TOC Heading"/>
    <w:basedOn w:val="Heading1"/>
    <w:next w:val="Normal"/>
    <w:uiPriority w:val="39"/>
    <w:semiHidden/>
    <w:unhideWhenUsed/>
    <w:qFormat/>
    <w:rsid w:val="00737EEE"/>
    <w:pPr>
      <w:outlineLvl w:val="9"/>
    </w:pPr>
    <w:rPr>
      <w:lang w:bidi="en-US"/>
    </w:rPr>
  </w:style>
  <w:style w:type="paragraph" w:styleId="FootnoteText">
    <w:name w:val="footnote text"/>
    <w:basedOn w:val="Normal"/>
    <w:link w:val="FootnoteTextChar"/>
    <w:uiPriority w:val="99"/>
    <w:semiHidden/>
    <w:unhideWhenUsed/>
    <w:rsid w:val="00FB67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67CD"/>
    <w:rPr>
      <w:sz w:val="20"/>
      <w:szCs w:val="20"/>
    </w:rPr>
  </w:style>
  <w:style w:type="character" w:styleId="FootnoteReference">
    <w:name w:val="footnote reference"/>
    <w:basedOn w:val="DefaultParagraphFont"/>
    <w:uiPriority w:val="99"/>
    <w:semiHidden/>
    <w:unhideWhenUsed/>
    <w:rsid w:val="00FB67CD"/>
    <w:rPr>
      <w:vertAlign w:val="superscript"/>
    </w:rPr>
  </w:style>
  <w:style w:type="character" w:styleId="Hyperlink">
    <w:name w:val="Hyperlink"/>
    <w:basedOn w:val="DefaultParagraphFont"/>
    <w:uiPriority w:val="99"/>
    <w:unhideWhenUsed/>
    <w:rsid w:val="0035065F"/>
    <w:rPr>
      <w:color w:val="0000FF" w:themeColor="hyperlink"/>
      <w:u w:val="single"/>
    </w:rPr>
  </w:style>
  <w:style w:type="paragraph" w:styleId="BalloonText">
    <w:name w:val="Balloon Text"/>
    <w:basedOn w:val="Normal"/>
    <w:link w:val="BalloonTextChar"/>
    <w:uiPriority w:val="99"/>
    <w:semiHidden/>
    <w:unhideWhenUsed/>
    <w:rsid w:val="00055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94A"/>
    <w:rPr>
      <w:rFonts w:ascii="Tahoma" w:hAnsi="Tahoma" w:cs="Tahoma"/>
      <w:sz w:val="16"/>
      <w:szCs w:val="16"/>
    </w:rPr>
  </w:style>
  <w:style w:type="paragraph" w:styleId="Header">
    <w:name w:val="header"/>
    <w:basedOn w:val="Normal"/>
    <w:link w:val="HeaderChar"/>
    <w:uiPriority w:val="99"/>
    <w:unhideWhenUsed/>
    <w:rsid w:val="000559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94A"/>
  </w:style>
  <w:style w:type="paragraph" w:styleId="Footer">
    <w:name w:val="footer"/>
    <w:basedOn w:val="Normal"/>
    <w:link w:val="FooterChar"/>
    <w:uiPriority w:val="99"/>
    <w:unhideWhenUsed/>
    <w:rsid w:val="000559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94A"/>
  </w:style>
  <w:style w:type="character" w:customStyle="1" w:styleId="CommentTextChar">
    <w:name w:val="Comment Text Char"/>
    <w:basedOn w:val="DefaultParagraphFont"/>
    <w:link w:val="CommentText"/>
    <w:uiPriority w:val="99"/>
    <w:semiHidden/>
    <w:rsid w:val="005A06CB"/>
    <w:rPr>
      <w:sz w:val="20"/>
      <w:szCs w:val="20"/>
    </w:rPr>
  </w:style>
  <w:style w:type="paragraph" w:styleId="CommentText">
    <w:name w:val="annotation text"/>
    <w:basedOn w:val="Normal"/>
    <w:link w:val="CommentTextChar"/>
    <w:uiPriority w:val="99"/>
    <w:semiHidden/>
    <w:unhideWhenUsed/>
    <w:rsid w:val="005A06CB"/>
    <w:pPr>
      <w:spacing w:line="240" w:lineRule="auto"/>
    </w:pPr>
    <w:rPr>
      <w:sz w:val="20"/>
      <w:szCs w:val="20"/>
    </w:rPr>
  </w:style>
  <w:style w:type="character" w:customStyle="1" w:styleId="CommentSubjectChar">
    <w:name w:val="Comment Subject Char"/>
    <w:basedOn w:val="CommentTextChar"/>
    <w:link w:val="CommentSubject"/>
    <w:uiPriority w:val="99"/>
    <w:semiHidden/>
    <w:rsid w:val="005A06CB"/>
    <w:rPr>
      <w:b/>
      <w:bCs/>
      <w:sz w:val="20"/>
      <w:szCs w:val="20"/>
    </w:rPr>
  </w:style>
  <w:style w:type="paragraph" w:styleId="CommentSubject">
    <w:name w:val="annotation subject"/>
    <w:basedOn w:val="CommentText"/>
    <w:next w:val="CommentText"/>
    <w:link w:val="CommentSubjectChar"/>
    <w:uiPriority w:val="99"/>
    <w:semiHidden/>
    <w:unhideWhenUsed/>
    <w:rsid w:val="005A06CB"/>
    <w:rPr>
      <w:b/>
      <w:bCs/>
    </w:rPr>
  </w:style>
  <w:style w:type="paragraph" w:styleId="NormalWeb">
    <w:name w:val="Normal (Web)"/>
    <w:basedOn w:val="Normal"/>
    <w:uiPriority w:val="99"/>
    <w:unhideWhenUsed/>
    <w:rsid w:val="005A06CB"/>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F52346"/>
  </w:style>
  <w:style w:type="paragraph" w:styleId="TOC1">
    <w:name w:val="toc 1"/>
    <w:basedOn w:val="Normal"/>
    <w:next w:val="Normal"/>
    <w:autoRedefine/>
    <w:uiPriority w:val="39"/>
    <w:unhideWhenUsed/>
    <w:rsid w:val="006924A9"/>
    <w:pPr>
      <w:spacing w:after="100"/>
    </w:pPr>
  </w:style>
  <w:style w:type="paragraph" w:styleId="TOC2">
    <w:name w:val="toc 2"/>
    <w:basedOn w:val="Normal"/>
    <w:next w:val="Normal"/>
    <w:autoRedefine/>
    <w:uiPriority w:val="39"/>
    <w:unhideWhenUsed/>
    <w:rsid w:val="006924A9"/>
    <w:pPr>
      <w:spacing w:after="100"/>
      <w:ind w:left="220"/>
    </w:pPr>
  </w:style>
  <w:style w:type="paragraph" w:styleId="TOC3">
    <w:name w:val="toc 3"/>
    <w:basedOn w:val="Normal"/>
    <w:next w:val="Normal"/>
    <w:autoRedefine/>
    <w:uiPriority w:val="39"/>
    <w:unhideWhenUsed/>
    <w:rsid w:val="006924A9"/>
    <w:pPr>
      <w:spacing w:after="100"/>
      <w:ind w:left="440"/>
    </w:pPr>
  </w:style>
  <w:style w:type="table" w:styleId="LightList-Accent5">
    <w:name w:val="Light List Accent 5"/>
    <w:basedOn w:val="TableNormal"/>
    <w:uiPriority w:val="61"/>
    <w:rsid w:val="002211A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
    <w:name w:val="Light List"/>
    <w:basedOn w:val="TableNormal"/>
    <w:uiPriority w:val="61"/>
    <w:rsid w:val="00E7408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EEE"/>
  </w:style>
  <w:style w:type="paragraph" w:styleId="Heading1">
    <w:name w:val="heading 1"/>
    <w:basedOn w:val="Normal"/>
    <w:next w:val="Normal"/>
    <w:link w:val="Heading1Char"/>
    <w:uiPriority w:val="9"/>
    <w:qFormat/>
    <w:rsid w:val="00737EEE"/>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37EEE"/>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737EEE"/>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37EEE"/>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37EEE"/>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37EEE"/>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37EEE"/>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37EEE"/>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37EEE"/>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7EEE"/>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37EEE"/>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737EEE"/>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37EEE"/>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37EEE"/>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37EEE"/>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37EEE"/>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37EEE"/>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37EEE"/>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737EEE"/>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37EEE"/>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737EEE"/>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37EEE"/>
    <w:rPr>
      <w:rFonts w:asciiTheme="majorHAnsi" w:eastAsiaTheme="majorEastAsia" w:hAnsiTheme="majorHAnsi" w:cstheme="majorBidi"/>
      <w:i/>
      <w:iCs/>
      <w:spacing w:val="13"/>
      <w:sz w:val="24"/>
      <w:szCs w:val="24"/>
    </w:rPr>
  </w:style>
  <w:style w:type="character" w:styleId="Strong">
    <w:name w:val="Strong"/>
    <w:uiPriority w:val="22"/>
    <w:qFormat/>
    <w:rsid w:val="00737EEE"/>
    <w:rPr>
      <w:b/>
      <w:bCs/>
    </w:rPr>
  </w:style>
  <w:style w:type="character" w:styleId="Emphasis">
    <w:name w:val="Emphasis"/>
    <w:uiPriority w:val="20"/>
    <w:qFormat/>
    <w:rsid w:val="00737EEE"/>
    <w:rPr>
      <w:b/>
      <w:bCs/>
      <w:i/>
      <w:iCs/>
      <w:spacing w:val="10"/>
      <w:bdr w:val="none" w:sz="0" w:space="0" w:color="auto"/>
      <w:shd w:val="clear" w:color="auto" w:fill="auto"/>
    </w:rPr>
  </w:style>
  <w:style w:type="paragraph" w:styleId="NoSpacing">
    <w:name w:val="No Spacing"/>
    <w:basedOn w:val="Normal"/>
    <w:uiPriority w:val="1"/>
    <w:qFormat/>
    <w:rsid w:val="00737EEE"/>
    <w:pPr>
      <w:spacing w:after="0" w:line="240" w:lineRule="auto"/>
    </w:pPr>
  </w:style>
  <w:style w:type="paragraph" w:styleId="ListParagraph">
    <w:name w:val="List Paragraph"/>
    <w:basedOn w:val="Normal"/>
    <w:uiPriority w:val="34"/>
    <w:qFormat/>
    <w:rsid w:val="00737EEE"/>
    <w:pPr>
      <w:ind w:left="720"/>
      <w:contextualSpacing/>
    </w:pPr>
  </w:style>
  <w:style w:type="paragraph" w:styleId="Quote">
    <w:name w:val="Quote"/>
    <w:basedOn w:val="Normal"/>
    <w:next w:val="Normal"/>
    <w:link w:val="QuoteChar"/>
    <w:uiPriority w:val="29"/>
    <w:qFormat/>
    <w:rsid w:val="00737EEE"/>
    <w:pPr>
      <w:spacing w:before="200" w:after="0"/>
      <w:ind w:left="360" w:right="360"/>
    </w:pPr>
    <w:rPr>
      <w:i/>
      <w:iCs/>
    </w:rPr>
  </w:style>
  <w:style w:type="character" w:customStyle="1" w:styleId="QuoteChar">
    <w:name w:val="Quote Char"/>
    <w:basedOn w:val="DefaultParagraphFont"/>
    <w:link w:val="Quote"/>
    <w:uiPriority w:val="29"/>
    <w:rsid w:val="00737EEE"/>
    <w:rPr>
      <w:i/>
      <w:iCs/>
    </w:rPr>
  </w:style>
  <w:style w:type="paragraph" w:styleId="IntenseQuote">
    <w:name w:val="Intense Quote"/>
    <w:basedOn w:val="Normal"/>
    <w:next w:val="Normal"/>
    <w:link w:val="IntenseQuoteChar"/>
    <w:uiPriority w:val="30"/>
    <w:qFormat/>
    <w:rsid w:val="00737EEE"/>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37EEE"/>
    <w:rPr>
      <w:b/>
      <w:bCs/>
      <w:i/>
      <w:iCs/>
    </w:rPr>
  </w:style>
  <w:style w:type="character" w:styleId="SubtleEmphasis">
    <w:name w:val="Subtle Emphasis"/>
    <w:uiPriority w:val="19"/>
    <w:qFormat/>
    <w:rsid w:val="00737EEE"/>
    <w:rPr>
      <w:i/>
      <w:iCs/>
    </w:rPr>
  </w:style>
  <w:style w:type="character" w:styleId="IntenseEmphasis">
    <w:name w:val="Intense Emphasis"/>
    <w:uiPriority w:val="21"/>
    <w:qFormat/>
    <w:rsid w:val="00737EEE"/>
    <w:rPr>
      <w:b/>
      <w:bCs/>
    </w:rPr>
  </w:style>
  <w:style w:type="character" w:styleId="SubtleReference">
    <w:name w:val="Subtle Reference"/>
    <w:uiPriority w:val="31"/>
    <w:qFormat/>
    <w:rsid w:val="00737EEE"/>
    <w:rPr>
      <w:smallCaps/>
    </w:rPr>
  </w:style>
  <w:style w:type="character" w:styleId="IntenseReference">
    <w:name w:val="Intense Reference"/>
    <w:uiPriority w:val="32"/>
    <w:qFormat/>
    <w:rsid w:val="00737EEE"/>
    <w:rPr>
      <w:smallCaps/>
      <w:spacing w:val="5"/>
      <w:u w:val="single"/>
    </w:rPr>
  </w:style>
  <w:style w:type="character" w:styleId="BookTitle">
    <w:name w:val="Book Title"/>
    <w:uiPriority w:val="33"/>
    <w:qFormat/>
    <w:rsid w:val="00737EEE"/>
    <w:rPr>
      <w:i/>
      <w:iCs/>
      <w:smallCaps/>
      <w:spacing w:val="5"/>
    </w:rPr>
  </w:style>
  <w:style w:type="paragraph" w:styleId="TOCHeading">
    <w:name w:val="TOC Heading"/>
    <w:basedOn w:val="Heading1"/>
    <w:next w:val="Normal"/>
    <w:uiPriority w:val="39"/>
    <w:semiHidden/>
    <w:unhideWhenUsed/>
    <w:qFormat/>
    <w:rsid w:val="00737EEE"/>
    <w:pPr>
      <w:outlineLvl w:val="9"/>
    </w:pPr>
    <w:rPr>
      <w:lang w:bidi="en-US"/>
    </w:rPr>
  </w:style>
  <w:style w:type="paragraph" w:styleId="FootnoteText">
    <w:name w:val="footnote text"/>
    <w:basedOn w:val="Normal"/>
    <w:link w:val="FootnoteTextChar"/>
    <w:uiPriority w:val="99"/>
    <w:semiHidden/>
    <w:unhideWhenUsed/>
    <w:rsid w:val="00FB67C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67CD"/>
    <w:rPr>
      <w:sz w:val="20"/>
      <w:szCs w:val="20"/>
    </w:rPr>
  </w:style>
  <w:style w:type="character" w:styleId="FootnoteReference">
    <w:name w:val="footnote reference"/>
    <w:basedOn w:val="DefaultParagraphFont"/>
    <w:uiPriority w:val="99"/>
    <w:semiHidden/>
    <w:unhideWhenUsed/>
    <w:rsid w:val="00FB67CD"/>
    <w:rPr>
      <w:vertAlign w:val="superscript"/>
    </w:rPr>
  </w:style>
  <w:style w:type="character" w:styleId="Hyperlink">
    <w:name w:val="Hyperlink"/>
    <w:basedOn w:val="DefaultParagraphFont"/>
    <w:uiPriority w:val="99"/>
    <w:unhideWhenUsed/>
    <w:rsid w:val="0035065F"/>
    <w:rPr>
      <w:color w:val="0000FF" w:themeColor="hyperlink"/>
      <w:u w:val="single"/>
    </w:rPr>
  </w:style>
  <w:style w:type="paragraph" w:styleId="BalloonText">
    <w:name w:val="Balloon Text"/>
    <w:basedOn w:val="Normal"/>
    <w:link w:val="BalloonTextChar"/>
    <w:uiPriority w:val="99"/>
    <w:semiHidden/>
    <w:unhideWhenUsed/>
    <w:rsid w:val="0005594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94A"/>
    <w:rPr>
      <w:rFonts w:ascii="Tahoma" w:hAnsi="Tahoma" w:cs="Tahoma"/>
      <w:sz w:val="16"/>
      <w:szCs w:val="16"/>
    </w:rPr>
  </w:style>
  <w:style w:type="paragraph" w:styleId="Header">
    <w:name w:val="header"/>
    <w:basedOn w:val="Normal"/>
    <w:link w:val="HeaderChar"/>
    <w:uiPriority w:val="99"/>
    <w:unhideWhenUsed/>
    <w:rsid w:val="000559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94A"/>
  </w:style>
  <w:style w:type="paragraph" w:styleId="Footer">
    <w:name w:val="footer"/>
    <w:basedOn w:val="Normal"/>
    <w:link w:val="FooterChar"/>
    <w:uiPriority w:val="99"/>
    <w:unhideWhenUsed/>
    <w:rsid w:val="000559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94A"/>
  </w:style>
  <w:style w:type="character" w:customStyle="1" w:styleId="CommentTextChar">
    <w:name w:val="Comment Text Char"/>
    <w:basedOn w:val="DefaultParagraphFont"/>
    <w:link w:val="CommentText"/>
    <w:uiPriority w:val="99"/>
    <w:semiHidden/>
    <w:rsid w:val="005A06CB"/>
    <w:rPr>
      <w:sz w:val="20"/>
      <w:szCs w:val="20"/>
    </w:rPr>
  </w:style>
  <w:style w:type="paragraph" w:styleId="CommentText">
    <w:name w:val="annotation text"/>
    <w:basedOn w:val="Normal"/>
    <w:link w:val="CommentTextChar"/>
    <w:uiPriority w:val="99"/>
    <w:semiHidden/>
    <w:unhideWhenUsed/>
    <w:rsid w:val="005A06CB"/>
    <w:pPr>
      <w:spacing w:line="240" w:lineRule="auto"/>
    </w:pPr>
    <w:rPr>
      <w:sz w:val="20"/>
      <w:szCs w:val="20"/>
    </w:rPr>
  </w:style>
  <w:style w:type="character" w:customStyle="1" w:styleId="CommentSubjectChar">
    <w:name w:val="Comment Subject Char"/>
    <w:basedOn w:val="CommentTextChar"/>
    <w:link w:val="CommentSubject"/>
    <w:uiPriority w:val="99"/>
    <w:semiHidden/>
    <w:rsid w:val="005A06CB"/>
    <w:rPr>
      <w:b/>
      <w:bCs/>
      <w:sz w:val="20"/>
      <w:szCs w:val="20"/>
    </w:rPr>
  </w:style>
  <w:style w:type="paragraph" w:styleId="CommentSubject">
    <w:name w:val="annotation subject"/>
    <w:basedOn w:val="CommentText"/>
    <w:next w:val="CommentText"/>
    <w:link w:val="CommentSubjectChar"/>
    <w:uiPriority w:val="99"/>
    <w:semiHidden/>
    <w:unhideWhenUsed/>
    <w:rsid w:val="005A06CB"/>
    <w:rPr>
      <w:b/>
      <w:bCs/>
    </w:rPr>
  </w:style>
  <w:style w:type="paragraph" w:styleId="NormalWeb">
    <w:name w:val="Normal (Web)"/>
    <w:basedOn w:val="Normal"/>
    <w:uiPriority w:val="99"/>
    <w:unhideWhenUsed/>
    <w:rsid w:val="005A06CB"/>
    <w:pPr>
      <w:spacing w:before="100" w:beforeAutospacing="1" w:after="100" w:afterAutospacing="1" w:line="240" w:lineRule="auto"/>
    </w:pPr>
    <w:rPr>
      <w:rFonts w:ascii="Times New Roman" w:hAnsi="Times New Roman" w:cs="Times New Roman"/>
      <w:sz w:val="24"/>
      <w:szCs w:val="24"/>
    </w:rPr>
  </w:style>
  <w:style w:type="character" w:customStyle="1" w:styleId="apple-converted-space">
    <w:name w:val="apple-converted-space"/>
    <w:basedOn w:val="DefaultParagraphFont"/>
    <w:rsid w:val="00F52346"/>
  </w:style>
  <w:style w:type="paragraph" w:styleId="TOC1">
    <w:name w:val="toc 1"/>
    <w:basedOn w:val="Normal"/>
    <w:next w:val="Normal"/>
    <w:autoRedefine/>
    <w:uiPriority w:val="39"/>
    <w:unhideWhenUsed/>
    <w:rsid w:val="006924A9"/>
    <w:pPr>
      <w:spacing w:after="100"/>
    </w:pPr>
  </w:style>
  <w:style w:type="paragraph" w:styleId="TOC2">
    <w:name w:val="toc 2"/>
    <w:basedOn w:val="Normal"/>
    <w:next w:val="Normal"/>
    <w:autoRedefine/>
    <w:uiPriority w:val="39"/>
    <w:unhideWhenUsed/>
    <w:rsid w:val="006924A9"/>
    <w:pPr>
      <w:spacing w:after="100"/>
      <w:ind w:left="220"/>
    </w:pPr>
  </w:style>
  <w:style w:type="paragraph" w:styleId="TOC3">
    <w:name w:val="toc 3"/>
    <w:basedOn w:val="Normal"/>
    <w:next w:val="Normal"/>
    <w:autoRedefine/>
    <w:uiPriority w:val="39"/>
    <w:unhideWhenUsed/>
    <w:rsid w:val="006924A9"/>
    <w:pPr>
      <w:spacing w:after="100"/>
      <w:ind w:left="440"/>
    </w:pPr>
  </w:style>
  <w:style w:type="table" w:styleId="LightList-Accent5">
    <w:name w:val="Light List Accent 5"/>
    <w:basedOn w:val="TableNormal"/>
    <w:uiPriority w:val="61"/>
    <w:rsid w:val="002211A5"/>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
    <w:name w:val="Light List"/>
    <w:basedOn w:val="TableNormal"/>
    <w:uiPriority w:val="61"/>
    <w:rsid w:val="00E74080"/>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chart" Target="charts/chart18.xm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hart" Target="charts/chart13.xml"/><Relationship Id="rId34" Type="http://schemas.openxmlformats.org/officeDocument/2006/relationships/chart" Target="charts/chart26.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chart" Target="charts/chart17.xml"/><Relationship Id="rId33" Type="http://schemas.openxmlformats.org/officeDocument/2006/relationships/chart" Target="charts/chart25.xm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29" Type="http://schemas.openxmlformats.org/officeDocument/2006/relationships/chart" Target="charts/chart21.xml"/><Relationship Id="rId41"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chart" Target="charts/chart16.xml"/><Relationship Id="rId32" Type="http://schemas.openxmlformats.org/officeDocument/2006/relationships/chart" Target="charts/chart24.xml"/><Relationship Id="rId37" Type="http://schemas.openxmlformats.org/officeDocument/2006/relationships/chart" Target="charts/chart29.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chart" Target="charts/chart15.xml"/><Relationship Id="rId28" Type="http://schemas.openxmlformats.org/officeDocument/2006/relationships/chart" Target="charts/chart20.xml"/><Relationship Id="rId36" Type="http://schemas.openxmlformats.org/officeDocument/2006/relationships/chart" Target="charts/chart28.xml"/><Relationship Id="rId10" Type="http://schemas.openxmlformats.org/officeDocument/2006/relationships/chart" Target="charts/chart2.xml"/><Relationship Id="rId19" Type="http://schemas.openxmlformats.org/officeDocument/2006/relationships/chart" Target="charts/chart11.xml"/><Relationship Id="rId31" Type="http://schemas.openxmlformats.org/officeDocument/2006/relationships/chart" Target="charts/chart23.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 Id="rId27" Type="http://schemas.openxmlformats.org/officeDocument/2006/relationships/chart" Target="charts/chart19.xml"/><Relationship Id="rId30" Type="http://schemas.openxmlformats.org/officeDocument/2006/relationships/chart" Target="charts/chart22.xml"/><Relationship Id="rId35" Type="http://schemas.openxmlformats.org/officeDocument/2006/relationships/chart" Target="charts/chart27.xml"/></Relationships>
</file>

<file path=word/_rels/footnotes.xml.rels><?xml version="1.0" encoding="UTF-8" standalone="yes"?>
<Relationships xmlns="http://schemas.openxmlformats.org/package/2006/relationships"><Relationship Id="rId3" Type="http://schemas.openxmlformats.org/officeDocument/2006/relationships/hyperlink" Target="http://epp.eurostat.ec.europa.eu/statistics_explained/index.php/Industrial_production_(volume)_index_overview" TargetMode="External"/><Relationship Id="rId2" Type="http://schemas.openxmlformats.org/officeDocument/2006/relationships/hyperlink" Target="http://www.bls.gov/cpi/cpisaqanda.htm" TargetMode="External"/><Relationship Id="rId1" Type="http://schemas.openxmlformats.org/officeDocument/2006/relationships/hyperlink" Target="http://www.markkamstra.com/data.html"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12.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13.xml.rels><?xml version="1.0" encoding="UTF-8" standalone="yes"?>
<Relationships xmlns="http://schemas.openxmlformats.org/package/2006/relationships"><Relationship Id="rId1" Type="http://schemas.openxmlformats.org/officeDocument/2006/relationships/oleObject" Target="file:///J:\Robeco\15%20August\Ana-Maria\Draft%20Thesis\Tables\Data%20and%20Methodology\Datastream%20Excess%20Returns%20Graphs.xlsx" TargetMode="External"/></Relationships>
</file>

<file path=word/charts/_rels/chart14.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15.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16.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17.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18.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19.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0.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21.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2.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23.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4.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Datastream_Indexes_QoQ.xlsx" TargetMode="External"/></Relationships>
</file>

<file path=word/charts/_rels/chart25.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6.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7.xml.rels><?xml version="1.0" encoding="UTF-8" standalone="yes"?>
<Relationships xmlns="http://schemas.openxmlformats.org/package/2006/relationships"><Relationship Id="rId1" Type="http://schemas.openxmlformats.org/officeDocument/2006/relationships/oleObject" Target="file:///J:\Robeco\15%20August\Ana-Maria\Draft%20Thesis\Story%20Analysis\Quarterly%20returns\Inflation%20Quarterly.xlsx" TargetMode="External"/></Relationships>
</file>

<file path=word/charts/_rels/chart28.xml.rels><?xml version="1.0" encoding="UTF-8" standalone="yes"?>
<Relationships xmlns="http://schemas.openxmlformats.org/package/2006/relationships"><Relationship Id="rId1" Type="http://schemas.openxmlformats.org/officeDocument/2006/relationships/oleObject" Target="file:///\\rg0103\beleggenvol7\QR\Interns\Ana-Maria\Draft%20Thesis\Tables\monthly_onset.txt" TargetMode="External"/></Relationships>
</file>

<file path=word/charts/_rels/chart29.xml.rels><?xml version="1.0" encoding="UTF-8" standalone="yes"?>
<Relationships xmlns="http://schemas.openxmlformats.org/package/2006/relationships"><Relationship Id="rId1" Type="http://schemas.openxmlformats.org/officeDocument/2006/relationships/oleObject" Target="file:///F:\Robeco\15%20August\Ana-Maria\Draft%20Thesis\Tables\Results\Inflation-yield%201952-2007.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Country'!$T$2</c:f>
              <c:strCache>
                <c:ptCount val="1"/>
                <c:pt idx="0">
                  <c:v>Australia</c:v>
                </c:pt>
              </c:strCache>
            </c:strRef>
          </c:tx>
          <c:spPr>
            <a:solidFill>
              <a:schemeClr val="tx2">
                <a:lumMod val="75000"/>
              </a:scheme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Country'!$T$3:$T$14</c:f>
              <c:numCache>
                <c:formatCode>0.00000000</c:formatCode>
                <c:ptCount val="12"/>
                <c:pt idx="0">
                  <c:v>2.6186681306682278E-4</c:v>
                </c:pt>
                <c:pt idx="1">
                  <c:v>-1.8025239472420481E-3</c:v>
                </c:pt>
                <c:pt idx="2">
                  <c:v>-5.6161788861130643E-4</c:v>
                </c:pt>
                <c:pt idx="3">
                  <c:v>3.2750598479362159E-3</c:v>
                </c:pt>
                <c:pt idx="4">
                  <c:v>8.7039073375258676E-4</c:v>
                </c:pt>
                <c:pt idx="5">
                  <c:v>-7.6104723491601236E-4</c:v>
                </c:pt>
                <c:pt idx="6">
                  <c:v>5.1662603708573758E-3</c:v>
                </c:pt>
                <c:pt idx="7">
                  <c:v>4.4194080166459473E-3</c:v>
                </c:pt>
                <c:pt idx="8">
                  <c:v>3.3640213978081662E-3</c:v>
                </c:pt>
                <c:pt idx="9">
                  <c:v>-1.2852619398859043E-3</c:v>
                </c:pt>
                <c:pt idx="10">
                  <c:v>4.015563376910899E-3</c:v>
                </c:pt>
                <c:pt idx="11">
                  <c:v>3.4839023662311406E-3</c:v>
                </c:pt>
              </c:numCache>
            </c:numRef>
          </c:val>
        </c:ser>
        <c:dLbls/>
        <c:axId val="94855552"/>
        <c:axId val="94857088"/>
      </c:barChart>
      <c:dateAx>
        <c:axId val="94855552"/>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4857088"/>
        <c:crosses val="autoZero"/>
        <c:auto val="1"/>
        <c:lblOffset val="100"/>
        <c:baseTimeUnit val="months"/>
      </c:dateAx>
      <c:valAx>
        <c:axId val="94857088"/>
        <c:scaling>
          <c:orientation val="minMax"/>
          <c:max val="1.2000000000000009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4855552"/>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Country'!$U$2</c:f>
              <c:strCache>
                <c:ptCount val="1"/>
                <c:pt idx="0">
                  <c:v>Canada</c:v>
                </c:pt>
              </c:strCache>
            </c:strRef>
          </c:tx>
          <c:spPr>
            <a:solidFill>
              <a:schemeClr val="tx2">
                <a:lumMod val="75000"/>
              </a:scheme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Country'!$U$3:$U$14</c:f>
              <c:numCache>
                <c:formatCode>0.00000000</c:formatCode>
                <c:ptCount val="12"/>
                <c:pt idx="0">
                  <c:v>1.351616295712018E-3</c:v>
                </c:pt>
                <c:pt idx="1">
                  <c:v>-1.7906651971889221E-4</c:v>
                </c:pt>
                <c:pt idx="2">
                  <c:v>-2.8384333103709052E-3</c:v>
                </c:pt>
                <c:pt idx="3">
                  <c:v>-2.3270410210387061E-3</c:v>
                </c:pt>
                <c:pt idx="4">
                  <c:v>6.0783307002582488E-3</c:v>
                </c:pt>
                <c:pt idx="5">
                  <c:v>1.512393872310346E-3</c:v>
                </c:pt>
                <c:pt idx="6">
                  <c:v>3.2982672659489587E-3</c:v>
                </c:pt>
                <c:pt idx="7">
                  <c:v>5.8658035563361769E-3</c:v>
                </c:pt>
                <c:pt idx="8">
                  <c:v>1.9112938103658175E-3</c:v>
                </c:pt>
                <c:pt idx="9">
                  <c:v>7.5736650221924695E-3</c:v>
                </c:pt>
                <c:pt idx="10">
                  <c:v>3.0195566687365389E-3</c:v>
                </c:pt>
                <c:pt idx="11">
                  <c:v>4.5413539348045052E-3</c:v>
                </c:pt>
              </c:numCache>
            </c:numRef>
          </c:val>
        </c:ser>
        <c:dLbls/>
        <c:axId val="94881280"/>
        <c:axId val="94882816"/>
      </c:barChart>
      <c:dateAx>
        <c:axId val="94881280"/>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4882816"/>
        <c:crosses val="autoZero"/>
        <c:auto val="1"/>
        <c:lblOffset val="100"/>
        <c:baseTimeUnit val="months"/>
      </c:dateAx>
      <c:valAx>
        <c:axId val="94882816"/>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4881280"/>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Country'!$V$2</c:f>
              <c:strCache>
                <c:ptCount val="1"/>
                <c:pt idx="0">
                  <c:v>Germany</c:v>
                </c:pt>
              </c:strCache>
            </c:strRef>
          </c:tx>
          <c:spPr>
            <a:solidFill>
              <a:schemeClr val="tx2">
                <a:lumMod val="75000"/>
              </a:schemeClr>
            </a:solidFill>
            <a:ln>
              <a:solidFill>
                <a:schemeClr val="accent1"/>
              </a:solidFill>
            </a:ln>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Country'!$V$3:$V$14</c:f>
              <c:numCache>
                <c:formatCode>0.00000000</c:formatCode>
                <c:ptCount val="12"/>
                <c:pt idx="0">
                  <c:v>6.7790578400505415E-4</c:v>
                </c:pt>
                <c:pt idx="1">
                  <c:v>-1.2900756710377058E-3</c:v>
                </c:pt>
                <c:pt idx="2">
                  <c:v>2.5267506531647402E-4</c:v>
                </c:pt>
                <c:pt idx="3">
                  <c:v>1.2655636421245418E-3</c:v>
                </c:pt>
                <c:pt idx="4">
                  <c:v>-2.9359231574181517E-5</c:v>
                </c:pt>
                <c:pt idx="5">
                  <c:v>-1.1810371195343848E-3</c:v>
                </c:pt>
                <c:pt idx="6">
                  <c:v>3.5555846339545292E-3</c:v>
                </c:pt>
                <c:pt idx="7">
                  <c:v>3.9318338556403754E-3</c:v>
                </c:pt>
                <c:pt idx="8">
                  <c:v>2.8452463879973041E-3</c:v>
                </c:pt>
                <c:pt idx="9">
                  <c:v>1.8114897093032922E-3</c:v>
                </c:pt>
                <c:pt idx="10">
                  <c:v>4.2496173984811047E-3</c:v>
                </c:pt>
                <c:pt idx="11">
                  <c:v>1.9863707099344648E-3</c:v>
                </c:pt>
              </c:numCache>
            </c:numRef>
          </c:val>
        </c:ser>
        <c:dLbls/>
        <c:axId val="94509696"/>
        <c:axId val="94531968"/>
      </c:barChart>
      <c:dateAx>
        <c:axId val="94509696"/>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4531968"/>
        <c:crosses val="autoZero"/>
        <c:auto val="1"/>
        <c:lblOffset val="100"/>
        <c:baseTimeUnit val="months"/>
      </c:dateAx>
      <c:valAx>
        <c:axId val="94531968"/>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4509696"/>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Country'!$W$2</c:f>
              <c:strCache>
                <c:ptCount val="1"/>
                <c:pt idx="0">
                  <c:v>Japan</c:v>
                </c:pt>
              </c:strCache>
            </c:strRef>
          </c:tx>
          <c:spPr>
            <a:solidFill>
              <a:schemeClr val="tx2">
                <a:lumMod val="75000"/>
              </a:scheme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Country'!$W$3:$W$14</c:f>
              <c:numCache>
                <c:formatCode>0.00000000</c:formatCode>
                <c:ptCount val="12"/>
                <c:pt idx="0">
                  <c:v>-3.4002596639293593E-4</c:v>
                </c:pt>
                <c:pt idx="1">
                  <c:v>1.4846071650911651E-3</c:v>
                </c:pt>
                <c:pt idx="2">
                  <c:v>4.4184702490564845E-3</c:v>
                </c:pt>
                <c:pt idx="3">
                  <c:v>8.5254316420678422E-4</c:v>
                </c:pt>
                <c:pt idx="4">
                  <c:v>1.2335284819718641E-3</c:v>
                </c:pt>
                <c:pt idx="5">
                  <c:v>-1.880831290782856E-3</c:v>
                </c:pt>
                <c:pt idx="6">
                  <c:v>1.4988045510453041E-3</c:v>
                </c:pt>
                <c:pt idx="7">
                  <c:v>1.9365388142405337E-3</c:v>
                </c:pt>
                <c:pt idx="8">
                  <c:v>3.408167121789939E-3</c:v>
                </c:pt>
                <c:pt idx="9">
                  <c:v>3.3718215713126943E-3</c:v>
                </c:pt>
                <c:pt idx="10">
                  <c:v>4.4364863225256693E-3</c:v>
                </c:pt>
                <c:pt idx="11">
                  <c:v>2.5500509511955996E-3</c:v>
                </c:pt>
              </c:numCache>
            </c:numRef>
          </c:val>
        </c:ser>
        <c:dLbls/>
        <c:axId val="94556160"/>
        <c:axId val="94557696"/>
      </c:barChart>
      <c:dateAx>
        <c:axId val="94556160"/>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4557696"/>
        <c:crosses val="autoZero"/>
        <c:auto val="1"/>
        <c:lblOffset val="100"/>
        <c:baseTimeUnit val="months"/>
      </c:dateAx>
      <c:valAx>
        <c:axId val="94557696"/>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4556160"/>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Country'!$X$2</c:f>
              <c:strCache>
                <c:ptCount val="1"/>
                <c:pt idx="0">
                  <c:v>United Kingdom</c:v>
                </c:pt>
              </c:strCache>
            </c:strRef>
          </c:tx>
          <c:spPr>
            <a:solidFill>
              <a:schemeClr val="tx2">
                <a:lumMod val="75000"/>
              </a:scheme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Country'!$X$3:$X$14</c:f>
              <c:numCache>
                <c:formatCode>0.00000000</c:formatCode>
                <c:ptCount val="12"/>
                <c:pt idx="0">
                  <c:v>-5.3157878382267658E-4</c:v>
                </c:pt>
                <c:pt idx="1">
                  <c:v>7.0522966456615366E-5</c:v>
                </c:pt>
                <c:pt idx="2">
                  <c:v>1.7956382630339661E-3</c:v>
                </c:pt>
                <c:pt idx="3">
                  <c:v>-2.0167955844195284E-3</c:v>
                </c:pt>
                <c:pt idx="4">
                  <c:v>7.791225956876363E-4</c:v>
                </c:pt>
                <c:pt idx="5">
                  <c:v>-3.9321320802840213E-3</c:v>
                </c:pt>
                <c:pt idx="6">
                  <c:v>3.6761708292288439E-3</c:v>
                </c:pt>
                <c:pt idx="7">
                  <c:v>6.6326268232348821E-3</c:v>
                </c:pt>
                <c:pt idx="8">
                  <c:v>2.6202479651265252E-3</c:v>
                </c:pt>
                <c:pt idx="9">
                  <c:v>5.7508288287299791E-3</c:v>
                </c:pt>
                <c:pt idx="10">
                  <c:v>4.6235723609579053E-3</c:v>
                </c:pt>
                <c:pt idx="11">
                  <c:v>-1.5566485718981961E-4</c:v>
                </c:pt>
              </c:numCache>
            </c:numRef>
          </c:val>
        </c:ser>
        <c:dLbls/>
        <c:axId val="101536896"/>
        <c:axId val="101538432"/>
      </c:barChart>
      <c:dateAx>
        <c:axId val="101536896"/>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1538432"/>
        <c:crosses val="autoZero"/>
        <c:auto val="1"/>
        <c:lblOffset val="100"/>
        <c:baseTimeUnit val="months"/>
      </c:dateAx>
      <c:valAx>
        <c:axId val="101538432"/>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1536896"/>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Country'!$Y$2</c:f>
              <c:strCache>
                <c:ptCount val="1"/>
                <c:pt idx="0">
                  <c:v>United States</c:v>
                </c:pt>
              </c:strCache>
            </c:strRef>
          </c:tx>
          <c:spPr>
            <a:solidFill>
              <a:srgbClr val="1F497D">
                <a:lumMod val="75000"/>
              </a:srgb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Country'!$Y$3:$Y$14</c:f>
              <c:numCache>
                <c:formatCode>0.00000000</c:formatCode>
                <c:ptCount val="12"/>
                <c:pt idx="0">
                  <c:v>3.1011013779747789E-3</c:v>
                </c:pt>
                <c:pt idx="1">
                  <c:v>-9.6666581030956848E-4</c:v>
                </c:pt>
                <c:pt idx="2">
                  <c:v>-3.3219048796705839E-3</c:v>
                </c:pt>
                <c:pt idx="3">
                  <c:v>-1.7547405984815342E-3</c:v>
                </c:pt>
                <c:pt idx="4">
                  <c:v>1.7848697142584622E-3</c:v>
                </c:pt>
                <c:pt idx="5">
                  <c:v>2.6984245116185874E-3</c:v>
                </c:pt>
                <c:pt idx="6">
                  <c:v>4.0559372614775366E-3</c:v>
                </c:pt>
                <c:pt idx="7">
                  <c:v>9.2776838104996345E-3</c:v>
                </c:pt>
                <c:pt idx="8">
                  <c:v>7.8511153362886832E-3</c:v>
                </c:pt>
                <c:pt idx="9">
                  <c:v>7.1306715341841996E-4</c:v>
                </c:pt>
                <c:pt idx="10">
                  <c:v>4.2623981418525502E-3</c:v>
                </c:pt>
                <c:pt idx="11">
                  <c:v>9.6776715692521308E-4</c:v>
                </c:pt>
              </c:numCache>
            </c:numRef>
          </c:val>
        </c:ser>
        <c:dLbls/>
        <c:axId val="101570816"/>
        <c:axId val="96206848"/>
      </c:barChart>
      <c:dateAx>
        <c:axId val="101570816"/>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6206848"/>
        <c:crosses val="autoZero"/>
        <c:auto val="1"/>
        <c:lblOffset val="100"/>
        <c:baseTimeUnit val="months"/>
      </c:dateAx>
      <c:valAx>
        <c:axId val="96206848"/>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1570816"/>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'Developed Nominal Country'!$Z$2</c:f>
              <c:strCache>
                <c:ptCount val="1"/>
                <c:pt idx="0">
                  <c:v>Developed (6)</c:v>
                </c:pt>
              </c:strCache>
            </c:strRef>
          </c:tx>
          <c:spPr>
            <a:solidFill>
              <a:schemeClr val="tx2">
                <a:lumMod val="75000"/>
              </a:schemeClr>
            </a:solidFill>
          </c:spPr>
          <c:cat>
            <c:numRef>
              <c:f>'Developed Nominal Country'!$R$3:$R$14</c:f>
              <c:numCache>
                <c:formatCode>mmm</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'Developed Nominal Country'!$Z$3:$Z$14</c:f>
              <c:numCache>
                <c:formatCode>0.00000000</c:formatCode>
                <c:ptCount val="12"/>
                <c:pt idx="0">
                  <c:v>5.2272107294650144E-5</c:v>
                </c:pt>
                <c:pt idx="1">
                  <c:v>-1.3937141290992952E-3</c:v>
                </c:pt>
                <c:pt idx="2">
                  <c:v>4.8021292282976892E-4</c:v>
                </c:pt>
                <c:pt idx="3">
                  <c:v>6.4223249257203585E-4</c:v>
                </c:pt>
                <c:pt idx="4">
                  <c:v>1.5123907930284528E-3</c:v>
                </c:pt>
                <c:pt idx="5">
                  <c:v>-6.0778155581285836E-4</c:v>
                </c:pt>
                <c:pt idx="6">
                  <c:v>2.7303722310956235E-3</c:v>
                </c:pt>
                <c:pt idx="7">
                  <c:v>4.0486932160007033E-3</c:v>
                </c:pt>
                <c:pt idx="8">
                  <c:v>2.965624571251285E-3</c:v>
                </c:pt>
                <c:pt idx="9">
                  <c:v>3.9853378996313679E-3</c:v>
                </c:pt>
                <c:pt idx="10">
                  <c:v>4.5215139369161788E-3</c:v>
                </c:pt>
                <c:pt idx="11">
                  <c:v>1.7437538708189491E-3</c:v>
                </c:pt>
              </c:numCache>
            </c:numRef>
          </c:val>
        </c:ser>
        <c:dLbls/>
        <c:axId val="96222592"/>
        <c:axId val="96236672"/>
      </c:barChart>
      <c:dateAx>
        <c:axId val="96222592"/>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6236672"/>
        <c:crosses val="autoZero"/>
        <c:auto val="1"/>
        <c:lblOffset val="100"/>
        <c:baseTimeUnit val="months"/>
      </c:dateAx>
      <c:valAx>
        <c:axId val="96236672"/>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6222592"/>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Inflation!$R$2</c:f>
              <c:strCache>
                <c:ptCount val="1"/>
                <c:pt idx="0">
                  <c:v>Canada</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Inflation!$R$3:$R$14</c:f>
              <c:numCache>
                <c:formatCode>0.000000000000</c:formatCode>
                <c:ptCount val="12"/>
                <c:pt idx="0">
                  <c:v>3.2333680837569444E-3</c:v>
                </c:pt>
                <c:pt idx="1">
                  <c:v>3.7559708477419738E-3</c:v>
                </c:pt>
                <c:pt idx="2">
                  <c:v>3.7301498854422329E-3</c:v>
                </c:pt>
                <c:pt idx="3">
                  <c:v>2.1393850144558477E-3</c:v>
                </c:pt>
                <c:pt idx="4">
                  <c:v>4.0298420673753384E-3</c:v>
                </c:pt>
                <c:pt idx="5">
                  <c:v>1.4625590868765563E-3</c:v>
                </c:pt>
                <c:pt idx="6">
                  <c:v>2.2370096001116252E-3</c:v>
                </c:pt>
                <c:pt idx="7">
                  <c:v>7.1389381077144559E-4</c:v>
                </c:pt>
                <c:pt idx="8">
                  <c:v>1.1034791942903703E-3</c:v>
                </c:pt>
                <c:pt idx="9">
                  <c:v>7.1854131161311829E-4</c:v>
                </c:pt>
                <c:pt idx="10">
                  <c:v>1.8672037319932802E-3</c:v>
                </c:pt>
                <c:pt idx="11">
                  <c:v>-1.0201330164015571E-3</c:v>
                </c:pt>
              </c:numCache>
            </c:numRef>
          </c:val>
        </c:ser>
        <c:dLbls/>
        <c:axId val="96264576"/>
        <c:axId val="96266112"/>
      </c:barChart>
      <c:dateAx>
        <c:axId val="96264576"/>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96266112"/>
        <c:crosses val="autoZero"/>
        <c:auto val="1"/>
        <c:lblOffset val="100"/>
        <c:baseTimeUnit val="months"/>
      </c:dateAx>
      <c:valAx>
        <c:axId val="96266112"/>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96264576"/>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9.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Inflation!$AB$2</c:f>
              <c:strCache>
                <c:ptCount val="1"/>
                <c:pt idx="0">
                  <c:v>Developed (5)</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Inflation!$AB$3:$AB$14</c:f>
              <c:numCache>
                <c:formatCode>0.000000000000</c:formatCode>
                <c:ptCount val="12"/>
                <c:pt idx="0">
                  <c:v>2.0650897798403819E-3</c:v>
                </c:pt>
                <c:pt idx="1">
                  <c:v>3.4544095961138647E-3</c:v>
                </c:pt>
                <c:pt idx="2">
                  <c:v>3.7010187141295493E-3</c:v>
                </c:pt>
                <c:pt idx="3">
                  <c:v>4.9038771939145511E-3</c:v>
                </c:pt>
                <c:pt idx="4">
                  <c:v>3.1978138937724409E-3</c:v>
                </c:pt>
                <c:pt idx="5">
                  <c:v>1.6676598816598436E-3</c:v>
                </c:pt>
                <c:pt idx="6">
                  <c:v>8.185712195920438E-4</c:v>
                </c:pt>
                <c:pt idx="7">
                  <c:v>1.9214599967494921E-3</c:v>
                </c:pt>
                <c:pt idx="8">
                  <c:v>2.8760326083386877E-3</c:v>
                </c:pt>
                <c:pt idx="9">
                  <c:v>1.8926154087003625E-3</c:v>
                </c:pt>
                <c:pt idx="10">
                  <c:v>3.4216778721636137E-4</c:v>
                </c:pt>
                <c:pt idx="11">
                  <c:v>8.592509598669897E-4</c:v>
                </c:pt>
              </c:numCache>
            </c:numRef>
          </c:val>
        </c:ser>
        <c:dLbls/>
        <c:axId val="102848000"/>
        <c:axId val="102849536"/>
      </c:barChart>
      <c:dateAx>
        <c:axId val="102848000"/>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2849536"/>
        <c:crosses val="autoZero"/>
        <c:auto val="1"/>
        <c:lblOffset val="100"/>
        <c:baseTimeUnit val="months"/>
      </c:dateAx>
      <c:valAx>
        <c:axId val="102849536"/>
        <c:scaling>
          <c:orientation val="minMax"/>
          <c:max val="1.2000000000000005E-2"/>
          <c:min val="-4.0000000000000114E-3"/>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2848000"/>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Inflation!$V$2</c:f>
              <c:strCache>
                <c:ptCount val="1"/>
                <c:pt idx="0">
                  <c:v>Japan</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Inflation!$V$3:$V$14</c:f>
              <c:numCache>
                <c:formatCode>0.000000000000</c:formatCode>
                <c:ptCount val="12"/>
                <c:pt idx="0">
                  <c:v>-3.5168192533435391E-4</c:v>
                </c:pt>
                <c:pt idx="1">
                  <c:v>-1.5994122359441129E-3</c:v>
                </c:pt>
                <c:pt idx="2">
                  <c:v>2.728328013371425E-3</c:v>
                </c:pt>
                <c:pt idx="3">
                  <c:v>4.5586204140351605E-3</c:v>
                </c:pt>
                <c:pt idx="4">
                  <c:v>2.3327235410298352E-3</c:v>
                </c:pt>
                <c:pt idx="5">
                  <c:v>-2.083557150917046E-3</c:v>
                </c:pt>
                <c:pt idx="6">
                  <c:v>-2.2968265617066804E-3</c:v>
                </c:pt>
                <c:pt idx="7">
                  <c:v>1.678622586043325E-3</c:v>
                </c:pt>
                <c:pt idx="8">
                  <c:v>3.9768502550891691E-3</c:v>
                </c:pt>
                <c:pt idx="9">
                  <c:v>2.5655847404708223E-3</c:v>
                </c:pt>
                <c:pt idx="10">
                  <c:v>-4.0087104266731503E-3</c:v>
                </c:pt>
                <c:pt idx="11">
                  <c:v>-9.5857153058476728E-4</c:v>
                </c:pt>
              </c:numCache>
            </c:numRef>
          </c:val>
        </c:ser>
        <c:dLbls/>
        <c:axId val="102877440"/>
        <c:axId val="102772736"/>
      </c:barChart>
      <c:dateAx>
        <c:axId val="102877440"/>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2772736"/>
        <c:crosses val="autoZero"/>
        <c:auto val="1"/>
        <c:lblOffset val="100"/>
        <c:baseTimeUnit val="months"/>
      </c:dateAx>
      <c:valAx>
        <c:axId val="102772736"/>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2877440"/>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Inflation!$X$2</c:f>
              <c:strCache>
                <c:ptCount val="1"/>
                <c:pt idx="0">
                  <c:v>United Kingdom</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Inflation!$X$3:$X$14</c:f>
              <c:numCache>
                <c:formatCode>0.000000000000</c:formatCode>
                <c:ptCount val="12"/>
                <c:pt idx="0">
                  <c:v>-6.3432541030393485E-4</c:v>
                </c:pt>
                <c:pt idx="1">
                  <c:v>5.6638447058194484E-3</c:v>
                </c:pt>
                <c:pt idx="2">
                  <c:v>4.7861900229393978E-3</c:v>
                </c:pt>
                <c:pt idx="3">
                  <c:v>1.1655640968082345E-2</c:v>
                </c:pt>
                <c:pt idx="4">
                  <c:v>4.0980665990814034E-3</c:v>
                </c:pt>
                <c:pt idx="5">
                  <c:v>2.033064014964601E-3</c:v>
                </c:pt>
                <c:pt idx="6">
                  <c:v>-1.059317933461761E-3</c:v>
                </c:pt>
                <c:pt idx="7">
                  <c:v>4.2052332867939836E-3</c:v>
                </c:pt>
                <c:pt idx="8">
                  <c:v>4.3616956105594724E-3</c:v>
                </c:pt>
                <c:pt idx="9">
                  <c:v>2.6136347355574796E-3</c:v>
                </c:pt>
                <c:pt idx="10">
                  <c:v>2.2197368878853576E-3</c:v>
                </c:pt>
                <c:pt idx="11">
                  <c:v>2.3104422438795318E-3</c:v>
                </c:pt>
              </c:numCache>
            </c:numRef>
          </c:val>
        </c:ser>
        <c:dLbls/>
        <c:axId val="102780288"/>
        <c:axId val="102794368"/>
      </c:barChart>
      <c:dateAx>
        <c:axId val="102780288"/>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2794368"/>
        <c:crosses val="autoZero"/>
        <c:auto val="1"/>
        <c:lblOffset val="100"/>
        <c:baseTimeUnit val="months"/>
      </c:dateAx>
      <c:valAx>
        <c:axId val="102794368"/>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2780288"/>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Inflation!$Z$2</c:f>
              <c:strCache>
                <c:ptCount val="1"/>
                <c:pt idx="0">
                  <c:v>United States</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Inflation!$Z$3:$Z$14</c:f>
              <c:numCache>
                <c:formatCode>0.000000000000</c:formatCode>
                <c:ptCount val="12"/>
                <c:pt idx="0">
                  <c:v>4.5121609071291438E-3</c:v>
                </c:pt>
                <c:pt idx="1">
                  <c:v>4.1726372205123582E-3</c:v>
                </c:pt>
                <c:pt idx="2">
                  <c:v>4.6377982678196331E-3</c:v>
                </c:pt>
                <c:pt idx="3">
                  <c:v>3.88086034599702E-3</c:v>
                </c:pt>
                <c:pt idx="4">
                  <c:v>3.1359136229976801E-3</c:v>
                </c:pt>
                <c:pt idx="5">
                  <c:v>3.3067762932708742E-3</c:v>
                </c:pt>
                <c:pt idx="6">
                  <c:v>1.8756720829054461E-3</c:v>
                </c:pt>
                <c:pt idx="7">
                  <c:v>2.7198669008407887E-3</c:v>
                </c:pt>
                <c:pt idx="8">
                  <c:v>3.5368099869627582E-3</c:v>
                </c:pt>
                <c:pt idx="9">
                  <c:v>1.6149724270976705E-3</c:v>
                </c:pt>
                <c:pt idx="10">
                  <c:v>-1.0418667772863746E-4</c:v>
                </c:pt>
                <c:pt idx="11">
                  <c:v>-4.8353946263602108E-4</c:v>
                </c:pt>
              </c:numCache>
            </c:numRef>
          </c:val>
        </c:ser>
        <c:dLbls/>
        <c:axId val="102900480"/>
        <c:axId val="102902016"/>
      </c:barChart>
      <c:dateAx>
        <c:axId val="102900480"/>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2902016"/>
        <c:crosses val="autoZero"/>
        <c:auto val="1"/>
        <c:lblOffset val="100"/>
        <c:baseTimeUnit val="months"/>
      </c:dateAx>
      <c:valAx>
        <c:axId val="102902016"/>
        <c:scaling>
          <c:orientation val="minMax"/>
          <c:max val="1.2000000000000005E-2"/>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2900480"/>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13.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Inflation!$AB$2</c:f>
              <c:strCache>
                <c:ptCount val="1"/>
                <c:pt idx="0">
                  <c:v>Developed (5)</c:v>
                </c:pt>
              </c:strCache>
            </c:strRef>
          </c:tx>
          <c:spPr>
            <a:solidFill>
              <a:schemeClr val="tx2">
                <a:lumMod val="75000"/>
              </a:schemeClr>
            </a:solidFill>
          </c:spPr>
          <c:cat>
            <c:numRef>
              <c:f>Inflation!$P$3:$P$14</c:f>
              <c:numCache>
                <c:formatCode>mmm</c:formatCode>
                <c:ptCount val="12"/>
                <c:pt idx="0">
                  <c:v>41275</c:v>
                </c:pt>
                <c:pt idx="1">
                  <c:v>41306</c:v>
                </c:pt>
                <c:pt idx="2">
                  <c:v>41334</c:v>
                </c:pt>
                <c:pt idx="3">
                  <c:v>41365</c:v>
                </c:pt>
                <c:pt idx="4">
                  <c:v>41395</c:v>
                </c:pt>
                <c:pt idx="5">
                  <c:v>41426</c:v>
                </c:pt>
                <c:pt idx="6">
                  <c:v>41456</c:v>
                </c:pt>
                <c:pt idx="7">
                  <c:v>41487</c:v>
                </c:pt>
                <c:pt idx="8">
                  <c:v>41518</c:v>
                </c:pt>
                <c:pt idx="9">
                  <c:v>41548</c:v>
                </c:pt>
                <c:pt idx="10">
                  <c:v>41579</c:v>
                </c:pt>
                <c:pt idx="11">
                  <c:v>41609</c:v>
                </c:pt>
              </c:numCache>
            </c:numRef>
          </c:cat>
          <c:val>
            <c:numRef>
              <c:f>Inflation!$AB$3:$AB$14</c:f>
              <c:numCache>
                <c:formatCode>0.000000000000</c:formatCode>
                <c:ptCount val="12"/>
                <c:pt idx="0">
                  <c:v>2.0650897798403819E-3</c:v>
                </c:pt>
                <c:pt idx="1">
                  <c:v>3.4544095961138647E-3</c:v>
                </c:pt>
                <c:pt idx="2">
                  <c:v>3.7010187141295493E-3</c:v>
                </c:pt>
                <c:pt idx="3">
                  <c:v>4.9038771939145511E-3</c:v>
                </c:pt>
                <c:pt idx="4">
                  <c:v>3.1978138937724409E-3</c:v>
                </c:pt>
                <c:pt idx="5">
                  <c:v>1.6676598816598436E-3</c:v>
                </c:pt>
                <c:pt idx="6">
                  <c:v>8.185712195920438E-4</c:v>
                </c:pt>
                <c:pt idx="7">
                  <c:v>1.9214599967494921E-3</c:v>
                </c:pt>
                <c:pt idx="8">
                  <c:v>2.8760326083386877E-3</c:v>
                </c:pt>
                <c:pt idx="9">
                  <c:v>1.8926154087003625E-3</c:v>
                </c:pt>
                <c:pt idx="10">
                  <c:v>3.4216778721636137E-4</c:v>
                </c:pt>
                <c:pt idx="11">
                  <c:v>8.592509598669897E-4</c:v>
                </c:pt>
              </c:numCache>
            </c:numRef>
          </c:val>
        </c:ser>
        <c:dLbls/>
        <c:axId val="102926208"/>
        <c:axId val="102927744"/>
      </c:barChart>
      <c:dateAx>
        <c:axId val="102926208"/>
        <c:scaling>
          <c:orientation val="minMax"/>
        </c:scaling>
        <c:axPos val="b"/>
        <c:numFmt formatCode="mmm" sourceLinked="1"/>
        <c:tickLblPos val="low"/>
        <c:txPr>
          <a:bodyPr/>
          <a:lstStyle/>
          <a:p>
            <a:pPr>
              <a:defRPr sz="900">
                <a:latin typeface="+mn-lt"/>
                <a:cs typeface="Times New Roman" pitchFamily="18" charset="0"/>
              </a:defRPr>
            </a:pPr>
            <a:endParaRPr lang="en-US"/>
          </a:p>
        </c:txPr>
        <c:crossAx val="102927744"/>
        <c:crosses val="autoZero"/>
        <c:auto val="1"/>
        <c:lblOffset val="100"/>
        <c:baseTimeUnit val="months"/>
      </c:dateAx>
      <c:valAx>
        <c:axId val="102927744"/>
        <c:scaling>
          <c:orientation val="minMax"/>
          <c:max val="1.2000000000000005E-2"/>
          <c:min val="-4.0000000000000114E-3"/>
        </c:scaling>
        <c:axPos val="l"/>
        <c:majorGridlines>
          <c:spPr>
            <a:ln>
              <a:solidFill>
                <a:schemeClr val="bg1">
                  <a:lumMod val="85000"/>
                </a:schemeClr>
              </a:solidFill>
              <a:prstDash val="sysDot"/>
            </a:ln>
          </c:spPr>
        </c:majorGridlines>
        <c:numFmt formatCode="0.0%" sourceLinked="0"/>
        <c:tickLblPos val="nextTo"/>
        <c:txPr>
          <a:bodyPr/>
          <a:lstStyle/>
          <a:p>
            <a:pPr>
              <a:defRPr sz="900">
                <a:latin typeface="+mn-lt"/>
                <a:cs typeface="Times New Roman" pitchFamily="18" charset="0"/>
              </a:defRPr>
            </a:pPr>
            <a:endParaRPr lang="en-US"/>
          </a:p>
        </c:txPr>
        <c:crossAx val="102926208"/>
        <c:crosses val="autoZero"/>
        <c:crossBetween val="between"/>
        <c:majorUnit val="4.0000000000000114E-3"/>
      </c:valAx>
    </c:plotArea>
    <c:legend>
      <c:legendPos val="b"/>
      <c:txPr>
        <a:bodyPr/>
        <a:lstStyle/>
        <a:p>
          <a:pPr>
            <a:defRPr sz="900"/>
          </a:pPr>
          <a:endParaRPr lang="en-US"/>
        </a:p>
      </c:txPr>
    </c:legend>
    <c:plotVisOnly val="1"/>
    <c:dispBlanksAs val="gap"/>
  </c:chart>
  <c:spPr>
    <a:ln>
      <a:noFill/>
    </a:ln>
  </c:sp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QoQ!$AF$2</c:f>
              <c:strCache>
                <c:ptCount val="1"/>
                <c:pt idx="0">
                  <c:v>Australia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QoQ!$AF$3:$AF$6</c:f>
              <c:numCache>
                <c:formatCode>Standaard</c:formatCode>
                <c:ptCount val="4"/>
                <c:pt idx="0">
                  <c:v>-3.3580233287041393E-3</c:v>
                </c:pt>
                <c:pt idx="1">
                  <c:v>3.7531641367444346E-3</c:v>
                </c:pt>
                <c:pt idx="2">
                  <c:v>1.3354650244496301E-2</c:v>
                </c:pt>
                <c:pt idx="3">
                  <c:v>6.5626601352101934E-3</c:v>
                </c:pt>
              </c:numCache>
            </c:numRef>
          </c:val>
        </c:ser>
        <c:dLbls/>
        <c:axId val="102972416"/>
        <c:axId val="102978304"/>
      </c:barChart>
      <c:catAx>
        <c:axId val="102972416"/>
        <c:scaling>
          <c:orientation val="minMax"/>
        </c:scaling>
        <c:axPos val="b"/>
        <c:tickLblPos val="low"/>
        <c:txPr>
          <a:bodyPr/>
          <a:lstStyle/>
          <a:p>
            <a:pPr>
              <a:defRPr sz="900">
                <a:latin typeface="Calibri" pitchFamily="34" charset="0"/>
              </a:defRPr>
            </a:pPr>
            <a:endParaRPr lang="en-US"/>
          </a:p>
        </c:txPr>
        <c:crossAx val="102978304"/>
        <c:crosses val="autoZero"/>
        <c:auto val="1"/>
        <c:lblAlgn val="ctr"/>
        <c:lblOffset val="100"/>
      </c:catAx>
      <c:valAx>
        <c:axId val="102978304"/>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2972416"/>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15.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Infl'!$X$2</c:f>
              <c:strCache>
                <c:ptCount val="1"/>
                <c:pt idx="0">
                  <c:v>Australia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Infl'!$X$3:$X$6</c:f>
              <c:numCache>
                <c:formatCode>0.000000000000</c:formatCode>
                <c:ptCount val="4"/>
                <c:pt idx="0">
                  <c:v>7.2860987197624029E-3</c:v>
                </c:pt>
                <c:pt idx="1">
                  <c:v>8.0646260875052566E-3</c:v>
                </c:pt>
                <c:pt idx="2">
                  <c:v>9.2181083026760882E-3</c:v>
                </c:pt>
                <c:pt idx="3">
                  <c:v>6.9784701750612212E-3</c:v>
                </c:pt>
              </c:numCache>
            </c:numRef>
          </c:val>
        </c:ser>
        <c:dLbls/>
        <c:axId val="102998400"/>
        <c:axId val="102999936"/>
      </c:barChart>
      <c:catAx>
        <c:axId val="102998400"/>
        <c:scaling>
          <c:orientation val="minMax"/>
        </c:scaling>
        <c:axPos val="b"/>
        <c:numFmt formatCode="Standaard" sourceLinked="1"/>
        <c:tickLblPos val="low"/>
        <c:txPr>
          <a:bodyPr/>
          <a:lstStyle/>
          <a:p>
            <a:pPr>
              <a:defRPr sz="900">
                <a:latin typeface="Calibri" pitchFamily="34" charset="0"/>
              </a:defRPr>
            </a:pPr>
            <a:endParaRPr lang="en-US"/>
          </a:p>
        </c:txPr>
        <c:crossAx val="102999936"/>
        <c:crosses val="autoZero"/>
        <c:auto val="1"/>
        <c:lblAlgn val="ctr"/>
        <c:lblOffset val="100"/>
      </c:catAx>
      <c:valAx>
        <c:axId val="102999936"/>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299840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QoQ!$AG$2</c:f>
              <c:strCache>
                <c:ptCount val="1"/>
                <c:pt idx="0">
                  <c:v>Canada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QoQ!$AG$3:$AG$6</c:f>
              <c:numCache>
                <c:formatCode>Standaard</c:formatCode>
                <c:ptCount val="4"/>
                <c:pt idx="0">
                  <c:v>-1.7164060517856701E-3</c:v>
                </c:pt>
                <c:pt idx="1">
                  <c:v>5.6609845326171682E-3</c:v>
                </c:pt>
                <c:pt idx="2">
                  <c:v>1.118942167116147E-2</c:v>
                </c:pt>
                <c:pt idx="3">
                  <c:v>1.5564387402220877E-2</c:v>
                </c:pt>
              </c:numCache>
            </c:numRef>
          </c:val>
        </c:ser>
        <c:dLbls/>
        <c:axId val="103036416"/>
        <c:axId val="103037952"/>
      </c:barChart>
      <c:catAx>
        <c:axId val="103036416"/>
        <c:scaling>
          <c:orientation val="minMax"/>
        </c:scaling>
        <c:axPos val="b"/>
        <c:tickLblPos val="low"/>
        <c:txPr>
          <a:bodyPr/>
          <a:lstStyle/>
          <a:p>
            <a:pPr>
              <a:defRPr sz="900">
                <a:latin typeface="Calibri" pitchFamily="34" charset="0"/>
              </a:defRPr>
            </a:pPr>
            <a:endParaRPr lang="en-US"/>
          </a:p>
        </c:txPr>
        <c:crossAx val="103037952"/>
        <c:crosses val="autoZero"/>
        <c:auto val="1"/>
        <c:lblAlgn val="ctr"/>
        <c:lblOffset val="100"/>
      </c:catAx>
      <c:valAx>
        <c:axId val="103037952"/>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3036416"/>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17.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Infl'!$Y$2</c:f>
              <c:strCache>
                <c:ptCount val="1"/>
                <c:pt idx="0">
                  <c:v>Canada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Infl'!$Y$3:$Y$6</c:f>
              <c:numCache>
                <c:formatCode>0.000000000000</c:formatCode>
                <c:ptCount val="4"/>
                <c:pt idx="0">
                  <c:v>1.0754989983304718E-2</c:v>
                </c:pt>
                <c:pt idx="1">
                  <c:v>7.6538381445697178E-3</c:v>
                </c:pt>
                <c:pt idx="2">
                  <c:v>4.0607264019707524E-3</c:v>
                </c:pt>
                <c:pt idx="3">
                  <c:v>1.5738736957196244E-3</c:v>
                </c:pt>
              </c:numCache>
            </c:numRef>
          </c:val>
        </c:ser>
        <c:dLbls/>
        <c:axId val="103057664"/>
        <c:axId val="103075840"/>
      </c:barChart>
      <c:catAx>
        <c:axId val="103057664"/>
        <c:scaling>
          <c:orientation val="minMax"/>
        </c:scaling>
        <c:axPos val="b"/>
        <c:numFmt formatCode="Standaard" sourceLinked="1"/>
        <c:tickLblPos val="low"/>
        <c:txPr>
          <a:bodyPr/>
          <a:lstStyle/>
          <a:p>
            <a:pPr>
              <a:defRPr sz="900">
                <a:latin typeface="Calibri" pitchFamily="34" charset="0"/>
              </a:defRPr>
            </a:pPr>
            <a:endParaRPr lang="en-US"/>
          </a:p>
        </c:txPr>
        <c:crossAx val="103075840"/>
        <c:crosses val="autoZero"/>
        <c:auto val="1"/>
        <c:lblAlgn val="ctr"/>
        <c:lblOffset val="100"/>
      </c:catAx>
      <c:valAx>
        <c:axId val="103075840"/>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3057664"/>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QoQ!$AH$2</c:f>
              <c:strCache>
                <c:ptCount val="1"/>
                <c:pt idx="0">
                  <c:v>Germany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QoQ!$AH$3:$AH$6</c:f>
              <c:numCache>
                <c:formatCode>Standaard</c:formatCode>
                <c:ptCount val="4"/>
                <c:pt idx="0">
                  <c:v>-2.1624721947002877E-4</c:v>
                </c:pt>
                <c:pt idx="1">
                  <c:v>1.4411795212721141E-4</c:v>
                </c:pt>
                <c:pt idx="2">
                  <c:v>1.0554861858387382E-2</c:v>
                </c:pt>
                <c:pt idx="3">
                  <c:v>8.3873009030574867E-3</c:v>
                </c:pt>
              </c:numCache>
            </c:numRef>
          </c:val>
        </c:ser>
        <c:dLbls/>
        <c:axId val="103083392"/>
        <c:axId val="110048384"/>
      </c:barChart>
      <c:catAx>
        <c:axId val="103083392"/>
        <c:scaling>
          <c:orientation val="minMax"/>
        </c:scaling>
        <c:axPos val="b"/>
        <c:tickLblPos val="low"/>
        <c:txPr>
          <a:bodyPr/>
          <a:lstStyle/>
          <a:p>
            <a:pPr>
              <a:defRPr sz="900">
                <a:latin typeface="Calibri" pitchFamily="34" charset="0"/>
              </a:defRPr>
            </a:pPr>
            <a:endParaRPr lang="en-US"/>
          </a:p>
        </c:txPr>
        <c:crossAx val="110048384"/>
        <c:crosses val="autoZero"/>
        <c:auto val="1"/>
        <c:lblAlgn val="ctr"/>
        <c:lblOffset val="100"/>
      </c:catAx>
      <c:valAx>
        <c:axId val="110048384"/>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3083392"/>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19.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Infl'!$Z$2</c:f>
              <c:strCache>
                <c:ptCount val="1"/>
                <c:pt idx="0">
                  <c:v>Germany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Infl'!$Z$3:$Z$6</c:f>
              <c:numCache>
                <c:formatCode>0.000000000000</c:formatCode>
                <c:ptCount val="4"/>
                <c:pt idx="0">
                  <c:v>8.4111697429578719E-3</c:v>
                </c:pt>
                <c:pt idx="1">
                  <c:v>4.9504342009286531E-3</c:v>
                </c:pt>
                <c:pt idx="2">
                  <c:v>2.8329269980568532E-3</c:v>
                </c:pt>
                <c:pt idx="3">
                  <c:v>5.8506301185380699E-3</c:v>
                </c:pt>
              </c:numCache>
            </c:numRef>
          </c:val>
        </c:ser>
        <c:dLbls/>
        <c:axId val="110080768"/>
        <c:axId val="110082304"/>
      </c:barChart>
      <c:catAx>
        <c:axId val="110080768"/>
        <c:scaling>
          <c:orientation val="minMax"/>
        </c:scaling>
        <c:axPos val="b"/>
        <c:numFmt formatCode="Standaard" sourceLinked="1"/>
        <c:tickLblPos val="low"/>
        <c:txPr>
          <a:bodyPr/>
          <a:lstStyle/>
          <a:p>
            <a:pPr>
              <a:defRPr sz="900">
                <a:latin typeface="Calibri" pitchFamily="34" charset="0"/>
              </a:defRPr>
            </a:pPr>
            <a:endParaRPr lang="en-US"/>
          </a:p>
        </c:txPr>
        <c:crossAx val="110082304"/>
        <c:crosses val="autoZero"/>
        <c:auto val="1"/>
        <c:lblAlgn val="ctr"/>
        <c:lblOffset val="100"/>
      </c:catAx>
      <c:valAx>
        <c:axId val="110082304"/>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0080768"/>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0.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QoQ!$AI$2</c:f>
              <c:strCache>
                <c:ptCount val="1"/>
                <c:pt idx="0">
                  <c:v>Japan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QoQ!$AI$3:$AI$6</c:f>
              <c:numCache>
                <c:formatCode>Standaard</c:formatCode>
                <c:ptCount val="4"/>
                <c:pt idx="0">
                  <c:v>5.8092127743835428E-3</c:v>
                </c:pt>
                <c:pt idx="1">
                  <c:v>1.4838944972620814E-4</c:v>
                </c:pt>
                <c:pt idx="2">
                  <c:v>7.0217776704397513E-3</c:v>
                </c:pt>
                <c:pt idx="3">
                  <c:v>1.0665803920487523E-2</c:v>
                </c:pt>
              </c:numCache>
            </c:numRef>
          </c:val>
        </c:ser>
        <c:dLbls/>
        <c:axId val="110184320"/>
        <c:axId val="110185856"/>
      </c:barChart>
      <c:catAx>
        <c:axId val="110184320"/>
        <c:scaling>
          <c:orientation val="minMax"/>
        </c:scaling>
        <c:axPos val="b"/>
        <c:tickLblPos val="low"/>
        <c:txPr>
          <a:bodyPr/>
          <a:lstStyle/>
          <a:p>
            <a:pPr>
              <a:defRPr sz="900">
                <a:latin typeface="Calibri" pitchFamily="34" charset="0"/>
              </a:defRPr>
            </a:pPr>
            <a:endParaRPr lang="en-US"/>
          </a:p>
        </c:txPr>
        <c:crossAx val="110185856"/>
        <c:crosses val="autoZero"/>
        <c:auto val="1"/>
        <c:lblAlgn val="ctr"/>
        <c:lblOffset val="100"/>
      </c:catAx>
      <c:valAx>
        <c:axId val="110185856"/>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018432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1.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Infl'!$AA$2</c:f>
              <c:strCache>
                <c:ptCount val="1"/>
                <c:pt idx="0">
                  <c:v>Japan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Infl'!$AA$3:$AA$6</c:f>
              <c:numCache>
                <c:formatCode>0.000000000000</c:formatCode>
                <c:ptCount val="4"/>
                <c:pt idx="0">
                  <c:v>7.7544260898645522E-4</c:v>
                </c:pt>
                <c:pt idx="1">
                  <c:v>4.8068163094461304E-3</c:v>
                </c:pt>
                <c:pt idx="2">
                  <c:v>3.3432414002225012E-3</c:v>
                </c:pt>
                <c:pt idx="3">
                  <c:v>-2.4138289716743402E-3</c:v>
                </c:pt>
              </c:numCache>
            </c:numRef>
          </c:val>
        </c:ser>
        <c:dLbls/>
        <c:axId val="110218240"/>
        <c:axId val="110224128"/>
      </c:barChart>
      <c:catAx>
        <c:axId val="110218240"/>
        <c:scaling>
          <c:orientation val="minMax"/>
        </c:scaling>
        <c:axPos val="b"/>
        <c:numFmt formatCode="Standaard" sourceLinked="1"/>
        <c:tickLblPos val="low"/>
        <c:txPr>
          <a:bodyPr/>
          <a:lstStyle/>
          <a:p>
            <a:pPr>
              <a:defRPr sz="900">
                <a:latin typeface="Calibri" pitchFamily="34" charset="0"/>
              </a:defRPr>
            </a:pPr>
            <a:endParaRPr lang="en-US"/>
          </a:p>
        </c:txPr>
        <c:crossAx val="110224128"/>
        <c:crosses val="autoZero"/>
        <c:auto val="1"/>
        <c:lblAlgn val="ctr"/>
        <c:lblOffset val="100"/>
      </c:catAx>
      <c:valAx>
        <c:axId val="110224128"/>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021824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2.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QoQ!$AJ$2</c:f>
              <c:strCache>
                <c:ptCount val="1"/>
                <c:pt idx="0">
                  <c:v>United Kingdom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QoQ!$AJ$3:$AJ$6</c:f>
              <c:numCache>
                <c:formatCode>Standaard</c:formatCode>
                <c:ptCount val="4"/>
                <c:pt idx="0">
                  <c:v>1.8832826515057691E-3</c:v>
                </c:pt>
                <c:pt idx="1">
                  <c:v>-4.888932785670686E-3</c:v>
                </c:pt>
                <c:pt idx="2">
                  <c:v>1.3276136470328732E-2</c:v>
                </c:pt>
                <c:pt idx="3">
                  <c:v>1.0544025734456569E-2</c:v>
                </c:pt>
              </c:numCache>
            </c:numRef>
          </c:val>
        </c:ser>
        <c:dLbls/>
        <c:axId val="110109056"/>
        <c:axId val="110110592"/>
      </c:barChart>
      <c:catAx>
        <c:axId val="110109056"/>
        <c:scaling>
          <c:orientation val="minMax"/>
        </c:scaling>
        <c:axPos val="b"/>
        <c:tickLblPos val="low"/>
        <c:txPr>
          <a:bodyPr/>
          <a:lstStyle/>
          <a:p>
            <a:pPr>
              <a:defRPr sz="900">
                <a:latin typeface="Calibri" pitchFamily="34" charset="0"/>
              </a:defRPr>
            </a:pPr>
            <a:endParaRPr lang="en-US"/>
          </a:p>
        </c:txPr>
        <c:crossAx val="110110592"/>
        <c:crosses val="autoZero"/>
        <c:auto val="1"/>
        <c:lblAlgn val="ctr"/>
        <c:lblOffset val="100"/>
      </c:catAx>
      <c:valAx>
        <c:axId val="110110592"/>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0109056"/>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3.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Infl'!$AB$2</c:f>
              <c:strCache>
                <c:ptCount val="1"/>
                <c:pt idx="0">
                  <c:v>United Kingdom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Infl'!$AB$3:$AB$6</c:f>
              <c:numCache>
                <c:formatCode>0.000000000000</c:formatCode>
                <c:ptCount val="4"/>
                <c:pt idx="0">
                  <c:v>9.8597807831642664E-3</c:v>
                </c:pt>
                <c:pt idx="1">
                  <c:v>1.7892084884871522E-2</c:v>
                </c:pt>
                <c:pt idx="2">
                  <c:v>7.5203720582791584E-3</c:v>
                </c:pt>
                <c:pt idx="3">
                  <c:v>7.1776548557871932E-3</c:v>
                </c:pt>
              </c:numCache>
            </c:numRef>
          </c:val>
        </c:ser>
        <c:dLbls/>
        <c:axId val="110138880"/>
        <c:axId val="110140416"/>
      </c:barChart>
      <c:catAx>
        <c:axId val="110138880"/>
        <c:scaling>
          <c:orientation val="minMax"/>
        </c:scaling>
        <c:axPos val="b"/>
        <c:numFmt formatCode="Standaard" sourceLinked="1"/>
        <c:tickLblPos val="low"/>
        <c:txPr>
          <a:bodyPr/>
          <a:lstStyle/>
          <a:p>
            <a:pPr>
              <a:defRPr sz="900">
                <a:latin typeface="Calibri" pitchFamily="34" charset="0"/>
              </a:defRPr>
            </a:pPr>
            <a:endParaRPr lang="en-US"/>
          </a:p>
        </c:txPr>
        <c:crossAx val="110140416"/>
        <c:crosses val="autoZero"/>
        <c:auto val="1"/>
        <c:lblAlgn val="ctr"/>
        <c:lblOffset val="100"/>
      </c:catAx>
      <c:valAx>
        <c:axId val="110140416"/>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013888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4.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QoQ!$AK$2</c:f>
              <c:strCache>
                <c:ptCount val="1"/>
                <c:pt idx="0">
                  <c:v>United States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QoQ!$AK$3:$AK$6</c:f>
              <c:numCache>
                <c:formatCode>Standaard</c:formatCode>
                <c:ptCount val="4"/>
                <c:pt idx="0">
                  <c:v>-5.1743754587244414E-3</c:v>
                </c:pt>
                <c:pt idx="1">
                  <c:v>6.0822174826194635E-3</c:v>
                </c:pt>
                <c:pt idx="2">
                  <c:v>1.0637371743073621E-2</c:v>
                </c:pt>
                <c:pt idx="3">
                  <c:v>1.0993880896446361E-2</c:v>
                </c:pt>
              </c:numCache>
            </c:numRef>
          </c:val>
        </c:ser>
        <c:dLbls/>
        <c:axId val="103553664"/>
        <c:axId val="103575936"/>
      </c:barChart>
      <c:catAx>
        <c:axId val="103553664"/>
        <c:scaling>
          <c:orientation val="minMax"/>
        </c:scaling>
        <c:axPos val="b"/>
        <c:tickLblPos val="low"/>
        <c:txPr>
          <a:bodyPr/>
          <a:lstStyle/>
          <a:p>
            <a:pPr>
              <a:defRPr sz="900">
                <a:latin typeface="Calibri" pitchFamily="34" charset="0"/>
              </a:defRPr>
            </a:pPr>
            <a:endParaRPr lang="en-US"/>
          </a:p>
        </c:txPr>
        <c:crossAx val="103575936"/>
        <c:crosses val="autoZero"/>
        <c:auto val="1"/>
        <c:lblAlgn val="ctr"/>
        <c:lblOffset val="100"/>
      </c:catAx>
      <c:valAx>
        <c:axId val="103575936"/>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3553664"/>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5.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Infl'!$AC$2</c:f>
              <c:strCache>
                <c:ptCount val="1"/>
                <c:pt idx="0">
                  <c:v>United States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Infl'!$AC$3:$AC$6</c:f>
              <c:numCache>
                <c:formatCode>0.000000000000</c:formatCode>
                <c:ptCount val="4"/>
                <c:pt idx="0">
                  <c:v>1.339729953495232E-2</c:v>
                </c:pt>
                <c:pt idx="1">
                  <c:v>1.0372540818487607E-2</c:v>
                </c:pt>
                <c:pt idx="2">
                  <c:v>8.1633846577129389E-3</c:v>
                </c:pt>
                <c:pt idx="3">
                  <c:v>1.0539659348002535E-3</c:v>
                </c:pt>
              </c:numCache>
            </c:numRef>
          </c:val>
        </c:ser>
        <c:dLbls/>
        <c:axId val="103587840"/>
        <c:axId val="103589376"/>
      </c:barChart>
      <c:catAx>
        <c:axId val="103587840"/>
        <c:scaling>
          <c:orientation val="minMax"/>
        </c:scaling>
        <c:axPos val="b"/>
        <c:numFmt formatCode="Standaard" sourceLinked="1"/>
        <c:tickLblPos val="low"/>
        <c:txPr>
          <a:bodyPr/>
          <a:lstStyle/>
          <a:p>
            <a:pPr>
              <a:defRPr sz="900">
                <a:latin typeface="Calibri" pitchFamily="34" charset="0"/>
              </a:defRPr>
            </a:pPr>
            <a:endParaRPr lang="en-US"/>
          </a:p>
        </c:txPr>
        <c:crossAx val="103589376"/>
        <c:crosses val="autoZero"/>
        <c:auto val="1"/>
        <c:lblAlgn val="ctr"/>
        <c:lblOffset val="100"/>
      </c:catAx>
      <c:valAx>
        <c:axId val="103589376"/>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0358784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6.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QoQ!$AL$2</c:f>
              <c:strCache>
                <c:ptCount val="1"/>
                <c:pt idx="0">
                  <c:v>Developed - Bond Returns</c:v>
                </c:pt>
              </c:strCache>
            </c:strRef>
          </c:tx>
          <c:spPr>
            <a:solidFill>
              <a:schemeClr val="tx2">
                <a:lumMod val="75000"/>
              </a:schemeClr>
            </a:solidFill>
          </c:spPr>
          <c:cat>
            <c:strRef>
              <c:f>QoQ!$AD$3:$AD$6</c:f>
              <c:strCache>
                <c:ptCount val="4"/>
                <c:pt idx="0">
                  <c:v>Q1</c:v>
                </c:pt>
                <c:pt idx="1">
                  <c:v>Q2</c:v>
                </c:pt>
                <c:pt idx="2">
                  <c:v>Q3</c:v>
                </c:pt>
                <c:pt idx="3">
                  <c:v>Q4</c:v>
                </c:pt>
              </c:strCache>
            </c:strRef>
          </c:cat>
          <c:val>
            <c:numRef>
              <c:f>QoQ!$AL$3:$AL$6</c:f>
              <c:numCache>
                <c:formatCode>Standaard</c:formatCode>
                <c:ptCount val="4"/>
                <c:pt idx="0">
                  <c:v>-8.0894016428623616E-4</c:v>
                </c:pt>
                <c:pt idx="1">
                  <c:v>1.8786987724520108E-3</c:v>
                </c:pt>
                <c:pt idx="2">
                  <c:v>1.0029004911609966E-2</c:v>
                </c:pt>
                <c:pt idx="3">
                  <c:v>1.0643785827832545E-2</c:v>
                </c:pt>
              </c:numCache>
            </c:numRef>
          </c:val>
        </c:ser>
        <c:dLbls/>
        <c:axId val="111891584"/>
        <c:axId val="111893120"/>
      </c:barChart>
      <c:catAx>
        <c:axId val="111891584"/>
        <c:scaling>
          <c:orientation val="minMax"/>
        </c:scaling>
        <c:axPos val="b"/>
        <c:numFmt formatCode="Standaard" sourceLinked="1"/>
        <c:tickLblPos val="low"/>
        <c:txPr>
          <a:bodyPr/>
          <a:lstStyle/>
          <a:p>
            <a:pPr>
              <a:defRPr sz="900">
                <a:latin typeface="Calibri" pitchFamily="34" charset="0"/>
              </a:defRPr>
            </a:pPr>
            <a:endParaRPr lang="en-US"/>
          </a:p>
        </c:txPr>
        <c:crossAx val="111893120"/>
        <c:crosses val="autoZero"/>
        <c:auto val="1"/>
        <c:lblAlgn val="ctr"/>
        <c:lblOffset val="100"/>
      </c:catAx>
      <c:valAx>
        <c:axId val="111893120"/>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1891584"/>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7.xml><?xml version="1.0" encoding="utf-8"?>
<c:chartSpace xmlns:c="http://schemas.openxmlformats.org/drawingml/2006/chart" xmlns:a="http://schemas.openxmlformats.org/drawingml/2006/main" xmlns:r="http://schemas.openxmlformats.org/officeDocument/2006/relationships">
  <c:lang val="en-US"/>
  <c:chart>
    <c:autoTitleDeleted val="1"/>
    <c:plotArea>
      <c:layout/>
      <c:barChart>
        <c:barDir val="col"/>
        <c:grouping val="clustered"/>
        <c:ser>
          <c:idx val="0"/>
          <c:order val="0"/>
          <c:tx>
            <c:strRef>
              <c:f>'Quarterly Infl'!$AD$2</c:f>
              <c:strCache>
                <c:ptCount val="1"/>
                <c:pt idx="0">
                  <c:v>Developed - Inflation Rate</c:v>
                </c:pt>
              </c:strCache>
            </c:strRef>
          </c:tx>
          <c:spPr>
            <a:solidFill>
              <a:schemeClr val="tx2">
                <a:lumMod val="75000"/>
              </a:schemeClr>
            </a:solidFill>
          </c:spPr>
          <c:cat>
            <c:strRef>
              <c:f>'Quarterly Infl'!$V$3:$V$6</c:f>
              <c:strCache>
                <c:ptCount val="4"/>
                <c:pt idx="0">
                  <c:v>Q1</c:v>
                </c:pt>
                <c:pt idx="1">
                  <c:v>Q2</c:v>
                </c:pt>
                <c:pt idx="2">
                  <c:v>Q3</c:v>
                </c:pt>
                <c:pt idx="3">
                  <c:v>Q4</c:v>
                </c:pt>
              </c:strCache>
            </c:strRef>
          </c:cat>
          <c:val>
            <c:numRef>
              <c:f>'Quarterly Infl'!$AD$3:$AD$6</c:f>
              <c:numCache>
                <c:formatCode>0.000000000000</c:formatCode>
                <c:ptCount val="4"/>
                <c:pt idx="0">
                  <c:v>9.2910559974803044E-3</c:v>
                </c:pt>
                <c:pt idx="1">
                  <c:v>9.9299535889275994E-3</c:v>
                </c:pt>
                <c:pt idx="2">
                  <c:v>6.6503857131221924E-3</c:v>
                </c:pt>
                <c:pt idx="3">
                  <c:v>4.4034878846868847E-3</c:v>
                </c:pt>
              </c:numCache>
            </c:numRef>
          </c:val>
        </c:ser>
        <c:dLbls/>
        <c:axId val="111913600"/>
        <c:axId val="111935872"/>
      </c:barChart>
      <c:catAx>
        <c:axId val="111913600"/>
        <c:scaling>
          <c:orientation val="minMax"/>
        </c:scaling>
        <c:axPos val="b"/>
        <c:numFmt formatCode="Standaard" sourceLinked="1"/>
        <c:tickLblPos val="low"/>
        <c:txPr>
          <a:bodyPr/>
          <a:lstStyle/>
          <a:p>
            <a:pPr>
              <a:defRPr sz="900">
                <a:latin typeface="Calibri" pitchFamily="34" charset="0"/>
              </a:defRPr>
            </a:pPr>
            <a:endParaRPr lang="en-US"/>
          </a:p>
        </c:txPr>
        <c:crossAx val="111935872"/>
        <c:crosses val="autoZero"/>
        <c:auto val="1"/>
        <c:lblAlgn val="ctr"/>
        <c:lblOffset val="100"/>
      </c:catAx>
      <c:valAx>
        <c:axId val="111935872"/>
        <c:scaling>
          <c:orientation val="minMax"/>
          <c:max val="2.0000000000000011E-2"/>
          <c:min val="-1.0000000000000005E-2"/>
        </c:scaling>
        <c:axPos val="l"/>
        <c:majorGridlines>
          <c:spPr>
            <a:ln>
              <a:solidFill>
                <a:schemeClr val="bg1">
                  <a:lumMod val="40000"/>
                  <a:lumOff val="60000"/>
                </a:schemeClr>
              </a:solidFill>
              <a:prstDash val="sysDot"/>
            </a:ln>
          </c:spPr>
        </c:majorGridlines>
        <c:numFmt formatCode="0.0%" sourceLinked="0"/>
        <c:tickLblPos val="nextTo"/>
        <c:txPr>
          <a:bodyPr/>
          <a:lstStyle/>
          <a:p>
            <a:pPr>
              <a:defRPr sz="900">
                <a:latin typeface="Calibri" pitchFamily="34" charset="0"/>
              </a:defRPr>
            </a:pPr>
            <a:endParaRPr lang="en-US"/>
          </a:p>
        </c:txPr>
        <c:crossAx val="111913600"/>
        <c:crosses val="autoZero"/>
        <c:crossBetween val="between"/>
        <c:majorUnit val="1.0000000000000005E-2"/>
      </c:valAx>
      <c:spPr>
        <a:solidFill>
          <a:srgbClr val="FFFFFF"/>
        </a:solidFill>
      </c:spPr>
    </c:plotArea>
    <c:legend>
      <c:legendPos val="b"/>
      <c:txPr>
        <a:bodyPr/>
        <a:lstStyle/>
        <a:p>
          <a:pPr>
            <a:defRPr sz="900">
              <a:latin typeface="Calibri" pitchFamily="34" charset="0"/>
            </a:defRPr>
          </a:pPr>
          <a:endParaRPr lang="en-US"/>
        </a:p>
      </c:txPr>
    </c:legend>
    <c:plotVisOnly val="1"/>
    <c:dispBlanksAs val="gap"/>
  </c:chart>
  <c:spPr>
    <a:solidFill>
      <a:srgbClr val="FFFFFF"/>
    </a:solidFill>
    <a:ln>
      <a:noFill/>
    </a:ln>
  </c:spPr>
  <c:externalData r:id="rId1"/>
</c:chartSpace>
</file>

<file path=word/charts/chart28.xml><?xml version="1.0" encoding="utf-8"?>
<c:chartSpace xmlns:c="http://schemas.openxmlformats.org/drawingml/2006/chart" xmlns:a="http://schemas.openxmlformats.org/drawingml/2006/main" xmlns:r="http://schemas.openxmlformats.org/officeDocument/2006/relationships">
  <c:lang val="en-US"/>
  <c:chart>
    <c:autoTitleDeleted val="1"/>
    <c:plotArea>
      <c:layout/>
      <c:lineChart>
        <c:grouping val="standard"/>
        <c:ser>
          <c:idx val="0"/>
          <c:order val="0"/>
          <c:tx>
            <c:strRef>
              <c:f>monthly_onset!$B$1</c:f>
              <c:strCache>
                <c:ptCount val="1"/>
                <c:pt idx="0">
                  <c:v>SAD Onset/Recovery Variable</c:v>
                </c:pt>
              </c:strCache>
            </c:strRef>
          </c:tx>
          <c:spPr>
            <a:ln>
              <a:solidFill>
                <a:schemeClr val="tx2">
                  <a:lumMod val="75000"/>
                </a:schemeClr>
              </a:solidFill>
            </a:ln>
          </c:spPr>
          <c:marker>
            <c:symbol val="none"/>
          </c:marker>
          <c:cat>
            <c:numRef>
              <c:f>monthly_onset!$A$2:$A$13</c:f>
              <c:numCache>
                <c:formatCode>mmm\-\y\y</c:formatCode>
                <c:ptCount val="12"/>
                <c:pt idx="0">
                  <c:v>41640</c:v>
                </c:pt>
                <c:pt idx="1">
                  <c:v>41671</c:v>
                </c:pt>
                <c:pt idx="2">
                  <c:v>41699</c:v>
                </c:pt>
                <c:pt idx="3">
                  <c:v>41730</c:v>
                </c:pt>
                <c:pt idx="4">
                  <c:v>41760</c:v>
                </c:pt>
                <c:pt idx="5">
                  <c:v>41791</c:v>
                </c:pt>
                <c:pt idx="6">
                  <c:v>41821</c:v>
                </c:pt>
                <c:pt idx="7">
                  <c:v>41852</c:v>
                </c:pt>
                <c:pt idx="8">
                  <c:v>41883</c:v>
                </c:pt>
                <c:pt idx="9">
                  <c:v>41913</c:v>
                </c:pt>
                <c:pt idx="10">
                  <c:v>41944</c:v>
                </c:pt>
                <c:pt idx="11">
                  <c:v>41974</c:v>
                </c:pt>
              </c:numCache>
            </c:numRef>
          </c:cat>
          <c:val>
            <c:numRef>
              <c:f>monthly_onset!$B$2:$B$13</c:f>
              <c:numCache>
                <c:formatCode>Standaard</c:formatCode>
                <c:ptCount val="12"/>
                <c:pt idx="0">
                  <c:v>-5.3252264000000014E-2</c:v>
                </c:pt>
                <c:pt idx="1">
                  <c:v>-0.214179804</c:v>
                </c:pt>
                <c:pt idx="2">
                  <c:v>-0.41763199400000001</c:v>
                </c:pt>
                <c:pt idx="3">
                  <c:v>-0.20739892300000001</c:v>
                </c:pt>
                <c:pt idx="4">
                  <c:v>-4.7617655000000023E-2</c:v>
                </c:pt>
                <c:pt idx="5">
                  <c:v>-3.4559820000000011E-3</c:v>
                </c:pt>
                <c:pt idx="6">
                  <c:v>2.8172356400000004E-2</c:v>
                </c:pt>
                <c:pt idx="7">
                  <c:v>0.14866333290000044</c:v>
                </c:pt>
                <c:pt idx="8">
                  <c:v>0.38193166670000095</c:v>
                </c:pt>
                <c:pt idx="9">
                  <c:v>0.30115148260000002</c:v>
                </c:pt>
                <c:pt idx="10">
                  <c:v>7.7860753400000024E-2</c:v>
                </c:pt>
                <c:pt idx="11">
                  <c:v>5.2318340000000133E-3</c:v>
                </c:pt>
              </c:numCache>
            </c:numRef>
          </c:val>
        </c:ser>
        <c:dLbls/>
        <c:marker val="1"/>
        <c:axId val="111963520"/>
        <c:axId val="111965312"/>
      </c:lineChart>
      <c:dateAx>
        <c:axId val="111963520"/>
        <c:scaling>
          <c:orientation val="minMax"/>
        </c:scaling>
        <c:axPos val="b"/>
        <c:numFmt formatCode="mmm" sourceLinked="0"/>
        <c:tickLblPos val="low"/>
        <c:txPr>
          <a:bodyPr/>
          <a:lstStyle/>
          <a:p>
            <a:pPr>
              <a:defRPr sz="900">
                <a:latin typeface="+mn-lt"/>
                <a:cs typeface="Times New Roman" panose="02020603050405020304" pitchFamily="18" charset="0"/>
              </a:defRPr>
            </a:pPr>
            <a:endParaRPr lang="en-US"/>
          </a:p>
        </c:txPr>
        <c:crossAx val="111965312"/>
        <c:crosses val="autoZero"/>
        <c:auto val="1"/>
        <c:lblOffset val="100"/>
        <c:baseTimeUnit val="months"/>
      </c:dateAx>
      <c:valAx>
        <c:axId val="111965312"/>
        <c:scaling>
          <c:orientation val="minMax"/>
        </c:scaling>
        <c:axPos val="l"/>
        <c:majorGridlines>
          <c:spPr>
            <a:ln>
              <a:solidFill>
                <a:schemeClr val="bg1">
                  <a:lumMod val="85000"/>
                </a:schemeClr>
              </a:solidFill>
              <a:prstDash val="sysDot"/>
            </a:ln>
          </c:spPr>
        </c:majorGridlines>
        <c:numFmt formatCode="Standaard" sourceLinked="1"/>
        <c:tickLblPos val="nextTo"/>
        <c:txPr>
          <a:bodyPr/>
          <a:lstStyle/>
          <a:p>
            <a:pPr>
              <a:defRPr sz="900">
                <a:latin typeface="+mn-lt"/>
                <a:cs typeface="Times New Roman" panose="02020603050405020304" pitchFamily="18" charset="0"/>
              </a:defRPr>
            </a:pPr>
            <a:endParaRPr lang="en-US"/>
          </a:p>
        </c:txPr>
        <c:crossAx val="111963520"/>
        <c:crosses val="autoZero"/>
        <c:crossBetween val="between"/>
        <c:majorUnit val="0.25"/>
      </c:valAx>
    </c:plotArea>
    <c:legend>
      <c:legendPos val="b"/>
      <c:txPr>
        <a:bodyPr/>
        <a:lstStyle/>
        <a:p>
          <a:pPr>
            <a:defRPr sz="900">
              <a:latin typeface="+mn-lt"/>
              <a:cs typeface="Times New Roman" panose="02020603050405020304" pitchFamily="18" charset="0"/>
            </a:defRPr>
          </a:pPr>
          <a:endParaRPr lang="en-US"/>
        </a:p>
      </c:txPr>
    </c:legend>
    <c:plotVisOnly val="1"/>
    <c:dispBlanksAs val="gap"/>
  </c:chart>
  <c:spPr>
    <a:ln>
      <a:noFill/>
    </a:ln>
  </c:spPr>
  <c:externalData r:id="rId1"/>
</c:chartSpace>
</file>

<file path=word/charts/chart29.xml><?xml version="1.0" encoding="utf-8"?>
<c:chartSpace xmlns:c="http://schemas.openxmlformats.org/drawingml/2006/chart" xmlns:a="http://schemas.openxmlformats.org/drawingml/2006/main" xmlns:r="http://schemas.openxmlformats.org/officeDocument/2006/relationships">
  <c:lang val="en-US"/>
  <c:chart>
    <c:plotArea>
      <c:layout/>
      <c:lineChart>
        <c:grouping val="standard"/>
        <c:ser>
          <c:idx val="0"/>
          <c:order val="0"/>
          <c:tx>
            <c:strRef>
              <c:f>Sheet1!$C$2</c:f>
              <c:strCache>
                <c:ptCount val="1"/>
                <c:pt idx="0">
                  <c:v>10Y yield</c:v>
                </c:pt>
              </c:strCache>
            </c:strRef>
          </c:tx>
          <c:spPr>
            <a:ln>
              <a:solidFill>
                <a:schemeClr val="tx2">
                  <a:lumMod val="75000"/>
                </a:schemeClr>
              </a:solidFill>
            </a:ln>
          </c:spPr>
          <c:marker>
            <c:symbol val="none"/>
          </c:marker>
          <c:cat>
            <c:strRef>
              <c:f>Sheet1!$A$3:$A$674</c:f>
              <c:strCache>
                <c:ptCount val="672"/>
                <c:pt idx="0">
                  <c:v>01/31/1952</c:v>
                </c:pt>
                <c:pt idx="1">
                  <c:v>02/29/1952</c:v>
                </c:pt>
                <c:pt idx="2">
                  <c:v>03/31/1952</c:v>
                </c:pt>
                <c:pt idx="3">
                  <c:v>04/30/1952</c:v>
                </c:pt>
                <c:pt idx="4">
                  <c:v>05/29/1952</c:v>
                </c:pt>
                <c:pt idx="5">
                  <c:v>06/30/1952</c:v>
                </c:pt>
                <c:pt idx="6">
                  <c:v>07/31/1952</c:v>
                </c:pt>
                <c:pt idx="7">
                  <c:v>08/29/1952</c:v>
                </c:pt>
                <c:pt idx="8">
                  <c:v>09/30/1952</c:v>
                </c:pt>
                <c:pt idx="9">
                  <c:v>10/31/1952</c:v>
                </c:pt>
                <c:pt idx="10">
                  <c:v>11/28/1952</c:v>
                </c:pt>
                <c:pt idx="11">
                  <c:v>12/31/1952</c:v>
                </c:pt>
                <c:pt idx="12">
                  <c:v>01/30/1953</c:v>
                </c:pt>
                <c:pt idx="13">
                  <c:v>02/27/1953</c:v>
                </c:pt>
                <c:pt idx="14">
                  <c:v>03/31/1953</c:v>
                </c:pt>
                <c:pt idx="15">
                  <c:v>04/30/1953</c:v>
                </c:pt>
                <c:pt idx="16">
                  <c:v>05/29/1953</c:v>
                </c:pt>
                <c:pt idx="17">
                  <c:v>06/30/1953</c:v>
                </c:pt>
                <c:pt idx="18">
                  <c:v>07/31/1953</c:v>
                </c:pt>
                <c:pt idx="19">
                  <c:v>08/31/1953</c:v>
                </c:pt>
                <c:pt idx="20">
                  <c:v>09/30/1953</c:v>
                </c:pt>
                <c:pt idx="21">
                  <c:v>10/30/1953</c:v>
                </c:pt>
                <c:pt idx="22">
                  <c:v>11/30/1953</c:v>
                </c:pt>
                <c:pt idx="23">
                  <c:v>12/31/1953</c:v>
                </c:pt>
                <c:pt idx="24">
                  <c:v>01/29/1954</c:v>
                </c:pt>
                <c:pt idx="25">
                  <c:v>02/26/1954</c:v>
                </c:pt>
                <c:pt idx="26">
                  <c:v>03/31/1954</c:v>
                </c:pt>
                <c:pt idx="27">
                  <c:v>04/30/1954</c:v>
                </c:pt>
                <c:pt idx="28">
                  <c:v>05/28/1954</c:v>
                </c:pt>
                <c:pt idx="29">
                  <c:v>06/30/1954</c:v>
                </c:pt>
                <c:pt idx="30">
                  <c:v>07/30/1954</c:v>
                </c:pt>
                <c:pt idx="31">
                  <c:v>08/31/1954</c:v>
                </c:pt>
                <c:pt idx="32">
                  <c:v>09/30/1954</c:v>
                </c:pt>
                <c:pt idx="33">
                  <c:v>10/29/1954</c:v>
                </c:pt>
                <c:pt idx="34">
                  <c:v>11/30/1954</c:v>
                </c:pt>
                <c:pt idx="35">
                  <c:v>12/31/1954</c:v>
                </c:pt>
                <c:pt idx="36">
                  <c:v>01/31/1955</c:v>
                </c:pt>
                <c:pt idx="37">
                  <c:v>02/28/1955</c:v>
                </c:pt>
                <c:pt idx="38">
                  <c:v>03/31/1955</c:v>
                </c:pt>
                <c:pt idx="39">
                  <c:v>04/29/1955</c:v>
                </c:pt>
                <c:pt idx="40">
                  <c:v>05/31/1955</c:v>
                </c:pt>
                <c:pt idx="41">
                  <c:v>06/30/1955</c:v>
                </c:pt>
                <c:pt idx="42">
                  <c:v>07/29/1955</c:v>
                </c:pt>
                <c:pt idx="43">
                  <c:v>08/31/1955</c:v>
                </c:pt>
                <c:pt idx="44">
                  <c:v>09/30/1955</c:v>
                </c:pt>
                <c:pt idx="45">
                  <c:v>10/31/1955</c:v>
                </c:pt>
                <c:pt idx="46">
                  <c:v>11/30/1955</c:v>
                </c:pt>
                <c:pt idx="47">
                  <c:v>12/30/1955</c:v>
                </c:pt>
                <c:pt idx="48">
                  <c:v>01/31/1956</c:v>
                </c:pt>
                <c:pt idx="49">
                  <c:v>02/29/1956</c:v>
                </c:pt>
                <c:pt idx="50">
                  <c:v>03/29/1956</c:v>
                </c:pt>
                <c:pt idx="51">
                  <c:v>04/30/1956</c:v>
                </c:pt>
                <c:pt idx="52">
                  <c:v>05/31/1956</c:v>
                </c:pt>
                <c:pt idx="53">
                  <c:v>06/29/1956</c:v>
                </c:pt>
                <c:pt idx="54">
                  <c:v>07/31/1956</c:v>
                </c:pt>
                <c:pt idx="55">
                  <c:v>08/31/1956</c:v>
                </c:pt>
                <c:pt idx="56">
                  <c:v>09/28/1956</c:v>
                </c:pt>
                <c:pt idx="57">
                  <c:v>10/31/1956</c:v>
                </c:pt>
                <c:pt idx="58">
                  <c:v>11/30/1956</c:v>
                </c:pt>
                <c:pt idx="59">
                  <c:v>12/31/1956</c:v>
                </c:pt>
                <c:pt idx="60">
                  <c:v>01/31/1957</c:v>
                </c:pt>
                <c:pt idx="61">
                  <c:v>02/28/1957</c:v>
                </c:pt>
                <c:pt idx="62">
                  <c:v>03/29/1957</c:v>
                </c:pt>
                <c:pt idx="63">
                  <c:v>04/30/1957</c:v>
                </c:pt>
                <c:pt idx="64">
                  <c:v>05/31/1957</c:v>
                </c:pt>
                <c:pt idx="65">
                  <c:v>06/27/1957</c:v>
                </c:pt>
                <c:pt idx="66">
                  <c:v>07/31/1957</c:v>
                </c:pt>
                <c:pt idx="67">
                  <c:v>08/30/1957</c:v>
                </c:pt>
                <c:pt idx="68">
                  <c:v>09/30/1957</c:v>
                </c:pt>
                <c:pt idx="69">
                  <c:v>10/31/1957</c:v>
                </c:pt>
                <c:pt idx="70">
                  <c:v>11/29/1957</c:v>
                </c:pt>
                <c:pt idx="71">
                  <c:v>12/31/1957</c:v>
                </c:pt>
                <c:pt idx="72">
                  <c:v>01/31/1958</c:v>
                </c:pt>
                <c:pt idx="73">
                  <c:v>02/28/1958</c:v>
                </c:pt>
                <c:pt idx="74">
                  <c:v>03/31/1958</c:v>
                </c:pt>
                <c:pt idx="75">
                  <c:v>04/30/1958</c:v>
                </c:pt>
                <c:pt idx="76">
                  <c:v>05/29/1958</c:v>
                </c:pt>
                <c:pt idx="77">
                  <c:v>06/30/1958</c:v>
                </c:pt>
                <c:pt idx="78">
                  <c:v>07/31/1958</c:v>
                </c:pt>
                <c:pt idx="79">
                  <c:v>08/29/1958</c:v>
                </c:pt>
                <c:pt idx="80">
                  <c:v>09/30/1958</c:v>
                </c:pt>
                <c:pt idx="81">
                  <c:v>10/31/1958</c:v>
                </c:pt>
                <c:pt idx="82">
                  <c:v>11/28/1958</c:v>
                </c:pt>
                <c:pt idx="83">
                  <c:v>12/31/1958</c:v>
                </c:pt>
                <c:pt idx="84">
                  <c:v>01/30/1959</c:v>
                </c:pt>
                <c:pt idx="85">
                  <c:v>02/27/1959</c:v>
                </c:pt>
                <c:pt idx="86">
                  <c:v>03/31/1959</c:v>
                </c:pt>
                <c:pt idx="87">
                  <c:v>04/30/1959</c:v>
                </c:pt>
                <c:pt idx="88">
                  <c:v>05/29/1959</c:v>
                </c:pt>
                <c:pt idx="89">
                  <c:v>06/30/1959</c:v>
                </c:pt>
                <c:pt idx="90">
                  <c:v>07/31/1959</c:v>
                </c:pt>
                <c:pt idx="91">
                  <c:v>08/31/1959</c:v>
                </c:pt>
                <c:pt idx="92">
                  <c:v>09/30/1959</c:v>
                </c:pt>
                <c:pt idx="93">
                  <c:v>10/30/1959</c:v>
                </c:pt>
                <c:pt idx="94">
                  <c:v>11/30/1959</c:v>
                </c:pt>
                <c:pt idx="95">
                  <c:v>12/31/1959</c:v>
                </c:pt>
                <c:pt idx="96">
                  <c:v>01/29/1960</c:v>
                </c:pt>
                <c:pt idx="97">
                  <c:v>02/29/1960</c:v>
                </c:pt>
                <c:pt idx="98">
                  <c:v>03/31/1960</c:v>
                </c:pt>
                <c:pt idx="99">
                  <c:v>04/29/1960</c:v>
                </c:pt>
                <c:pt idx="100">
                  <c:v>05/31/1960</c:v>
                </c:pt>
                <c:pt idx="101">
                  <c:v>06/30/1960</c:v>
                </c:pt>
                <c:pt idx="102">
                  <c:v>07/29/1960</c:v>
                </c:pt>
                <c:pt idx="103">
                  <c:v>08/31/1960</c:v>
                </c:pt>
                <c:pt idx="104">
                  <c:v>09/30/1960</c:v>
                </c:pt>
                <c:pt idx="105">
                  <c:v>10/31/1960</c:v>
                </c:pt>
                <c:pt idx="106">
                  <c:v>11/30/1960</c:v>
                </c:pt>
                <c:pt idx="107">
                  <c:v>12/30/1960</c:v>
                </c:pt>
                <c:pt idx="108">
                  <c:v>01/31/1961</c:v>
                </c:pt>
                <c:pt idx="109">
                  <c:v>02/28/1961</c:v>
                </c:pt>
                <c:pt idx="110">
                  <c:v>03/30/1961</c:v>
                </c:pt>
                <c:pt idx="111">
                  <c:v>04/28/1961</c:v>
                </c:pt>
                <c:pt idx="112">
                  <c:v>05/31/1961</c:v>
                </c:pt>
                <c:pt idx="113">
                  <c:v>06/30/1961</c:v>
                </c:pt>
                <c:pt idx="114">
                  <c:v>07/31/1961</c:v>
                </c:pt>
                <c:pt idx="115">
                  <c:v>08/31/1961</c:v>
                </c:pt>
                <c:pt idx="116">
                  <c:v>09/29/1961</c:v>
                </c:pt>
                <c:pt idx="117">
                  <c:v>10/31/1961</c:v>
                </c:pt>
                <c:pt idx="118">
                  <c:v>11/30/1961</c:v>
                </c:pt>
                <c:pt idx="119">
                  <c:v>12/29/1961</c:v>
                </c:pt>
                <c:pt idx="120">
                  <c:v>01/31/1962</c:v>
                </c:pt>
                <c:pt idx="121">
                  <c:v>02/28/1962</c:v>
                </c:pt>
                <c:pt idx="122">
                  <c:v>03/30/1962</c:v>
                </c:pt>
                <c:pt idx="123">
                  <c:v>04/30/1962</c:v>
                </c:pt>
                <c:pt idx="124">
                  <c:v>05/31/1962</c:v>
                </c:pt>
                <c:pt idx="125">
                  <c:v>06/29/1962</c:v>
                </c:pt>
                <c:pt idx="126">
                  <c:v>07/31/1962</c:v>
                </c:pt>
                <c:pt idx="127">
                  <c:v>08/31/1962</c:v>
                </c:pt>
                <c:pt idx="128">
                  <c:v>09/28/1962</c:v>
                </c:pt>
                <c:pt idx="129">
                  <c:v>10/31/1962</c:v>
                </c:pt>
                <c:pt idx="130">
                  <c:v>11/30/1962</c:v>
                </c:pt>
                <c:pt idx="131">
                  <c:v>12/31/1962</c:v>
                </c:pt>
                <c:pt idx="132">
                  <c:v>01/31/1963</c:v>
                </c:pt>
                <c:pt idx="133">
                  <c:v>02/28/1963</c:v>
                </c:pt>
                <c:pt idx="134">
                  <c:v>03/29/1963</c:v>
                </c:pt>
                <c:pt idx="135">
                  <c:v>04/30/1963</c:v>
                </c:pt>
                <c:pt idx="136">
                  <c:v>05/31/1963</c:v>
                </c:pt>
                <c:pt idx="137">
                  <c:v>06/28/1963</c:v>
                </c:pt>
                <c:pt idx="138">
                  <c:v>07/31/1963</c:v>
                </c:pt>
                <c:pt idx="139">
                  <c:v>08/30/1963</c:v>
                </c:pt>
                <c:pt idx="140">
                  <c:v>09/30/1963</c:v>
                </c:pt>
                <c:pt idx="141">
                  <c:v>10/31/1963</c:v>
                </c:pt>
                <c:pt idx="142">
                  <c:v>11/29/1963</c:v>
                </c:pt>
                <c:pt idx="143">
                  <c:v>12/31/1963</c:v>
                </c:pt>
                <c:pt idx="144">
                  <c:v>01/31/1964</c:v>
                </c:pt>
                <c:pt idx="145">
                  <c:v>02/28/1964</c:v>
                </c:pt>
                <c:pt idx="146">
                  <c:v>03/31/1964</c:v>
                </c:pt>
                <c:pt idx="147">
                  <c:v>04/30/1964</c:v>
                </c:pt>
                <c:pt idx="148">
                  <c:v>05/28/1964</c:v>
                </c:pt>
                <c:pt idx="149">
                  <c:v>06/30/1964</c:v>
                </c:pt>
                <c:pt idx="150">
                  <c:v>07/31/1964</c:v>
                </c:pt>
                <c:pt idx="151">
                  <c:v>08/31/1964</c:v>
                </c:pt>
                <c:pt idx="152">
                  <c:v>09/30/1964</c:v>
                </c:pt>
                <c:pt idx="153">
                  <c:v>10/30/1964</c:v>
                </c:pt>
                <c:pt idx="154">
                  <c:v>11/30/1964</c:v>
                </c:pt>
                <c:pt idx="155">
                  <c:v>12/31/1964</c:v>
                </c:pt>
                <c:pt idx="156">
                  <c:v>01/29/1965</c:v>
                </c:pt>
                <c:pt idx="157">
                  <c:v>02/26/1965</c:v>
                </c:pt>
                <c:pt idx="158">
                  <c:v>03/31/1965</c:v>
                </c:pt>
                <c:pt idx="159">
                  <c:v>04/30/1965</c:v>
                </c:pt>
                <c:pt idx="160">
                  <c:v>05/28/1965</c:v>
                </c:pt>
                <c:pt idx="161">
                  <c:v>06/30/1965</c:v>
                </c:pt>
                <c:pt idx="162">
                  <c:v>07/30/1965</c:v>
                </c:pt>
                <c:pt idx="163">
                  <c:v>08/31/1965</c:v>
                </c:pt>
                <c:pt idx="164">
                  <c:v>09/30/1965</c:v>
                </c:pt>
                <c:pt idx="165">
                  <c:v>10/29/1965</c:v>
                </c:pt>
                <c:pt idx="166">
                  <c:v>11/30/1965</c:v>
                </c:pt>
                <c:pt idx="167">
                  <c:v>12/31/1965</c:v>
                </c:pt>
                <c:pt idx="168">
                  <c:v>01/31/1966</c:v>
                </c:pt>
                <c:pt idx="169">
                  <c:v>02/28/1966</c:v>
                </c:pt>
                <c:pt idx="170">
                  <c:v>03/31/1966</c:v>
                </c:pt>
                <c:pt idx="171">
                  <c:v>04/29/1966</c:v>
                </c:pt>
                <c:pt idx="172">
                  <c:v>05/31/1966</c:v>
                </c:pt>
                <c:pt idx="173">
                  <c:v>06/30/1966</c:v>
                </c:pt>
                <c:pt idx="174">
                  <c:v>07/29/1966</c:v>
                </c:pt>
                <c:pt idx="175">
                  <c:v>08/31/1966</c:v>
                </c:pt>
                <c:pt idx="176">
                  <c:v>09/30/1966</c:v>
                </c:pt>
                <c:pt idx="177">
                  <c:v>10/31/1966</c:v>
                </c:pt>
                <c:pt idx="178">
                  <c:v>11/30/1966</c:v>
                </c:pt>
                <c:pt idx="179">
                  <c:v>12/30/1966</c:v>
                </c:pt>
                <c:pt idx="180">
                  <c:v>01/31/1967</c:v>
                </c:pt>
                <c:pt idx="181">
                  <c:v>02/28/1967</c:v>
                </c:pt>
                <c:pt idx="182">
                  <c:v>03/31/1967</c:v>
                </c:pt>
                <c:pt idx="183">
                  <c:v>04/28/1967</c:v>
                </c:pt>
                <c:pt idx="184">
                  <c:v>05/31/1967</c:v>
                </c:pt>
                <c:pt idx="185">
                  <c:v>06/30/1967</c:v>
                </c:pt>
                <c:pt idx="186">
                  <c:v>07/31/1967</c:v>
                </c:pt>
                <c:pt idx="187">
                  <c:v>08/31/1967</c:v>
                </c:pt>
                <c:pt idx="188">
                  <c:v>09/29/1967</c:v>
                </c:pt>
                <c:pt idx="189">
                  <c:v>10/31/1967</c:v>
                </c:pt>
                <c:pt idx="190">
                  <c:v>11/30/1967</c:v>
                </c:pt>
                <c:pt idx="191">
                  <c:v>12/29/1967</c:v>
                </c:pt>
                <c:pt idx="192">
                  <c:v>01/31/1968</c:v>
                </c:pt>
                <c:pt idx="193">
                  <c:v>02/29/1968</c:v>
                </c:pt>
                <c:pt idx="194">
                  <c:v>03/29/1968</c:v>
                </c:pt>
                <c:pt idx="195">
                  <c:v>04/30/1968</c:v>
                </c:pt>
                <c:pt idx="196">
                  <c:v>05/31/1968</c:v>
                </c:pt>
                <c:pt idx="197">
                  <c:v>06/28/1968</c:v>
                </c:pt>
                <c:pt idx="198">
                  <c:v>07/31/1968</c:v>
                </c:pt>
                <c:pt idx="199">
                  <c:v>08/30/1968</c:v>
                </c:pt>
                <c:pt idx="200">
                  <c:v>09/30/1968</c:v>
                </c:pt>
                <c:pt idx="201">
                  <c:v>10/31/1968</c:v>
                </c:pt>
                <c:pt idx="202">
                  <c:v>11/29/1968</c:v>
                </c:pt>
                <c:pt idx="203">
                  <c:v>12/31/1968</c:v>
                </c:pt>
                <c:pt idx="204">
                  <c:v>01/31/1969</c:v>
                </c:pt>
                <c:pt idx="205">
                  <c:v>02/28/1969</c:v>
                </c:pt>
                <c:pt idx="206">
                  <c:v>03/28/1969</c:v>
                </c:pt>
                <c:pt idx="207">
                  <c:v>04/30/1969</c:v>
                </c:pt>
                <c:pt idx="208">
                  <c:v>05/29/1969</c:v>
                </c:pt>
                <c:pt idx="209">
                  <c:v>06/30/1969</c:v>
                </c:pt>
                <c:pt idx="210">
                  <c:v>07/31/1969</c:v>
                </c:pt>
                <c:pt idx="211">
                  <c:v>08/29/1969</c:v>
                </c:pt>
                <c:pt idx="212">
                  <c:v>09/30/1969</c:v>
                </c:pt>
                <c:pt idx="213">
                  <c:v>10/31/1969</c:v>
                </c:pt>
                <c:pt idx="214">
                  <c:v>11/28/1969</c:v>
                </c:pt>
                <c:pt idx="215">
                  <c:v>12/31/1969</c:v>
                </c:pt>
                <c:pt idx="216">
                  <c:v>01/30/1970</c:v>
                </c:pt>
                <c:pt idx="217">
                  <c:v>02/27/1970</c:v>
                </c:pt>
                <c:pt idx="218">
                  <c:v>03/31/1970</c:v>
                </c:pt>
                <c:pt idx="219">
                  <c:v>04/30/1970</c:v>
                </c:pt>
                <c:pt idx="220">
                  <c:v>05/29/1970</c:v>
                </c:pt>
                <c:pt idx="221">
                  <c:v>06/30/1970</c:v>
                </c:pt>
                <c:pt idx="222">
                  <c:v>07/31/1970</c:v>
                </c:pt>
                <c:pt idx="223">
                  <c:v>08/31/1970</c:v>
                </c:pt>
                <c:pt idx="224">
                  <c:v>09/30/1970</c:v>
                </c:pt>
                <c:pt idx="225">
                  <c:v>10/30/1970</c:v>
                </c:pt>
                <c:pt idx="226">
                  <c:v>11/30/1970</c:v>
                </c:pt>
                <c:pt idx="227">
                  <c:v>12/31/1970</c:v>
                </c:pt>
                <c:pt idx="228">
                  <c:v>01/29/1971</c:v>
                </c:pt>
                <c:pt idx="229">
                  <c:v>02/26/1971</c:v>
                </c:pt>
                <c:pt idx="230">
                  <c:v>03/31/1971</c:v>
                </c:pt>
                <c:pt idx="231">
                  <c:v>04/30/1971</c:v>
                </c:pt>
                <c:pt idx="232">
                  <c:v>05/28/1971</c:v>
                </c:pt>
                <c:pt idx="233">
                  <c:v>06/30/1971</c:v>
                </c:pt>
                <c:pt idx="234">
                  <c:v>07/30/1971</c:v>
                </c:pt>
                <c:pt idx="235">
                  <c:v>08/31/1971</c:v>
                </c:pt>
                <c:pt idx="236">
                  <c:v>09/30/1971</c:v>
                </c:pt>
                <c:pt idx="237">
                  <c:v>10/29/1971</c:v>
                </c:pt>
                <c:pt idx="238">
                  <c:v>11/30/1971</c:v>
                </c:pt>
                <c:pt idx="239">
                  <c:v>12/31/1971</c:v>
                </c:pt>
                <c:pt idx="240">
                  <c:v>01/31/1972</c:v>
                </c:pt>
                <c:pt idx="241">
                  <c:v>02/29/1972</c:v>
                </c:pt>
                <c:pt idx="242">
                  <c:v>03/30/1972</c:v>
                </c:pt>
                <c:pt idx="243">
                  <c:v>04/28/1972</c:v>
                </c:pt>
                <c:pt idx="244">
                  <c:v>05/31/1972</c:v>
                </c:pt>
                <c:pt idx="245">
                  <c:v>06/30/1972</c:v>
                </c:pt>
                <c:pt idx="246">
                  <c:v>07/31/1972</c:v>
                </c:pt>
                <c:pt idx="247">
                  <c:v>08/31/1972</c:v>
                </c:pt>
                <c:pt idx="248">
                  <c:v>09/29/1972</c:v>
                </c:pt>
                <c:pt idx="249">
                  <c:v>10/31/1972</c:v>
                </c:pt>
                <c:pt idx="250">
                  <c:v>11/30/1972</c:v>
                </c:pt>
                <c:pt idx="251">
                  <c:v>12/29/1972</c:v>
                </c:pt>
                <c:pt idx="252">
                  <c:v>01/31/1973</c:v>
                </c:pt>
                <c:pt idx="253">
                  <c:v>02/28/1973</c:v>
                </c:pt>
                <c:pt idx="254">
                  <c:v>03/30/1973</c:v>
                </c:pt>
                <c:pt idx="255">
                  <c:v>04/30/1973</c:v>
                </c:pt>
                <c:pt idx="256">
                  <c:v>05/31/1973</c:v>
                </c:pt>
                <c:pt idx="257">
                  <c:v>06/29/1973</c:v>
                </c:pt>
                <c:pt idx="258">
                  <c:v>07/31/1973</c:v>
                </c:pt>
                <c:pt idx="259">
                  <c:v>08/31/1973</c:v>
                </c:pt>
                <c:pt idx="260">
                  <c:v>09/28/1973</c:v>
                </c:pt>
                <c:pt idx="261">
                  <c:v>10/31/1973</c:v>
                </c:pt>
                <c:pt idx="262">
                  <c:v>11/30/1973</c:v>
                </c:pt>
                <c:pt idx="263">
                  <c:v>12/31/1973</c:v>
                </c:pt>
                <c:pt idx="264">
                  <c:v>01/31/1974</c:v>
                </c:pt>
                <c:pt idx="265">
                  <c:v>02/28/1974</c:v>
                </c:pt>
                <c:pt idx="266">
                  <c:v>03/29/1974</c:v>
                </c:pt>
                <c:pt idx="267">
                  <c:v>04/30/1974</c:v>
                </c:pt>
                <c:pt idx="268">
                  <c:v>05/31/1974</c:v>
                </c:pt>
                <c:pt idx="269">
                  <c:v>06/28/1974</c:v>
                </c:pt>
                <c:pt idx="270">
                  <c:v>07/31/1974</c:v>
                </c:pt>
                <c:pt idx="271">
                  <c:v>08/30/1974</c:v>
                </c:pt>
                <c:pt idx="272">
                  <c:v>09/30/1974</c:v>
                </c:pt>
                <c:pt idx="273">
                  <c:v>10/31/1974</c:v>
                </c:pt>
                <c:pt idx="274">
                  <c:v>11/29/1974</c:v>
                </c:pt>
                <c:pt idx="275">
                  <c:v>12/31/1974</c:v>
                </c:pt>
                <c:pt idx="276">
                  <c:v>01/31/1975</c:v>
                </c:pt>
                <c:pt idx="277">
                  <c:v>02/28/1975</c:v>
                </c:pt>
                <c:pt idx="278">
                  <c:v>03/31/1975</c:v>
                </c:pt>
                <c:pt idx="279">
                  <c:v>04/30/1975</c:v>
                </c:pt>
                <c:pt idx="280">
                  <c:v>05/30/1975</c:v>
                </c:pt>
                <c:pt idx="281">
                  <c:v>06/30/1975</c:v>
                </c:pt>
                <c:pt idx="282">
                  <c:v>07/31/1975</c:v>
                </c:pt>
                <c:pt idx="283">
                  <c:v>08/29/1975</c:v>
                </c:pt>
                <c:pt idx="284">
                  <c:v>09/30/1975</c:v>
                </c:pt>
                <c:pt idx="285">
                  <c:v>10/31/1975</c:v>
                </c:pt>
                <c:pt idx="286">
                  <c:v>11/28/1975</c:v>
                </c:pt>
                <c:pt idx="287">
                  <c:v>12/31/1975</c:v>
                </c:pt>
                <c:pt idx="288">
                  <c:v>01/30/1976</c:v>
                </c:pt>
                <c:pt idx="289">
                  <c:v>02/27/1976</c:v>
                </c:pt>
                <c:pt idx="290">
                  <c:v>03/31/1976</c:v>
                </c:pt>
                <c:pt idx="291">
                  <c:v>04/30/1976</c:v>
                </c:pt>
                <c:pt idx="292">
                  <c:v>05/28/1976</c:v>
                </c:pt>
                <c:pt idx="293">
                  <c:v>06/30/1976</c:v>
                </c:pt>
                <c:pt idx="294">
                  <c:v>07/30/1976</c:v>
                </c:pt>
                <c:pt idx="295">
                  <c:v>08/31/1976</c:v>
                </c:pt>
                <c:pt idx="296">
                  <c:v>09/30/1976</c:v>
                </c:pt>
                <c:pt idx="297">
                  <c:v>10/29/1976</c:v>
                </c:pt>
                <c:pt idx="298">
                  <c:v>11/30/1976</c:v>
                </c:pt>
                <c:pt idx="299">
                  <c:v>12/31/1976</c:v>
                </c:pt>
                <c:pt idx="300">
                  <c:v>01/31/1977</c:v>
                </c:pt>
                <c:pt idx="301">
                  <c:v>02/28/1977</c:v>
                </c:pt>
                <c:pt idx="302">
                  <c:v>03/31/1977</c:v>
                </c:pt>
                <c:pt idx="303">
                  <c:v>04/29/1977</c:v>
                </c:pt>
                <c:pt idx="304">
                  <c:v>05/31/1977</c:v>
                </c:pt>
                <c:pt idx="305">
                  <c:v>06/30/1977</c:v>
                </c:pt>
                <c:pt idx="306">
                  <c:v>07/29/1977</c:v>
                </c:pt>
                <c:pt idx="307">
                  <c:v>08/31/1977</c:v>
                </c:pt>
                <c:pt idx="308">
                  <c:v>09/30/1977</c:v>
                </c:pt>
                <c:pt idx="309">
                  <c:v>10/31/1977</c:v>
                </c:pt>
                <c:pt idx="310">
                  <c:v>11/30/1977</c:v>
                </c:pt>
                <c:pt idx="311">
                  <c:v>12/30/1977</c:v>
                </c:pt>
                <c:pt idx="312">
                  <c:v>01/31/1978</c:v>
                </c:pt>
                <c:pt idx="313">
                  <c:v>02/28/1978</c:v>
                </c:pt>
                <c:pt idx="314">
                  <c:v>03/31/1978</c:v>
                </c:pt>
                <c:pt idx="315">
                  <c:v>04/28/1978</c:v>
                </c:pt>
                <c:pt idx="316">
                  <c:v>05/31/1978</c:v>
                </c:pt>
                <c:pt idx="317">
                  <c:v>06/30/1978</c:v>
                </c:pt>
                <c:pt idx="318">
                  <c:v>07/31/1978</c:v>
                </c:pt>
                <c:pt idx="319">
                  <c:v>08/31/1978</c:v>
                </c:pt>
                <c:pt idx="320">
                  <c:v>09/29/1978</c:v>
                </c:pt>
                <c:pt idx="321">
                  <c:v>10/31/1978</c:v>
                </c:pt>
                <c:pt idx="322">
                  <c:v>11/30/1978</c:v>
                </c:pt>
                <c:pt idx="323">
                  <c:v>12/29/1978</c:v>
                </c:pt>
                <c:pt idx="324">
                  <c:v>01/31/1979</c:v>
                </c:pt>
                <c:pt idx="325">
                  <c:v>02/28/1979</c:v>
                </c:pt>
                <c:pt idx="326">
                  <c:v>03/30/1979</c:v>
                </c:pt>
                <c:pt idx="327">
                  <c:v>04/30/1979</c:v>
                </c:pt>
                <c:pt idx="328">
                  <c:v>05/31/1979</c:v>
                </c:pt>
                <c:pt idx="329">
                  <c:v>06/29/1979</c:v>
                </c:pt>
                <c:pt idx="330">
                  <c:v>07/31/1979</c:v>
                </c:pt>
                <c:pt idx="331">
                  <c:v>08/31/1979</c:v>
                </c:pt>
                <c:pt idx="332">
                  <c:v>09/28/1979</c:v>
                </c:pt>
                <c:pt idx="333">
                  <c:v>10/31/1979</c:v>
                </c:pt>
                <c:pt idx="334">
                  <c:v>11/30/1979</c:v>
                </c:pt>
                <c:pt idx="335">
                  <c:v>12/31/1979</c:v>
                </c:pt>
                <c:pt idx="336">
                  <c:v>01/31/1980</c:v>
                </c:pt>
                <c:pt idx="337">
                  <c:v>02/29/1980</c:v>
                </c:pt>
                <c:pt idx="338">
                  <c:v>03/31/1980</c:v>
                </c:pt>
                <c:pt idx="339">
                  <c:v>04/30/1980</c:v>
                </c:pt>
                <c:pt idx="340">
                  <c:v>05/30/1980</c:v>
                </c:pt>
                <c:pt idx="341">
                  <c:v>06/30/1980</c:v>
                </c:pt>
                <c:pt idx="342">
                  <c:v>07/31/1980</c:v>
                </c:pt>
                <c:pt idx="343">
                  <c:v>08/29/1980</c:v>
                </c:pt>
                <c:pt idx="344">
                  <c:v>09/30/1980</c:v>
                </c:pt>
                <c:pt idx="345">
                  <c:v>10/31/1980</c:v>
                </c:pt>
                <c:pt idx="346">
                  <c:v>11/28/1980</c:v>
                </c:pt>
                <c:pt idx="347">
                  <c:v>12/31/1980</c:v>
                </c:pt>
                <c:pt idx="348">
                  <c:v>01/30/1981</c:v>
                </c:pt>
                <c:pt idx="349">
                  <c:v>02/27/1981</c:v>
                </c:pt>
                <c:pt idx="350">
                  <c:v>03/31/1981</c:v>
                </c:pt>
                <c:pt idx="351">
                  <c:v>04/30/1981</c:v>
                </c:pt>
                <c:pt idx="352">
                  <c:v>05/29/1981</c:v>
                </c:pt>
                <c:pt idx="353">
                  <c:v>06/30/1981</c:v>
                </c:pt>
                <c:pt idx="354">
                  <c:v>07/31/1981</c:v>
                </c:pt>
                <c:pt idx="355">
                  <c:v>08/31/1981</c:v>
                </c:pt>
                <c:pt idx="356">
                  <c:v>09/30/1981</c:v>
                </c:pt>
                <c:pt idx="357">
                  <c:v>10/30/1981</c:v>
                </c:pt>
                <c:pt idx="358">
                  <c:v>11/30/1981</c:v>
                </c:pt>
                <c:pt idx="359">
                  <c:v>12/31/1981</c:v>
                </c:pt>
                <c:pt idx="360">
                  <c:v>01/29/1982</c:v>
                </c:pt>
                <c:pt idx="361">
                  <c:v>02/26/1982</c:v>
                </c:pt>
                <c:pt idx="362">
                  <c:v>03/31/1982</c:v>
                </c:pt>
                <c:pt idx="363">
                  <c:v>04/30/1982</c:v>
                </c:pt>
                <c:pt idx="364">
                  <c:v>05/28/1982</c:v>
                </c:pt>
                <c:pt idx="365">
                  <c:v>06/30/1982</c:v>
                </c:pt>
                <c:pt idx="366">
                  <c:v>07/30/1982</c:v>
                </c:pt>
                <c:pt idx="367">
                  <c:v>08/31/1982</c:v>
                </c:pt>
                <c:pt idx="368">
                  <c:v>09/30/1982</c:v>
                </c:pt>
                <c:pt idx="369">
                  <c:v>10/29/1982</c:v>
                </c:pt>
                <c:pt idx="370">
                  <c:v>11/30/1982</c:v>
                </c:pt>
                <c:pt idx="371">
                  <c:v>12/31/1982</c:v>
                </c:pt>
                <c:pt idx="372">
                  <c:v>01/31/1983</c:v>
                </c:pt>
                <c:pt idx="373">
                  <c:v>02/28/1983</c:v>
                </c:pt>
                <c:pt idx="374">
                  <c:v>03/31/1983</c:v>
                </c:pt>
                <c:pt idx="375">
                  <c:v>04/29/1983</c:v>
                </c:pt>
                <c:pt idx="376">
                  <c:v>05/31/1983</c:v>
                </c:pt>
                <c:pt idx="377">
                  <c:v>06/30/1983</c:v>
                </c:pt>
                <c:pt idx="378">
                  <c:v>07/29/1983</c:v>
                </c:pt>
                <c:pt idx="379">
                  <c:v>08/31/1983</c:v>
                </c:pt>
                <c:pt idx="380">
                  <c:v>09/30/1983</c:v>
                </c:pt>
                <c:pt idx="381">
                  <c:v>10/31/1983</c:v>
                </c:pt>
                <c:pt idx="382">
                  <c:v>11/30/1983</c:v>
                </c:pt>
                <c:pt idx="383">
                  <c:v>12/30/1983</c:v>
                </c:pt>
                <c:pt idx="384">
                  <c:v>01/31/1984</c:v>
                </c:pt>
                <c:pt idx="385">
                  <c:v>02/29/1984</c:v>
                </c:pt>
                <c:pt idx="386">
                  <c:v>03/30/1984</c:v>
                </c:pt>
                <c:pt idx="387">
                  <c:v>04/30/1984</c:v>
                </c:pt>
                <c:pt idx="388">
                  <c:v>05/31/1984</c:v>
                </c:pt>
                <c:pt idx="389">
                  <c:v>06/29/1984</c:v>
                </c:pt>
                <c:pt idx="390">
                  <c:v>07/31/1984</c:v>
                </c:pt>
                <c:pt idx="391">
                  <c:v>08/31/1984</c:v>
                </c:pt>
                <c:pt idx="392">
                  <c:v>09/28/1984</c:v>
                </c:pt>
                <c:pt idx="393">
                  <c:v>10/31/1984</c:v>
                </c:pt>
                <c:pt idx="394">
                  <c:v>11/30/1984</c:v>
                </c:pt>
                <c:pt idx="395">
                  <c:v>12/31/1984</c:v>
                </c:pt>
                <c:pt idx="396">
                  <c:v>01/31/1985</c:v>
                </c:pt>
                <c:pt idx="397">
                  <c:v>02/28/1985</c:v>
                </c:pt>
                <c:pt idx="398">
                  <c:v>03/29/1985</c:v>
                </c:pt>
                <c:pt idx="399">
                  <c:v>04/30/1985</c:v>
                </c:pt>
                <c:pt idx="400">
                  <c:v>05/31/1985</c:v>
                </c:pt>
                <c:pt idx="401">
                  <c:v>06/28/1985</c:v>
                </c:pt>
                <c:pt idx="402">
                  <c:v>07/31/1985</c:v>
                </c:pt>
                <c:pt idx="403">
                  <c:v>08/30/1985</c:v>
                </c:pt>
                <c:pt idx="404">
                  <c:v>09/30/1985</c:v>
                </c:pt>
                <c:pt idx="405">
                  <c:v>10/31/1985</c:v>
                </c:pt>
                <c:pt idx="406">
                  <c:v>11/29/1985</c:v>
                </c:pt>
                <c:pt idx="407">
                  <c:v>12/31/1985</c:v>
                </c:pt>
                <c:pt idx="408">
                  <c:v>01/31/1986</c:v>
                </c:pt>
                <c:pt idx="409">
                  <c:v>02/28/1986</c:v>
                </c:pt>
                <c:pt idx="410">
                  <c:v>03/31/1986</c:v>
                </c:pt>
                <c:pt idx="411">
                  <c:v>04/30/1986</c:v>
                </c:pt>
                <c:pt idx="412">
                  <c:v>05/30/1986</c:v>
                </c:pt>
                <c:pt idx="413">
                  <c:v>06/30/1986</c:v>
                </c:pt>
                <c:pt idx="414">
                  <c:v>07/31/1986</c:v>
                </c:pt>
                <c:pt idx="415">
                  <c:v>08/29/1986</c:v>
                </c:pt>
                <c:pt idx="416">
                  <c:v>09/30/1986</c:v>
                </c:pt>
                <c:pt idx="417">
                  <c:v>10/31/1986</c:v>
                </c:pt>
                <c:pt idx="418">
                  <c:v>11/28/1986</c:v>
                </c:pt>
                <c:pt idx="419">
                  <c:v>12/31/1986</c:v>
                </c:pt>
                <c:pt idx="420">
                  <c:v>01/30/1987</c:v>
                </c:pt>
                <c:pt idx="421">
                  <c:v>02/27/1987</c:v>
                </c:pt>
                <c:pt idx="422">
                  <c:v>03/31/1987</c:v>
                </c:pt>
                <c:pt idx="423">
                  <c:v>04/30/1987</c:v>
                </c:pt>
                <c:pt idx="424">
                  <c:v>05/29/1987</c:v>
                </c:pt>
                <c:pt idx="425">
                  <c:v>06/30/1987</c:v>
                </c:pt>
                <c:pt idx="426">
                  <c:v>07/31/1987</c:v>
                </c:pt>
                <c:pt idx="427">
                  <c:v>08/31/1987</c:v>
                </c:pt>
                <c:pt idx="428">
                  <c:v>09/30/1987</c:v>
                </c:pt>
                <c:pt idx="429">
                  <c:v>10/30/1987</c:v>
                </c:pt>
                <c:pt idx="430">
                  <c:v>11/30/1987</c:v>
                </c:pt>
                <c:pt idx="431">
                  <c:v>12/31/1987</c:v>
                </c:pt>
                <c:pt idx="432">
                  <c:v>01/29/1988</c:v>
                </c:pt>
                <c:pt idx="433">
                  <c:v>02/29/1988</c:v>
                </c:pt>
                <c:pt idx="434">
                  <c:v>03/31/1988</c:v>
                </c:pt>
                <c:pt idx="435">
                  <c:v>04/29/1988</c:v>
                </c:pt>
                <c:pt idx="436">
                  <c:v>05/31/1988</c:v>
                </c:pt>
                <c:pt idx="437">
                  <c:v>06/30/1988</c:v>
                </c:pt>
                <c:pt idx="438">
                  <c:v>07/29/1988</c:v>
                </c:pt>
                <c:pt idx="439">
                  <c:v>08/31/1988</c:v>
                </c:pt>
                <c:pt idx="440">
                  <c:v>09/30/1988</c:v>
                </c:pt>
                <c:pt idx="441">
                  <c:v>10/31/1988</c:v>
                </c:pt>
                <c:pt idx="442">
                  <c:v>11/30/1988</c:v>
                </c:pt>
                <c:pt idx="443">
                  <c:v>12/30/1988</c:v>
                </c:pt>
                <c:pt idx="444">
                  <c:v>01/31/1989</c:v>
                </c:pt>
                <c:pt idx="445">
                  <c:v>02/28/1989</c:v>
                </c:pt>
                <c:pt idx="446">
                  <c:v>03/31/1989</c:v>
                </c:pt>
                <c:pt idx="447">
                  <c:v>04/28/1989</c:v>
                </c:pt>
                <c:pt idx="448">
                  <c:v>05/31/1989</c:v>
                </c:pt>
                <c:pt idx="449">
                  <c:v>06/30/1989</c:v>
                </c:pt>
                <c:pt idx="450">
                  <c:v>07/31/1989</c:v>
                </c:pt>
                <c:pt idx="451">
                  <c:v>08/31/1989</c:v>
                </c:pt>
                <c:pt idx="452">
                  <c:v>09/29/1989</c:v>
                </c:pt>
                <c:pt idx="453">
                  <c:v>10/31/1989</c:v>
                </c:pt>
                <c:pt idx="454">
                  <c:v>11/30/1989</c:v>
                </c:pt>
                <c:pt idx="455">
                  <c:v>12/29/1989</c:v>
                </c:pt>
                <c:pt idx="456">
                  <c:v>01/31/1990</c:v>
                </c:pt>
                <c:pt idx="457">
                  <c:v>02/28/1990</c:v>
                </c:pt>
                <c:pt idx="458">
                  <c:v>03/30/1990</c:v>
                </c:pt>
                <c:pt idx="459">
                  <c:v>04/30/1990</c:v>
                </c:pt>
                <c:pt idx="460">
                  <c:v>05/31/1990</c:v>
                </c:pt>
                <c:pt idx="461">
                  <c:v>06/29/1990</c:v>
                </c:pt>
                <c:pt idx="462">
                  <c:v>07/31/1990</c:v>
                </c:pt>
                <c:pt idx="463">
                  <c:v>08/31/1990</c:v>
                </c:pt>
                <c:pt idx="464">
                  <c:v>09/28/1990</c:v>
                </c:pt>
                <c:pt idx="465">
                  <c:v>10/31/1990</c:v>
                </c:pt>
                <c:pt idx="466">
                  <c:v>11/30/1990</c:v>
                </c:pt>
                <c:pt idx="467">
                  <c:v>12/31/1990</c:v>
                </c:pt>
                <c:pt idx="468">
                  <c:v>01/31/1991</c:v>
                </c:pt>
                <c:pt idx="469">
                  <c:v>02/28/1991</c:v>
                </c:pt>
                <c:pt idx="470">
                  <c:v>03/28/1991</c:v>
                </c:pt>
                <c:pt idx="471">
                  <c:v>04/30/1991</c:v>
                </c:pt>
                <c:pt idx="472">
                  <c:v>05/31/1991</c:v>
                </c:pt>
                <c:pt idx="473">
                  <c:v>06/28/1991</c:v>
                </c:pt>
                <c:pt idx="474">
                  <c:v>07/31/1991</c:v>
                </c:pt>
                <c:pt idx="475">
                  <c:v>08/30/1991</c:v>
                </c:pt>
                <c:pt idx="476">
                  <c:v>09/30/1991</c:v>
                </c:pt>
                <c:pt idx="477">
                  <c:v>10/31/1991</c:v>
                </c:pt>
                <c:pt idx="478">
                  <c:v>11/29/1991</c:v>
                </c:pt>
                <c:pt idx="479">
                  <c:v>12/31/1991</c:v>
                </c:pt>
                <c:pt idx="480">
                  <c:v>01/31/1992</c:v>
                </c:pt>
                <c:pt idx="481">
                  <c:v>02/28/1992</c:v>
                </c:pt>
                <c:pt idx="482">
                  <c:v>03/31/1992</c:v>
                </c:pt>
                <c:pt idx="483">
                  <c:v>04/30/1992</c:v>
                </c:pt>
                <c:pt idx="484">
                  <c:v>05/29/1992</c:v>
                </c:pt>
                <c:pt idx="485">
                  <c:v>06/30/1992</c:v>
                </c:pt>
                <c:pt idx="486">
                  <c:v>07/31/1992</c:v>
                </c:pt>
                <c:pt idx="487">
                  <c:v>08/31/1992</c:v>
                </c:pt>
                <c:pt idx="488">
                  <c:v>09/30/1992</c:v>
                </c:pt>
                <c:pt idx="489">
                  <c:v>10/30/1992</c:v>
                </c:pt>
                <c:pt idx="490">
                  <c:v>11/30/1992</c:v>
                </c:pt>
                <c:pt idx="491">
                  <c:v>12/31/1992</c:v>
                </c:pt>
                <c:pt idx="492">
                  <c:v>01/29/1993</c:v>
                </c:pt>
                <c:pt idx="493">
                  <c:v>02/26/1993</c:v>
                </c:pt>
                <c:pt idx="494">
                  <c:v>03/31/1993</c:v>
                </c:pt>
                <c:pt idx="495">
                  <c:v>04/30/1993</c:v>
                </c:pt>
                <c:pt idx="496">
                  <c:v>05/28/1993</c:v>
                </c:pt>
                <c:pt idx="497">
                  <c:v>06/30/1993</c:v>
                </c:pt>
                <c:pt idx="498">
                  <c:v>07/30/1993</c:v>
                </c:pt>
                <c:pt idx="499">
                  <c:v>08/31/1993</c:v>
                </c:pt>
                <c:pt idx="500">
                  <c:v>09/30/1993</c:v>
                </c:pt>
                <c:pt idx="501">
                  <c:v>10/29/1993</c:v>
                </c:pt>
                <c:pt idx="502">
                  <c:v>11/30/1993</c:v>
                </c:pt>
                <c:pt idx="503">
                  <c:v>12/31/1993</c:v>
                </c:pt>
                <c:pt idx="504">
                  <c:v>01/31/1994</c:v>
                </c:pt>
                <c:pt idx="505">
                  <c:v>02/28/1994</c:v>
                </c:pt>
                <c:pt idx="506">
                  <c:v>03/31/1994</c:v>
                </c:pt>
                <c:pt idx="507">
                  <c:v>04/29/1994</c:v>
                </c:pt>
                <c:pt idx="508">
                  <c:v>05/31/1994</c:v>
                </c:pt>
                <c:pt idx="509">
                  <c:v>06/30/1994</c:v>
                </c:pt>
                <c:pt idx="510">
                  <c:v>07/29/1994</c:v>
                </c:pt>
                <c:pt idx="511">
                  <c:v>08/31/1994</c:v>
                </c:pt>
                <c:pt idx="512">
                  <c:v>09/30/1994</c:v>
                </c:pt>
                <c:pt idx="513">
                  <c:v>10/31/1994</c:v>
                </c:pt>
                <c:pt idx="514">
                  <c:v>11/30/1994</c:v>
                </c:pt>
                <c:pt idx="515">
                  <c:v>12/30/1994</c:v>
                </c:pt>
                <c:pt idx="516">
                  <c:v>01/31/1995</c:v>
                </c:pt>
                <c:pt idx="517">
                  <c:v>02/28/1995</c:v>
                </c:pt>
                <c:pt idx="518">
                  <c:v>03/31/1995</c:v>
                </c:pt>
                <c:pt idx="519">
                  <c:v>04/28/1995</c:v>
                </c:pt>
                <c:pt idx="520">
                  <c:v>05/31/1995</c:v>
                </c:pt>
                <c:pt idx="521">
                  <c:v>06/30/1995</c:v>
                </c:pt>
                <c:pt idx="522">
                  <c:v>07/31/1995</c:v>
                </c:pt>
                <c:pt idx="523">
                  <c:v>08/31/1995</c:v>
                </c:pt>
                <c:pt idx="524">
                  <c:v>09/29/1995</c:v>
                </c:pt>
                <c:pt idx="525">
                  <c:v>10/31/1995</c:v>
                </c:pt>
                <c:pt idx="526">
                  <c:v>11/30/1995</c:v>
                </c:pt>
                <c:pt idx="527">
                  <c:v>12/29/1995</c:v>
                </c:pt>
                <c:pt idx="528">
                  <c:v>01/31/1996</c:v>
                </c:pt>
                <c:pt idx="529">
                  <c:v>02/29/1996</c:v>
                </c:pt>
                <c:pt idx="530">
                  <c:v>03/29/1996</c:v>
                </c:pt>
                <c:pt idx="531">
                  <c:v>04/30/1996</c:v>
                </c:pt>
                <c:pt idx="532">
                  <c:v>05/31/1996</c:v>
                </c:pt>
                <c:pt idx="533">
                  <c:v>06/28/1996</c:v>
                </c:pt>
                <c:pt idx="534">
                  <c:v>07/31/1996</c:v>
                </c:pt>
                <c:pt idx="535">
                  <c:v>08/30/1996</c:v>
                </c:pt>
                <c:pt idx="536">
                  <c:v>09/30/1996</c:v>
                </c:pt>
                <c:pt idx="537">
                  <c:v>10/31/1996</c:v>
                </c:pt>
                <c:pt idx="538">
                  <c:v>11/29/1996</c:v>
                </c:pt>
                <c:pt idx="539">
                  <c:v>12/31/1996</c:v>
                </c:pt>
                <c:pt idx="540">
                  <c:v>01/31/1997</c:v>
                </c:pt>
                <c:pt idx="541">
                  <c:v>02/28/1997</c:v>
                </c:pt>
                <c:pt idx="542">
                  <c:v>03/31/1997</c:v>
                </c:pt>
                <c:pt idx="543">
                  <c:v>04/30/1997</c:v>
                </c:pt>
                <c:pt idx="544">
                  <c:v>05/30/1997</c:v>
                </c:pt>
                <c:pt idx="545">
                  <c:v>06/30/1997</c:v>
                </c:pt>
                <c:pt idx="546">
                  <c:v>07/31/1997</c:v>
                </c:pt>
                <c:pt idx="547">
                  <c:v>08/29/1997</c:v>
                </c:pt>
                <c:pt idx="548">
                  <c:v>09/30/1997</c:v>
                </c:pt>
                <c:pt idx="549">
                  <c:v>10/31/1997</c:v>
                </c:pt>
                <c:pt idx="550">
                  <c:v>11/28/1997</c:v>
                </c:pt>
                <c:pt idx="551">
                  <c:v>12/31/1997</c:v>
                </c:pt>
                <c:pt idx="552">
                  <c:v>01/30/1998</c:v>
                </c:pt>
                <c:pt idx="553">
                  <c:v>02/27/1998</c:v>
                </c:pt>
                <c:pt idx="554">
                  <c:v>03/31/1998</c:v>
                </c:pt>
                <c:pt idx="555">
                  <c:v>04/30/1998</c:v>
                </c:pt>
                <c:pt idx="556">
                  <c:v>05/29/1998</c:v>
                </c:pt>
                <c:pt idx="557">
                  <c:v>06/30/1998</c:v>
                </c:pt>
                <c:pt idx="558">
                  <c:v>07/31/1998</c:v>
                </c:pt>
                <c:pt idx="559">
                  <c:v>08/31/1998</c:v>
                </c:pt>
                <c:pt idx="560">
                  <c:v>09/30/1998</c:v>
                </c:pt>
                <c:pt idx="561">
                  <c:v>10/30/1998</c:v>
                </c:pt>
                <c:pt idx="562">
                  <c:v>11/30/1998</c:v>
                </c:pt>
                <c:pt idx="563">
                  <c:v>12/31/1998</c:v>
                </c:pt>
                <c:pt idx="564">
                  <c:v>01/29/1999</c:v>
                </c:pt>
                <c:pt idx="565">
                  <c:v>02/26/1999</c:v>
                </c:pt>
                <c:pt idx="566">
                  <c:v>03/31/1999</c:v>
                </c:pt>
                <c:pt idx="567">
                  <c:v>04/30/1999</c:v>
                </c:pt>
                <c:pt idx="568">
                  <c:v>05/28/1999</c:v>
                </c:pt>
                <c:pt idx="569">
                  <c:v>06/30/1999</c:v>
                </c:pt>
                <c:pt idx="570">
                  <c:v>07/30/1999</c:v>
                </c:pt>
                <c:pt idx="571">
                  <c:v>08/31/1999</c:v>
                </c:pt>
                <c:pt idx="572">
                  <c:v>09/30/1999</c:v>
                </c:pt>
                <c:pt idx="573">
                  <c:v>10/29/1999</c:v>
                </c:pt>
                <c:pt idx="574">
                  <c:v>11/30/1999</c:v>
                </c:pt>
                <c:pt idx="575">
                  <c:v>12/31/1999</c:v>
                </c:pt>
                <c:pt idx="576">
                  <c:v>01/31/2000</c:v>
                </c:pt>
                <c:pt idx="577">
                  <c:v>02/29/2000</c:v>
                </c:pt>
                <c:pt idx="578">
                  <c:v>03/31/2000</c:v>
                </c:pt>
                <c:pt idx="579">
                  <c:v>04/28/2000</c:v>
                </c:pt>
                <c:pt idx="580">
                  <c:v>05/31/2000</c:v>
                </c:pt>
                <c:pt idx="581">
                  <c:v>06/30/2000</c:v>
                </c:pt>
                <c:pt idx="582">
                  <c:v>07/31/2000</c:v>
                </c:pt>
                <c:pt idx="583">
                  <c:v>08/31/2000</c:v>
                </c:pt>
                <c:pt idx="584">
                  <c:v>09/29/2000</c:v>
                </c:pt>
                <c:pt idx="585">
                  <c:v>10/31/2000</c:v>
                </c:pt>
                <c:pt idx="586">
                  <c:v>11/30/2000</c:v>
                </c:pt>
                <c:pt idx="587">
                  <c:v>12/29/2000</c:v>
                </c:pt>
                <c:pt idx="588">
                  <c:v>01/31/2001</c:v>
                </c:pt>
                <c:pt idx="589">
                  <c:v>02/28/2001</c:v>
                </c:pt>
                <c:pt idx="590">
                  <c:v>03/30/2001</c:v>
                </c:pt>
                <c:pt idx="591">
                  <c:v>04/30/2001</c:v>
                </c:pt>
                <c:pt idx="592">
                  <c:v>05/31/2001</c:v>
                </c:pt>
                <c:pt idx="593">
                  <c:v>06/29/2001</c:v>
                </c:pt>
                <c:pt idx="594">
                  <c:v>07/31/2001</c:v>
                </c:pt>
                <c:pt idx="595">
                  <c:v>08/31/2001</c:v>
                </c:pt>
                <c:pt idx="596">
                  <c:v>09/28/2001</c:v>
                </c:pt>
                <c:pt idx="597">
                  <c:v>10/31/2001</c:v>
                </c:pt>
                <c:pt idx="598">
                  <c:v>11/30/2001</c:v>
                </c:pt>
                <c:pt idx="599">
                  <c:v>12/31/2001</c:v>
                </c:pt>
                <c:pt idx="600">
                  <c:v>01/31/2002</c:v>
                </c:pt>
                <c:pt idx="601">
                  <c:v>02/28/2002</c:v>
                </c:pt>
                <c:pt idx="602">
                  <c:v>03/28/2002</c:v>
                </c:pt>
                <c:pt idx="603">
                  <c:v>04/30/2002</c:v>
                </c:pt>
                <c:pt idx="604">
                  <c:v>05/31/2002</c:v>
                </c:pt>
                <c:pt idx="605">
                  <c:v>06/28/2002</c:v>
                </c:pt>
                <c:pt idx="606">
                  <c:v>07/31/2002</c:v>
                </c:pt>
                <c:pt idx="607">
                  <c:v>08/30/2002</c:v>
                </c:pt>
                <c:pt idx="608">
                  <c:v>09/30/2002</c:v>
                </c:pt>
                <c:pt idx="609">
                  <c:v>10/31/2002</c:v>
                </c:pt>
                <c:pt idx="610">
                  <c:v>11/29/2002</c:v>
                </c:pt>
                <c:pt idx="611">
                  <c:v>12/31/2002</c:v>
                </c:pt>
                <c:pt idx="612">
                  <c:v>01/31/2003</c:v>
                </c:pt>
                <c:pt idx="613">
                  <c:v>02/28/2003</c:v>
                </c:pt>
                <c:pt idx="614">
                  <c:v>03/31/2003</c:v>
                </c:pt>
                <c:pt idx="615">
                  <c:v>04/30/2003</c:v>
                </c:pt>
                <c:pt idx="616">
                  <c:v>05/30/2003</c:v>
                </c:pt>
                <c:pt idx="617">
                  <c:v>06/30/2003</c:v>
                </c:pt>
                <c:pt idx="618">
                  <c:v>07/31/2003</c:v>
                </c:pt>
                <c:pt idx="619">
                  <c:v>08/29/2003</c:v>
                </c:pt>
                <c:pt idx="620">
                  <c:v>09/30/2003</c:v>
                </c:pt>
                <c:pt idx="621">
                  <c:v>10/31/2003</c:v>
                </c:pt>
                <c:pt idx="622">
                  <c:v>11/28/2003</c:v>
                </c:pt>
                <c:pt idx="623">
                  <c:v>12/31/2003</c:v>
                </c:pt>
                <c:pt idx="624">
                  <c:v>01/30/2004</c:v>
                </c:pt>
                <c:pt idx="625">
                  <c:v>02/27/2004</c:v>
                </c:pt>
                <c:pt idx="626">
                  <c:v>03/31/2004</c:v>
                </c:pt>
                <c:pt idx="627">
                  <c:v>04/30/2004</c:v>
                </c:pt>
                <c:pt idx="628">
                  <c:v>05/28/2004</c:v>
                </c:pt>
                <c:pt idx="629">
                  <c:v>06/30/2004</c:v>
                </c:pt>
                <c:pt idx="630">
                  <c:v>07/30/2004</c:v>
                </c:pt>
                <c:pt idx="631">
                  <c:v>08/31/2004</c:v>
                </c:pt>
                <c:pt idx="632">
                  <c:v>09/30/2004</c:v>
                </c:pt>
                <c:pt idx="633">
                  <c:v>10/29/2004</c:v>
                </c:pt>
                <c:pt idx="634">
                  <c:v>11/30/2004</c:v>
                </c:pt>
                <c:pt idx="635">
                  <c:v>12/31/2004</c:v>
                </c:pt>
                <c:pt idx="636">
                  <c:v>01/31/2005</c:v>
                </c:pt>
                <c:pt idx="637">
                  <c:v>02/28/2005</c:v>
                </c:pt>
                <c:pt idx="638">
                  <c:v>03/31/2005</c:v>
                </c:pt>
                <c:pt idx="639">
                  <c:v>04/29/2005</c:v>
                </c:pt>
                <c:pt idx="640">
                  <c:v>05/31/2005</c:v>
                </c:pt>
                <c:pt idx="641">
                  <c:v>06/30/2005</c:v>
                </c:pt>
                <c:pt idx="642">
                  <c:v>07/29/2005</c:v>
                </c:pt>
                <c:pt idx="643">
                  <c:v>08/31/2005</c:v>
                </c:pt>
                <c:pt idx="644">
                  <c:v>09/30/2005</c:v>
                </c:pt>
                <c:pt idx="645">
                  <c:v>10/31/2005</c:v>
                </c:pt>
                <c:pt idx="646">
                  <c:v>11/30/2005</c:v>
                </c:pt>
                <c:pt idx="647">
                  <c:v>12/30/2005</c:v>
                </c:pt>
                <c:pt idx="648">
                  <c:v>01/31/2006</c:v>
                </c:pt>
                <c:pt idx="649">
                  <c:v>02/28/2006</c:v>
                </c:pt>
                <c:pt idx="650">
                  <c:v>03/31/2006</c:v>
                </c:pt>
                <c:pt idx="651">
                  <c:v>04/28/2006</c:v>
                </c:pt>
                <c:pt idx="652">
                  <c:v>05/31/2006</c:v>
                </c:pt>
                <c:pt idx="653">
                  <c:v>06/30/2006</c:v>
                </c:pt>
                <c:pt idx="654">
                  <c:v>07/31/2006</c:v>
                </c:pt>
                <c:pt idx="655">
                  <c:v>08/31/2006</c:v>
                </c:pt>
                <c:pt idx="656">
                  <c:v>09/29/2006</c:v>
                </c:pt>
                <c:pt idx="657">
                  <c:v>10/31/2006</c:v>
                </c:pt>
                <c:pt idx="658">
                  <c:v>11/30/2006</c:v>
                </c:pt>
                <c:pt idx="659">
                  <c:v>12/29/2006</c:v>
                </c:pt>
                <c:pt idx="660">
                  <c:v>01/31/2007</c:v>
                </c:pt>
                <c:pt idx="661">
                  <c:v>02/28/2007</c:v>
                </c:pt>
                <c:pt idx="662">
                  <c:v>03/30/2007</c:v>
                </c:pt>
                <c:pt idx="663">
                  <c:v>04/30/2007</c:v>
                </c:pt>
                <c:pt idx="664">
                  <c:v>05/31/2007</c:v>
                </c:pt>
                <c:pt idx="665">
                  <c:v>06/29/2007</c:v>
                </c:pt>
                <c:pt idx="666">
                  <c:v>07/31/2007</c:v>
                </c:pt>
                <c:pt idx="667">
                  <c:v>08/31/2007</c:v>
                </c:pt>
                <c:pt idx="668">
                  <c:v>09/28/2007</c:v>
                </c:pt>
                <c:pt idx="669">
                  <c:v>10/31/2007</c:v>
                </c:pt>
                <c:pt idx="670">
                  <c:v>11/30/2007</c:v>
                </c:pt>
                <c:pt idx="671">
                  <c:v>12/31/2007</c:v>
                </c:pt>
              </c:strCache>
            </c:strRef>
          </c:cat>
          <c:val>
            <c:numRef>
              <c:f>Sheet1!$C$3:$C$674</c:f>
              <c:numCache>
                <c:formatCode>Standaard</c:formatCode>
                <c:ptCount val="672"/>
                <c:pt idx="0">
                  <c:v>2.6662965488000099E-2</c:v>
                </c:pt>
                <c:pt idx="1">
                  <c:v>2.6708457718000001E-2</c:v>
                </c:pt>
                <c:pt idx="2">
                  <c:v>2.6156314591000002E-2</c:v>
                </c:pt>
                <c:pt idx="3">
                  <c:v>2.5233647602000107E-2</c:v>
                </c:pt>
                <c:pt idx="4">
                  <c:v>2.5570032896000006E-2</c:v>
                </c:pt>
                <c:pt idx="5">
                  <c:v>2.5692484961999988E-2</c:v>
                </c:pt>
                <c:pt idx="6">
                  <c:v>2.5956075648000006E-2</c:v>
                </c:pt>
                <c:pt idx="7">
                  <c:v>2.6536050054999996E-2</c:v>
                </c:pt>
                <c:pt idx="8">
                  <c:v>2.7527580162999998E-2</c:v>
                </c:pt>
                <c:pt idx="9">
                  <c:v>2.6739937689000123E-2</c:v>
                </c:pt>
                <c:pt idx="10">
                  <c:v>2.6970748746000053E-2</c:v>
                </c:pt>
                <c:pt idx="11">
                  <c:v>2.7685550977000057E-2</c:v>
                </c:pt>
                <c:pt idx="12">
                  <c:v>2.7757024426000011E-2</c:v>
                </c:pt>
                <c:pt idx="13">
                  <c:v>2.8466995031999998E-2</c:v>
                </c:pt>
                <c:pt idx="14">
                  <c:v>2.9214336148000002E-2</c:v>
                </c:pt>
                <c:pt idx="15">
                  <c:v>3.0064581369999979E-2</c:v>
                </c:pt>
                <c:pt idx="16">
                  <c:v>3.1204028772000052E-2</c:v>
                </c:pt>
                <c:pt idx="17">
                  <c:v>2.9923452042999989E-2</c:v>
                </c:pt>
                <c:pt idx="18">
                  <c:v>2.9831039314000052E-2</c:v>
                </c:pt>
                <c:pt idx="19">
                  <c:v>3.0051632217000062E-2</c:v>
                </c:pt>
                <c:pt idx="20">
                  <c:v>2.8231848907000073E-2</c:v>
                </c:pt>
                <c:pt idx="21">
                  <c:v>2.7892768438000062E-2</c:v>
                </c:pt>
                <c:pt idx="22">
                  <c:v>2.8383493562000001E-2</c:v>
                </c:pt>
                <c:pt idx="23">
                  <c:v>2.7172386853000011E-2</c:v>
                </c:pt>
                <c:pt idx="24">
                  <c:v>2.6063159143999998E-2</c:v>
                </c:pt>
                <c:pt idx="25">
                  <c:v>2.5135555071000001E-2</c:v>
                </c:pt>
                <c:pt idx="26">
                  <c:v>2.4767857346999999E-2</c:v>
                </c:pt>
                <c:pt idx="27">
                  <c:v>2.4279201287000056E-2</c:v>
                </c:pt>
                <c:pt idx="28">
                  <c:v>2.5437596248000002E-2</c:v>
                </c:pt>
                <c:pt idx="29">
                  <c:v>2.4797395648000011E-2</c:v>
                </c:pt>
                <c:pt idx="30">
                  <c:v>2.4329528050999989E-2</c:v>
                </c:pt>
                <c:pt idx="31">
                  <c:v>2.4869281552000001E-2</c:v>
                </c:pt>
                <c:pt idx="32">
                  <c:v>2.4869325366000002E-2</c:v>
                </c:pt>
                <c:pt idx="33">
                  <c:v>2.4996873367000003E-2</c:v>
                </c:pt>
                <c:pt idx="34">
                  <c:v>2.5473819365000067E-2</c:v>
                </c:pt>
                <c:pt idx="35">
                  <c:v>2.5694283343999997E-2</c:v>
                </c:pt>
                <c:pt idx="36">
                  <c:v>2.6809515212000073E-2</c:v>
                </c:pt>
                <c:pt idx="37">
                  <c:v>2.7404631867000002E-2</c:v>
                </c:pt>
                <c:pt idx="38">
                  <c:v>2.714093769600006E-2</c:v>
                </c:pt>
                <c:pt idx="39">
                  <c:v>2.7516056320999998E-2</c:v>
                </c:pt>
                <c:pt idx="40">
                  <c:v>2.7159955096000006E-2</c:v>
                </c:pt>
                <c:pt idx="41">
                  <c:v>2.7910487077000001E-2</c:v>
                </c:pt>
                <c:pt idx="42">
                  <c:v>2.9293344476000096E-2</c:v>
                </c:pt>
                <c:pt idx="43">
                  <c:v>2.8979494761999999E-2</c:v>
                </c:pt>
                <c:pt idx="44">
                  <c:v>2.8423726415000006E-2</c:v>
                </c:pt>
                <c:pt idx="45">
                  <c:v>2.7820378363000053E-2</c:v>
                </c:pt>
                <c:pt idx="46">
                  <c:v>2.8725770533000003E-2</c:v>
                </c:pt>
                <c:pt idx="47">
                  <c:v>2.8764704792999977E-2</c:v>
                </c:pt>
                <c:pt idx="48">
                  <c:v>2.7890943657000098E-2</c:v>
                </c:pt>
                <c:pt idx="49">
                  <c:v>2.8119215733E-2</c:v>
                </c:pt>
                <c:pt idx="50">
                  <c:v>2.9585998925000016E-2</c:v>
                </c:pt>
                <c:pt idx="51">
                  <c:v>3.0055040098000012E-2</c:v>
                </c:pt>
                <c:pt idx="52">
                  <c:v>2.8540582910999993E-2</c:v>
                </c:pt>
                <c:pt idx="53">
                  <c:v>2.8802927973000002E-2</c:v>
                </c:pt>
                <c:pt idx="54">
                  <c:v>3.0276560712000012E-2</c:v>
                </c:pt>
                <c:pt idx="55">
                  <c:v>3.1847476381000002E-2</c:v>
                </c:pt>
                <c:pt idx="56">
                  <c:v>3.1405571874000011E-2</c:v>
                </c:pt>
                <c:pt idx="57">
                  <c:v>3.2220512084000077E-2</c:v>
                </c:pt>
                <c:pt idx="58">
                  <c:v>3.3156877290000004E-2</c:v>
                </c:pt>
                <c:pt idx="59">
                  <c:v>3.4995896292999998E-2</c:v>
                </c:pt>
                <c:pt idx="60">
                  <c:v>3.1356330525000052E-2</c:v>
                </c:pt>
                <c:pt idx="61">
                  <c:v>3.2502856741000001E-2</c:v>
                </c:pt>
                <c:pt idx="62">
                  <c:v>3.1942852811000011E-2</c:v>
                </c:pt>
                <c:pt idx="63">
                  <c:v>3.3389898105000003E-2</c:v>
                </c:pt>
                <c:pt idx="64">
                  <c:v>3.4766266037000004E-2</c:v>
                </c:pt>
                <c:pt idx="65">
                  <c:v>3.6521160553000011E-2</c:v>
                </c:pt>
                <c:pt idx="66">
                  <c:v>3.6176130862000014E-2</c:v>
                </c:pt>
                <c:pt idx="67">
                  <c:v>3.5881655870000077E-2</c:v>
                </c:pt>
                <c:pt idx="68">
                  <c:v>3.6750057435000004E-2</c:v>
                </c:pt>
                <c:pt idx="69">
                  <c:v>3.7394762079000075E-2</c:v>
                </c:pt>
                <c:pt idx="70">
                  <c:v>3.1764757677000002E-2</c:v>
                </c:pt>
                <c:pt idx="71">
                  <c:v>3.047778931500001E-2</c:v>
                </c:pt>
                <c:pt idx="72">
                  <c:v>3.0285046789000108E-2</c:v>
                </c:pt>
                <c:pt idx="73">
                  <c:v>2.9328267902000001E-2</c:v>
                </c:pt>
                <c:pt idx="74">
                  <c:v>2.8485694982000001E-2</c:v>
                </c:pt>
                <c:pt idx="75">
                  <c:v>2.8287976809000012E-2</c:v>
                </c:pt>
                <c:pt idx="76">
                  <c:v>2.8142812561000052E-2</c:v>
                </c:pt>
                <c:pt idx="77">
                  <c:v>2.9971554342999997E-2</c:v>
                </c:pt>
                <c:pt idx="78">
                  <c:v>3.1010371300000002E-2</c:v>
                </c:pt>
                <c:pt idx="79">
                  <c:v>3.5609285873000072E-2</c:v>
                </c:pt>
                <c:pt idx="80">
                  <c:v>3.5786805155000004E-2</c:v>
                </c:pt>
                <c:pt idx="81">
                  <c:v>3.6206563901000001E-2</c:v>
                </c:pt>
                <c:pt idx="82">
                  <c:v>3.5033712031000086E-2</c:v>
                </c:pt>
                <c:pt idx="83">
                  <c:v>3.8072119595000002E-2</c:v>
                </c:pt>
                <c:pt idx="84">
                  <c:v>3.8456359354999997E-2</c:v>
                </c:pt>
                <c:pt idx="85">
                  <c:v>3.743501827800013E-2</c:v>
                </c:pt>
                <c:pt idx="86">
                  <c:v>3.8787914102000005E-2</c:v>
                </c:pt>
                <c:pt idx="87">
                  <c:v>4.0703180048000116E-2</c:v>
                </c:pt>
                <c:pt idx="88">
                  <c:v>4.0916901889000178E-2</c:v>
                </c:pt>
                <c:pt idx="89">
                  <c:v>4.1684582230999946E-2</c:v>
                </c:pt>
                <c:pt idx="90">
                  <c:v>4.1777997368000003E-2</c:v>
                </c:pt>
                <c:pt idx="91">
                  <c:v>4.3820928875999997E-2</c:v>
                </c:pt>
                <c:pt idx="92">
                  <c:v>4.3498440379999975E-2</c:v>
                </c:pt>
                <c:pt idx="93">
                  <c:v>4.2192349710999985E-2</c:v>
                </c:pt>
                <c:pt idx="94">
                  <c:v>4.3413903141000125E-2</c:v>
                </c:pt>
                <c:pt idx="95">
                  <c:v>4.605024664E-2</c:v>
                </c:pt>
                <c:pt idx="96">
                  <c:v>4.3902885952000023E-2</c:v>
                </c:pt>
                <c:pt idx="97">
                  <c:v>4.2863063398000098E-2</c:v>
                </c:pt>
                <c:pt idx="98">
                  <c:v>4.0005952008000001E-2</c:v>
                </c:pt>
                <c:pt idx="99">
                  <c:v>4.1634617360000001E-2</c:v>
                </c:pt>
                <c:pt idx="100">
                  <c:v>4.0181265712999868E-2</c:v>
                </c:pt>
                <c:pt idx="101">
                  <c:v>3.9011231277000041E-2</c:v>
                </c:pt>
                <c:pt idx="102">
                  <c:v>3.6072623532999996E-2</c:v>
                </c:pt>
                <c:pt idx="103">
                  <c:v>3.6624202862000042E-2</c:v>
                </c:pt>
                <c:pt idx="104">
                  <c:v>3.6350456030999997E-2</c:v>
                </c:pt>
                <c:pt idx="105">
                  <c:v>3.7246583686000055E-2</c:v>
                </c:pt>
                <c:pt idx="106">
                  <c:v>3.9437943792000073E-2</c:v>
                </c:pt>
                <c:pt idx="107">
                  <c:v>3.689992682600008E-2</c:v>
                </c:pt>
                <c:pt idx="108">
                  <c:v>3.803740887100001E-2</c:v>
                </c:pt>
                <c:pt idx="109">
                  <c:v>3.6691896064000078E-2</c:v>
                </c:pt>
                <c:pt idx="110">
                  <c:v>3.7619141815000083E-2</c:v>
                </c:pt>
                <c:pt idx="111">
                  <c:v>3.6622688066000005E-2</c:v>
                </c:pt>
                <c:pt idx="112">
                  <c:v>3.7063693873000042E-2</c:v>
                </c:pt>
                <c:pt idx="113">
                  <c:v>3.874791775200008E-2</c:v>
                </c:pt>
                <c:pt idx="114">
                  <c:v>3.8990264929999997E-2</c:v>
                </c:pt>
                <c:pt idx="115">
                  <c:v>3.9386848807000011E-2</c:v>
                </c:pt>
                <c:pt idx="116">
                  <c:v>3.8726817677000001E-2</c:v>
                </c:pt>
                <c:pt idx="117">
                  <c:v>3.8970204641000004E-2</c:v>
                </c:pt>
                <c:pt idx="118">
                  <c:v>4.0282575829000022E-2</c:v>
                </c:pt>
                <c:pt idx="119">
                  <c:v>4.0922507205000014E-2</c:v>
                </c:pt>
                <c:pt idx="120">
                  <c:v>4.1157076435000002E-2</c:v>
                </c:pt>
                <c:pt idx="121">
                  <c:v>3.9421222746000011E-2</c:v>
                </c:pt>
                <c:pt idx="122">
                  <c:v>3.7665096653000052E-2</c:v>
                </c:pt>
                <c:pt idx="123">
                  <c:v>3.6225713161000012E-2</c:v>
                </c:pt>
                <c:pt idx="124">
                  <c:v>3.7231152784000139E-2</c:v>
                </c:pt>
                <c:pt idx="125">
                  <c:v>3.9523569738999995E-2</c:v>
                </c:pt>
                <c:pt idx="126">
                  <c:v>3.9151996238000003E-2</c:v>
                </c:pt>
                <c:pt idx="127">
                  <c:v>3.8303120863000001E-2</c:v>
                </c:pt>
                <c:pt idx="128">
                  <c:v>3.7994523559000001E-2</c:v>
                </c:pt>
                <c:pt idx="129">
                  <c:v>3.9120515837999997E-2</c:v>
                </c:pt>
                <c:pt idx="130">
                  <c:v>3.8966333100999999E-2</c:v>
                </c:pt>
                <c:pt idx="131">
                  <c:v>3.8237329673000052E-2</c:v>
                </c:pt>
                <c:pt idx="132">
                  <c:v>3.8231998240000002E-2</c:v>
                </c:pt>
                <c:pt idx="133">
                  <c:v>3.8882607178000052E-2</c:v>
                </c:pt>
                <c:pt idx="134">
                  <c:v>3.8949946266000006E-2</c:v>
                </c:pt>
                <c:pt idx="135">
                  <c:v>3.7906864567000015E-2</c:v>
                </c:pt>
                <c:pt idx="136">
                  <c:v>3.9511336272000014E-2</c:v>
                </c:pt>
                <c:pt idx="137">
                  <c:v>3.9585686973000002E-2</c:v>
                </c:pt>
                <c:pt idx="138">
                  <c:v>3.9560876810999998E-2</c:v>
                </c:pt>
                <c:pt idx="139">
                  <c:v>3.9742568602000004E-2</c:v>
                </c:pt>
                <c:pt idx="140">
                  <c:v>4.0310979268000022E-2</c:v>
                </c:pt>
                <c:pt idx="141">
                  <c:v>4.1032798676000001E-2</c:v>
                </c:pt>
                <c:pt idx="142">
                  <c:v>4.0656118320999898E-2</c:v>
                </c:pt>
                <c:pt idx="143">
                  <c:v>4.0940868561999771E-2</c:v>
                </c:pt>
                <c:pt idx="144">
                  <c:v>4.1034339163000005E-2</c:v>
                </c:pt>
                <c:pt idx="145">
                  <c:v>4.1362540310000022E-2</c:v>
                </c:pt>
                <c:pt idx="146">
                  <c:v>4.1733131553000125E-2</c:v>
                </c:pt>
                <c:pt idx="147">
                  <c:v>4.1716152825000033E-2</c:v>
                </c:pt>
                <c:pt idx="148">
                  <c:v>4.1366642305000013E-2</c:v>
                </c:pt>
                <c:pt idx="149">
                  <c:v>4.1190614817000155E-2</c:v>
                </c:pt>
                <c:pt idx="150">
                  <c:v>4.1377812825999977E-2</c:v>
                </c:pt>
                <c:pt idx="151">
                  <c:v>4.1584634355000108E-2</c:v>
                </c:pt>
                <c:pt idx="152">
                  <c:v>4.1344440409999898E-2</c:v>
                </c:pt>
                <c:pt idx="153">
                  <c:v>4.1103065128000001E-2</c:v>
                </c:pt>
                <c:pt idx="154">
                  <c:v>4.15064245190001E-2</c:v>
                </c:pt>
                <c:pt idx="155">
                  <c:v>4.1367273252000125E-2</c:v>
                </c:pt>
                <c:pt idx="156">
                  <c:v>4.1149093860999873E-2</c:v>
                </c:pt>
                <c:pt idx="157">
                  <c:v>4.1320424424000024E-2</c:v>
                </c:pt>
                <c:pt idx="158">
                  <c:v>4.1340833181999888E-2</c:v>
                </c:pt>
                <c:pt idx="159">
                  <c:v>4.1361187759999987E-2</c:v>
                </c:pt>
                <c:pt idx="160">
                  <c:v>4.1340997911999994E-2</c:v>
                </c:pt>
                <c:pt idx="161">
                  <c:v>4.1203791625999985E-2</c:v>
                </c:pt>
                <c:pt idx="162">
                  <c:v>4.1496638123000154E-2</c:v>
                </c:pt>
                <c:pt idx="163">
                  <c:v>4.2141364583999849E-2</c:v>
                </c:pt>
                <c:pt idx="164">
                  <c:v>4.2561766306999996E-2</c:v>
                </c:pt>
                <c:pt idx="165">
                  <c:v>4.3166291438000166E-2</c:v>
                </c:pt>
                <c:pt idx="166">
                  <c:v>4.3603520805000004E-2</c:v>
                </c:pt>
                <c:pt idx="167">
                  <c:v>4.4899681426000197E-2</c:v>
                </c:pt>
                <c:pt idx="168">
                  <c:v>4.5669693539000022E-2</c:v>
                </c:pt>
                <c:pt idx="169">
                  <c:v>4.7777958163999976E-2</c:v>
                </c:pt>
                <c:pt idx="170">
                  <c:v>4.5342210367000021E-2</c:v>
                </c:pt>
                <c:pt idx="171">
                  <c:v>4.6306490323000139E-2</c:v>
                </c:pt>
                <c:pt idx="172">
                  <c:v>4.6845518580999793E-2</c:v>
                </c:pt>
                <c:pt idx="173">
                  <c:v>4.8237539376000005E-2</c:v>
                </c:pt>
                <c:pt idx="174">
                  <c:v>4.8538026567999965E-2</c:v>
                </c:pt>
                <c:pt idx="175">
                  <c:v>5.1000771889000034E-2</c:v>
                </c:pt>
                <c:pt idx="176">
                  <c:v>4.8756914332000155E-2</c:v>
                </c:pt>
                <c:pt idx="177">
                  <c:v>4.7408846988999977E-2</c:v>
                </c:pt>
                <c:pt idx="178">
                  <c:v>4.8982350500999965E-2</c:v>
                </c:pt>
                <c:pt idx="179">
                  <c:v>4.5325831141000014E-2</c:v>
                </c:pt>
                <c:pt idx="180">
                  <c:v>4.40695304360001E-2</c:v>
                </c:pt>
                <c:pt idx="181">
                  <c:v>4.6240430236999995E-2</c:v>
                </c:pt>
                <c:pt idx="182">
                  <c:v>4.4560558598999975E-2</c:v>
                </c:pt>
                <c:pt idx="183">
                  <c:v>4.7366446103000129E-2</c:v>
                </c:pt>
                <c:pt idx="184">
                  <c:v>4.7812798568000033E-2</c:v>
                </c:pt>
                <c:pt idx="185">
                  <c:v>5.0564225210000022E-2</c:v>
                </c:pt>
                <c:pt idx="186">
                  <c:v>5.0762704772000108E-2</c:v>
                </c:pt>
                <c:pt idx="187">
                  <c:v>5.1827113550000012E-2</c:v>
                </c:pt>
                <c:pt idx="188">
                  <c:v>5.2396704612000196E-2</c:v>
                </c:pt>
                <c:pt idx="189">
                  <c:v>5.4925978920000014E-2</c:v>
                </c:pt>
                <c:pt idx="190">
                  <c:v>5.6230698699999956E-2</c:v>
                </c:pt>
                <c:pt idx="191">
                  <c:v>5.6086977210000034E-2</c:v>
                </c:pt>
                <c:pt idx="192">
                  <c:v>5.3966708577999956E-2</c:v>
                </c:pt>
                <c:pt idx="193">
                  <c:v>5.4117357492000022E-2</c:v>
                </c:pt>
                <c:pt idx="194">
                  <c:v>5.6984731350000116E-2</c:v>
                </c:pt>
                <c:pt idx="195">
                  <c:v>5.5741503031999998E-2</c:v>
                </c:pt>
                <c:pt idx="196">
                  <c:v>5.7496479202000184E-2</c:v>
                </c:pt>
                <c:pt idx="197">
                  <c:v>5.4268756442999999E-2</c:v>
                </c:pt>
                <c:pt idx="198">
                  <c:v>5.1817084765999999E-2</c:v>
                </c:pt>
                <c:pt idx="199">
                  <c:v>5.2269409199E-2</c:v>
                </c:pt>
                <c:pt idx="200">
                  <c:v>5.2884848232999965E-2</c:v>
                </c:pt>
                <c:pt idx="201">
                  <c:v>5.4301331340000175E-2</c:v>
                </c:pt>
                <c:pt idx="202">
                  <c:v>5.6641585238999849E-2</c:v>
                </c:pt>
                <c:pt idx="203">
                  <c:v>5.9665586000000014E-2</c:v>
                </c:pt>
                <c:pt idx="204">
                  <c:v>6.0305861694999977E-2</c:v>
                </c:pt>
                <c:pt idx="205">
                  <c:v>6.1542933777999985E-2</c:v>
                </c:pt>
                <c:pt idx="206">
                  <c:v>6.2356978308000112E-2</c:v>
                </c:pt>
                <c:pt idx="207">
                  <c:v>5.9019612628000123E-2</c:v>
                </c:pt>
                <c:pt idx="208">
                  <c:v>6.2895913782000004E-2</c:v>
                </c:pt>
                <c:pt idx="209">
                  <c:v>6.4310595891000202E-2</c:v>
                </c:pt>
                <c:pt idx="210">
                  <c:v>6.4927038362999998E-2</c:v>
                </c:pt>
                <c:pt idx="211">
                  <c:v>6.6007479355000023E-2</c:v>
                </c:pt>
                <c:pt idx="212">
                  <c:v>7.1774970861999993E-2</c:v>
                </c:pt>
                <c:pt idx="213">
                  <c:v>6.711551492300015E-2</c:v>
                </c:pt>
                <c:pt idx="214">
                  <c:v>7.0984670577000003E-2</c:v>
                </c:pt>
                <c:pt idx="215">
                  <c:v>7.8227733475000005E-2</c:v>
                </c:pt>
                <c:pt idx="216">
                  <c:v>7.5422055762999957E-2</c:v>
                </c:pt>
                <c:pt idx="217">
                  <c:v>6.7754353194999992E-2</c:v>
                </c:pt>
                <c:pt idx="218">
                  <c:v>6.8533653574E-2</c:v>
                </c:pt>
                <c:pt idx="219">
                  <c:v>7.5905170337999997E-2</c:v>
                </c:pt>
                <c:pt idx="220">
                  <c:v>7.7533172890000002E-2</c:v>
                </c:pt>
                <c:pt idx="221">
                  <c:v>7.5651359968000001E-2</c:v>
                </c:pt>
                <c:pt idx="222">
                  <c:v>7.0838557265000004E-2</c:v>
                </c:pt>
                <c:pt idx="223">
                  <c:v>7.2731249710999993E-2</c:v>
                </c:pt>
                <c:pt idx="224">
                  <c:v>7.0820811612999995E-2</c:v>
                </c:pt>
                <c:pt idx="225">
                  <c:v>7.1276837470999985E-2</c:v>
                </c:pt>
                <c:pt idx="226">
                  <c:v>6.3247110836999978E-2</c:v>
                </c:pt>
                <c:pt idx="227">
                  <c:v>6.3536935404999995E-2</c:v>
                </c:pt>
                <c:pt idx="228">
                  <c:v>5.8771552918E-2</c:v>
                </c:pt>
                <c:pt idx="229">
                  <c:v>5.9394607357000272E-2</c:v>
                </c:pt>
                <c:pt idx="230">
                  <c:v>5.2871116300999901E-2</c:v>
                </c:pt>
                <c:pt idx="231">
                  <c:v>5.8245630382000001E-2</c:v>
                </c:pt>
                <c:pt idx="232">
                  <c:v>6.157795647399987E-2</c:v>
                </c:pt>
                <c:pt idx="233">
                  <c:v>6.3875452132000007E-2</c:v>
                </c:pt>
                <c:pt idx="234">
                  <c:v>6.0577756647000013E-2</c:v>
                </c:pt>
                <c:pt idx="235">
                  <c:v>5.6811547721E-2</c:v>
                </c:pt>
                <c:pt idx="236">
                  <c:v>5.8892069740000115E-2</c:v>
                </c:pt>
                <c:pt idx="237">
                  <c:v>5.7502590710000107E-2</c:v>
                </c:pt>
                <c:pt idx="238">
                  <c:v>5.6809399194E-2</c:v>
                </c:pt>
                <c:pt idx="239">
                  <c:v>5.7453482908000154E-2</c:v>
                </c:pt>
                <c:pt idx="240">
                  <c:v>5.9565398473999956E-2</c:v>
                </c:pt>
                <c:pt idx="241">
                  <c:v>5.9839345864999977E-2</c:v>
                </c:pt>
                <c:pt idx="242">
                  <c:v>6.1861393918000114E-2</c:v>
                </c:pt>
                <c:pt idx="243">
                  <c:v>6.1268406333999985E-2</c:v>
                </c:pt>
                <c:pt idx="244">
                  <c:v>6.1172301975999988E-2</c:v>
                </c:pt>
                <c:pt idx="245">
                  <c:v>6.2048521438999998E-2</c:v>
                </c:pt>
                <c:pt idx="246">
                  <c:v>6.2262283050000207E-2</c:v>
                </c:pt>
                <c:pt idx="247">
                  <c:v>6.3642519999000002E-2</c:v>
                </c:pt>
                <c:pt idx="248">
                  <c:v>6.4259421334000033E-2</c:v>
                </c:pt>
                <c:pt idx="249">
                  <c:v>6.4305466983999998E-2</c:v>
                </c:pt>
                <c:pt idx="250">
                  <c:v>6.3193704143000171E-2</c:v>
                </c:pt>
                <c:pt idx="251">
                  <c:v>6.399278161800015E-2</c:v>
                </c:pt>
                <c:pt idx="252">
                  <c:v>6.5310841785999996E-2</c:v>
                </c:pt>
                <c:pt idx="253">
                  <c:v>6.6488738614000009E-2</c:v>
                </c:pt>
                <c:pt idx="254">
                  <c:v>6.6337027246000171E-2</c:v>
                </c:pt>
                <c:pt idx="255">
                  <c:v>6.5952417282999998E-2</c:v>
                </c:pt>
                <c:pt idx="256">
                  <c:v>6.7954232114000021E-2</c:v>
                </c:pt>
                <c:pt idx="257">
                  <c:v>6.8058381474000007E-2</c:v>
                </c:pt>
                <c:pt idx="258">
                  <c:v>7.2833744187999996E-2</c:v>
                </c:pt>
                <c:pt idx="259">
                  <c:v>7.0265449162999941E-2</c:v>
                </c:pt>
                <c:pt idx="260">
                  <c:v>6.6834546418999996E-2</c:v>
                </c:pt>
                <c:pt idx="261">
                  <c:v>6.6127993132000004E-2</c:v>
                </c:pt>
                <c:pt idx="262">
                  <c:v>6.6069916201000001E-2</c:v>
                </c:pt>
                <c:pt idx="263">
                  <c:v>6.7415853944000084E-2</c:v>
                </c:pt>
                <c:pt idx="264">
                  <c:v>6.8629649749000002E-2</c:v>
                </c:pt>
                <c:pt idx="265">
                  <c:v>6.7564959598999996E-2</c:v>
                </c:pt>
                <c:pt idx="266">
                  <c:v>7.0481653308999997E-2</c:v>
                </c:pt>
                <c:pt idx="267">
                  <c:v>7.4146415839000168E-2</c:v>
                </c:pt>
                <c:pt idx="268">
                  <c:v>7.3124825506999946E-2</c:v>
                </c:pt>
                <c:pt idx="269">
                  <c:v>7.4447162274999965E-2</c:v>
                </c:pt>
                <c:pt idx="270">
                  <c:v>7.7217455648000019E-2</c:v>
                </c:pt>
                <c:pt idx="271">
                  <c:v>7.9496780832000319E-2</c:v>
                </c:pt>
                <c:pt idx="272">
                  <c:v>7.6344601137000034E-2</c:v>
                </c:pt>
                <c:pt idx="273">
                  <c:v>7.2516611260000197E-2</c:v>
                </c:pt>
                <c:pt idx="274">
                  <c:v>7.0118718439E-2</c:v>
                </c:pt>
                <c:pt idx="275">
                  <c:v>6.9183799185999997E-2</c:v>
                </c:pt>
                <c:pt idx="276">
                  <c:v>6.8788392264000006E-2</c:v>
                </c:pt>
                <c:pt idx="277">
                  <c:v>6.8100945717999975E-2</c:v>
                </c:pt>
                <c:pt idx="278">
                  <c:v>6.9398218106000151E-2</c:v>
                </c:pt>
                <c:pt idx="279">
                  <c:v>7.1785574152000084E-2</c:v>
                </c:pt>
                <c:pt idx="280">
                  <c:v>7.1757523660000003E-2</c:v>
                </c:pt>
                <c:pt idx="281">
                  <c:v>7.231741649900017E-2</c:v>
                </c:pt>
                <c:pt idx="282">
                  <c:v>7.33169160880002E-2</c:v>
                </c:pt>
                <c:pt idx="283">
                  <c:v>7.4857058162000001E-2</c:v>
                </c:pt>
                <c:pt idx="284">
                  <c:v>7.924490644099999E-2</c:v>
                </c:pt>
                <c:pt idx="285">
                  <c:v>7.7899464554000167E-2</c:v>
                </c:pt>
                <c:pt idx="286">
                  <c:v>7.7170061852000149E-2</c:v>
                </c:pt>
                <c:pt idx="287">
                  <c:v>7.3944784654999998E-2</c:v>
                </c:pt>
                <c:pt idx="288">
                  <c:v>7.0273684722000004E-2</c:v>
                </c:pt>
                <c:pt idx="289">
                  <c:v>7.1009872065999846E-2</c:v>
                </c:pt>
                <c:pt idx="290">
                  <c:v>7.133652664899999E-2</c:v>
                </c:pt>
                <c:pt idx="291">
                  <c:v>7.2459097397000002E-2</c:v>
                </c:pt>
                <c:pt idx="292">
                  <c:v>7.3237273942000122E-2</c:v>
                </c:pt>
                <c:pt idx="293">
                  <c:v>7.6958075961000003E-2</c:v>
                </c:pt>
                <c:pt idx="294">
                  <c:v>7.7001888759999998E-2</c:v>
                </c:pt>
                <c:pt idx="295">
                  <c:v>7.2205927367999995E-2</c:v>
                </c:pt>
                <c:pt idx="296">
                  <c:v>7.0133103443999992E-2</c:v>
                </c:pt>
                <c:pt idx="297">
                  <c:v>6.8430295351000023E-2</c:v>
                </c:pt>
                <c:pt idx="298">
                  <c:v>6.5946534212000113E-2</c:v>
                </c:pt>
                <c:pt idx="299">
                  <c:v>6.1700334431000106E-2</c:v>
                </c:pt>
                <c:pt idx="300">
                  <c:v>6.599292782200028E-2</c:v>
                </c:pt>
                <c:pt idx="301">
                  <c:v>6.6107912778000003E-2</c:v>
                </c:pt>
                <c:pt idx="302">
                  <c:v>6.6854170130000001E-2</c:v>
                </c:pt>
                <c:pt idx="303">
                  <c:v>6.8249703958000008E-2</c:v>
                </c:pt>
                <c:pt idx="304">
                  <c:v>6.9405316918000032E-2</c:v>
                </c:pt>
                <c:pt idx="305">
                  <c:v>6.8259986036000003E-2</c:v>
                </c:pt>
                <c:pt idx="306">
                  <c:v>7.3112664867000202E-2</c:v>
                </c:pt>
                <c:pt idx="307">
                  <c:v>7.2485624387999992E-2</c:v>
                </c:pt>
                <c:pt idx="308">
                  <c:v>7.2997439016000212E-2</c:v>
                </c:pt>
                <c:pt idx="309">
                  <c:v>7.4243001952000134E-2</c:v>
                </c:pt>
                <c:pt idx="310">
                  <c:v>7.4071920774000002E-2</c:v>
                </c:pt>
                <c:pt idx="311">
                  <c:v>7.6139840803999978E-2</c:v>
                </c:pt>
                <c:pt idx="312">
                  <c:v>7.7572067310000034E-2</c:v>
                </c:pt>
                <c:pt idx="313">
                  <c:v>7.8446490201000113E-2</c:v>
                </c:pt>
                <c:pt idx="314">
                  <c:v>7.948412795800025E-2</c:v>
                </c:pt>
                <c:pt idx="315">
                  <c:v>8.0263492289000066E-2</c:v>
                </c:pt>
                <c:pt idx="316">
                  <c:v>8.2255429654000067E-2</c:v>
                </c:pt>
                <c:pt idx="317">
                  <c:v>8.4270494124000048E-2</c:v>
                </c:pt>
                <c:pt idx="318">
                  <c:v>8.3593646988000356E-2</c:v>
                </c:pt>
                <c:pt idx="319">
                  <c:v>8.1998054586000027E-2</c:v>
                </c:pt>
                <c:pt idx="320">
                  <c:v>8.3553336468000283E-2</c:v>
                </c:pt>
                <c:pt idx="321">
                  <c:v>8.7471395929000023E-2</c:v>
                </c:pt>
                <c:pt idx="322">
                  <c:v>8.6388887961999991E-2</c:v>
                </c:pt>
                <c:pt idx="323">
                  <c:v>8.9413795800999993E-2</c:v>
                </c:pt>
                <c:pt idx="324">
                  <c:v>8.7338951974000004E-2</c:v>
                </c:pt>
                <c:pt idx="325">
                  <c:v>8.9473991101000017E-2</c:v>
                </c:pt>
                <c:pt idx="326">
                  <c:v>8.8868763746000307E-2</c:v>
                </c:pt>
                <c:pt idx="327">
                  <c:v>9.1130403297000048E-2</c:v>
                </c:pt>
                <c:pt idx="328">
                  <c:v>8.8234935511000354E-2</c:v>
                </c:pt>
                <c:pt idx="329">
                  <c:v>8.6003650595000022E-2</c:v>
                </c:pt>
                <c:pt idx="330">
                  <c:v>8.7942688730999988E-2</c:v>
                </c:pt>
                <c:pt idx="331">
                  <c:v>9.0133737252999988E-2</c:v>
                </c:pt>
                <c:pt idx="332">
                  <c:v>9.2010862128000276E-2</c:v>
                </c:pt>
                <c:pt idx="333">
                  <c:v>0.10452951002000002</c:v>
                </c:pt>
                <c:pt idx="334">
                  <c:v>9.8831468697000394E-2</c:v>
                </c:pt>
                <c:pt idx="335">
                  <c:v>0.10050907586999999</c:v>
                </c:pt>
                <c:pt idx="336">
                  <c:v>0.10809645368000023</c:v>
                </c:pt>
                <c:pt idx="337">
                  <c:v>0.11679326014000022</c:v>
                </c:pt>
                <c:pt idx="338">
                  <c:v>0.11096768336</c:v>
                </c:pt>
                <c:pt idx="339">
                  <c:v>9.9799563296000329E-2</c:v>
                </c:pt>
                <c:pt idx="340">
                  <c:v>9.5198999194000364E-2</c:v>
                </c:pt>
                <c:pt idx="341">
                  <c:v>9.2104538138000208E-2</c:v>
                </c:pt>
                <c:pt idx="342">
                  <c:v>9.9886665280000259E-2</c:v>
                </c:pt>
                <c:pt idx="343">
                  <c:v>0.10546234505000014</c:v>
                </c:pt>
                <c:pt idx="344">
                  <c:v>0.11491402635</c:v>
                </c:pt>
                <c:pt idx="345">
                  <c:v>0.12048156202999999</c:v>
                </c:pt>
                <c:pt idx="346">
                  <c:v>0.12044879661999998</c:v>
                </c:pt>
                <c:pt idx="347">
                  <c:v>0.12038471387999999</c:v>
                </c:pt>
                <c:pt idx="348">
                  <c:v>0.12282241697000015</c:v>
                </c:pt>
                <c:pt idx="349">
                  <c:v>0.12977889024</c:v>
                </c:pt>
                <c:pt idx="350">
                  <c:v>0.12686848076000046</c:v>
                </c:pt>
                <c:pt idx="351">
                  <c:v>0.13611048375000043</c:v>
                </c:pt>
                <c:pt idx="352">
                  <c:v>0.12968571975999987</c:v>
                </c:pt>
                <c:pt idx="353">
                  <c:v>0.13381120167000021</c:v>
                </c:pt>
                <c:pt idx="354">
                  <c:v>0.14127464231</c:v>
                </c:pt>
                <c:pt idx="355">
                  <c:v>0.1479460538500007</c:v>
                </c:pt>
                <c:pt idx="356">
                  <c:v>0.15214076922</c:v>
                </c:pt>
                <c:pt idx="357">
                  <c:v>0.14090626049000052</c:v>
                </c:pt>
                <c:pt idx="358">
                  <c:v>0.12792025725</c:v>
                </c:pt>
                <c:pt idx="359">
                  <c:v>0.13490589413000037</c:v>
                </c:pt>
                <c:pt idx="360">
                  <c:v>0.13634640508000045</c:v>
                </c:pt>
                <c:pt idx="361">
                  <c:v>0.13477013802000001</c:v>
                </c:pt>
                <c:pt idx="362">
                  <c:v>0.13666240854000034</c:v>
                </c:pt>
                <c:pt idx="363">
                  <c:v>0.13383120802000001</c:v>
                </c:pt>
                <c:pt idx="364">
                  <c:v>0.12346010901000012</c:v>
                </c:pt>
                <c:pt idx="365">
                  <c:v>0.13897902999</c:v>
                </c:pt>
                <c:pt idx="366">
                  <c:v>0.12568281155</c:v>
                </c:pt>
                <c:pt idx="367">
                  <c:v>0.11579799565</c:v>
                </c:pt>
                <c:pt idx="368">
                  <c:v>0.11140514789999999</c:v>
                </c:pt>
                <c:pt idx="369">
                  <c:v>9.8475948215000275E-2</c:v>
                </c:pt>
                <c:pt idx="370">
                  <c:v>0.10287813345000002</c:v>
                </c:pt>
                <c:pt idx="371">
                  <c:v>0.10056410399000015</c:v>
                </c:pt>
                <c:pt idx="372">
                  <c:v>0.10380766362999998</c:v>
                </c:pt>
                <c:pt idx="373">
                  <c:v>9.8621328577000664E-2</c:v>
                </c:pt>
                <c:pt idx="374">
                  <c:v>0.10326897496000025</c:v>
                </c:pt>
                <c:pt idx="375">
                  <c:v>9.9814755467000027E-2</c:v>
                </c:pt>
                <c:pt idx="376">
                  <c:v>0.10504543700999999</c:v>
                </c:pt>
                <c:pt idx="377">
                  <c:v>0.10626601536000022</c:v>
                </c:pt>
                <c:pt idx="378">
                  <c:v>0.11458222675000015</c:v>
                </c:pt>
                <c:pt idx="379">
                  <c:v>0.11416189925999999</c:v>
                </c:pt>
                <c:pt idx="380">
                  <c:v>0.11070239307</c:v>
                </c:pt>
                <c:pt idx="381">
                  <c:v>0.11288057910999998</c:v>
                </c:pt>
                <c:pt idx="382">
                  <c:v>0.11175912464</c:v>
                </c:pt>
                <c:pt idx="383">
                  <c:v>0.11445244050999999</c:v>
                </c:pt>
                <c:pt idx="384">
                  <c:v>0.11237378062999999</c:v>
                </c:pt>
                <c:pt idx="385">
                  <c:v>0.11600261742000002</c:v>
                </c:pt>
                <c:pt idx="386">
                  <c:v>0.12089243992000002</c:v>
                </c:pt>
                <c:pt idx="387">
                  <c:v>0.12339214390000028</c:v>
                </c:pt>
                <c:pt idx="388">
                  <c:v>0.13355134708999999</c:v>
                </c:pt>
                <c:pt idx="389">
                  <c:v>0.13360003682999999</c:v>
                </c:pt>
                <c:pt idx="390">
                  <c:v>0.12452068519999999</c:v>
                </c:pt>
                <c:pt idx="391">
                  <c:v>0.12389763949</c:v>
                </c:pt>
                <c:pt idx="392">
                  <c:v>0.12072081561999999</c:v>
                </c:pt>
                <c:pt idx="393">
                  <c:v>0.11293080578999999</c:v>
                </c:pt>
                <c:pt idx="394">
                  <c:v>0.11143752527</c:v>
                </c:pt>
                <c:pt idx="395">
                  <c:v>0.11137466209999998</c:v>
                </c:pt>
                <c:pt idx="396">
                  <c:v>0.10754089965000001</c:v>
                </c:pt>
                <c:pt idx="397">
                  <c:v>0.11480588367</c:v>
                </c:pt>
                <c:pt idx="398">
                  <c:v>0.11308357414999999</c:v>
                </c:pt>
                <c:pt idx="399">
                  <c:v>0.11076437519</c:v>
                </c:pt>
                <c:pt idx="400">
                  <c:v>0.10098970651</c:v>
                </c:pt>
                <c:pt idx="401">
                  <c:v>9.9762749973000067E-2</c:v>
                </c:pt>
                <c:pt idx="402">
                  <c:v>0.10278769110000001</c:v>
                </c:pt>
                <c:pt idx="403">
                  <c:v>0.1004622322600002</c:v>
                </c:pt>
                <c:pt idx="404">
                  <c:v>0.10107325795000023</c:v>
                </c:pt>
                <c:pt idx="405">
                  <c:v>9.8189446608000025E-2</c:v>
                </c:pt>
                <c:pt idx="406">
                  <c:v>9.4873622544000211E-2</c:v>
                </c:pt>
                <c:pt idx="407">
                  <c:v>8.7876242605000002E-2</c:v>
                </c:pt>
                <c:pt idx="408">
                  <c:v>8.8424725991000333E-2</c:v>
                </c:pt>
                <c:pt idx="409">
                  <c:v>7.9790320209000176E-2</c:v>
                </c:pt>
                <c:pt idx="410">
                  <c:v>7.2387201621000166E-2</c:v>
                </c:pt>
                <c:pt idx="411">
                  <c:v>7.229486652900001E-2</c:v>
                </c:pt>
                <c:pt idx="412">
                  <c:v>7.8987095918000114E-2</c:v>
                </c:pt>
                <c:pt idx="413">
                  <c:v>7.2000120710999996E-2</c:v>
                </c:pt>
                <c:pt idx="414">
                  <c:v>7.191203181100024E-2</c:v>
                </c:pt>
                <c:pt idx="415">
                  <c:v>6.7997202426999998E-2</c:v>
                </c:pt>
                <c:pt idx="416">
                  <c:v>7.2898404796999994E-2</c:v>
                </c:pt>
                <c:pt idx="417">
                  <c:v>7.1717832858000166E-2</c:v>
                </c:pt>
                <c:pt idx="418">
                  <c:v>7.0739506519000003E-2</c:v>
                </c:pt>
                <c:pt idx="419">
                  <c:v>7.0882176640999994E-2</c:v>
                </c:pt>
                <c:pt idx="420">
                  <c:v>7.0305504721000001E-2</c:v>
                </c:pt>
                <c:pt idx="421">
                  <c:v>7.046741611200015E-2</c:v>
                </c:pt>
                <c:pt idx="422">
                  <c:v>7.3473697447000164E-2</c:v>
                </c:pt>
                <c:pt idx="423">
                  <c:v>8.0132729589000043E-2</c:v>
                </c:pt>
                <c:pt idx="424">
                  <c:v>8.3201338133000277E-2</c:v>
                </c:pt>
                <c:pt idx="425">
                  <c:v>8.1926431697000007E-2</c:v>
                </c:pt>
                <c:pt idx="426">
                  <c:v>8.4569606820000004E-2</c:v>
                </c:pt>
                <c:pt idx="427">
                  <c:v>8.8170203601000002E-2</c:v>
                </c:pt>
                <c:pt idx="428">
                  <c:v>9.3838907534000232E-2</c:v>
                </c:pt>
                <c:pt idx="429">
                  <c:v>8.6657712748000201E-2</c:v>
                </c:pt>
                <c:pt idx="430">
                  <c:v>8.833583976700031E-2</c:v>
                </c:pt>
                <c:pt idx="431">
                  <c:v>8.6237936080000008E-2</c:v>
                </c:pt>
                <c:pt idx="432">
                  <c:v>8.0773717367999986E-2</c:v>
                </c:pt>
                <c:pt idx="433">
                  <c:v>7.9722375360999992E-2</c:v>
                </c:pt>
                <c:pt idx="434">
                  <c:v>8.3751088449000297E-2</c:v>
                </c:pt>
                <c:pt idx="435">
                  <c:v>8.6594164504000301E-2</c:v>
                </c:pt>
                <c:pt idx="436">
                  <c:v>9.014171540999999E-2</c:v>
                </c:pt>
                <c:pt idx="437">
                  <c:v>8.6166822309000371E-2</c:v>
                </c:pt>
                <c:pt idx="438">
                  <c:v>8.9033241179000008E-2</c:v>
                </c:pt>
                <c:pt idx="439">
                  <c:v>9.0187303726000007E-2</c:v>
                </c:pt>
                <c:pt idx="440">
                  <c:v>8.6665373461000283E-2</c:v>
                </c:pt>
                <c:pt idx="441">
                  <c:v>8.4524287795000277E-2</c:v>
                </c:pt>
                <c:pt idx="442">
                  <c:v>8.8712919805000012E-2</c:v>
                </c:pt>
                <c:pt idx="443">
                  <c:v>8.9187247937000017E-2</c:v>
                </c:pt>
                <c:pt idx="444">
                  <c:v>8.7958716546000015E-2</c:v>
                </c:pt>
                <c:pt idx="445">
                  <c:v>9.1293558995000024E-2</c:v>
                </c:pt>
                <c:pt idx="446">
                  <c:v>9.0797246177000301E-2</c:v>
                </c:pt>
                <c:pt idx="447">
                  <c:v>8.8147195891000216E-2</c:v>
                </c:pt>
                <c:pt idx="448">
                  <c:v>8.4616550311000238E-2</c:v>
                </c:pt>
                <c:pt idx="449">
                  <c:v>7.9207586841000183E-2</c:v>
                </c:pt>
                <c:pt idx="450">
                  <c:v>7.6518581934000171E-2</c:v>
                </c:pt>
                <c:pt idx="451">
                  <c:v>8.1199777448000013E-2</c:v>
                </c:pt>
                <c:pt idx="452">
                  <c:v>8.1261067436000006E-2</c:v>
                </c:pt>
                <c:pt idx="453">
                  <c:v>7.7528170797999965E-2</c:v>
                </c:pt>
                <c:pt idx="454">
                  <c:v>7.7217774281000004E-2</c:v>
                </c:pt>
                <c:pt idx="455">
                  <c:v>7.7775612849000184E-2</c:v>
                </c:pt>
                <c:pt idx="456">
                  <c:v>8.2402920214999995E-2</c:v>
                </c:pt>
                <c:pt idx="457">
                  <c:v>8.3647097846000065E-2</c:v>
                </c:pt>
                <c:pt idx="458">
                  <c:v>8.4544010377000392E-2</c:v>
                </c:pt>
                <c:pt idx="459">
                  <c:v>8.8239608327000216E-2</c:v>
                </c:pt>
                <c:pt idx="460">
                  <c:v>8.4485243776000044E-2</c:v>
                </c:pt>
                <c:pt idx="461">
                  <c:v>8.2444376353000046E-2</c:v>
                </c:pt>
                <c:pt idx="462">
                  <c:v>8.1752377726000067E-2</c:v>
                </c:pt>
                <c:pt idx="463">
                  <c:v>8.6794377341000303E-2</c:v>
                </c:pt>
                <c:pt idx="464">
                  <c:v>8.6187823008E-2</c:v>
                </c:pt>
                <c:pt idx="465">
                  <c:v>8.4534798890000332E-2</c:v>
                </c:pt>
                <c:pt idx="466">
                  <c:v>8.1344220693000013E-2</c:v>
                </c:pt>
                <c:pt idx="467">
                  <c:v>7.9047172871999999E-2</c:v>
                </c:pt>
                <c:pt idx="468">
                  <c:v>7.9198480398000162E-2</c:v>
                </c:pt>
                <c:pt idx="469">
                  <c:v>7.9123667388000113E-2</c:v>
                </c:pt>
                <c:pt idx="470">
                  <c:v>7.8767544426000133E-2</c:v>
                </c:pt>
                <c:pt idx="471">
                  <c:v>7.8942720047000134E-2</c:v>
                </c:pt>
                <c:pt idx="472">
                  <c:v>7.9300319325999999E-2</c:v>
                </c:pt>
                <c:pt idx="473">
                  <c:v>8.0644701280000008E-2</c:v>
                </c:pt>
                <c:pt idx="474">
                  <c:v>8.0068092586000353E-2</c:v>
                </c:pt>
                <c:pt idx="475">
                  <c:v>7.6913526322000034E-2</c:v>
                </c:pt>
                <c:pt idx="476">
                  <c:v>7.3145182966000005E-2</c:v>
                </c:pt>
                <c:pt idx="477">
                  <c:v>7.3606462462000005E-2</c:v>
                </c:pt>
                <c:pt idx="478">
                  <c:v>7.3171163418999846E-2</c:v>
                </c:pt>
                <c:pt idx="479">
                  <c:v>6.5825391412000001E-2</c:v>
                </c:pt>
                <c:pt idx="480">
                  <c:v>7.2374071622000033E-2</c:v>
                </c:pt>
                <c:pt idx="481">
                  <c:v>7.1816941883000154E-2</c:v>
                </c:pt>
                <c:pt idx="482">
                  <c:v>7.4024467307000033E-2</c:v>
                </c:pt>
                <c:pt idx="483">
                  <c:v>7.4374504036000155E-2</c:v>
                </c:pt>
                <c:pt idx="484">
                  <c:v>7.188787428E-2</c:v>
                </c:pt>
                <c:pt idx="485">
                  <c:v>7.0001379099999997E-2</c:v>
                </c:pt>
                <c:pt idx="486">
                  <c:v>6.588110362599997E-2</c:v>
                </c:pt>
                <c:pt idx="487">
                  <c:v>6.5931236024000014E-2</c:v>
                </c:pt>
                <c:pt idx="488">
                  <c:v>6.3777205805000028E-2</c:v>
                </c:pt>
                <c:pt idx="489">
                  <c:v>6.7303081762000033E-2</c:v>
                </c:pt>
                <c:pt idx="490">
                  <c:v>6.8721365685000008E-2</c:v>
                </c:pt>
                <c:pt idx="491">
                  <c:v>6.6829334419999997E-2</c:v>
                </c:pt>
                <c:pt idx="492">
                  <c:v>6.3479706009000006E-2</c:v>
                </c:pt>
                <c:pt idx="493">
                  <c:v>6.0206698666999986E-2</c:v>
                </c:pt>
                <c:pt idx="494">
                  <c:v>5.9317832155000208E-2</c:v>
                </c:pt>
                <c:pt idx="495">
                  <c:v>6.0212650266999998E-2</c:v>
                </c:pt>
                <c:pt idx="496">
                  <c:v>6.0989048926000003E-2</c:v>
                </c:pt>
                <c:pt idx="497">
                  <c:v>5.7395361226999994E-2</c:v>
                </c:pt>
                <c:pt idx="498">
                  <c:v>5.7438170700000013E-2</c:v>
                </c:pt>
                <c:pt idx="499">
                  <c:v>5.4435172030999998E-2</c:v>
                </c:pt>
                <c:pt idx="500">
                  <c:v>5.3993256566E-2</c:v>
                </c:pt>
                <c:pt idx="501">
                  <c:v>5.4029790566999976E-2</c:v>
                </c:pt>
                <c:pt idx="502">
                  <c:v>5.7525445854999996E-2</c:v>
                </c:pt>
                <c:pt idx="503">
                  <c:v>5.7502264145000176E-2</c:v>
                </c:pt>
                <c:pt idx="504">
                  <c:v>5.5626420791999996E-2</c:v>
                </c:pt>
                <c:pt idx="505">
                  <c:v>6.1259295865999888E-2</c:v>
                </c:pt>
                <c:pt idx="506">
                  <c:v>6.6400115450999997E-2</c:v>
                </c:pt>
                <c:pt idx="507">
                  <c:v>6.9516511576999993E-2</c:v>
                </c:pt>
                <c:pt idx="508">
                  <c:v>7.0684380010999998E-2</c:v>
                </c:pt>
                <c:pt idx="509">
                  <c:v>7.1924736322999991E-2</c:v>
                </c:pt>
                <c:pt idx="510">
                  <c:v>7.0357705814999991E-2</c:v>
                </c:pt>
                <c:pt idx="511">
                  <c:v>7.0879070734000002E-2</c:v>
                </c:pt>
                <c:pt idx="512">
                  <c:v>7.45663395560002E-2</c:v>
                </c:pt>
                <c:pt idx="513">
                  <c:v>7.677181164800001E-2</c:v>
                </c:pt>
                <c:pt idx="514">
                  <c:v>7.796271545100017E-2</c:v>
                </c:pt>
                <c:pt idx="515">
                  <c:v>7.675830922900001E-2</c:v>
                </c:pt>
                <c:pt idx="516">
                  <c:v>7.4453538988000154E-2</c:v>
                </c:pt>
                <c:pt idx="517">
                  <c:v>7.1561821075000004E-2</c:v>
                </c:pt>
                <c:pt idx="518">
                  <c:v>7.0619255388999949E-2</c:v>
                </c:pt>
                <c:pt idx="519">
                  <c:v>7.006736359299999E-2</c:v>
                </c:pt>
                <c:pt idx="520">
                  <c:v>6.2649759368000005E-2</c:v>
                </c:pt>
                <c:pt idx="521">
                  <c:v>6.1040124102999985E-2</c:v>
                </c:pt>
                <c:pt idx="522">
                  <c:v>6.4230264245000154E-2</c:v>
                </c:pt>
                <c:pt idx="523">
                  <c:v>6.2907542935999997E-2</c:v>
                </c:pt>
                <c:pt idx="524">
                  <c:v>6.0632419004999993E-2</c:v>
                </c:pt>
                <c:pt idx="525">
                  <c:v>5.918636895000013E-2</c:v>
                </c:pt>
                <c:pt idx="526">
                  <c:v>5.7381527251000139E-2</c:v>
                </c:pt>
                <c:pt idx="527">
                  <c:v>5.4940697379000099E-2</c:v>
                </c:pt>
                <c:pt idx="528">
                  <c:v>5.5225145648999802E-2</c:v>
                </c:pt>
                <c:pt idx="529">
                  <c:v>6.0174551728999957E-2</c:v>
                </c:pt>
                <c:pt idx="530">
                  <c:v>6.2263780828000166E-2</c:v>
                </c:pt>
                <c:pt idx="531">
                  <c:v>6.5288101421E-2</c:v>
                </c:pt>
                <c:pt idx="532">
                  <c:v>6.6836942669000005E-2</c:v>
                </c:pt>
                <c:pt idx="533">
                  <c:v>6.602141134800002E-2</c:v>
                </c:pt>
                <c:pt idx="534">
                  <c:v>6.677699323100017E-2</c:v>
                </c:pt>
                <c:pt idx="535">
                  <c:v>6.8238542214999948E-2</c:v>
                </c:pt>
                <c:pt idx="536">
                  <c:v>6.5902003228000022E-2</c:v>
                </c:pt>
                <c:pt idx="537">
                  <c:v>6.2571720095999997E-2</c:v>
                </c:pt>
                <c:pt idx="538">
                  <c:v>5.9514464284000125E-2</c:v>
                </c:pt>
                <c:pt idx="539">
                  <c:v>6.3153899538999997E-2</c:v>
                </c:pt>
                <c:pt idx="540">
                  <c:v>6.3909150652999958E-2</c:v>
                </c:pt>
                <c:pt idx="541">
                  <c:v>6.4897827624000134E-2</c:v>
                </c:pt>
                <c:pt idx="542">
                  <c:v>6.7820301542000014E-2</c:v>
                </c:pt>
                <c:pt idx="543">
                  <c:v>6.6006454797999992E-2</c:v>
                </c:pt>
                <c:pt idx="544">
                  <c:v>6.5220878165999821E-2</c:v>
                </c:pt>
                <c:pt idx="545">
                  <c:v>6.3883573656999995E-2</c:v>
                </c:pt>
                <c:pt idx="546">
                  <c:v>5.9214713708000022E-2</c:v>
                </c:pt>
                <c:pt idx="547">
                  <c:v>6.2704384326999998E-2</c:v>
                </c:pt>
                <c:pt idx="548">
                  <c:v>6.0059088909999996E-2</c:v>
                </c:pt>
                <c:pt idx="549">
                  <c:v>5.7453341008000022E-2</c:v>
                </c:pt>
                <c:pt idx="550">
                  <c:v>5.7891189687000001E-2</c:v>
                </c:pt>
                <c:pt idx="551">
                  <c:v>5.659115047099985E-2</c:v>
                </c:pt>
                <c:pt idx="552">
                  <c:v>5.4341939976999994E-2</c:v>
                </c:pt>
                <c:pt idx="553">
                  <c:v>5.6006735266999987E-2</c:v>
                </c:pt>
                <c:pt idx="554">
                  <c:v>5.5716965701000105E-2</c:v>
                </c:pt>
                <c:pt idx="555">
                  <c:v>5.5882684306000206E-2</c:v>
                </c:pt>
                <c:pt idx="556">
                  <c:v>5.5139726928000024E-2</c:v>
                </c:pt>
                <c:pt idx="557">
                  <c:v>5.3652911817000139E-2</c:v>
                </c:pt>
                <c:pt idx="558">
                  <c:v>5.4206118971E-2</c:v>
                </c:pt>
                <c:pt idx="559">
                  <c:v>5.0000302018999986E-2</c:v>
                </c:pt>
                <c:pt idx="560">
                  <c:v>4.3693814519E-2</c:v>
                </c:pt>
                <c:pt idx="561">
                  <c:v>4.5572265187E-2</c:v>
                </c:pt>
                <c:pt idx="562">
                  <c:v>4.6997485440999999E-2</c:v>
                </c:pt>
                <c:pt idx="563">
                  <c:v>4.590672935800013E-2</c:v>
                </c:pt>
                <c:pt idx="564">
                  <c:v>4.5952632431000125E-2</c:v>
                </c:pt>
                <c:pt idx="565">
                  <c:v>5.2191121596999998E-2</c:v>
                </c:pt>
                <c:pt idx="566">
                  <c:v>5.1685389093999848E-2</c:v>
                </c:pt>
                <c:pt idx="567">
                  <c:v>5.2705320159000126E-2</c:v>
                </c:pt>
                <c:pt idx="568">
                  <c:v>5.628595810699985E-2</c:v>
                </c:pt>
                <c:pt idx="569">
                  <c:v>5.6957136674999888E-2</c:v>
                </c:pt>
                <c:pt idx="570">
                  <c:v>5.812439956199987E-2</c:v>
                </c:pt>
                <c:pt idx="571">
                  <c:v>5.9409478284999997E-2</c:v>
                </c:pt>
                <c:pt idx="572">
                  <c:v>5.7871508574999848E-2</c:v>
                </c:pt>
                <c:pt idx="573">
                  <c:v>5.9307335673999997E-2</c:v>
                </c:pt>
                <c:pt idx="574">
                  <c:v>6.0910766869000023E-2</c:v>
                </c:pt>
                <c:pt idx="575">
                  <c:v>6.3342101553999997E-2</c:v>
                </c:pt>
                <c:pt idx="576">
                  <c:v>6.5471278497999955E-2</c:v>
                </c:pt>
                <c:pt idx="577">
                  <c:v>6.4285346856999992E-2</c:v>
                </c:pt>
                <c:pt idx="578">
                  <c:v>5.9157209222000108E-2</c:v>
                </c:pt>
                <c:pt idx="579">
                  <c:v>6.1145150927999867E-2</c:v>
                </c:pt>
                <c:pt idx="580">
                  <c:v>6.1663778541000004E-2</c:v>
                </c:pt>
                <c:pt idx="581">
                  <c:v>5.9327313799999996E-2</c:v>
                </c:pt>
                <c:pt idx="582">
                  <c:v>5.9384968688000001E-2</c:v>
                </c:pt>
                <c:pt idx="583">
                  <c:v>5.7748385459999996E-2</c:v>
                </c:pt>
                <c:pt idx="584">
                  <c:v>5.7190555501000002E-2</c:v>
                </c:pt>
                <c:pt idx="585">
                  <c:v>5.671321502800012E-2</c:v>
                </c:pt>
                <c:pt idx="586">
                  <c:v>5.3946936472000002E-2</c:v>
                </c:pt>
                <c:pt idx="587">
                  <c:v>5.0446147967000012E-2</c:v>
                </c:pt>
                <c:pt idx="588">
                  <c:v>5.0501317426999995E-2</c:v>
                </c:pt>
                <c:pt idx="589">
                  <c:v>4.9437235704000104E-2</c:v>
                </c:pt>
                <c:pt idx="590">
                  <c:v>4.8539547089999878E-2</c:v>
                </c:pt>
                <c:pt idx="591">
                  <c:v>5.2647822941999996E-2</c:v>
                </c:pt>
                <c:pt idx="592">
                  <c:v>5.3051805533999859E-2</c:v>
                </c:pt>
                <c:pt idx="593">
                  <c:v>5.3322798572999985E-2</c:v>
                </c:pt>
                <c:pt idx="594">
                  <c:v>4.9944138987000002E-2</c:v>
                </c:pt>
                <c:pt idx="595">
                  <c:v>4.8500415474999899E-2</c:v>
                </c:pt>
                <c:pt idx="596">
                  <c:v>4.5351936720000013E-2</c:v>
                </c:pt>
                <c:pt idx="597">
                  <c:v>4.1878427520999996E-2</c:v>
                </c:pt>
                <c:pt idx="598">
                  <c:v>4.6948929149999985E-2</c:v>
                </c:pt>
                <c:pt idx="599">
                  <c:v>4.976734753800012E-2</c:v>
                </c:pt>
                <c:pt idx="600">
                  <c:v>4.9718026688999994E-2</c:v>
                </c:pt>
                <c:pt idx="601">
                  <c:v>4.8620628977999986E-2</c:v>
                </c:pt>
                <c:pt idx="602">
                  <c:v>5.3351789728999996E-2</c:v>
                </c:pt>
                <c:pt idx="603">
                  <c:v>5.0256804438000013E-2</c:v>
                </c:pt>
                <c:pt idx="604">
                  <c:v>4.9760747646000129E-2</c:v>
                </c:pt>
                <c:pt idx="605">
                  <c:v>4.7477039035000106E-2</c:v>
                </c:pt>
                <c:pt idx="606">
                  <c:v>4.4055481401000109E-2</c:v>
                </c:pt>
                <c:pt idx="607">
                  <c:v>4.0593343510000011E-2</c:v>
                </c:pt>
                <c:pt idx="608">
                  <c:v>3.5632773466000106E-2</c:v>
                </c:pt>
                <c:pt idx="609">
                  <c:v>3.8544397581000082E-2</c:v>
                </c:pt>
                <c:pt idx="610">
                  <c:v>4.1620226899999967E-2</c:v>
                </c:pt>
                <c:pt idx="611">
                  <c:v>3.7784116960000051E-2</c:v>
                </c:pt>
                <c:pt idx="612">
                  <c:v>3.9199760554000006E-2</c:v>
                </c:pt>
                <c:pt idx="613">
                  <c:v>3.6364822187999996E-2</c:v>
                </c:pt>
                <c:pt idx="614">
                  <c:v>3.7611621136999999E-2</c:v>
                </c:pt>
                <c:pt idx="615">
                  <c:v>3.7997296149000014E-2</c:v>
                </c:pt>
                <c:pt idx="616">
                  <c:v>3.3267242165000002E-2</c:v>
                </c:pt>
                <c:pt idx="617">
                  <c:v>3.4819252582000089E-2</c:v>
                </c:pt>
                <c:pt idx="618">
                  <c:v>4.3563403202999999E-2</c:v>
                </c:pt>
                <c:pt idx="619">
                  <c:v>4.3415858133999945E-2</c:v>
                </c:pt>
                <c:pt idx="620">
                  <c:v>3.8981113500000088E-2</c:v>
                </c:pt>
                <c:pt idx="621">
                  <c:v>4.2461004984000107E-2</c:v>
                </c:pt>
                <c:pt idx="622">
                  <c:v>4.2661417909000125E-2</c:v>
                </c:pt>
                <c:pt idx="623">
                  <c:v>4.2034766280999995E-2</c:v>
                </c:pt>
                <c:pt idx="624">
                  <c:v>4.0863834914000176E-2</c:v>
                </c:pt>
                <c:pt idx="625">
                  <c:v>3.9086749035E-2</c:v>
                </c:pt>
                <c:pt idx="626">
                  <c:v>3.7973242312000138E-2</c:v>
                </c:pt>
                <c:pt idx="627">
                  <c:v>4.4551873556999987E-2</c:v>
                </c:pt>
                <c:pt idx="628">
                  <c:v>4.5812559293000023E-2</c:v>
                </c:pt>
                <c:pt idx="629">
                  <c:v>4.5286858290999842E-2</c:v>
                </c:pt>
                <c:pt idx="630">
                  <c:v>4.4236876899000105E-2</c:v>
                </c:pt>
                <c:pt idx="631">
                  <c:v>4.0684236458000032E-2</c:v>
                </c:pt>
                <c:pt idx="632">
                  <c:v>4.0774211582000001E-2</c:v>
                </c:pt>
                <c:pt idx="633">
                  <c:v>3.9801663304000014E-2</c:v>
                </c:pt>
                <c:pt idx="634">
                  <c:v>4.3265613712000002E-2</c:v>
                </c:pt>
                <c:pt idx="635">
                  <c:v>4.1872872601999858E-2</c:v>
                </c:pt>
                <c:pt idx="636">
                  <c:v>4.103285916499988E-2</c:v>
                </c:pt>
                <c:pt idx="637">
                  <c:v>4.3442948593999858E-2</c:v>
                </c:pt>
                <c:pt idx="638">
                  <c:v>4.4293090104000121E-2</c:v>
                </c:pt>
                <c:pt idx="639">
                  <c:v>4.1551170633999858E-2</c:v>
                </c:pt>
                <c:pt idx="640">
                  <c:v>3.990365119E-2</c:v>
                </c:pt>
                <c:pt idx="641">
                  <c:v>3.9089586869E-2</c:v>
                </c:pt>
                <c:pt idx="642">
                  <c:v>4.2647942097999866E-2</c:v>
                </c:pt>
                <c:pt idx="643">
                  <c:v>4.0192210189999994E-2</c:v>
                </c:pt>
                <c:pt idx="644">
                  <c:v>4.3462386322000099E-2</c:v>
                </c:pt>
                <c:pt idx="645">
                  <c:v>4.5706242116000023E-2</c:v>
                </c:pt>
                <c:pt idx="646">
                  <c:v>4.5331382433999985E-2</c:v>
                </c:pt>
                <c:pt idx="647">
                  <c:v>4.3430054629000001E-2</c:v>
                </c:pt>
                <c:pt idx="648">
                  <c:v>4.5229989224999975E-2</c:v>
                </c:pt>
                <c:pt idx="649">
                  <c:v>4.5697518977000001E-2</c:v>
                </c:pt>
                <c:pt idx="650">
                  <c:v>4.7902592609000004E-2</c:v>
                </c:pt>
                <c:pt idx="651">
                  <c:v>5.0407621709000129E-2</c:v>
                </c:pt>
                <c:pt idx="652">
                  <c:v>5.1172340677999827E-2</c:v>
                </c:pt>
                <c:pt idx="653">
                  <c:v>5.0696103344000022E-2</c:v>
                </c:pt>
                <c:pt idx="654">
                  <c:v>4.9150445214999977E-2</c:v>
                </c:pt>
                <c:pt idx="655">
                  <c:v>4.7287664556000107E-2</c:v>
                </c:pt>
                <c:pt idx="656">
                  <c:v>4.5733660013000152E-2</c:v>
                </c:pt>
                <c:pt idx="657">
                  <c:v>4.5815584923000155E-2</c:v>
                </c:pt>
                <c:pt idx="658">
                  <c:v>4.4456575030999999E-2</c:v>
                </c:pt>
                <c:pt idx="659">
                  <c:v>4.6496637448000207E-2</c:v>
                </c:pt>
                <c:pt idx="660">
                  <c:v>4.7485158853999995E-2</c:v>
                </c:pt>
                <c:pt idx="661">
                  <c:v>4.5760136472000001E-2</c:v>
                </c:pt>
                <c:pt idx="662">
                  <c:v>4.5892137883000207E-2</c:v>
                </c:pt>
                <c:pt idx="663">
                  <c:v>4.6118284142000109E-2</c:v>
                </c:pt>
                <c:pt idx="664">
                  <c:v>4.8742334207000033E-2</c:v>
                </c:pt>
                <c:pt idx="665">
                  <c:v>4.9599995385999997E-2</c:v>
                </c:pt>
                <c:pt idx="666">
                  <c:v>4.7510683435000145E-2</c:v>
                </c:pt>
                <c:pt idx="667">
                  <c:v>4.5656000306999997E-2</c:v>
                </c:pt>
                <c:pt idx="668">
                  <c:v>4.5330571045000156E-2</c:v>
                </c:pt>
                <c:pt idx="669">
                  <c:v>4.4202869367999956E-2</c:v>
                </c:pt>
                <c:pt idx="670">
                  <c:v>3.9148754793999999E-2</c:v>
                </c:pt>
                <c:pt idx="671">
                  <c:v>3.9857478370999996E-2</c:v>
                </c:pt>
              </c:numCache>
            </c:numRef>
          </c:val>
        </c:ser>
        <c:ser>
          <c:idx val="1"/>
          <c:order val="1"/>
          <c:tx>
            <c:strRef>
              <c:f>Sheet1!$E$2</c:f>
              <c:strCache>
                <c:ptCount val="1"/>
                <c:pt idx="0">
                  <c:v>US inflation rate (annualised)</c:v>
                </c:pt>
              </c:strCache>
            </c:strRef>
          </c:tx>
          <c:spPr>
            <a:ln>
              <a:solidFill>
                <a:schemeClr val="bg1">
                  <a:lumMod val="85000"/>
                </a:schemeClr>
              </a:solidFill>
            </a:ln>
          </c:spPr>
          <c:marker>
            <c:symbol val="none"/>
          </c:marker>
          <c:cat>
            <c:strRef>
              <c:f>Sheet1!$A$3:$A$674</c:f>
              <c:strCache>
                <c:ptCount val="672"/>
                <c:pt idx="0">
                  <c:v>01/31/1952</c:v>
                </c:pt>
                <c:pt idx="1">
                  <c:v>02/29/1952</c:v>
                </c:pt>
                <c:pt idx="2">
                  <c:v>03/31/1952</c:v>
                </c:pt>
                <c:pt idx="3">
                  <c:v>04/30/1952</c:v>
                </c:pt>
                <c:pt idx="4">
                  <c:v>05/29/1952</c:v>
                </c:pt>
                <c:pt idx="5">
                  <c:v>06/30/1952</c:v>
                </c:pt>
                <c:pt idx="6">
                  <c:v>07/31/1952</c:v>
                </c:pt>
                <c:pt idx="7">
                  <c:v>08/29/1952</c:v>
                </c:pt>
                <c:pt idx="8">
                  <c:v>09/30/1952</c:v>
                </c:pt>
                <c:pt idx="9">
                  <c:v>10/31/1952</c:v>
                </c:pt>
                <c:pt idx="10">
                  <c:v>11/28/1952</c:v>
                </c:pt>
                <c:pt idx="11">
                  <c:v>12/31/1952</c:v>
                </c:pt>
                <c:pt idx="12">
                  <c:v>01/30/1953</c:v>
                </c:pt>
                <c:pt idx="13">
                  <c:v>02/27/1953</c:v>
                </c:pt>
                <c:pt idx="14">
                  <c:v>03/31/1953</c:v>
                </c:pt>
                <c:pt idx="15">
                  <c:v>04/30/1953</c:v>
                </c:pt>
                <c:pt idx="16">
                  <c:v>05/29/1953</c:v>
                </c:pt>
                <c:pt idx="17">
                  <c:v>06/30/1953</c:v>
                </c:pt>
                <c:pt idx="18">
                  <c:v>07/31/1953</c:v>
                </c:pt>
                <c:pt idx="19">
                  <c:v>08/31/1953</c:v>
                </c:pt>
                <c:pt idx="20">
                  <c:v>09/30/1953</c:v>
                </c:pt>
                <c:pt idx="21">
                  <c:v>10/30/1953</c:v>
                </c:pt>
                <c:pt idx="22">
                  <c:v>11/30/1953</c:v>
                </c:pt>
                <c:pt idx="23">
                  <c:v>12/31/1953</c:v>
                </c:pt>
                <c:pt idx="24">
                  <c:v>01/29/1954</c:v>
                </c:pt>
                <c:pt idx="25">
                  <c:v>02/26/1954</c:v>
                </c:pt>
                <c:pt idx="26">
                  <c:v>03/31/1954</c:v>
                </c:pt>
                <c:pt idx="27">
                  <c:v>04/30/1954</c:v>
                </c:pt>
                <c:pt idx="28">
                  <c:v>05/28/1954</c:v>
                </c:pt>
                <c:pt idx="29">
                  <c:v>06/30/1954</c:v>
                </c:pt>
                <c:pt idx="30">
                  <c:v>07/30/1954</c:v>
                </c:pt>
                <c:pt idx="31">
                  <c:v>08/31/1954</c:v>
                </c:pt>
                <c:pt idx="32">
                  <c:v>09/30/1954</c:v>
                </c:pt>
                <c:pt idx="33">
                  <c:v>10/29/1954</c:v>
                </c:pt>
                <c:pt idx="34">
                  <c:v>11/30/1954</c:v>
                </c:pt>
                <c:pt idx="35">
                  <c:v>12/31/1954</c:v>
                </c:pt>
                <c:pt idx="36">
                  <c:v>01/31/1955</c:v>
                </c:pt>
                <c:pt idx="37">
                  <c:v>02/28/1955</c:v>
                </c:pt>
                <c:pt idx="38">
                  <c:v>03/31/1955</c:v>
                </c:pt>
                <c:pt idx="39">
                  <c:v>04/29/1955</c:v>
                </c:pt>
                <c:pt idx="40">
                  <c:v>05/31/1955</c:v>
                </c:pt>
                <c:pt idx="41">
                  <c:v>06/30/1955</c:v>
                </c:pt>
                <c:pt idx="42">
                  <c:v>07/29/1955</c:v>
                </c:pt>
                <c:pt idx="43">
                  <c:v>08/31/1955</c:v>
                </c:pt>
                <c:pt idx="44">
                  <c:v>09/30/1955</c:v>
                </c:pt>
                <c:pt idx="45">
                  <c:v>10/31/1955</c:v>
                </c:pt>
                <c:pt idx="46">
                  <c:v>11/30/1955</c:v>
                </c:pt>
                <c:pt idx="47">
                  <c:v>12/30/1955</c:v>
                </c:pt>
                <c:pt idx="48">
                  <c:v>01/31/1956</c:v>
                </c:pt>
                <c:pt idx="49">
                  <c:v>02/29/1956</c:v>
                </c:pt>
                <c:pt idx="50">
                  <c:v>03/29/1956</c:v>
                </c:pt>
                <c:pt idx="51">
                  <c:v>04/30/1956</c:v>
                </c:pt>
                <c:pt idx="52">
                  <c:v>05/31/1956</c:v>
                </c:pt>
                <c:pt idx="53">
                  <c:v>06/29/1956</c:v>
                </c:pt>
                <c:pt idx="54">
                  <c:v>07/31/1956</c:v>
                </c:pt>
                <c:pt idx="55">
                  <c:v>08/31/1956</c:v>
                </c:pt>
                <c:pt idx="56">
                  <c:v>09/28/1956</c:v>
                </c:pt>
                <c:pt idx="57">
                  <c:v>10/31/1956</c:v>
                </c:pt>
                <c:pt idx="58">
                  <c:v>11/30/1956</c:v>
                </c:pt>
                <c:pt idx="59">
                  <c:v>12/31/1956</c:v>
                </c:pt>
                <c:pt idx="60">
                  <c:v>01/31/1957</c:v>
                </c:pt>
                <c:pt idx="61">
                  <c:v>02/28/1957</c:v>
                </c:pt>
                <c:pt idx="62">
                  <c:v>03/29/1957</c:v>
                </c:pt>
                <c:pt idx="63">
                  <c:v>04/30/1957</c:v>
                </c:pt>
                <c:pt idx="64">
                  <c:v>05/31/1957</c:v>
                </c:pt>
                <c:pt idx="65">
                  <c:v>06/27/1957</c:v>
                </c:pt>
                <c:pt idx="66">
                  <c:v>07/31/1957</c:v>
                </c:pt>
                <c:pt idx="67">
                  <c:v>08/30/1957</c:v>
                </c:pt>
                <c:pt idx="68">
                  <c:v>09/30/1957</c:v>
                </c:pt>
                <c:pt idx="69">
                  <c:v>10/31/1957</c:v>
                </c:pt>
                <c:pt idx="70">
                  <c:v>11/29/1957</c:v>
                </c:pt>
                <c:pt idx="71">
                  <c:v>12/31/1957</c:v>
                </c:pt>
                <c:pt idx="72">
                  <c:v>01/31/1958</c:v>
                </c:pt>
                <c:pt idx="73">
                  <c:v>02/28/1958</c:v>
                </c:pt>
                <c:pt idx="74">
                  <c:v>03/31/1958</c:v>
                </c:pt>
                <c:pt idx="75">
                  <c:v>04/30/1958</c:v>
                </c:pt>
                <c:pt idx="76">
                  <c:v>05/29/1958</c:v>
                </c:pt>
                <c:pt idx="77">
                  <c:v>06/30/1958</c:v>
                </c:pt>
                <c:pt idx="78">
                  <c:v>07/31/1958</c:v>
                </c:pt>
                <c:pt idx="79">
                  <c:v>08/29/1958</c:v>
                </c:pt>
                <c:pt idx="80">
                  <c:v>09/30/1958</c:v>
                </c:pt>
                <c:pt idx="81">
                  <c:v>10/31/1958</c:v>
                </c:pt>
                <c:pt idx="82">
                  <c:v>11/28/1958</c:v>
                </c:pt>
                <c:pt idx="83">
                  <c:v>12/31/1958</c:v>
                </c:pt>
                <c:pt idx="84">
                  <c:v>01/30/1959</c:v>
                </c:pt>
                <c:pt idx="85">
                  <c:v>02/27/1959</c:v>
                </c:pt>
                <c:pt idx="86">
                  <c:v>03/31/1959</c:v>
                </c:pt>
                <c:pt idx="87">
                  <c:v>04/30/1959</c:v>
                </c:pt>
                <c:pt idx="88">
                  <c:v>05/29/1959</c:v>
                </c:pt>
                <c:pt idx="89">
                  <c:v>06/30/1959</c:v>
                </c:pt>
                <c:pt idx="90">
                  <c:v>07/31/1959</c:v>
                </c:pt>
                <c:pt idx="91">
                  <c:v>08/31/1959</c:v>
                </c:pt>
                <c:pt idx="92">
                  <c:v>09/30/1959</c:v>
                </c:pt>
                <c:pt idx="93">
                  <c:v>10/30/1959</c:v>
                </c:pt>
                <c:pt idx="94">
                  <c:v>11/30/1959</c:v>
                </c:pt>
                <c:pt idx="95">
                  <c:v>12/31/1959</c:v>
                </c:pt>
                <c:pt idx="96">
                  <c:v>01/29/1960</c:v>
                </c:pt>
                <c:pt idx="97">
                  <c:v>02/29/1960</c:v>
                </c:pt>
                <c:pt idx="98">
                  <c:v>03/31/1960</c:v>
                </c:pt>
                <c:pt idx="99">
                  <c:v>04/29/1960</c:v>
                </c:pt>
                <c:pt idx="100">
                  <c:v>05/31/1960</c:v>
                </c:pt>
                <c:pt idx="101">
                  <c:v>06/30/1960</c:v>
                </c:pt>
                <c:pt idx="102">
                  <c:v>07/29/1960</c:v>
                </c:pt>
                <c:pt idx="103">
                  <c:v>08/31/1960</c:v>
                </c:pt>
                <c:pt idx="104">
                  <c:v>09/30/1960</c:v>
                </c:pt>
                <c:pt idx="105">
                  <c:v>10/31/1960</c:v>
                </c:pt>
                <c:pt idx="106">
                  <c:v>11/30/1960</c:v>
                </c:pt>
                <c:pt idx="107">
                  <c:v>12/30/1960</c:v>
                </c:pt>
                <c:pt idx="108">
                  <c:v>01/31/1961</c:v>
                </c:pt>
                <c:pt idx="109">
                  <c:v>02/28/1961</c:v>
                </c:pt>
                <c:pt idx="110">
                  <c:v>03/30/1961</c:v>
                </c:pt>
                <c:pt idx="111">
                  <c:v>04/28/1961</c:v>
                </c:pt>
                <c:pt idx="112">
                  <c:v>05/31/1961</c:v>
                </c:pt>
                <c:pt idx="113">
                  <c:v>06/30/1961</c:v>
                </c:pt>
                <c:pt idx="114">
                  <c:v>07/31/1961</c:v>
                </c:pt>
                <c:pt idx="115">
                  <c:v>08/31/1961</c:v>
                </c:pt>
                <c:pt idx="116">
                  <c:v>09/29/1961</c:v>
                </c:pt>
                <c:pt idx="117">
                  <c:v>10/31/1961</c:v>
                </c:pt>
                <c:pt idx="118">
                  <c:v>11/30/1961</c:v>
                </c:pt>
                <c:pt idx="119">
                  <c:v>12/29/1961</c:v>
                </c:pt>
                <c:pt idx="120">
                  <c:v>01/31/1962</c:v>
                </c:pt>
                <c:pt idx="121">
                  <c:v>02/28/1962</c:v>
                </c:pt>
                <c:pt idx="122">
                  <c:v>03/30/1962</c:v>
                </c:pt>
                <c:pt idx="123">
                  <c:v>04/30/1962</c:v>
                </c:pt>
                <c:pt idx="124">
                  <c:v>05/31/1962</c:v>
                </c:pt>
                <c:pt idx="125">
                  <c:v>06/29/1962</c:v>
                </c:pt>
                <c:pt idx="126">
                  <c:v>07/31/1962</c:v>
                </c:pt>
                <c:pt idx="127">
                  <c:v>08/31/1962</c:v>
                </c:pt>
                <c:pt idx="128">
                  <c:v>09/28/1962</c:v>
                </c:pt>
                <c:pt idx="129">
                  <c:v>10/31/1962</c:v>
                </c:pt>
                <c:pt idx="130">
                  <c:v>11/30/1962</c:v>
                </c:pt>
                <c:pt idx="131">
                  <c:v>12/31/1962</c:v>
                </c:pt>
                <c:pt idx="132">
                  <c:v>01/31/1963</c:v>
                </c:pt>
                <c:pt idx="133">
                  <c:v>02/28/1963</c:v>
                </c:pt>
                <c:pt idx="134">
                  <c:v>03/29/1963</c:v>
                </c:pt>
                <c:pt idx="135">
                  <c:v>04/30/1963</c:v>
                </c:pt>
                <c:pt idx="136">
                  <c:v>05/31/1963</c:v>
                </c:pt>
                <c:pt idx="137">
                  <c:v>06/28/1963</c:v>
                </c:pt>
                <c:pt idx="138">
                  <c:v>07/31/1963</c:v>
                </c:pt>
                <c:pt idx="139">
                  <c:v>08/30/1963</c:v>
                </c:pt>
                <c:pt idx="140">
                  <c:v>09/30/1963</c:v>
                </c:pt>
                <c:pt idx="141">
                  <c:v>10/31/1963</c:v>
                </c:pt>
                <c:pt idx="142">
                  <c:v>11/29/1963</c:v>
                </c:pt>
                <c:pt idx="143">
                  <c:v>12/31/1963</c:v>
                </c:pt>
                <c:pt idx="144">
                  <c:v>01/31/1964</c:v>
                </c:pt>
                <c:pt idx="145">
                  <c:v>02/28/1964</c:v>
                </c:pt>
                <c:pt idx="146">
                  <c:v>03/31/1964</c:v>
                </c:pt>
                <c:pt idx="147">
                  <c:v>04/30/1964</c:v>
                </c:pt>
                <c:pt idx="148">
                  <c:v>05/28/1964</c:v>
                </c:pt>
                <c:pt idx="149">
                  <c:v>06/30/1964</c:v>
                </c:pt>
                <c:pt idx="150">
                  <c:v>07/31/1964</c:v>
                </c:pt>
                <c:pt idx="151">
                  <c:v>08/31/1964</c:v>
                </c:pt>
                <c:pt idx="152">
                  <c:v>09/30/1964</c:v>
                </c:pt>
                <c:pt idx="153">
                  <c:v>10/30/1964</c:v>
                </c:pt>
                <c:pt idx="154">
                  <c:v>11/30/1964</c:v>
                </c:pt>
                <c:pt idx="155">
                  <c:v>12/31/1964</c:v>
                </c:pt>
                <c:pt idx="156">
                  <c:v>01/29/1965</c:v>
                </c:pt>
                <c:pt idx="157">
                  <c:v>02/26/1965</c:v>
                </c:pt>
                <c:pt idx="158">
                  <c:v>03/31/1965</c:v>
                </c:pt>
                <c:pt idx="159">
                  <c:v>04/30/1965</c:v>
                </c:pt>
                <c:pt idx="160">
                  <c:v>05/28/1965</c:v>
                </c:pt>
                <c:pt idx="161">
                  <c:v>06/30/1965</c:v>
                </c:pt>
                <c:pt idx="162">
                  <c:v>07/30/1965</c:v>
                </c:pt>
                <c:pt idx="163">
                  <c:v>08/31/1965</c:v>
                </c:pt>
                <c:pt idx="164">
                  <c:v>09/30/1965</c:v>
                </c:pt>
                <c:pt idx="165">
                  <c:v>10/29/1965</c:v>
                </c:pt>
                <c:pt idx="166">
                  <c:v>11/30/1965</c:v>
                </c:pt>
                <c:pt idx="167">
                  <c:v>12/31/1965</c:v>
                </c:pt>
                <c:pt idx="168">
                  <c:v>01/31/1966</c:v>
                </c:pt>
                <c:pt idx="169">
                  <c:v>02/28/1966</c:v>
                </c:pt>
                <c:pt idx="170">
                  <c:v>03/31/1966</c:v>
                </c:pt>
                <c:pt idx="171">
                  <c:v>04/29/1966</c:v>
                </c:pt>
                <c:pt idx="172">
                  <c:v>05/31/1966</c:v>
                </c:pt>
                <c:pt idx="173">
                  <c:v>06/30/1966</c:v>
                </c:pt>
                <c:pt idx="174">
                  <c:v>07/29/1966</c:v>
                </c:pt>
                <c:pt idx="175">
                  <c:v>08/31/1966</c:v>
                </c:pt>
                <c:pt idx="176">
                  <c:v>09/30/1966</c:v>
                </c:pt>
                <c:pt idx="177">
                  <c:v>10/31/1966</c:v>
                </c:pt>
                <c:pt idx="178">
                  <c:v>11/30/1966</c:v>
                </c:pt>
                <c:pt idx="179">
                  <c:v>12/30/1966</c:v>
                </c:pt>
                <c:pt idx="180">
                  <c:v>01/31/1967</c:v>
                </c:pt>
                <c:pt idx="181">
                  <c:v>02/28/1967</c:v>
                </c:pt>
                <c:pt idx="182">
                  <c:v>03/31/1967</c:v>
                </c:pt>
                <c:pt idx="183">
                  <c:v>04/28/1967</c:v>
                </c:pt>
                <c:pt idx="184">
                  <c:v>05/31/1967</c:v>
                </c:pt>
                <c:pt idx="185">
                  <c:v>06/30/1967</c:v>
                </c:pt>
                <c:pt idx="186">
                  <c:v>07/31/1967</c:v>
                </c:pt>
                <c:pt idx="187">
                  <c:v>08/31/1967</c:v>
                </c:pt>
                <c:pt idx="188">
                  <c:v>09/29/1967</c:v>
                </c:pt>
                <c:pt idx="189">
                  <c:v>10/31/1967</c:v>
                </c:pt>
                <c:pt idx="190">
                  <c:v>11/30/1967</c:v>
                </c:pt>
                <c:pt idx="191">
                  <c:v>12/29/1967</c:v>
                </c:pt>
                <c:pt idx="192">
                  <c:v>01/31/1968</c:v>
                </c:pt>
                <c:pt idx="193">
                  <c:v>02/29/1968</c:v>
                </c:pt>
                <c:pt idx="194">
                  <c:v>03/29/1968</c:v>
                </c:pt>
                <c:pt idx="195">
                  <c:v>04/30/1968</c:v>
                </c:pt>
                <c:pt idx="196">
                  <c:v>05/31/1968</c:v>
                </c:pt>
                <c:pt idx="197">
                  <c:v>06/28/1968</c:v>
                </c:pt>
                <c:pt idx="198">
                  <c:v>07/31/1968</c:v>
                </c:pt>
                <c:pt idx="199">
                  <c:v>08/30/1968</c:v>
                </c:pt>
                <c:pt idx="200">
                  <c:v>09/30/1968</c:v>
                </c:pt>
                <c:pt idx="201">
                  <c:v>10/31/1968</c:v>
                </c:pt>
                <c:pt idx="202">
                  <c:v>11/29/1968</c:v>
                </c:pt>
                <c:pt idx="203">
                  <c:v>12/31/1968</c:v>
                </c:pt>
                <c:pt idx="204">
                  <c:v>01/31/1969</c:v>
                </c:pt>
                <c:pt idx="205">
                  <c:v>02/28/1969</c:v>
                </c:pt>
                <c:pt idx="206">
                  <c:v>03/28/1969</c:v>
                </c:pt>
                <c:pt idx="207">
                  <c:v>04/30/1969</c:v>
                </c:pt>
                <c:pt idx="208">
                  <c:v>05/29/1969</c:v>
                </c:pt>
                <c:pt idx="209">
                  <c:v>06/30/1969</c:v>
                </c:pt>
                <c:pt idx="210">
                  <c:v>07/31/1969</c:v>
                </c:pt>
                <c:pt idx="211">
                  <c:v>08/29/1969</c:v>
                </c:pt>
                <c:pt idx="212">
                  <c:v>09/30/1969</c:v>
                </c:pt>
                <c:pt idx="213">
                  <c:v>10/31/1969</c:v>
                </c:pt>
                <c:pt idx="214">
                  <c:v>11/28/1969</c:v>
                </c:pt>
                <c:pt idx="215">
                  <c:v>12/31/1969</c:v>
                </c:pt>
                <c:pt idx="216">
                  <c:v>01/30/1970</c:v>
                </c:pt>
                <c:pt idx="217">
                  <c:v>02/27/1970</c:v>
                </c:pt>
                <c:pt idx="218">
                  <c:v>03/31/1970</c:v>
                </c:pt>
                <c:pt idx="219">
                  <c:v>04/30/1970</c:v>
                </c:pt>
                <c:pt idx="220">
                  <c:v>05/29/1970</c:v>
                </c:pt>
                <c:pt idx="221">
                  <c:v>06/30/1970</c:v>
                </c:pt>
                <c:pt idx="222">
                  <c:v>07/31/1970</c:v>
                </c:pt>
                <c:pt idx="223">
                  <c:v>08/31/1970</c:v>
                </c:pt>
                <c:pt idx="224">
                  <c:v>09/30/1970</c:v>
                </c:pt>
                <c:pt idx="225">
                  <c:v>10/30/1970</c:v>
                </c:pt>
                <c:pt idx="226">
                  <c:v>11/30/1970</c:v>
                </c:pt>
                <c:pt idx="227">
                  <c:v>12/31/1970</c:v>
                </c:pt>
                <c:pt idx="228">
                  <c:v>01/29/1971</c:v>
                </c:pt>
                <c:pt idx="229">
                  <c:v>02/26/1971</c:v>
                </c:pt>
                <c:pt idx="230">
                  <c:v>03/31/1971</c:v>
                </c:pt>
                <c:pt idx="231">
                  <c:v>04/30/1971</c:v>
                </c:pt>
                <c:pt idx="232">
                  <c:v>05/28/1971</c:v>
                </c:pt>
                <c:pt idx="233">
                  <c:v>06/30/1971</c:v>
                </c:pt>
                <c:pt idx="234">
                  <c:v>07/30/1971</c:v>
                </c:pt>
                <c:pt idx="235">
                  <c:v>08/31/1971</c:v>
                </c:pt>
                <c:pt idx="236">
                  <c:v>09/30/1971</c:v>
                </c:pt>
                <c:pt idx="237">
                  <c:v>10/29/1971</c:v>
                </c:pt>
                <c:pt idx="238">
                  <c:v>11/30/1971</c:v>
                </c:pt>
                <c:pt idx="239">
                  <c:v>12/31/1971</c:v>
                </c:pt>
                <c:pt idx="240">
                  <c:v>01/31/1972</c:v>
                </c:pt>
                <c:pt idx="241">
                  <c:v>02/29/1972</c:v>
                </c:pt>
                <c:pt idx="242">
                  <c:v>03/30/1972</c:v>
                </c:pt>
                <c:pt idx="243">
                  <c:v>04/28/1972</c:v>
                </c:pt>
                <c:pt idx="244">
                  <c:v>05/31/1972</c:v>
                </c:pt>
                <c:pt idx="245">
                  <c:v>06/30/1972</c:v>
                </c:pt>
                <c:pt idx="246">
                  <c:v>07/31/1972</c:v>
                </c:pt>
                <c:pt idx="247">
                  <c:v>08/31/1972</c:v>
                </c:pt>
                <c:pt idx="248">
                  <c:v>09/29/1972</c:v>
                </c:pt>
                <c:pt idx="249">
                  <c:v>10/31/1972</c:v>
                </c:pt>
                <c:pt idx="250">
                  <c:v>11/30/1972</c:v>
                </c:pt>
                <c:pt idx="251">
                  <c:v>12/29/1972</c:v>
                </c:pt>
                <c:pt idx="252">
                  <c:v>01/31/1973</c:v>
                </c:pt>
                <c:pt idx="253">
                  <c:v>02/28/1973</c:v>
                </c:pt>
                <c:pt idx="254">
                  <c:v>03/30/1973</c:v>
                </c:pt>
                <c:pt idx="255">
                  <c:v>04/30/1973</c:v>
                </c:pt>
                <c:pt idx="256">
                  <c:v>05/31/1973</c:v>
                </c:pt>
                <c:pt idx="257">
                  <c:v>06/29/1973</c:v>
                </c:pt>
                <c:pt idx="258">
                  <c:v>07/31/1973</c:v>
                </c:pt>
                <c:pt idx="259">
                  <c:v>08/31/1973</c:v>
                </c:pt>
                <c:pt idx="260">
                  <c:v>09/28/1973</c:v>
                </c:pt>
                <c:pt idx="261">
                  <c:v>10/31/1973</c:v>
                </c:pt>
                <c:pt idx="262">
                  <c:v>11/30/1973</c:v>
                </c:pt>
                <c:pt idx="263">
                  <c:v>12/31/1973</c:v>
                </c:pt>
                <c:pt idx="264">
                  <c:v>01/31/1974</c:v>
                </c:pt>
                <c:pt idx="265">
                  <c:v>02/28/1974</c:v>
                </c:pt>
                <c:pt idx="266">
                  <c:v>03/29/1974</c:v>
                </c:pt>
                <c:pt idx="267">
                  <c:v>04/30/1974</c:v>
                </c:pt>
                <c:pt idx="268">
                  <c:v>05/31/1974</c:v>
                </c:pt>
                <c:pt idx="269">
                  <c:v>06/28/1974</c:v>
                </c:pt>
                <c:pt idx="270">
                  <c:v>07/31/1974</c:v>
                </c:pt>
                <c:pt idx="271">
                  <c:v>08/30/1974</c:v>
                </c:pt>
                <c:pt idx="272">
                  <c:v>09/30/1974</c:v>
                </c:pt>
                <c:pt idx="273">
                  <c:v>10/31/1974</c:v>
                </c:pt>
                <c:pt idx="274">
                  <c:v>11/29/1974</c:v>
                </c:pt>
                <c:pt idx="275">
                  <c:v>12/31/1974</c:v>
                </c:pt>
                <c:pt idx="276">
                  <c:v>01/31/1975</c:v>
                </c:pt>
                <c:pt idx="277">
                  <c:v>02/28/1975</c:v>
                </c:pt>
                <c:pt idx="278">
                  <c:v>03/31/1975</c:v>
                </c:pt>
                <c:pt idx="279">
                  <c:v>04/30/1975</c:v>
                </c:pt>
                <c:pt idx="280">
                  <c:v>05/30/1975</c:v>
                </c:pt>
                <c:pt idx="281">
                  <c:v>06/30/1975</c:v>
                </c:pt>
                <c:pt idx="282">
                  <c:v>07/31/1975</c:v>
                </c:pt>
                <c:pt idx="283">
                  <c:v>08/29/1975</c:v>
                </c:pt>
                <c:pt idx="284">
                  <c:v>09/30/1975</c:v>
                </c:pt>
                <c:pt idx="285">
                  <c:v>10/31/1975</c:v>
                </c:pt>
                <c:pt idx="286">
                  <c:v>11/28/1975</c:v>
                </c:pt>
                <c:pt idx="287">
                  <c:v>12/31/1975</c:v>
                </c:pt>
                <c:pt idx="288">
                  <c:v>01/30/1976</c:v>
                </c:pt>
                <c:pt idx="289">
                  <c:v>02/27/1976</c:v>
                </c:pt>
                <c:pt idx="290">
                  <c:v>03/31/1976</c:v>
                </c:pt>
                <c:pt idx="291">
                  <c:v>04/30/1976</c:v>
                </c:pt>
                <c:pt idx="292">
                  <c:v>05/28/1976</c:v>
                </c:pt>
                <c:pt idx="293">
                  <c:v>06/30/1976</c:v>
                </c:pt>
                <c:pt idx="294">
                  <c:v>07/30/1976</c:v>
                </c:pt>
                <c:pt idx="295">
                  <c:v>08/31/1976</c:v>
                </c:pt>
                <c:pt idx="296">
                  <c:v>09/30/1976</c:v>
                </c:pt>
                <c:pt idx="297">
                  <c:v>10/29/1976</c:v>
                </c:pt>
                <c:pt idx="298">
                  <c:v>11/30/1976</c:v>
                </c:pt>
                <c:pt idx="299">
                  <c:v>12/31/1976</c:v>
                </c:pt>
                <c:pt idx="300">
                  <c:v>01/31/1977</c:v>
                </c:pt>
                <c:pt idx="301">
                  <c:v>02/28/1977</c:v>
                </c:pt>
                <c:pt idx="302">
                  <c:v>03/31/1977</c:v>
                </c:pt>
                <c:pt idx="303">
                  <c:v>04/29/1977</c:v>
                </c:pt>
                <c:pt idx="304">
                  <c:v>05/31/1977</c:v>
                </c:pt>
                <c:pt idx="305">
                  <c:v>06/30/1977</c:v>
                </c:pt>
                <c:pt idx="306">
                  <c:v>07/29/1977</c:v>
                </c:pt>
                <c:pt idx="307">
                  <c:v>08/31/1977</c:v>
                </c:pt>
                <c:pt idx="308">
                  <c:v>09/30/1977</c:v>
                </c:pt>
                <c:pt idx="309">
                  <c:v>10/31/1977</c:v>
                </c:pt>
                <c:pt idx="310">
                  <c:v>11/30/1977</c:v>
                </c:pt>
                <c:pt idx="311">
                  <c:v>12/30/1977</c:v>
                </c:pt>
                <c:pt idx="312">
                  <c:v>01/31/1978</c:v>
                </c:pt>
                <c:pt idx="313">
                  <c:v>02/28/1978</c:v>
                </c:pt>
                <c:pt idx="314">
                  <c:v>03/31/1978</c:v>
                </c:pt>
                <c:pt idx="315">
                  <c:v>04/28/1978</c:v>
                </c:pt>
                <c:pt idx="316">
                  <c:v>05/31/1978</c:v>
                </c:pt>
                <c:pt idx="317">
                  <c:v>06/30/1978</c:v>
                </c:pt>
                <c:pt idx="318">
                  <c:v>07/31/1978</c:v>
                </c:pt>
                <c:pt idx="319">
                  <c:v>08/31/1978</c:v>
                </c:pt>
                <c:pt idx="320">
                  <c:v>09/29/1978</c:v>
                </c:pt>
                <c:pt idx="321">
                  <c:v>10/31/1978</c:v>
                </c:pt>
                <c:pt idx="322">
                  <c:v>11/30/1978</c:v>
                </c:pt>
                <c:pt idx="323">
                  <c:v>12/29/1978</c:v>
                </c:pt>
                <c:pt idx="324">
                  <c:v>01/31/1979</c:v>
                </c:pt>
                <c:pt idx="325">
                  <c:v>02/28/1979</c:v>
                </c:pt>
                <c:pt idx="326">
                  <c:v>03/30/1979</c:v>
                </c:pt>
                <c:pt idx="327">
                  <c:v>04/30/1979</c:v>
                </c:pt>
                <c:pt idx="328">
                  <c:v>05/31/1979</c:v>
                </c:pt>
                <c:pt idx="329">
                  <c:v>06/29/1979</c:v>
                </c:pt>
                <c:pt idx="330">
                  <c:v>07/31/1979</c:v>
                </c:pt>
                <c:pt idx="331">
                  <c:v>08/31/1979</c:v>
                </c:pt>
                <c:pt idx="332">
                  <c:v>09/28/1979</c:v>
                </c:pt>
                <c:pt idx="333">
                  <c:v>10/31/1979</c:v>
                </c:pt>
                <c:pt idx="334">
                  <c:v>11/30/1979</c:v>
                </c:pt>
                <c:pt idx="335">
                  <c:v>12/31/1979</c:v>
                </c:pt>
                <c:pt idx="336">
                  <c:v>01/31/1980</c:v>
                </c:pt>
                <c:pt idx="337">
                  <c:v>02/29/1980</c:v>
                </c:pt>
                <c:pt idx="338">
                  <c:v>03/31/1980</c:v>
                </c:pt>
                <c:pt idx="339">
                  <c:v>04/30/1980</c:v>
                </c:pt>
                <c:pt idx="340">
                  <c:v>05/30/1980</c:v>
                </c:pt>
                <c:pt idx="341">
                  <c:v>06/30/1980</c:v>
                </c:pt>
                <c:pt idx="342">
                  <c:v>07/31/1980</c:v>
                </c:pt>
                <c:pt idx="343">
                  <c:v>08/29/1980</c:v>
                </c:pt>
                <c:pt idx="344">
                  <c:v>09/30/1980</c:v>
                </c:pt>
                <c:pt idx="345">
                  <c:v>10/31/1980</c:v>
                </c:pt>
                <c:pt idx="346">
                  <c:v>11/28/1980</c:v>
                </c:pt>
                <c:pt idx="347">
                  <c:v>12/31/1980</c:v>
                </c:pt>
                <c:pt idx="348">
                  <c:v>01/30/1981</c:v>
                </c:pt>
                <c:pt idx="349">
                  <c:v>02/27/1981</c:v>
                </c:pt>
                <c:pt idx="350">
                  <c:v>03/31/1981</c:v>
                </c:pt>
                <c:pt idx="351">
                  <c:v>04/30/1981</c:v>
                </c:pt>
                <c:pt idx="352">
                  <c:v>05/29/1981</c:v>
                </c:pt>
                <c:pt idx="353">
                  <c:v>06/30/1981</c:v>
                </c:pt>
                <c:pt idx="354">
                  <c:v>07/31/1981</c:v>
                </c:pt>
                <c:pt idx="355">
                  <c:v>08/31/1981</c:v>
                </c:pt>
                <c:pt idx="356">
                  <c:v>09/30/1981</c:v>
                </c:pt>
                <c:pt idx="357">
                  <c:v>10/30/1981</c:v>
                </c:pt>
                <c:pt idx="358">
                  <c:v>11/30/1981</c:v>
                </c:pt>
                <c:pt idx="359">
                  <c:v>12/31/1981</c:v>
                </c:pt>
                <c:pt idx="360">
                  <c:v>01/29/1982</c:v>
                </c:pt>
                <c:pt idx="361">
                  <c:v>02/26/1982</c:v>
                </c:pt>
                <c:pt idx="362">
                  <c:v>03/31/1982</c:v>
                </c:pt>
                <c:pt idx="363">
                  <c:v>04/30/1982</c:v>
                </c:pt>
                <c:pt idx="364">
                  <c:v>05/28/1982</c:v>
                </c:pt>
                <c:pt idx="365">
                  <c:v>06/30/1982</c:v>
                </c:pt>
                <c:pt idx="366">
                  <c:v>07/30/1982</c:v>
                </c:pt>
                <c:pt idx="367">
                  <c:v>08/31/1982</c:v>
                </c:pt>
                <c:pt idx="368">
                  <c:v>09/30/1982</c:v>
                </c:pt>
                <c:pt idx="369">
                  <c:v>10/29/1982</c:v>
                </c:pt>
                <c:pt idx="370">
                  <c:v>11/30/1982</c:v>
                </c:pt>
                <c:pt idx="371">
                  <c:v>12/31/1982</c:v>
                </c:pt>
                <c:pt idx="372">
                  <c:v>01/31/1983</c:v>
                </c:pt>
                <c:pt idx="373">
                  <c:v>02/28/1983</c:v>
                </c:pt>
                <c:pt idx="374">
                  <c:v>03/31/1983</c:v>
                </c:pt>
                <c:pt idx="375">
                  <c:v>04/29/1983</c:v>
                </c:pt>
                <c:pt idx="376">
                  <c:v>05/31/1983</c:v>
                </c:pt>
                <c:pt idx="377">
                  <c:v>06/30/1983</c:v>
                </c:pt>
                <c:pt idx="378">
                  <c:v>07/29/1983</c:v>
                </c:pt>
                <c:pt idx="379">
                  <c:v>08/31/1983</c:v>
                </c:pt>
                <c:pt idx="380">
                  <c:v>09/30/1983</c:v>
                </c:pt>
                <c:pt idx="381">
                  <c:v>10/31/1983</c:v>
                </c:pt>
                <c:pt idx="382">
                  <c:v>11/30/1983</c:v>
                </c:pt>
                <c:pt idx="383">
                  <c:v>12/30/1983</c:v>
                </c:pt>
                <c:pt idx="384">
                  <c:v>01/31/1984</c:v>
                </c:pt>
                <c:pt idx="385">
                  <c:v>02/29/1984</c:v>
                </c:pt>
                <c:pt idx="386">
                  <c:v>03/30/1984</c:v>
                </c:pt>
                <c:pt idx="387">
                  <c:v>04/30/1984</c:v>
                </c:pt>
                <c:pt idx="388">
                  <c:v>05/31/1984</c:v>
                </c:pt>
                <c:pt idx="389">
                  <c:v>06/29/1984</c:v>
                </c:pt>
                <c:pt idx="390">
                  <c:v>07/31/1984</c:v>
                </c:pt>
                <c:pt idx="391">
                  <c:v>08/31/1984</c:v>
                </c:pt>
                <c:pt idx="392">
                  <c:v>09/28/1984</c:v>
                </c:pt>
                <c:pt idx="393">
                  <c:v>10/31/1984</c:v>
                </c:pt>
                <c:pt idx="394">
                  <c:v>11/30/1984</c:v>
                </c:pt>
                <c:pt idx="395">
                  <c:v>12/31/1984</c:v>
                </c:pt>
                <c:pt idx="396">
                  <c:v>01/31/1985</c:v>
                </c:pt>
                <c:pt idx="397">
                  <c:v>02/28/1985</c:v>
                </c:pt>
                <c:pt idx="398">
                  <c:v>03/29/1985</c:v>
                </c:pt>
                <c:pt idx="399">
                  <c:v>04/30/1985</c:v>
                </c:pt>
                <c:pt idx="400">
                  <c:v>05/31/1985</c:v>
                </c:pt>
                <c:pt idx="401">
                  <c:v>06/28/1985</c:v>
                </c:pt>
                <c:pt idx="402">
                  <c:v>07/31/1985</c:v>
                </c:pt>
                <c:pt idx="403">
                  <c:v>08/30/1985</c:v>
                </c:pt>
                <c:pt idx="404">
                  <c:v>09/30/1985</c:v>
                </c:pt>
                <c:pt idx="405">
                  <c:v>10/31/1985</c:v>
                </c:pt>
                <c:pt idx="406">
                  <c:v>11/29/1985</c:v>
                </c:pt>
                <c:pt idx="407">
                  <c:v>12/31/1985</c:v>
                </c:pt>
                <c:pt idx="408">
                  <c:v>01/31/1986</c:v>
                </c:pt>
                <c:pt idx="409">
                  <c:v>02/28/1986</c:v>
                </c:pt>
                <c:pt idx="410">
                  <c:v>03/31/1986</c:v>
                </c:pt>
                <c:pt idx="411">
                  <c:v>04/30/1986</c:v>
                </c:pt>
                <c:pt idx="412">
                  <c:v>05/30/1986</c:v>
                </c:pt>
                <c:pt idx="413">
                  <c:v>06/30/1986</c:v>
                </c:pt>
                <c:pt idx="414">
                  <c:v>07/31/1986</c:v>
                </c:pt>
                <c:pt idx="415">
                  <c:v>08/29/1986</c:v>
                </c:pt>
                <c:pt idx="416">
                  <c:v>09/30/1986</c:v>
                </c:pt>
                <c:pt idx="417">
                  <c:v>10/31/1986</c:v>
                </c:pt>
                <c:pt idx="418">
                  <c:v>11/28/1986</c:v>
                </c:pt>
                <c:pt idx="419">
                  <c:v>12/31/1986</c:v>
                </c:pt>
                <c:pt idx="420">
                  <c:v>01/30/1987</c:v>
                </c:pt>
                <c:pt idx="421">
                  <c:v>02/27/1987</c:v>
                </c:pt>
                <c:pt idx="422">
                  <c:v>03/31/1987</c:v>
                </c:pt>
                <c:pt idx="423">
                  <c:v>04/30/1987</c:v>
                </c:pt>
                <c:pt idx="424">
                  <c:v>05/29/1987</c:v>
                </c:pt>
                <c:pt idx="425">
                  <c:v>06/30/1987</c:v>
                </c:pt>
                <c:pt idx="426">
                  <c:v>07/31/1987</c:v>
                </c:pt>
                <c:pt idx="427">
                  <c:v>08/31/1987</c:v>
                </c:pt>
                <c:pt idx="428">
                  <c:v>09/30/1987</c:v>
                </c:pt>
                <c:pt idx="429">
                  <c:v>10/30/1987</c:v>
                </c:pt>
                <c:pt idx="430">
                  <c:v>11/30/1987</c:v>
                </c:pt>
                <c:pt idx="431">
                  <c:v>12/31/1987</c:v>
                </c:pt>
                <c:pt idx="432">
                  <c:v>01/29/1988</c:v>
                </c:pt>
                <c:pt idx="433">
                  <c:v>02/29/1988</c:v>
                </c:pt>
                <c:pt idx="434">
                  <c:v>03/31/1988</c:v>
                </c:pt>
                <c:pt idx="435">
                  <c:v>04/29/1988</c:v>
                </c:pt>
                <c:pt idx="436">
                  <c:v>05/31/1988</c:v>
                </c:pt>
                <c:pt idx="437">
                  <c:v>06/30/1988</c:v>
                </c:pt>
                <c:pt idx="438">
                  <c:v>07/29/1988</c:v>
                </c:pt>
                <c:pt idx="439">
                  <c:v>08/31/1988</c:v>
                </c:pt>
                <c:pt idx="440">
                  <c:v>09/30/1988</c:v>
                </c:pt>
                <c:pt idx="441">
                  <c:v>10/31/1988</c:v>
                </c:pt>
                <c:pt idx="442">
                  <c:v>11/30/1988</c:v>
                </c:pt>
                <c:pt idx="443">
                  <c:v>12/30/1988</c:v>
                </c:pt>
                <c:pt idx="444">
                  <c:v>01/31/1989</c:v>
                </c:pt>
                <c:pt idx="445">
                  <c:v>02/28/1989</c:v>
                </c:pt>
                <c:pt idx="446">
                  <c:v>03/31/1989</c:v>
                </c:pt>
                <c:pt idx="447">
                  <c:v>04/28/1989</c:v>
                </c:pt>
                <c:pt idx="448">
                  <c:v>05/31/1989</c:v>
                </c:pt>
                <c:pt idx="449">
                  <c:v>06/30/1989</c:v>
                </c:pt>
                <c:pt idx="450">
                  <c:v>07/31/1989</c:v>
                </c:pt>
                <c:pt idx="451">
                  <c:v>08/31/1989</c:v>
                </c:pt>
                <c:pt idx="452">
                  <c:v>09/29/1989</c:v>
                </c:pt>
                <c:pt idx="453">
                  <c:v>10/31/1989</c:v>
                </c:pt>
                <c:pt idx="454">
                  <c:v>11/30/1989</c:v>
                </c:pt>
                <c:pt idx="455">
                  <c:v>12/29/1989</c:v>
                </c:pt>
                <c:pt idx="456">
                  <c:v>01/31/1990</c:v>
                </c:pt>
                <c:pt idx="457">
                  <c:v>02/28/1990</c:v>
                </c:pt>
                <c:pt idx="458">
                  <c:v>03/30/1990</c:v>
                </c:pt>
                <c:pt idx="459">
                  <c:v>04/30/1990</c:v>
                </c:pt>
                <c:pt idx="460">
                  <c:v>05/31/1990</c:v>
                </c:pt>
                <c:pt idx="461">
                  <c:v>06/29/1990</c:v>
                </c:pt>
                <c:pt idx="462">
                  <c:v>07/31/1990</c:v>
                </c:pt>
                <c:pt idx="463">
                  <c:v>08/31/1990</c:v>
                </c:pt>
                <c:pt idx="464">
                  <c:v>09/28/1990</c:v>
                </c:pt>
                <c:pt idx="465">
                  <c:v>10/31/1990</c:v>
                </c:pt>
                <c:pt idx="466">
                  <c:v>11/30/1990</c:v>
                </c:pt>
                <c:pt idx="467">
                  <c:v>12/31/1990</c:v>
                </c:pt>
                <c:pt idx="468">
                  <c:v>01/31/1991</c:v>
                </c:pt>
                <c:pt idx="469">
                  <c:v>02/28/1991</c:v>
                </c:pt>
                <c:pt idx="470">
                  <c:v>03/28/1991</c:v>
                </c:pt>
                <c:pt idx="471">
                  <c:v>04/30/1991</c:v>
                </c:pt>
                <c:pt idx="472">
                  <c:v>05/31/1991</c:v>
                </c:pt>
                <c:pt idx="473">
                  <c:v>06/28/1991</c:v>
                </c:pt>
                <c:pt idx="474">
                  <c:v>07/31/1991</c:v>
                </c:pt>
                <c:pt idx="475">
                  <c:v>08/30/1991</c:v>
                </c:pt>
                <c:pt idx="476">
                  <c:v>09/30/1991</c:v>
                </c:pt>
                <c:pt idx="477">
                  <c:v>10/31/1991</c:v>
                </c:pt>
                <c:pt idx="478">
                  <c:v>11/29/1991</c:v>
                </c:pt>
                <c:pt idx="479">
                  <c:v>12/31/1991</c:v>
                </c:pt>
                <c:pt idx="480">
                  <c:v>01/31/1992</c:v>
                </c:pt>
                <c:pt idx="481">
                  <c:v>02/28/1992</c:v>
                </c:pt>
                <c:pt idx="482">
                  <c:v>03/31/1992</c:v>
                </c:pt>
                <c:pt idx="483">
                  <c:v>04/30/1992</c:v>
                </c:pt>
                <c:pt idx="484">
                  <c:v>05/29/1992</c:v>
                </c:pt>
                <c:pt idx="485">
                  <c:v>06/30/1992</c:v>
                </c:pt>
                <c:pt idx="486">
                  <c:v>07/31/1992</c:v>
                </c:pt>
                <c:pt idx="487">
                  <c:v>08/31/1992</c:v>
                </c:pt>
                <c:pt idx="488">
                  <c:v>09/30/1992</c:v>
                </c:pt>
                <c:pt idx="489">
                  <c:v>10/30/1992</c:v>
                </c:pt>
                <c:pt idx="490">
                  <c:v>11/30/1992</c:v>
                </c:pt>
                <c:pt idx="491">
                  <c:v>12/31/1992</c:v>
                </c:pt>
                <c:pt idx="492">
                  <c:v>01/29/1993</c:v>
                </c:pt>
                <c:pt idx="493">
                  <c:v>02/26/1993</c:v>
                </c:pt>
                <c:pt idx="494">
                  <c:v>03/31/1993</c:v>
                </c:pt>
                <c:pt idx="495">
                  <c:v>04/30/1993</c:v>
                </c:pt>
                <c:pt idx="496">
                  <c:v>05/28/1993</c:v>
                </c:pt>
                <c:pt idx="497">
                  <c:v>06/30/1993</c:v>
                </c:pt>
                <c:pt idx="498">
                  <c:v>07/30/1993</c:v>
                </c:pt>
                <c:pt idx="499">
                  <c:v>08/31/1993</c:v>
                </c:pt>
                <c:pt idx="500">
                  <c:v>09/30/1993</c:v>
                </c:pt>
                <c:pt idx="501">
                  <c:v>10/29/1993</c:v>
                </c:pt>
                <c:pt idx="502">
                  <c:v>11/30/1993</c:v>
                </c:pt>
                <c:pt idx="503">
                  <c:v>12/31/1993</c:v>
                </c:pt>
                <c:pt idx="504">
                  <c:v>01/31/1994</c:v>
                </c:pt>
                <c:pt idx="505">
                  <c:v>02/28/1994</c:v>
                </c:pt>
                <c:pt idx="506">
                  <c:v>03/31/1994</c:v>
                </c:pt>
                <c:pt idx="507">
                  <c:v>04/29/1994</c:v>
                </c:pt>
                <c:pt idx="508">
                  <c:v>05/31/1994</c:v>
                </c:pt>
                <c:pt idx="509">
                  <c:v>06/30/1994</c:v>
                </c:pt>
                <c:pt idx="510">
                  <c:v>07/29/1994</c:v>
                </c:pt>
                <c:pt idx="511">
                  <c:v>08/31/1994</c:v>
                </c:pt>
                <c:pt idx="512">
                  <c:v>09/30/1994</c:v>
                </c:pt>
                <c:pt idx="513">
                  <c:v>10/31/1994</c:v>
                </c:pt>
                <c:pt idx="514">
                  <c:v>11/30/1994</c:v>
                </c:pt>
                <c:pt idx="515">
                  <c:v>12/30/1994</c:v>
                </c:pt>
                <c:pt idx="516">
                  <c:v>01/31/1995</c:v>
                </c:pt>
                <c:pt idx="517">
                  <c:v>02/28/1995</c:v>
                </c:pt>
                <c:pt idx="518">
                  <c:v>03/31/1995</c:v>
                </c:pt>
                <c:pt idx="519">
                  <c:v>04/28/1995</c:v>
                </c:pt>
                <c:pt idx="520">
                  <c:v>05/31/1995</c:v>
                </c:pt>
                <c:pt idx="521">
                  <c:v>06/30/1995</c:v>
                </c:pt>
                <c:pt idx="522">
                  <c:v>07/31/1995</c:v>
                </c:pt>
                <c:pt idx="523">
                  <c:v>08/31/1995</c:v>
                </c:pt>
                <c:pt idx="524">
                  <c:v>09/29/1995</c:v>
                </c:pt>
                <c:pt idx="525">
                  <c:v>10/31/1995</c:v>
                </c:pt>
                <c:pt idx="526">
                  <c:v>11/30/1995</c:v>
                </c:pt>
                <c:pt idx="527">
                  <c:v>12/29/1995</c:v>
                </c:pt>
                <c:pt idx="528">
                  <c:v>01/31/1996</c:v>
                </c:pt>
                <c:pt idx="529">
                  <c:v>02/29/1996</c:v>
                </c:pt>
                <c:pt idx="530">
                  <c:v>03/29/1996</c:v>
                </c:pt>
                <c:pt idx="531">
                  <c:v>04/30/1996</c:v>
                </c:pt>
                <c:pt idx="532">
                  <c:v>05/31/1996</c:v>
                </c:pt>
                <c:pt idx="533">
                  <c:v>06/28/1996</c:v>
                </c:pt>
                <c:pt idx="534">
                  <c:v>07/31/1996</c:v>
                </c:pt>
                <c:pt idx="535">
                  <c:v>08/30/1996</c:v>
                </c:pt>
                <c:pt idx="536">
                  <c:v>09/30/1996</c:v>
                </c:pt>
                <c:pt idx="537">
                  <c:v>10/31/1996</c:v>
                </c:pt>
                <c:pt idx="538">
                  <c:v>11/29/1996</c:v>
                </c:pt>
                <c:pt idx="539">
                  <c:v>12/31/1996</c:v>
                </c:pt>
                <c:pt idx="540">
                  <c:v>01/31/1997</c:v>
                </c:pt>
                <c:pt idx="541">
                  <c:v>02/28/1997</c:v>
                </c:pt>
                <c:pt idx="542">
                  <c:v>03/31/1997</c:v>
                </c:pt>
                <c:pt idx="543">
                  <c:v>04/30/1997</c:v>
                </c:pt>
                <c:pt idx="544">
                  <c:v>05/30/1997</c:v>
                </c:pt>
                <c:pt idx="545">
                  <c:v>06/30/1997</c:v>
                </c:pt>
                <c:pt idx="546">
                  <c:v>07/31/1997</c:v>
                </c:pt>
                <c:pt idx="547">
                  <c:v>08/29/1997</c:v>
                </c:pt>
                <c:pt idx="548">
                  <c:v>09/30/1997</c:v>
                </c:pt>
                <c:pt idx="549">
                  <c:v>10/31/1997</c:v>
                </c:pt>
                <c:pt idx="550">
                  <c:v>11/28/1997</c:v>
                </c:pt>
                <c:pt idx="551">
                  <c:v>12/31/1997</c:v>
                </c:pt>
                <c:pt idx="552">
                  <c:v>01/30/1998</c:v>
                </c:pt>
                <c:pt idx="553">
                  <c:v>02/27/1998</c:v>
                </c:pt>
                <c:pt idx="554">
                  <c:v>03/31/1998</c:v>
                </c:pt>
                <c:pt idx="555">
                  <c:v>04/30/1998</c:v>
                </c:pt>
                <c:pt idx="556">
                  <c:v>05/29/1998</c:v>
                </c:pt>
                <c:pt idx="557">
                  <c:v>06/30/1998</c:v>
                </c:pt>
                <c:pt idx="558">
                  <c:v>07/31/1998</c:v>
                </c:pt>
                <c:pt idx="559">
                  <c:v>08/31/1998</c:v>
                </c:pt>
                <c:pt idx="560">
                  <c:v>09/30/1998</c:v>
                </c:pt>
                <c:pt idx="561">
                  <c:v>10/30/1998</c:v>
                </c:pt>
                <c:pt idx="562">
                  <c:v>11/30/1998</c:v>
                </c:pt>
                <c:pt idx="563">
                  <c:v>12/31/1998</c:v>
                </c:pt>
                <c:pt idx="564">
                  <c:v>01/29/1999</c:v>
                </c:pt>
                <c:pt idx="565">
                  <c:v>02/26/1999</c:v>
                </c:pt>
                <c:pt idx="566">
                  <c:v>03/31/1999</c:v>
                </c:pt>
                <c:pt idx="567">
                  <c:v>04/30/1999</c:v>
                </c:pt>
                <c:pt idx="568">
                  <c:v>05/28/1999</c:v>
                </c:pt>
                <c:pt idx="569">
                  <c:v>06/30/1999</c:v>
                </c:pt>
                <c:pt idx="570">
                  <c:v>07/30/1999</c:v>
                </c:pt>
                <c:pt idx="571">
                  <c:v>08/31/1999</c:v>
                </c:pt>
                <c:pt idx="572">
                  <c:v>09/30/1999</c:v>
                </c:pt>
                <c:pt idx="573">
                  <c:v>10/29/1999</c:v>
                </c:pt>
                <c:pt idx="574">
                  <c:v>11/30/1999</c:v>
                </c:pt>
                <c:pt idx="575">
                  <c:v>12/31/1999</c:v>
                </c:pt>
                <c:pt idx="576">
                  <c:v>01/31/2000</c:v>
                </c:pt>
                <c:pt idx="577">
                  <c:v>02/29/2000</c:v>
                </c:pt>
                <c:pt idx="578">
                  <c:v>03/31/2000</c:v>
                </c:pt>
                <c:pt idx="579">
                  <c:v>04/28/2000</c:v>
                </c:pt>
                <c:pt idx="580">
                  <c:v>05/31/2000</c:v>
                </c:pt>
                <c:pt idx="581">
                  <c:v>06/30/2000</c:v>
                </c:pt>
                <c:pt idx="582">
                  <c:v>07/31/2000</c:v>
                </c:pt>
                <c:pt idx="583">
                  <c:v>08/31/2000</c:v>
                </c:pt>
                <c:pt idx="584">
                  <c:v>09/29/2000</c:v>
                </c:pt>
                <c:pt idx="585">
                  <c:v>10/31/2000</c:v>
                </c:pt>
                <c:pt idx="586">
                  <c:v>11/30/2000</c:v>
                </c:pt>
                <c:pt idx="587">
                  <c:v>12/29/2000</c:v>
                </c:pt>
                <c:pt idx="588">
                  <c:v>01/31/2001</c:v>
                </c:pt>
                <c:pt idx="589">
                  <c:v>02/28/2001</c:v>
                </c:pt>
                <c:pt idx="590">
                  <c:v>03/30/2001</c:v>
                </c:pt>
                <c:pt idx="591">
                  <c:v>04/30/2001</c:v>
                </c:pt>
                <c:pt idx="592">
                  <c:v>05/31/2001</c:v>
                </c:pt>
                <c:pt idx="593">
                  <c:v>06/29/2001</c:v>
                </c:pt>
                <c:pt idx="594">
                  <c:v>07/31/2001</c:v>
                </c:pt>
                <c:pt idx="595">
                  <c:v>08/31/2001</c:v>
                </c:pt>
                <c:pt idx="596">
                  <c:v>09/28/2001</c:v>
                </c:pt>
                <c:pt idx="597">
                  <c:v>10/31/2001</c:v>
                </c:pt>
                <c:pt idx="598">
                  <c:v>11/30/2001</c:v>
                </c:pt>
                <c:pt idx="599">
                  <c:v>12/31/2001</c:v>
                </c:pt>
                <c:pt idx="600">
                  <c:v>01/31/2002</c:v>
                </c:pt>
                <c:pt idx="601">
                  <c:v>02/28/2002</c:v>
                </c:pt>
                <c:pt idx="602">
                  <c:v>03/28/2002</c:v>
                </c:pt>
                <c:pt idx="603">
                  <c:v>04/30/2002</c:v>
                </c:pt>
                <c:pt idx="604">
                  <c:v>05/31/2002</c:v>
                </c:pt>
                <c:pt idx="605">
                  <c:v>06/28/2002</c:v>
                </c:pt>
                <c:pt idx="606">
                  <c:v>07/31/2002</c:v>
                </c:pt>
                <c:pt idx="607">
                  <c:v>08/30/2002</c:v>
                </c:pt>
                <c:pt idx="608">
                  <c:v>09/30/2002</c:v>
                </c:pt>
                <c:pt idx="609">
                  <c:v>10/31/2002</c:v>
                </c:pt>
                <c:pt idx="610">
                  <c:v>11/29/2002</c:v>
                </c:pt>
                <c:pt idx="611">
                  <c:v>12/31/2002</c:v>
                </c:pt>
                <c:pt idx="612">
                  <c:v>01/31/2003</c:v>
                </c:pt>
                <c:pt idx="613">
                  <c:v>02/28/2003</c:v>
                </c:pt>
                <c:pt idx="614">
                  <c:v>03/31/2003</c:v>
                </c:pt>
                <c:pt idx="615">
                  <c:v>04/30/2003</c:v>
                </c:pt>
                <c:pt idx="616">
                  <c:v>05/30/2003</c:v>
                </c:pt>
                <c:pt idx="617">
                  <c:v>06/30/2003</c:v>
                </c:pt>
                <c:pt idx="618">
                  <c:v>07/31/2003</c:v>
                </c:pt>
                <c:pt idx="619">
                  <c:v>08/29/2003</c:v>
                </c:pt>
                <c:pt idx="620">
                  <c:v>09/30/2003</c:v>
                </c:pt>
                <c:pt idx="621">
                  <c:v>10/31/2003</c:v>
                </c:pt>
                <c:pt idx="622">
                  <c:v>11/28/2003</c:v>
                </c:pt>
                <c:pt idx="623">
                  <c:v>12/31/2003</c:v>
                </c:pt>
                <c:pt idx="624">
                  <c:v>01/30/2004</c:v>
                </c:pt>
                <c:pt idx="625">
                  <c:v>02/27/2004</c:v>
                </c:pt>
                <c:pt idx="626">
                  <c:v>03/31/2004</c:v>
                </c:pt>
                <c:pt idx="627">
                  <c:v>04/30/2004</c:v>
                </c:pt>
                <c:pt idx="628">
                  <c:v>05/28/2004</c:v>
                </c:pt>
                <c:pt idx="629">
                  <c:v>06/30/2004</c:v>
                </c:pt>
                <c:pt idx="630">
                  <c:v>07/30/2004</c:v>
                </c:pt>
                <c:pt idx="631">
                  <c:v>08/31/2004</c:v>
                </c:pt>
                <c:pt idx="632">
                  <c:v>09/30/2004</c:v>
                </c:pt>
                <c:pt idx="633">
                  <c:v>10/29/2004</c:v>
                </c:pt>
                <c:pt idx="634">
                  <c:v>11/30/2004</c:v>
                </c:pt>
                <c:pt idx="635">
                  <c:v>12/31/2004</c:v>
                </c:pt>
                <c:pt idx="636">
                  <c:v>01/31/2005</c:v>
                </c:pt>
                <c:pt idx="637">
                  <c:v>02/28/2005</c:v>
                </c:pt>
                <c:pt idx="638">
                  <c:v>03/31/2005</c:v>
                </c:pt>
                <c:pt idx="639">
                  <c:v>04/29/2005</c:v>
                </c:pt>
                <c:pt idx="640">
                  <c:v>05/31/2005</c:v>
                </c:pt>
                <c:pt idx="641">
                  <c:v>06/30/2005</c:v>
                </c:pt>
                <c:pt idx="642">
                  <c:v>07/29/2005</c:v>
                </c:pt>
                <c:pt idx="643">
                  <c:v>08/31/2005</c:v>
                </c:pt>
                <c:pt idx="644">
                  <c:v>09/30/2005</c:v>
                </c:pt>
                <c:pt idx="645">
                  <c:v>10/31/2005</c:v>
                </c:pt>
                <c:pt idx="646">
                  <c:v>11/30/2005</c:v>
                </c:pt>
                <c:pt idx="647">
                  <c:v>12/30/2005</c:v>
                </c:pt>
                <c:pt idx="648">
                  <c:v>01/31/2006</c:v>
                </c:pt>
                <c:pt idx="649">
                  <c:v>02/28/2006</c:v>
                </c:pt>
                <c:pt idx="650">
                  <c:v>03/31/2006</c:v>
                </c:pt>
                <c:pt idx="651">
                  <c:v>04/28/2006</c:v>
                </c:pt>
                <c:pt idx="652">
                  <c:v>05/31/2006</c:v>
                </c:pt>
                <c:pt idx="653">
                  <c:v>06/30/2006</c:v>
                </c:pt>
                <c:pt idx="654">
                  <c:v>07/31/2006</c:v>
                </c:pt>
                <c:pt idx="655">
                  <c:v>08/31/2006</c:v>
                </c:pt>
                <c:pt idx="656">
                  <c:v>09/29/2006</c:v>
                </c:pt>
                <c:pt idx="657">
                  <c:v>10/31/2006</c:v>
                </c:pt>
                <c:pt idx="658">
                  <c:v>11/30/2006</c:v>
                </c:pt>
                <c:pt idx="659">
                  <c:v>12/29/2006</c:v>
                </c:pt>
                <c:pt idx="660">
                  <c:v>01/31/2007</c:v>
                </c:pt>
                <c:pt idx="661">
                  <c:v>02/28/2007</c:v>
                </c:pt>
                <c:pt idx="662">
                  <c:v>03/30/2007</c:v>
                </c:pt>
                <c:pt idx="663">
                  <c:v>04/30/2007</c:v>
                </c:pt>
                <c:pt idx="664">
                  <c:v>05/31/2007</c:v>
                </c:pt>
                <c:pt idx="665">
                  <c:v>06/29/2007</c:v>
                </c:pt>
                <c:pt idx="666">
                  <c:v>07/31/2007</c:v>
                </c:pt>
                <c:pt idx="667">
                  <c:v>08/31/2007</c:v>
                </c:pt>
                <c:pt idx="668">
                  <c:v>09/28/2007</c:v>
                </c:pt>
                <c:pt idx="669">
                  <c:v>10/31/2007</c:v>
                </c:pt>
                <c:pt idx="670">
                  <c:v>11/30/2007</c:v>
                </c:pt>
                <c:pt idx="671">
                  <c:v>12/31/2007</c:v>
                </c:pt>
              </c:strCache>
            </c:strRef>
          </c:cat>
          <c:val>
            <c:numRef>
              <c:f>Sheet1!$E$3:$E$674</c:f>
              <c:numCache>
                <c:formatCode>0.000000</c:formatCode>
                <c:ptCount val="672"/>
                <c:pt idx="0">
                  <c:v>0</c:v>
                </c:pt>
                <c:pt idx="1">
                  <c:v>-9.6153846153846145E-2</c:v>
                </c:pt>
                <c:pt idx="2">
                  <c:v>0</c:v>
                </c:pt>
                <c:pt idx="3">
                  <c:v>3.8772213247174468E-2</c:v>
                </c:pt>
                <c:pt idx="4">
                  <c:v>0</c:v>
                </c:pt>
                <c:pt idx="5">
                  <c:v>5.7971014492753881E-2</c:v>
                </c:pt>
                <c:pt idx="6">
                  <c:v>7.6923076923076733E-2</c:v>
                </c:pt>
                <c:pt idx="7">
                  <c:v>0</c:v>
                </c:pt>
                <c:pt idx="8">
                  <c:v>0</c:v>
                </c:pt>
                <c:pt idx="9">
                  <c:v>0</c:v>
                </c:pt>
                <c:pt idx="10">
                  <c:v>0</c:v>
                </c:pt>
                <c:pt idx="11">
                  <c:v>0</c:v>
                </c:pt>
                <c:pt idx="12">
                  <c:v>-3.8216560509552799E-2</c:v>
                </c:pt>
                <c:pt idx="13">
                  <c:v>-3.8338658146965354E-2</c:v>
                </c:pt>
                <c:pt idx="14">
                  <c:v>3.8461538461538332E-2</c:v>
                </c:pt>
                <c:pt idx="15">
                  <c:v>0</c:v>
                </c:pt>
                <c:pt idx="16">
                  <c:v>3.8338658146964022E-2</c:v>
                </c:pt>
                <c:pt idx="17">
                  <c:v>5.7324840764333196E-2</c:v>
                </c:pt>
                <c:pt idx="18">
                  <c:v>0</c:v>
                </c:pt>
                <c:pt idx="19">
                  <c:v>3.8034865293184346E-2</c:v>
                </c:pt>
                <c:pt idx="20">
                  <c:v>0</c:v>
                </c:pt>
                <c:pt idx="21">
                  <c:v>3.7914691943129242E-2</c:v>
                </c:pt>
                <c:pt idx="22">
                  <c:v>-3.7795275590552256E-2</c:v>
                </c:pt>
                <c:pt idx="23">
                  <c:v>0</c:v>
                </c:pt>
                <c:pt idx="24">
                  <c:v>0</c:v>
                </c:pt>
                <c:pt idx="25">
                  <c:v>0</c:v>
                </c:pt>
                <c:pt idx="26">
                  <c:v>0</c:v>
                </c:pt>
                <c:pt idx="27">
                  <c:v>-3.7914691943126584E-2</c:v>
                </c:pt>
                <c:pt idx="28">
                  <c:v>3.8034865293184346E-2</c:v>
                </c:pt>
                <c:pt idx="29">
                  <c:v>0</c:v>
                </c:pt>
                <c:pt idx="30">
                  <c:v>0</c:v>
                </c:pt>
                <c:pt idx="31">
                  <c:v>0</c:v>
                </c:pt>
                <c:pt idx="32">
                  <c:v>-3.7914691943126584E-2</c:v>
                </c:pt>
                <c:pt idx="33">
                  <c:v>0</c:v>
                </c:pt>
                <c:pt idx="34">
                  <c:v>0</c:v>
                </c:pt>
                <c:pt idx="35">
                  <c:v>-5.7052297939779416E-2</c:v>
                </c:pt>
                <c:pt idx="36">
                  <c:v>0</c:v>
                </c:pt>
                <c:pt idx="37">
                  <c:v>0</c:v>
                </c:pt>
                <c:pt idx="38">
                  <c:v>0</c:v>
                </c:pt>
                <c:pt idx="39">
                  <c:v>0</c:v>
                </c:pt>
                <c:pt idx="40">
                  <c:v>0</c:v>
                </c:pt>
                <c:pt idx="41">
                  <c:v>0</c:v>
                </c:pt>
                <c:pt idx="42">
                  <c:v>5.7324840764333196E-2</c:v>
                </c:pt>
                <c:pt idx="43">
                  <c:v>0</c:v>
                </c:pt>
                <c:pt idx="44">
                  <c:v>3.8034865293184346E-2</c:v>
                </c:pt>
                <c:pt idx="45">
                  <c:v>0</c:v>
                </c:pt>
                <c:pt idx="46">
                  <c:v>0</c:v>
                </c:pt>
                <c:pt idx="47">
                  <c:v>-3.7914691943126584E-2</c:v>
                </c:pt>
                <c:pt idx="48">
                  <c:v>0</c:v>
                </c:pt>
                <c:pt idx="49">
                  <c:v>0</c:v>
                </c:pt>
                <c:pt idx="50">
                  <c:v>0</c:v>
                </c:pt>
                <c:pt idx="51">
                  <c:v>3.8034865293184346E-2</c:v>
                </c:pt>
                <c:pt idx="52">
                  <c:v>3.7914691943129242E-2</c:v>
                </c:pt>
                <c:pt idx="53">
                  <c:v>9.4488188976377729E-2</c:v>
                </c:pt>
                <c:pt idx="54">
                  <c:v>9.3750000000000278E-2</c:v>
                </c:pt>
                <c:pt idx="55">
                  <c:v>-5.5813953488371933E-2</c:v>
                </c:pt>
                <c:pt idx="56">
                  <c:v>5.6074766355140873E-2</c:v>
                </c:pt>
                <c:pt idx="57">
                  <c:v>3.7209302325583213E-2</c:v>
                </c:pt>
                <c:pt idx="58">
                  <c:v>0</c:v>
                </c:pt>
                <c:pt idx="59">
                  <c:v>3.7094281298299059E-2</c:v>
                </c:pt>
                <c:pt idx="60">
                  <c:v>0</c:v>
                </c:pt>
                <c:pt idx="61">
                  <c:v>5.5469953775037162E-2</c:v>
                </c:pt>
                <c:pt idx="62">
                  <c:v>3.6809815950920179E-2</c:v>
                </c:pt>
                <c:pt idx="63">
                  <c:v>3.6697247706421063E-2</c:v>
                </c:pt>
                <c:pt idx="64">
                  <c:v>5.4878048780491157E-2</c:v>
                </c:pt>
                <c:pt idx="65">
                  <c:v>3.641881638846476E-2</c:v>
                </c:pt>
                <c:pt idx="66">
                  <c:v>9.0771558245084205E-2</c:v>
                </c:pt>
                <c:pt idx="67">
                  <c:v>0</c:v>
                </c:pt>
                <c:pt idx="68">
                  <c:v>0</c:v>
                </c:pt>
                <c:pt idx="69">
                  <c:v>0</c:v>
                </c:pt>
                <c:pt idx="70">
                  <c:v>3.6036036036036556E-2</c:v>
                </c:pt>
                <c:pt idx="71">
                  <c:v>0</c:v>
                </c:pt>
                <c:pt idx="72">
                  <c:v>8.9820359281436557E-2</c:v>
                </c:pt>
                <c:pt idx="73">
                  <c:v>0</c:v>
                </c:pt>
                <c:pt idx="74">
                  <c:v>8.9153046062407107E-2</c:v>
                </c:pt>
                <c:pt idx="75">
                  <c:v>3.5398230088497414E-2</c:v>
                </c:pt>
                <c:pt idx="76">
                  <c:v>0</c:v>
                </c:pt>
                <c:pt idx="77">
                  <c:v>0</c:v>
                </c:pt>
                <c:pt idx="78">
                  <c:v>3.5294117647058712E-2</c:v>
                </c:pt>
                <c:pt idx="79">
                  <c:v>-3.5190615835777095E-2</c:v>
                </c:pt>
                <c:pt idx="80">
                  <c:v>0</c:v>
                </c:pt>
                <c:pt idx="81">
                  <c:v>0</c:v>
                </c:pt>
                <c:pt idx="82">
                  <c:v>3.5294117647058712E-2</c:v>
                </c:pt>
                <c:pt idx="83">
                  <c:v>-3.5190615835777095E-2</c:v>
                </c:pt>
                <c:pt idx="84">
                  <c:v>3.5294117647058712E-2</c:v>
                </c:pt>
                <c:pt idx="85">
                  <c:v>-3.5190615835777095E-2</c:v>
                </c:pt>
                <c:pt idx="86">
                  <c:v>0</c:v>
                </c:pt>
                <c:pt idx="87">
                  <c:v>3.5294117647058712E-2</c:v>
                </c:pt>
                <c:pt idx="88">
                  <c:v>0</c:v>
                </c:pt>
                <c:pt idx="89">
                  <c:v>5.2785923753665781E-2</c:v>
                </c:pt>
                <c:pt idx="90">
                  <c:v>3.5036496350365993E-2</c:v>
                </c:pt>
                <c:pt idx="91">
                  <c:v>0</c:v>
                </c:pt>
                <c:pt idx="92">
                  <c:v>3.4934497816594856E-2</c:v>
                </c:pt>
                <c:pt idx="93">
                  <c:v>5.2249637155296451E-2</c:v>
                </c:pt>
                <c:pt idx="94">
                  <c:v>0</c:v>
                </c:pt>
                <c:pt idx="95">
                  <c:v>0</c:v>
                </c:pt>
                <c:pt idx="96">
                  <c:v>-5.2023121387283093E-2</c:v>
                </c:pt>
                <c:pt idx="97">
                  <c:v>5.2249637155296451E-2</c:v>
                </c:pt>
                <c:pt idx="98">
                  <c:v>0</c:v>
                </c:pt>
                <c:pt idx="99">
                  <c:v>3.4682080924857146E-2</c:v>
                </c:pt>
                <c:pt idx="100">
                  <c:v>0</c:v>
                </c:pt>
                <c:pt idx="101">
                  <c:v>3.4582132564839455E-2</c:v>
                </c:pt>
                <c:pt idx="102">
                  <c:v>0</c:v>
                </c:pt>
                <c:pt idx="103">
                  <c:v>0</c:v>
                </c:pt>
                <c:pt idx="104">
                  <c:v>0</c:v>
                </c:pt>
                <c:pt idx="105">
                  <c:v>8.6206896551724227E-2</c:v>
                </c:pt>
                <c:pt idx="106">
                  <c:v>0</c:v>
                </c:pt>
                <c:pt idx="107">
                  <c:v>0</c:v>
                </c:pt>
                <c:pt idx="108">
                  <c:v>0</c:v>
                </c:pt>
                <c:pt idx="109">
                  <c:v>0</c:v>
                </c:pt>
                <c:pt idx="110">
                  <c:v>0</c:v>
                </c:pt>
                <c:pt idx="111">
                  <c:v>0</c:v>
                </c:pt>
                <c:pt idx="112">
                  <c:v>0</c:v>
                </c:pt>
                <c:pt idx="113">
                  <c:v>0</c:v>
                </c:pt>
                <c:pt idx="114">
                  <c:v>8.5592011412268534E-2</c:v>
                </c:pt>
                <c:pt idx="115">
                  <c:v>-3.3994334277618332E-2</c:v>
                </c:pt>
                <c:pt idx="116">
                  <c:v>3.4090909090907395E-2</c:v>
                </c:pt>
                <c:pt idx="117">
                  <c:v>0</c:v>
                </c:pt>
                <c:pt idx="118">
                  <c:v>0</c:v>
                </c:pt>
                <c:pt idx="119">
                  <c:v>0</c:v>
                </c:pt>
                <c:pt idx="120">
                  <c:v>0</c:v>
                </c:pt>
                <c:pt idx="121">
                  <c:v>3.3994334277619671E-2</c:v>
                </c:pt>
                <c:pt idx="122">
                  <c:v>0</c:v>
                </c:pt>
                <c:pt idx="123">
                  <c:v>5.0847457627118522E-2</c:v>
                </c:pt>
                <c:pt idx="124">
                  <c:v>0</c:v>
                </c:pt>
                <c:pt idx="125">
                  <c:v>0</c:v>
                </c:pt>
                <c:pt idx="126">
                  <c:v>3.3755274261604754E-2</c:v>
                </c:pt>
                <c:pt idx="127">
                  <c:v>0</c:v>
                </c:pt>
                <c:pt idx="128">
                  <c:v>3.3660589060309221E-2</c:v>
                </c:pt>
                <c:pt idx="129">
                  <c:v>0</c:v>
                </c:pt>
                <c:pt idx="130">
                  <c:v>0</c:v>
                </c:pt>
                <c:pt idx="131">
                  <c:v>0</c:v>
                </c:pt>
                <c:pt idx="132">
                  <c:v>0</c:v>
                </c:pt>
                <c:pt idx="133">
                  <c:v>0</c:v>
                </c:pt>
                <c:pt idx="134">
                  <c:v>5.0349650349649493E-2</c:v>
                </c:pt>
                <c:pt idx="135">
                  <c:v>0</c:v>
                </c:pt>
                <c:pt idx="136">
                  <c:v>0</c:v>
                </c:pt>
                <c:pt idx="137">
                  <c:v>3.3426183844010637E-2</c:v>
                </c:pt>
                <c:pt idx="138">
                  <c:v>3.3333333333333215E-2</c:v>
                </c:pt>
                <c:pt idx="139">
                  <c:v>0</c:v>
                </c:pt>
                <c:pt idx="140">
                  <c:v>0</c:v>
                </c:pt>
                <c:pt idx="141">
                  <c:v>4.9861495844876459E-2</c:v>
                </c:pt>
                <c:pt idx="142">
                  <c:v>0</c:v>
                </c:pt>
                <c:pt idx="143">
                  <c:v>3.3103448275863215E-2</c:v>
                </c:pt>
                <c:pt idx="144">
                  <c:v>0</c:v>
                </c:pt>
                <c:pt idx="145">
                  <c:v>0</c:v>
                </c:pt>
                <c:pt idx="146">
                  <c:v>0</c:v>
                </c:pt>
                <c:pt idx="147">
                  <c:v>0</c:v>
                </c:pt>
                <c:pt idx="148">
                  <c:v>0</c:v>
                </c:pt>
                <c:pt idx="149">
                  <c:v>3.3012379642367591E-2</c:v>
                </c:pt>
                <c:pt idx="150">
                  <c:v>4.9382716049381437E-2</c:v>
                </c:pt>
                <c:pt idx="151">
                  <c:v>-4.9180327868851903E-2</c:v>
                </c:pt>
                <c:pt idx="152">
                  <c:v>4.9382716049381437E-2</c:v>
                </c:pt>
                <c:pt idx="153">
                  <c:v>0</c:v>
                </c:pt>
                <c:pt idx="154">
                  <c:v>3.2786885245903015E-2</c:v>
                </c:pt>
                <c:pt idx="155">
                  <c:v>0</c:v>
                </c:pt>
                <c:pt idx="156">
                  <c:v>0</c:v>
                </c:pt>
                <c:pt idx="157">
                  <c:v>0</c:v>
                </c:pt>
                <c:pt idx="158">
                  <c:v>3.2697547683922988E-2</c:v>
                </c:pt>
                <c:pt idx="159">
                  <c:v>4.8913043478263418E-2</c:v>
                </c:pt>
                <c:pt idx="160">
                  <c:v>0</c:v>
                </c:pt>
                <c:pt idx="161">
                  <c:v>8.1190798376184245E-2</c:v>
                </c:pt>
                <c:pt idx="162">
                  <c:v>0</c:v>
                </c:pt>
                <c:pt idx="163">
                  <c:v>0</c:v>
                </c:pt>
                <c:pt idx="164">
                  <c:v>0</c:v>
                </c:pt>
                <c:pt idx="165">
                  <c:v>3.2258064516126402E-2</c:v>
                </c:pt>
                <c:pt idx="166">
                  <c:v>0</c:v>
                </c:pt>
                <c:pt idx="167">
                  <c:v>3.2171581769437019E-2</c:v>
                </c:pt>
                <c:pt idx="168">
                  <c:v>0</c:v>
                </c:pt>
                <c:pt idx="169">
                  <c:v>8.0213903743314482E-2</c:v>
                </c:pt>
                <c:pt idx="170">
                  <c:v>3.1872509960159411E-2</c:v>
                </c:pt>
                <c:pt idx="171">
                  <c:v>7.9470198675497095E-2</c:v>
                </c:pt>
                <c:pt idx="172">
                  <c:v>0</c:v>
                </c:pt>
                <c:pt idx="173">
                  <c:v>3.1578947368422566E-2</c:v>
                </c:pt>
                <c:pt idx="174">
                  <c:v>4.7244094488188886E-2</c:v>
                </c:pt>
                <c:pt idx="175">
                  <c:v>6.2745098039215491E-2</c:v>
                </c:pt>
                <c:pt idx="176">
                  <c:v>0</c:v>
                </c:pt>
                <c:pt idx="177">
                  <c:v>7.8023407022106833E-2</c:v>
                </c:pt>
                <c:pt idx="178">
                  <c:v>0</c:v>
                </c:pt>
                <c:pt idx="179">
                  <c:v>0</c:v>
                </c:pt>
                <c:pt idx="180">
                  <c:v>0</c:v>
                </c:pt>
                <c:pt idx="181">
                  <c:v>0</c:v>
                </c:pt>
                <c:pt idx="182">
                  <c:v>3.1007751937982775E-2</c:v>
                </c:pt>
                <c:pt idx="183">
                  <c:v>4.6391752577322067E-2</c:v>
                </c:pt>
                <c:pt idx="184">
                  <c:v>3.0808729139922171E-2</c:v>
                </c:pt>
                <c:pt idx="185">
                  <c:v>4.6094750320104787E-2</c:v>
                </c:pt>
                <c:pt idx="186">
                  <c:v>3.0612244897957552E-2</c:v>
                </c:pt>
                <c:pt idx="187">
                  <c:v>3.0534351145037775E-2</c:v>
                </c:pt>
                <c:pt idx="188">
                  <c:v>4.5685279187815717E-2</c:v>
                </c:pt>
                <c:pt idx="189">
                  <c:v>3.0341340075854654E-2</c:v>
                </c:pt>
                <c:pt idx="190">
                  <c:v>3.0264817150063999E-2</c:v>
                </c:pt>
                <c:pt idx="191">
                  <c:v>4.5283018867924497E-2</c:v>
                </c:pt>
                <c:pt idx="192">
                  <c:v>6.0150375939850953E-2</c:v>
                </c:pt>
                <c:pt idx="193">
                  <c:v>4.4887780548627826E-2</c:v>
                </c:pt>
                <c:pt idx="194">
                  <c:v>2.9813664596273933E-2</c:v>
                </c:pt>
                <c:pt idx="195">
                  <c:v>2.9739776951673909E-2</c:v>
                </c:pt>
                <c:pt idx="196">
                  <c:v>4.4499381953027724E-2</c:v>
                </c:pt>
                <c:pt idx="197">
                  <c:v>5.9113300492609433E-2</c:v>
                </c:pt>
                <c:pt idx="198">
                  <c:v>7.3529411764705621E-2</c:v>
                </c:pt>
                <c:pt idx="199">
                  <c:v>4.3848964677223976E-2</c:v>
                </c:pt>
                <c:pt idx="200">
                  <c:v>2.9126213592231665E-2</c:v>
                </c:pt>
                <c:pt idx="201">
                  <c:v>7.2639225181597489E-2</c:v>
                </c:pt>
                <c:pt idx="202">
                  <c:v>2.8880866425992312E-2</c:v>
                </c:pt>
                <c:pt idx="203">
                  <c:v>2.88115246098446E-2</c:v>
                </c:pt>
                <c:pt idx="204">
                  <c:v>4.3113772455088399E-2</c:v>
                </c:pt>
                <c:pt idx="205">
                  <c:v>5.7279236276850796E-2</c:v>
                </c:pt>
                <c:pt idx="206">
                  <c:v>9.9762470308790541E-2</c:v>
                </c:pt>
                <c:pt idx="207">
                  <c:v>7.067137809187328E-2</c:v>
                </c:pt>
                <c:pt idx="208">
                  <c:v>2.8103044496484486E-2</c:v>
                </c:pt>
                <c:pt idx="209">
                  <c:v>7.0093457943925699E-2</c:v>
                </c:pt>
                <c:pt idx="210">
                  <c:v>6.9686411149825503E-2</c:v>
                </c:pt>
                <c:pt idx="211">
                  <c:v>6.928406466512807E-2</c:v>
                </c:pt>
                <c:pt idx="212">
                  <c:v>2.7554535017221056E-2</c:v>
                </c:pt>
                <c:pt idx="213">
                  <c:v>6.8728522336769515E-2</c:v>
                </c:pt>
                <c:pt idx="214">
                  <c:v>5.4669703872437324E-2</c:v>
                </c:pt>
                <c:pt idx="215">
                  <c:v>6.8027210884354289E-2</c:v>
                </c:pt>
                <c:pt idx="216">
                  <c:v>2.7057497181510393E-2</c:v>
                </c:pt>
                <c:pt idx="217">
                  <c:v>6.7491563554556433E-2</c:v>
                </c:pt>
                <c:pt idx="218">
                  <c:v>6.7114093959732835E-2</c:v>
                </c:pt>
                <c:pt idx="219">
                  <c:v>9.3437152391543765E-2</c:v>
                </c:pt>
                <c:pt idx="220">
                  <c:v>2.6490066225165754E-2</c:v>
                </c:pt>
                <c:pt idx="221">
                  <c:v>6.6079295154184869E-2</c:v>
                </c:pt>
                <c:pt idx="222">
                  <c:v>6.5717415115004923E-2</c:v>
                </c:pt>
                <c:pt idx="223">
                  <c:v>0</c:v>
                </c:pt>
                <c:pt idx="224">
                  <c:v>5.2287581699347122E-2</c:v>
                </c:pt>
                <c:pt idx="225">
                  <c:v>6.5075921908892581E-2</c:v>
                </c:pt>
                <c:pt idx="226">
                  <c:v>6.4724919093849934E-2</c:v>
                </c:pt>
                <c:pt idx="227">
                  <c:v>5.1502145922745164E-2</c:v>
                </c:pt>
                <c:pt idx="228">
                  <c:v>0</c:v>
                </c:pt>
                <c:pt idx="229">
                  <c:v>3.8461538461540996E-2</c:v>
                </c:pt>
                <c:pt idx="230">
                  <c:v>2.555910543130847E-2</c:v>
                </c:pt>
                <c:pt idx="231">
                  <c:v>3.8257173219979547E-2</c:v>
                </c:pt>
                <c:pt idx="232">
                  <c:v>5.0847457627118522E-2</c:v>
                </c:pt>
                <c:pt idx="233">
                  <c:v>8.8607594936708528E-2</c:v>
                </c:pt>
                <c:pt idx="234">
                  <c:v>3.7696335078534288E-2</c:v>
                </c:pt>
                <c:pt idx="235">
                  <c:v>2.5052192066805652E-2</c:v>
                </c:pt>
                <c:pt idx="236">
                  <c:v>0</c:v>
                </c:pt>
                <c:pt idx="237">
                  <c:v>2.500000000000125E-2</c:v>
                </c:pt>
                <c:pt idx="238">
                  <c:v>0</c:v>
                </c:pt>
                <c:pt idx="239">
                  <c:v>6.2370062370063373E-2</c:v>
                </c:pt>
                <c:pt idx="240">
                  <c:v>0</c:v>
                </c:pt>
                <c:pt idx="241">
                  <c:v>6.2047569803516237E-2</c:v>
                </c:pt>
                <c:pt idx="242">
                  <c:v>2.4691358024690638E-2</c:v>
                </c:pt>
                <c:pt idx="243">
                  <c:v>2.4640657084188611E-2</c:v>
                </c:pt>
                <c:pt idx="244">
                  <c:v>3.6885245901640322E-2</c:v>
                </c:pt>
                <c:pt idx="245">
                  <c:v>2.4514811031663086E-2</c:v>
                </c:pt>
                <c:pt idx="246">
                  <c:v>6.1162079510703397E-2</c:v>
                </c:pt>
                <c:pt idx="247">
                  <c:v>2.434077079107589E-2</c:v>
                </c:pt>
                <c:pt idx="248">
                  <c:v>3.6437246963562854E-2</c:v>
                </c:pt>
                <c:pt idx="249">
                  <c:v>4.8435923309788194E-2</c:v>
                </c:pt>
                <c:pt idx="250">
                  <c:v>3.6180904522614112E-2</c:v>
                </c:pt>
                <c:pt idx="251">
                  <c:v>2.4048096192386081E-2</c:v>
                </c:pt>
                <c:pt idx="252">
                  <c:v>2.4000000000000032E-2</c:v>
                </c:pt>
                <c:pt idx="253">
                  <c:v>8.3832335329342533E-2</c:v>
                </c:pt>
                <c:pt idx="254">
                  <c:v>0.11892963330029716</c:v>
                </c:pt>
                <c:pt idx="255">
                  <c:v>8.2433758586847553E-2</c:v>
                </c:pt>
                <c:pt idx="256">
                  <c:v>8.1871345029239762E-2</c:v>
                </c:pt>
                <c:pt idx="257">
                  <c:v>8.1316553727010202E-2</c:v>
                </c:pt>
                <c:pt idx="258">
                  <c:v>2.3076923076923054E-2</c:v>
                </c:pt>
                <c:pt idx="259">
                  <c:v>0.21880998080614208</c:v>
                </c:pt>
                <c:pt idx="260">
                  <c:v>3.3930254476908672E-2</c:v>
                </c:pt>
                <c:pt idx="261">
                  <c:v>0.10150375939849532</c:v>
                </c:pt>
                <c:pt idx="262">
                  <c:v>7.8285181733456888E-2</c:v>
                </c:pt>
                <c:pt idx="263">
                  <c:v>7.7777777777778404E-2</c:v>
                </c:pt>
                <c:pt idx="264">
                  <c:v>9.9356025758968791E-2</c:v>
                </c:pt>
                <c:pt idx="265">
                  <c:v>0.16423357664233509</c:v>
                </c:pt>
                <c:pt idx="266">
                  <c:v>0.15121512151215169</c:v>
                </c:pt>
                <c:pt idx="267">
                  <c:v>4.2666666666666422E-2</c:v>
                </c:pt>
                <c:pt idx="268">
                  <c:v>0.15943312666076132</c:v>
                </c:pt>
                <c:pt idx="269">
                  <c:v>9.4405594405592527E-2</c:v>
                </c:pt>
                <c:pt idx="270">
                  <c:v>9.3668690372942412E-2</c:v>
                </c:pt>
                <c:pt idx="271">
                  <c:v>0.14457831325301118</c:v>
                </c:pt>
                <c:pt idx="272">
                  <c:v>0.15306122448979609</c:v>
                </c:pt>
                <c:pt idx="273">
                  <c:v>0.11083123425692866</c:v>
                </c:pt>
                <c:pt idx="274">
                  <c:v>9.9833610648918381E-2</c:v>
                </c:pt>
                <c:pt idx="275">
                  <c:v>8.910891089108941E-2</c:v>
                </c:pt>
                <c:pt idx="276">
                  <c:v>4.9140049140048894E-2</c:v>
                </c:pt>
                <c:pt idx="277">
                  <c:v>8.8091353996739313E-2</c:v>
                </c:pt>
                <c:pt idx="278">
                  <c:v>4.8582995951416373E-2</c:v>
                </c:pt>
                <c:pt idx="279">
                  <c:v>4.8387096774194817E-2</c:v>
                </c:pt>
                <c:pt idx="280">
                  <c:v>6.7469879518072595E-2</c:v>
                </c:pt>
                <c:pt idx="281">
                  <c:v>8.6261980830670396E-2</c:v>
                </c:pt>
                <c:pt idx="282">
                  <c:v>0.13322759714512244</c:v>
                </c:pt>
                <c:pt idx="283">
                  <c:v>2.8235294117648031E-2</c:v>
                </c:pt>
                <c:pt idx="284">
                  <c:v>6.5727699530516284E-2</c:v>
                </c:pt>
                <c:pt idx="285">
                  <c:v>6.5369649805447405E-2</c:v>
                </c:pt>
                <c:pt idx="286">
                  <c:v>8.3591331269351046E-2</c:v>
                </c:pt>
                <c:pt idx="287">
                  <c:v>4.6118370484244046E-2</c:v>
                </c:pt>
                <c:pt idx="288">
                  <c:v>1.8376722817765603E-2</c:v>
                </c:pt>
                <c:pt idx="289">
                  <c:v>4.5871559633028795E-2</c:v>
                </c:pt>
                <c:pt idx="290">
                  <c:v>1.8278750952017489E-2</c:v>
                </c:pt>
                <c:pt idx="291">
                  <c:v>4.5627376425854453E-2</c:v>
                </c:pt>
                <c:pt idx="292">
                  <c:v>8.1818181818181734E-2</c:v>
                </c:pt>
                <c:pt idx="293">
                  <c:v>6.3205417607222536E-2</c:v>
                </c:pt>
                <c:pt idx="294">
                  <c:v>7.1856287425151766E-2</c:v>
                </c:pt>
                <c:pt idx="295">
                  <c:v>6.2499999999999237E-2</c:v>
                </c:pt>
                <c:pt idx="296">
                  <c:v>3.5529237601777806E-2</c:v>
                </c:pt>
                <c:pt idx="297">
                  <c:v>6.1992619926198651E-2</c:v>
                </c:pt>
                <c:pt idx="298">
                  <c:v>2.6431718061675682E-2</c:v>
                </c:pt>
                <c:pt idx="299">
                  <c:v>3.516483516483504E-2</c:v>
                </c:pt>
                <c:pt idx="300">
                  <c:v>6.1358655953248575E-2</c:v>
                </c:pt>
                <c:pt idx="301">
                  <c:v>0.13081395348837171</c:v>
                </c:pt>
                <c:pt idx="302">
                  <c:v>7.7641984184040794E-2</c:v>
                </c:pt>
                <c:pt idx="303">
                  <c:v>0.10285714285714143</c:v>
                </c:pt>
                <c:pt idx="304">
                  <c:v>5.949008498583671E-2</c:v>
                </c:pt>
                <c:pt idx="305">
                  <c:v>7.6109936575053716E-2</c:v>
                </c:pt>
                <c:pt idx="306">
                  <c:v>5.8823529411764497E-2</c:v>
                </c:pt>
                <c:pt idx="307">
                  <c:v>4.1811846689895009E-2</c:v>
                </c:pt>
                <c:pt idx="308">
                  <c:v>4.1666666666667795E-2</c:v>
                </c:pt>
                <c:pt idx="309">
                  <c:v>3.3217993079585291E-2</c:v>
                </c:pt>
                <c:pt idx="310">
                  <c:v>5.7971014492753881E-2</c:v>
                </c:pt>
                <c:pt idx="311">
                  <c:v>4.1208791208791083E-2</c:v>
                </c:pt>
                <c:pt idx="312">
                  <c:v>8.2135523613962064E-2</c:v>
                </c:pt>
                <c:pt idx="313">
                  <c:v>7.3419442556083694E-2</c:v>
                </c:pt>
                <c:pt idx="314">
                  <c:v>9.7297297297296345E-2</c:v>
                </c:pt>
                <c:pt idx="315">
                  <c:v>9.6514745308311098E-2</c:v>
                </c:pt>
                <c:pt idx="316">
                  <c:v>0.11170212765957556</c:v>
                </c:pt>
                <c:pt idx="317">
                  <c:v>0.12648221343873356</c:v>
                </c:pt>
                <c:pt idx="318">
                  <c:v>9.3872229465447724E-2</c:v>
                </c:pt>
                <c:pt idx="319">
                  <c:v>5.4333764553687838E-2</c:v>
                </c:pt>
                <c:pt idx="320">
                  <c:v>9.272376046361773E-2</c:v>
                </c:pt>
                <c:pt idx="321">
                  <c:v>0.10734824281150261</c:v>
                </c:pt>
                <c:pt idx="322">
                  <c:v>5.3198226725776024E-2</c:v>
                </c:pt>
                <c:pt idx="323">
                  <c:v>5.2963430012610724E-2</c:v>
                </c:pt>
                <c:pt idx="324">
                  <c:v>0.10546139359698525</c:v>
                </c:pt>
                <c:pt idx="325">
                  <c:v>0.14187927815805867</c:v>
                </c:pt>
                <c:pt idx="326">
                  <c:v>0.11808118081180652</c:v>
                </c:pt>
                <c:pt idx="327">
                  <c:v>0.13885505481120691</c:v>
                </c:pt>
                <c:pt idx="328">
                  <c:v>0.15171583383503837</c:v>
                </c:pt>
                <c:pt idx="329">
                  <c:v>0.13555291319857238</c:v>
                </c:pt>
                <c:pt idx="330">
                  <c:v>0.13403880070546881</c:v>
                </c:pt>
                <c:pt idx="331">
                  <c:v>0.11162790697674389</c:v>
                </c:pt>
                <c:pt idx="332">
                  <c:v>0.13133640552995551</c:v>
                </c:pt>
                <c:pt idx="333">
                  <c:v>9.572649572649683E-2</c:v>
                </c:pt>
                <c:pt idx="334">
                  <c:v>0.11531938948558371</c:v>
                </c:pt>
                <c:pt idx="335">
                  <c:v>0.12765957446808554</c:v>
                </c:pt>
                <c:pt idx="336">
                  <c:v>0.17285318559556762</c:v>
                </c:pt>
                <c:pt idx="337">
                  <c:v>0.16384489350082057</c:v>
                </c:pt>
                <c:pt idx="338">
                  <c:v>0.18750000000000033</c:v>
                </c:pt>
                <c:pt idx="339">
                  <c:v>0.13368700265251832</c:v>
                </c:pt>
                <c:pt idx="340">
                  <c:v>0.11962224554039962</c:v>
                </c:pt>
                <c:pt idx="341">
                  <c:v>0.13090909090909206</c:v>
                </c:pt>
                <c:pt idx="342">
                  <c:v>0</c:v>
                </c:pt>
                <c:pt idx="343">
                  <c:v>8.6330935251798011E-2</c:v>
                </c:pt>
                <c:pt idx="344">
                  <c:v>9.7959183673467898E-2</c:v>
                </c:pt>
                <c:pt idx="345">
                  <c:v>0.11538461538461497</c:v>
                </c:pt>
                <c:pt idx="346">
                  <c:v>0.10225563909774305</c:v>
                </c:pt>
                <c:pt idx="347">
                  <c:v>0.11332007952286194</c:v>
                </c:pt>
                <c:pt idx="348">
                  <c:v>9.4534711964549226E-2</c:v>
                </c:pt>
                <c:pt idx="349">
                  <c:v>0.12310698583292723</c:v>
                </c:pt>
                <c:pt idx="350">
                  <c:v>8.123791102514466E-2</c:v>
                </c:pt>
                <c:pt idx="351">
                  <c:v>8.069164265129769E-2</c:v>
                </c:pt>
                <c:pt idx="352">
                  <c:v>9.7328244274810211E-2</c:v>
                </c:pt>
                <c:pt idx="353">
                  <c:v>0.10790345480359599</c:v>
                </c:pt>
                <c:pt idx="354">
                  <c:v>0.12945590994371484</c:v>
                </c:pt>
                <c:pt idx="355">
                  <c:v>9.4663573085845207E-2</c:v>
                </c:pt>
                <c:pt idx="356">
                  <c:v>0.11602209944751522</c:v>
                </c:pt>
                <c:pt idx="357">
                  <c:v>2.7359781121751858E-2</c:v>
                </c:pt>
                <c:pt idx="358">
                  <c:v>3.8216560509552799E-2</c:v>
                </c:pt>
                <c:pt idx="359">
                  <c:v>3.8095238095237981E-2</c:v>
                </c:pt>
                <c:pt idx="360">
                  <c:v>3.7974683544304041E-2</c:v>
                </c:pt>
                <c:pt idx="361">
                  <c:v>3.7854889589905225E-2</c:v>
                </c:pt>
                <c:pt idx="362">
                  <c:v>-1.0781671159028531E-2</c:v>
                </c:pt>
                <c:pt idx="363">
                  <c:v>4.8561151079137062E-2</c:v>
                </c:pt>
                <c:pt idx="364">
                  <c:v>0.11285266457680175</c:v>
                </c:pt>
                <c:pt idx="365">
                  <c:v>0.14906832298136724</c:v>
                </c:pt>
                <c:pt idx="366">
                  <c:v>6.3102541630149403E-2</c:v>
                </c:pt>
                <c:pt idx="367">
                  <c:v>2.6155187445510011E-2</c:v>
                </c:pt>
                <c:pt idx="368">
                  <c:v>2.6098303610265203E-2</c:v>
                </c:pt>
                <c:pt idx="369">
                  <c:v>3.6458333333333044E-2</c:v>
                </c:pt>
                <c:pt idx="370">
                  <c:v>-2.5962786672436344E-2</c:v>
                </c:pt>
                <c:pt idx="371">
                  <c:v>-5.2038161318299712E-2</c:v>
                </c:pt>
                <c:pt idx="372">
                  <c:v>2.6132404181184132E-2</c:v>
                </c:pt>
                <c:pt idx="373">
                  <c:v>1.5645371577575957E-2</c:v>
                </c:pt>
                <c:pt idx="374">
                  <c:v>0</c:v>
                </c:pt>
                <c:pt idx="375">
                  <c:v>8.3333333333333065E-2</c:v>
                </c:pt>
                <c:pt idx="376">
                  <c:v>7.2413793103449017E-2</c:v>
                </c:pt>
                <c:pt idx="377">
                  <c:v>3.5989717223651053E-2</c:v>
                </c:pt>
                <c:pt idx="378">
                  <c:v>5.1260145237078447E-2</c:v>
                </c:pt>
                <c:pt idx="379">
                  <c:v>3.5729476818374982E-2</c:v>
                </c:pt>
                <c:pt idx="380">
                  <c:v>5.5979643765903475E-2</c:v>
                </c:pt>
                <c:pt idx="381">
                  <c:v>3.545799915576088E-2</c:v>
                </c:pt>
                <c:pt idx="382">
                  <c:v>2.5252525252525981E-2</c:v>
                </c:pt>
                <c:pt idx="383">
                  <c:v>1.5119697606047922E-2</c:v>
                </c:pt>
                <c:pt idx="384">
                  <c:v>7.046979865771788E-2</c:v>
                </c:pt>
                <c:pt idx="385">
                  <c:v>5.504587155963403E-2</c:v>
                </c:pt>
                <c:pt idx="386">
                  <c:v>2.4906600249065214E-2</c:v>
                </c:pt>
                <c:pt idx="387">
                  <c:v>5.9652029826014523E-2</c:v>
                </c:pt>
                <c:pt idx="388">
                  <c:v>3.4624896949712713E-2</c:v>
                </c:pt>
                <c:pt idx="389">
                  <c:v>3.4525277435264533E-2</c:v>
                </c:pt>
                <c:pt idx="390">
                  <c:v>4.4262295081966808E-2</c:v>
                </c:pt>
                <c:pt idx="391">
                  <c:v>4.8999591670068732E-2</c:v>
                </c:pt>
                <c:pt idx="392">
                  <c:v>5.8560390402600873E-2</c:v>
                </c:pt>
                <c:pt idx="393">
                  <c:v>3.3994334277622336E-2</c:v>
                </c:pt>
                <c:pt idx="394">
                  <c:v>0</c:v>
                </c:pt>
                <c:pt idx="395">
                  <c:v>0</c:v>
                </c:pt>
                <c:pt idx="396">
                  <c:v>1.9370460048426394E-2</c:v>
                </c:pt>
                <c:pt idx="397">
                  <c:v>5.8017727639001211E-2</c:v>
                </c:pt>
                <c:pt idx="398">
                  <c:v>4.8115477145147641E-2</c:v>
                </c:pt>
                <c:pt idx="399">
                  <c:v>5.2715654952077737E-2</c:v>
                </c:pt>
                <c:pt idx="400">
                  <c:v>4.7713717693837789E-2</c:v>
                </c:pt>
                <c:pt idx="401">
                  <c:v>3.3267326732673311E-2</c:v>
                </c:pt>
                <c:pt idx="402">
                  <c:v>1.8957345971564617E-2</c:v>
                </c:pt>
                <c:pt idx="403">
                  <c:v>2.365930599369204E-2</c:v>
                </c:pt>
                <c:pt idx="404">
                  <c:v>3.3057851239671088E-2</c:v>
                </c:pt>
                <c:pt idx="405">
                  <c:v>4.7095761381476774E-2</c:v>
                </c:pt>
                <c:pt idx="406">
                  <c:v>3.2838154808442432E-2</c:v>
                </c:pt>
                <c:pt idx="407">
                  <c:v>3.2748538011696311E-2</c:v>
                </c:pt>
                <c:pt idx="408">
                  <c:v>3.2659409020218411E-2</c:v>
                </c:pt>
                <c:pt idx="409">
                  <c:v>-3.2570763861961956E-2</c:v>
                </c:pt>
                <c:pt idx="410">
                  <c:v>-5.598755832037261E-2</c:v>
                </c:pt>
                <c:pt idx="411">
                  <c:v>-2.343750000000001E-2</c:v>
                </c:pt>
                <c:pt idx="412">
                  <c:v>3.2876712328765788E-2</c:v>
                </c:pt>
                <c:pt idx="413">
                  <c:v>6.557377049180603E-2</c:v>
                </c:pt>
                <c:pt idx="414">
                  <c:v>0</c:v>
                </c:pt>
                <c:pt idx="415">
                  <c:v>2.3291925465839542E-2</c:v>
                </c:pt>
                <c:pt idx="416">
                  <c:v>5.5792328554822919E-2</c:v>
                </c:pt>
                <c:pt idx="417">
                  <c:v>9.2556883918249282E-3</c:v>
                </c:pt>
                <c:pt idx="418">
                  <c:v>1.3872832369942861E-2</c:v>
                </c:pt>
                <c:pt idx="419">
                  <c:v>9.2378752886830284E-3</c:v>
                </c:pt>
                <c:pt idx="420">
                  <c:v>7.3846153846154117E-2</c:v>
                </c:pt>
                <c:pt idx="421">
                  <c:v>4.5871559633028795E-2</c:v>
                </c:pt>
                <c:pt idx="422">
                  <c:v>5.4836252856055256E-2</c:v>
                </c:pt>
                <c:pt idx="423">
                  <c:v>6.368460955269041E-2</c:v>
                </c:pt>
                <c:pt idx="424">
                  <c:v>4.0723981900455127E-2</c:v>
                </c:pt>
                <c:pt idx="425">
                  <c:v>4.5095828635852257E-2</c:v>
                </c:pt>
                <c:pt idx="426">
                  <c:v>3.1448895544738981E-2</c:v>
                </c:pt>
                <c:pt idx="427">
                  <c:v>6.2733383121731615E-2</c:v>
                </c:pt>
                <c:pt idx="428">
                  <c:v>6.2407132243687484E-2</c:v>
                </c:pt>
                <c:pt idx="429">
                  <c:v>3.1042128603102646E-2</c:v>
                </c:pt>
                <c:pt idx="430">
                  <c:v>8.8462956137123228E-3</c:v>
                </c:pt>
                <c:pt idx="431">
                  <c:v>0</c:v>
                </c:pt>
                <c:pt idx="432">
                  <c:v>3.0939226519336692E-2</c:v>
                </c:pt>
                <c:pt idx="433">
                  <c:v>3.0859662013225209E-2</c:v>
                </c:pt>
                <c:pt idx="434">
                  <c:v>5.2766581165265496E-2</c:v>
                </c:pt>
                <c:pt idx="435">
                  <c:v>6.1291499452754472E-2</c:v>
                </c:pt>
                <c:pt idx="436">
                  <c:v>4.3557168784029245E-2</c:v>
                </c:pt>
                <c:pt idx="437">
                  <c:v>4.7739602169984068E-2</c:v>
                </c:pt>
                <c:pt idx="438">
                  <c:v>5.1873198847261832E-2</c:v>
                </c:pt>
                <c:pt idx="439">
                  <c:v>5.1649928263986719E-2</c:v>
                </c:pt>
                <c:pt idx="440">
                  <c:v>8.1428571428570032E-2</c:v>
                </c:pt>
                <c:pt idx="441">
                  <c:v>3.8311457963818185E-2</c:v>
                </c:pt>
                <c:pt idx="442">
                  <c:v>1.2729844413013523E-2</c:v>
                </c:pt>
                <c:pt idx="443">
                  <c:v>1.6955139526668755E-2</c:v>
                </c:pt>
                <c:pt idx="444">
                  <c:v>5.9259259259258464E-2</c:v>
                </c:pt>
                <c:pt idx="445">
                  <c:v>5.0544050544052865E-2</c:v>
                </c:pt>
                <c:pt idx="446">
                  <c:v>7.1303739951064468E-2</c:v>
                </c:pt>
                <c:pt idx="447">
                  <c:v>7.5052119527449723E-2</c:v>
                </c:pt>
                <c:pt idx="448">
                  <c:v>7.0441988950276993E-2</c:v>
                </c:pt>
                <c:pt idx="449">
                  <c:v>2.8836251287331471E-2</c:v>
                </c:pt>
                <c:pt idx="450">
                  <c:v>2.8767123287670952E-2</c:v>
                </c:pt>
                <c:pt idx="451">
                  <c:v>2.0498804236419591E-2</c:v>
                </c:pt>
                <c:pt idx="452">
                  <c:v>3.6834924965893995E-2</c:v>
                </c:pt>
                <c:pt idx="453">
                  <c:v>5.7123427405643329E-2</c:v>
                </c:pt>
                <c:pt idx="454">
                  <c:v>2.8426395939084678E-2</c:v>
                </c:pt>
                <c:pt idx="455">
                  <c:v>2.0256583389602227E-2</c:v>
                </c:pt>
                <c:pt idx="456">
                  <c:v>0.12537917087967632</c:v>
                </c:pt>
                <c:pt idx="457">
                  <c:v>5.6037358238824282E-2</c:v>
                </c:pt>
                <c:pt idx="458">
                  <c:v>6.3745019920318724E-2</c:v>
                </c:pt>
                <c:pt idx="459">
                  <c:v>1.9815059445178085E-2</c:v>
                </c:pt>
                <c:pt idx="460">
                  <c:v>2.7695351137486671E-2</c:v>
                </c:pt>
                <c:pt idx="461">
                  <c:v>6.3157894736842329E-2</c:v>
                </c:pt>
                <c:pt idx="462">
                  <c:v>4.7120418848166527E-2</c:v>
                </c:pt>
                <c:pt idx="463">
                  <c:v>0.10951760104302632</c:v>
                </c:pt>
                <c:pt idx="464">
                  <c:v>0.10077519379844802</c:v>
                </c:pt>
                <c:pt idx="465">
                  <c:v>7.3030108904549529E-2</c:v>
                </c:pt>
                <c:pt idx="466">
                  <c:v>2.6743075453677823E-2</c:v>
                </c:pt>
                <c:pt idx="467">
                  <c:v>0</c:v>
                </c:pt>
                <c:pt idx="468">
                  <c:v>7.2426937738245614E-2</c:v>
                </c:pt>
                <c:pt idx="469">
                  <c:v>1.8945374171138965E-2</c:v>
                </c:pt>
                <c:pt idx="470">
                  <c:v>1.5132408575031953E-2</c:v>
                </c:pt>
                <c:pt idx="471">
                  <c:v>1.889168765742966E-2</c:v>
                </c:pt>
                <c:pt idx="472">
                  <c:v>3.7723986167872432E-2</c:v>
                </c:pt>
                <c:pt idx="473">
                  <c:v>3.3845189595737679E-2</c:v>
                </c:pt>
                <c:pt idx="474">
                  <c:v>1.8749999999998941E-2</c:v>
                </c:pt>
                <c:pt idx="475">
                  <c:v>3.3697347893915632E-2</c:v>
                </c:pt>
                <c:pt idx="476">
                  <c:v>5.2271313005602948E-2</c:v>
                </c:pt>
                <c:pt idx="477">
                  <c:v>1.858736059479682E-2</c:v>
                </c:pt>
                <c:pt idx="478">
                  <c:v>3.3405505722238445E-2</c:v>
                </c:pt>
                <c:pt idx="479">
                  <c:v>1.1104256631709221E-2</c:v>
                </c:pt>
                <c:pt idx="480">
                  <c:v>1.4791987673342888E-2</c:v>
                </c:pt>
                <c:pt idx="481">
                  <c:v>4.4321329639891494E-2</c:v>
                </c:pt>
                <c:pt idx="482">
                  <c:v>6.2557497700090919E-2</c:v>
                </c:pt>
                <c:pt idx="483">
                  <c:v>1.464307504575939E-2</c:v>
                </c:pt>
                <c:pt idx="484">
                  <c:v>1.8281535648994544E-2</c:v>
                </c:pt>
                <c:pt idx="485">
                  <c:v>4.3808944326132304E-2</c:v>
                </c:pt>
                <c:pt idx="486">
                  <c:v>2.5462261291302468E-2</c:v>
                </c:pt>
                <c:pt idx="487">
                  <c:v>3.2667876588020089E-2</c:v>
                </c:pt>
                <c:pt idx="488">
                  <c:v>3.619909502262441E-2</c:v>
                </c:pt>
                <c:pt idx="489">
                  <c:v>3.9699248120301865E-2</c:v>
                </c:pt>
                <c:pt idx="490">
                  <c:v>1.7985611510792587E-2</c:v>
                </c:pt>
                <c:pt idx="491">
                  <c:v>-7.1834780005999334E-3</c:v>
                </c:pt>
                <c:pt idx="492">
                  <c:v>5.7502246181492474E-2</c:v>
                </c:pt>
                <c:pt idx="493">
                  <c:v>4.2921013412816414E-2</c:v>
                </c:pt>
                <c:pt idx="494">
                  <c:v>4.2768042768041303E-2</c:v>
                </c:pt>
                <c:pt idx="495">
                  <c:v>3.1962118970110281E-2</c:v>
                </c:pt>
                <c:pt idx="496">
                  <c:v>1.7709563164107343E-2</c:v>
                </c:pt>
                <c:pt idx="497">
                  <c:v>1.7683465959328799E-2</c:v>
                </c:pt>
                <c:pt idx="498">
                  <c:v>0</c:v>
                </c:pt>
                <c:pt idx="499">
                  <c:v>3.1783402001177206E-2</c:v>
                </c:pt>
                <c:pt idx="500">
                  <c:v>2.4655121808041972E-2</c:v>
                </c:pt>
                <c:pt idx="501">
                  <c:v>4.9209138840071324E-2</c:v>
                </c:pt>
                <c:pt idx="502">
                  <c:v>1.0501750291716455E-2</c:v>
                </c:pt>
                <c:pt idx="503">
                  <c:v>0</c:v>
                </c:pt>
                <c:pt idx="504">
                  <c:v>3.1477703293498756E-2</c:v>
                </c:pt>
                <c:pt idx="505">
                  <c:v>4.1860465116278632E-2</c:v>
                </c:pt>
                <c:pt idx="506">
                  <c:v>4.1714947856314286E-2</c:v>
                </c:pt>
                <c:pt idx="507">
                  <c:v>1.3856812933027207E-2</c:v>
                </c:pt>
                <c:pt idx="508">
                  <c:v>1.038062283736974E-2</c:v>
                </c:pt>
                <c:pt idx="509">
                  <c:v>3.8029386343991334E-2</c:v>
                </c:pt>
                <c:pt idx="510">
                  <c:v>3.4462952326249414E-2</c:v>
                </c:pt>
                <c:pt idx="511">
                  <c:v>4.8109965635741332E-2</c:v>
                </c:pt>
                <c:pt idx="512">
                  <c:v>3.0804335424986388E-2</c:v>
                </c:pt>
                <c:pt idx="513">
                  <c:v>1.0241820768136775E-2</c:v>
                </c:pt>
                <c:pt idx="514">
                  <c:v>1.3644115974986281E-2</c:v>
                </c:pt>
                <c:pt idx="515">
                  <c:v>0</c:v>
                </c:pt>
                <c:pt idx="516">
                  <c:v>4.7700170357752703E-2</c:v>
                </c:pt>
                <c:pt idx="517">
                  <c:v>5.090497737556543E-2</c:v>
                </c:pt>
                <c:pt idx="518">
                  <c:v>3.7172627428892852E-2</c:v>
                </c:pt>
                <c:pt idx="519">
                  <c:v>4.0426726558114301E-2</c:v>
                </c:pt>
                <c:pt idx="520">
                  <c:v>2.3503077783997808E-2</c:v>
                </c:pt>
                <c:pt idx="521">
                  <c:v>2.3457134878525802E-2</c:v>
                </c:pt>
                <c:pt idx="522">
                  <c:v>0</c:v>
                </c:pt>
                <c:pt idx="523">
                  <c:v>3.3444816053511246E-2</c:v>
                </c:pt>
                <c:pt idx="524">
                  <c:v>2.3346303501945439E-2</c:v>
                </c:pt>
                <c:pt idx="525">
                  <c:v>3.6615811373093519E-2</c:v>
                </c:pt>
                <c:pt idx="526">
                  <c:v>-6.6371681415944433E-3</c:v>
                </c:pt>
                <c:pt idx="527">
                  <c:v>-6.640841173214642E-3</c:v>
                </c:pt>
                <c:pt idx="528">
                  <c:v>6.9767441860465448E-2</c:v>
                </c:pt>
                <c:pt idx="529">
                  <c:v>3.9636663914119095E-2</c:v>
                </c:pt>
                <c:pt idx="530">
                  <c:v>6.2551440329216723E-2</c:v>
                </c:pt>
                <c:pt idx="531">
                  <c:v>4.5851528384281075E-2</c:v>
                </c:pt>
                <c:pt idx="532">
                  <c:v>2.2838499184339389E-2</c:v>
                </c:pt>
                <c:pt idx="533">
                  <c:v>6.5128900949780353E-3</c:v>
                </c:pt>
                <c:pt idx="534">
                  <c:v>2.2782750203417031E-2</c:v>
                </c:pt>
                <c:pt idx="535">
                  <c:v>2.2739577693559384E-2</c:v>
                </c:pt>
                <c:pt idx="536">
                  <c:v>3.8908403134288727E-2</c:v>
                </c:pt>
                <c:pt idx="537">
                  <c:v>3.8782655534606469E-2</c:v>
                </c:pt>
                <c:pt idx="538">
                  <c:v>2.2550335570470034E-2</c:v>
                </c:pt>
                <c:pt idx="539">
                  <c:v>0</c:v>
                </c:pt>
                <c:pt idx="540">
                  <c:v>3.8585209003215055E-2</c:v>
                </c:pt>
                <c:pt idx="541">
                  <c:v>3.525641025641147E-2</c:v>
                </c:pt>
                <c:pt idx="542">
                  <c:v>3.1957390146471004E-2</c:v>
                </c:pt>
                <c:pt idx="543">
                  <c:v>1.2749003984063201E-2</c:v>
                </c:pt>
                <c:pt idx="544">
                  <c:v>-6.3677368002115209E-3</c:v>
                </c:pt>
                <c:pt idx="545">
                  <c:v>1.5927794000530685E-2</c:v>
                </c:pt>
                <c:pt idx="546">
                  <c:v>1.2725344644751503E-2</c:v>
                </c:pt>
                <c:pt idx="547">
                  <c:v>2.5423728813557932E-2</c:v>
                </c:pt>
                <c:pt idx="548">
                  <c:v>2.8541226215646809E-2</c:v>
                </c:pt>
                <c:pt idx="549">
                  <c:v>2.8473503822830593E-2</c:v>
                </c:pt>
                <c:pt idx="550">
                  <c:v>-6.3124671225662813E-3</c:v>
                </c:pt>
                <c:pt idx="551">
                  <c:v>-1.5789473684209923E-2</c:v>
                </c:pt>
                <c:pt idx="552">
                  <c:v>2.2134387351777651E-2</c:v>
                </c:pt>
                <c:pt idx="553">
                  <c:v>2.2093634928984002E-2</c:v>
                </c:pt>
                <c:pt idx="554">
                  <c:v>2.2053032291942151E-2</c:v>
                </c:pt>
                <c:pt idx="555">
                  <c:v>2.5157232704401632E-2</c:v>
                </c:pt>
                <c:pt idx="556">
                  <c:v>2.1966527196655147E-2</c:v>
                </c:pt>
                <c:pt idx="557">
                  <c:v>1.2529365700859607E-2</c:v>
                </c:pt>
                <c:pt idx="558">
                  <c:v>1.5645371577575957E-2</c:v>
                </c:pt>
                <c:pt idx="559">
                  <c:v>1.5624999999999115E-2</c:v>
                </c:pt>
                <c:pt idx="560">
                  <c:v>1.2483745123535783E-2</c:v>
                </c:pt>
                <c:pt idx="561">
                  <c:v>3.1176929072486814E-2</c:v>
                </c:pt>
                <c:pt idx="562">
                  <c:v>0</c:v>
                </c:pt>
                <c:pt idx="563">
                  <c:v>-9.3288416688248627E-3</c:v>
                </c:pt>
                <c:pt idx="564">
                  <c:v>3.1120331950207358E-2</c:v>
                </c:pt>
                <c:pt idx="565">
                  <c:v>1.5519917227107882E-2</c:v>
                </c:pt>
                <c:pt idx="566">
                  <c:v>3.4099715835699491E-2</c:v>
                </c:pt>
                <c:pt idx="567">
                  <c:v>8.9644513137558168E-2</c:v>
                </c:pt>
                <c:pt idx="568">
                  <c:v>0</c:v>
                </c:pt>
                <c:pt idx="569">
                  <c:v>0</c:v>
                </c:pt>
                <c:pt idx="570">
                  <c:v>3.37509588340561E-2</c:v>
                </c:pt>
                <c:pt idx="571">
                  <c:v>3.0596634370220421E-2</c:v>
                </c:pt>
                <c:pt idx="572">
                  <c:v>5.7985757884029723E-2</c:v>
                </c:pt>
                <c:pt idx="573">
                  <c:v>2.1260440394835978E-2</c:v>
                </c:pt>
                <c:pt idx="574">
                  <c:v>6.0636685194532906E-3</c:v>
                </c:pt>
                <c:pt idx="575">
                  <c:v>0</c:v>
                </c:pt>
                <c:pt idx="576">
                  <c:v>3.6363636363635266E-2</c:v>
                </c:pt>
                <c:pt idx="577">
                  <c:v>6.9486404833836529E-2</c:v>
                </c:pt>
                <c:pt idx="578">
                  <c:v>9.9123904881103023E-2</c:v>
                </c:pt>
                <c:pt idx="579">
                  <c:v>8.9374379344589281E-3</c:v>
                </c:pt>
                <c:pt idx="580">
                  <c:v>1.190771520714321E-2</c:v>
                </c:pt>
                <c:pt idx="581">
                  <c:v>6.2453531598512524E-2</c:v>
                </c:pt>
                <c:pt idx="582">
                  <c:v>2.9585798816567584E-2</c:v>
                </c:pt>
                <c:pt idx="583">
                  <c:v>0</c:v>
                </c:pt>
                <c:pt idx="584">
                  <c:v>6.1977373339890292E-2</c:v>
                </c:pt>
                <c:pt idx="585">
                  <c:v>2.0552972840715011E-2</c:v>
                </c:pt>
                <c:pt idx="586">
                  <c:v>5.8622374206178714E-3</c:v>
                </c:pt>
                <c:pt idx="587">
                  <c:v>-5.8593750000013444E-3</c:v>
                </c:pt>
                <c:pt idx="588">
                  <c:v>7.6209086468002868E-2</c:v>
                </c:pt>
                <c:pt idx="589">
                  <c:v>4.6601941747572255E-2</c:v>
                </c:pt>
                <c:pt idx="590">
                  <c:v>2.9013539651837839E-2</c:v>
                </c:pt>
                <c:pt idx="591">
                  <c:v>4.6309696092619083E-2</c:v>
                </c:pt>
                <c:pt idx="592">
                  <c:v>5.4781355117731904E-2</c:v>
                </c:pt>
                <c:pt idx="593">
                  <c:v>2.0090887347523192E-2</c:v>
                </c:pt>
                <c:pt idx="594">
                  <c:v>-3.4383954154727732E-2</c:v>
                </c:pt>
                <c:pt idx="595">
                  <c:v>0</c:v>
                </c:pt>
                <c:pt idx="596">
                  <c:v>5.4597701149424305E-2</c:v>
                </c:pt>
                <c:pt idx="597">
                  <c:v>-4.0047675804529184E-2</c:v>
                </c:pt>
                <c:pt idx="598">
                  <c:v>-2.009088734752585E-2</c:v>
                </c:pt>
                <c:pt idx="599">
                  <c:v>-4.5999041686630292E-2</c:v>
                </c:pt>
                <c:pt idx="600">
                  <c:v>2.5974025974024494E-2</c:v>
                </c:pt>
                <c:pt idx="601">
                  <c:v>4.8956083513319384E-2</c:v>
                </c:pt>
                <c:pt idx="602">
                  <c:v>6.596558317399559E-2</c:v>
                </c:pt>
                <c:pt idx="603">
                  <c:v>6.8457333016401584E-2</c:v>
                </c:pt>
                <c:pt idx="604">
                  <c:v>0</c:v>
                </c:pt>
                <c:pt idx="605">
                  <c:v>5.6724178681148985E-3</c:v>
                </c:pt>
                <c:pt idx="606">
                  <c:v>1.4174344436568731E-2</c:v>
                </c:pt>
                <c:pt idx="607">
                  <c:v>3.964134025483642E-2</c:v>
                </c:pt>
                <c:pt idx="608">
                  <c:v>1.9755409219190122E-2</c:v>
                </c:pt>
                <c:pt idx="609">
                  <c:v>1.9722939657199002E-2</c:v>
                </c:pt>
                <c:pt idx="610">
                  <c:v>0</c:v>
                </c:pt>
                <c:pt idx="611">
                  <c:v>-2.8129395218002617E-2</c:v>
                </c:pt>
                <c:pt idx="612">
                  <c:v>5.3571428571427049E-2</c:v>
                </c:pt>
                <c:pt idx="613">
                  <c:v>9.2631578947368204E-2</c:v>
                </c:pt>
                <c:pt idx="614">
                  <c:v>7.242339832869063E-2</c:v>
                </c:pt>
                <c:pt idx="615">
                  <c:v>-2.4919243193354042E-2</c:v>
                </c:pt>
                <c:pt idx="616">
                  <c:v>-1.9421965317918469E-2</c:v>
                </c:pt>
                <c:pt idx="617">
                  <c:v>1.1116257526632364E-2</c:v>
                </c:pt>
                <c:pt idx="618">
                  <c:v>1.3882461823230961E-2</c:v>
                </c:pt>
                <c:pt idx="619">
                  <c:v>4.7145828518603466E-2</c:v>
                </c:pt>
                <c:pt idx="620">
                  <c:v>3.867403314917358E-2</c:v>
                </c:pt>
                <c:pt idx="621">
                  <c:v>-1.3767783386874569E-2</c:v>
                </c:pt>
                <c:pt idx="622">
                  <c:v>-3.3080634045484995E-2</c:v>
                </c:pt>
                <c:pt idx="623">
                  <c:v>-1.3821700069108151E-2</c:v>
                </c:pt>
                <c:pt idx="624">
                  <c:v>6.0885608856088201E-2</c:v>
                </c:pt>
                <c:pt idx="625">
                  <c:v>6.3331803579624868E-2</c:v>
                </c:pt>
                <c:pt idx="626">
                  <c:v>7.6694818534579476E-2</c:v>
                </c:pt>
                <c:pt idx="627">
                  <c:v>4.0825584032661323E-2</c:v>
                </c:pt>
                <c:pt idx="628">
                  <c:v>6.781193490054202E-2</c:v>
                </c:pt>
                <c:pt idx="629">
                  <c:v>4.0458530006743598E-2</c:v>
                </c:pt>
                <c:pt idx="630">
                  <c:v>-2.1505376344084236E-2</c:v>
                </c:pt>
                <c:pt idx="631">
                  <c:v>8.0789946140012187E-3</c:v>
                </c:pt>
                <c:pt idx="632">
                  <c:v>2.4220677281901401E-2</c:v>
                </c:pt>
                <c:pt idx="633">
                  <c:v>6.4458370635629883E-2</c:v>
                </c:pt>
                <c:pt idx="634">
                  <c:v>5.3428317008021933E-3</c:v>
                </c:pt>
                <c:pt idx="635">
                  <c:v>-4.2723631508678001E-2</c:v>
                </c:pt>
                <c:pt idx="636">
                  <c:v>2.4117909781152146E-2</c:v>
                </c:pt>
                <c:pt idx="637">
                  <c:v>6.9534209939827507E-2</c:v>
                </c:pt>
                <c:pt idx="638">
                  <c:v>9.3064480389984217E-2</c:v>
                </c:pt>
                <c:pt idx="639">
                  <c:v>8.1794195250658092E-2</c:v>
                </c:pt>
                <c:pt idx="640">
                  <c:v>-1.31032976632457E-2</c:v>
                </c:pt>
                <c:pt idx="641">
                  <c:v>5.24704853520054E-3</c:v>
                </c:pt>
                <c:pt idx="642">
                  <c:v>5.7692307692307494E-2</c:v>
                </c:pt>
                <c:pt idx="643">
                  <c:v>6.0026098303610324E-2</c:v>
                </c:pt>
                <c:pt idx="644">
                  <c:v>0.14801990911058124</c:v>
                </c:pt>
                <c:pt idx="645">
                  <c:v>2.308678922616459E-2</c:v>
                </c:pt>
                <c:pt idx="646">
                  <c:v>-9.7290377640282297E-2</c:v>
                </c:pt>
                <c:pt idx="647">
                  <c:v>-4.6461604646159234E-2</c:v>
                </c:pt>
                <c:pt idx="648">
                  <c:v>9.0693154826172212E-2</c:v>
                </c:pt>
                <c:pt idx="649">
                  <c:v>2.3146163737677278E-2</c:v>
                </c:pt>
                <c:pt idx="650">
                  <c:v>6.673796791443927E-2</c:v>
                </c:pt>
                <c:pt idx="651">
                  <c:v>0.10210593490746689</c:v>
                </c:pt>
                <c:pt idx="652">
                  <c:v>6.0746677916050533E-2</c:v>
                </c:pt>
                <c:pt idx="653">
                  <c:v>2.2665267576076044E-2</c:v>
                </c:pt>
                <c:pt idx="654">
                  <c:v>3.5190615835777095E-2</c:v>
                </c:pt>
                <c:pt idx="655">
                  <c:v>2.5062656641604342E-2</c:v>
                </c:pt>
                <c:pt idx="656">
                  <c:v>-6.0025010421008954E-2</c:v>
                </c:pt>
                <c:pt idx="657">
                  <c:v>-6.5354000837870824E-2</c:v>
                </c:pt>
                <c:pt idx="658">
                  <c:v>-1.7691659646167215E-2</c:v>
                </c:pt>
                <c:pt idx="659">
                  <c:v>1.7717781058848029E-2</c:v>
                </c:pt>
                <c:pt idx="660">
                  <c:v>3.7910699241786361E-2</c:v>
                </c:pt>
                <c:pt idx="661">
                  <c:v>6.2985513331934584E-2</c:v>
                </c:pt>
                <c:pt idx="662">
                  <c:v>0.11027568922305712</c:v>
                </c:pt>
                <c:pt idx="663">
                  <c:v>7.6986754966887894E-2</c:v>
                </c:pt>
                <c:pt idx="664">
                  <c:v>7.4028377544724591E-2</c:v>
                </c:pt>
                <c:pt idx="665">
                  <c:v>2.2072348252605168E-2</c:v>
                </c:pt>
                <c:pt idx="666">
                  <c:v>-2.4479804161559103E-3</c:v>
                </c:pt>
                <c:pt idx="667">
                  <c:v>-2.2036319118547608E-2</c:v>
                </c:pt>
                <c:pt idx="668">
                  <c:v>3.4341782502045795E-2</c:v>
                </c:pt>
                <c:pt idx="669">
                  <c:v>2.4459845087648157E-2</c:v>
                </c:pt>
                <c:pt idx="670">
                  <c:v>7.0789259560616991E-2</c:v>
                </c:pt>
                <c:pt idx="671">
                  <c:v>-7.2800808897879321E-3</c:v>
                </c:pt>
              </c:numCache>
            </c:numRef>
          </c:val>
        </c:ser>
        <c:dLbls/>
        <c:marker val="1"/>
        <c:axId val="111294336"/>
        <c:axId val="111295872"/>
      </c:lineChart>
      <c:catAx>
        <c:axId val="111294336"/>
        <c:scaling>
          <c:orientation val="minMax"/>
        </c:scaling>
        <c:axPos val="b"/>
        <c:numFmt formatCode="[$-409]mmm\-\y\y;@" sourceLinked="0"/>
        <c:tickLblPos val="low"/>
        <c:txPr>
          <a:bodyPr/>
          <a:lstStyle/>
          <a:p>
            <a:pPr>
              <a:defRPr sz="900"/>
            </a:pPr>
            <a:endParaRPr lang="en-US"/>
          </a:p>
        </c:txPr>
        <c:crossAx val="111295872"/>
        <c:crosses val="autoZero"/>
        <c:auto val="1"/>
        <c:lblAlgn val="ctr"/>
        <c:lblOffset val="100"/>
        <c:tickLblSkip val="24"/>
      </c:catAx>
      <c:valAx>
        <c:axId val="111295872"/>
        <c:scaling>
          <c:orientation val="minMax"/>
        </c:scaling>
        <c:axPos val="l"/>
        <c:majorGridlines>
          <c:spPr>
            <a:ln>
              <a:solidFill>
                <a:schemeClr val="bg1">
                  <a:lumMod val="85000"/>
                </a:schemeClr>
              </a:solidFill>
              <a:prstDash val="sysDot"/>
            </a:ln>
          </c:spPr>
        </c:majorGridlines>
        <c:numFmt formatCode="0.0%" sourceLinked="0"/>
        <c:tickLblPos val="nextTo"/>
        <c:txPr>
          <a:bodyPr/>
          <a:lstStyle/>
          <a:p>
            <a:pPr>
              <a:defRPr sz="900"/>
            </a:pPr>
            <a:endParaRPr lang="en-US"/>
          </a:p>
        </c:txPr>
        <c:crossAx val="111294336"/>
        <c:crosses val="autoZero"/>
        <c:crossBetween val="between"/>
      </c:valAx>
    </c:plotArea>
    <c:legend>
      <c:legendPos val="b"/>
      <c:txPr>
        <a:bodyPr/>
        <a:lstStyle/>
        <a:p>
          <a:pPr>
            <a:defRPr sz="900"/>
          </a:pPr>
          <a:endParaRPr lang="en-US"/>
        </a:p>
      </c:txPr>
    </c:legend>
    <c:plotVisOnly val="1"/>
    <c:dispBlanksAs val="gap"/>
  </c:chart>
  <c:spPr>
    <a:ln>
      <a:noFill/>
    </a:ln>
  </c:spPr>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B1CF10-5808-4F4B-AF27-4B5365442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90</Pages>
  <Words>30925</Words>
  <Characters>176278</Characters>
  <Application>Microsoft Office Word</Application>
  <DocSecurity>4</DocSecurity>
  <Lines>1468</Lines>
  <Paragraphs>413</Paragraphs>
  <ScaleCrop>false</ScaleCrop>
  <HeadingPairs>
    <vt:vector size="2" baseType="variant">
      <vt:variant>
        <vt:lpstr>Title</vt:lpstr>
      </vt:variant>
      <vt:variant>
        <vt:i4>1</vt:i4>
      </vt:variant>
    </vt:vector>
  </HeadingPairs>
  <TitlesOfParts>
    <vt:vector size="1" baseType="lpstr">
      <vt:lpstr/>
    </vt:vector>
  </TitlesOfParts>
  <Company>Robeco</Company>
  <LinksUpToDate>false</LinksUpToDate>
  <CharactersWithSpaces>206790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Robeco</dc:creator>
  <cp:lastModifiedBy>Helene L. Molenaar</cp:lastModifiedBy>
  <cp:revision>2</cp:revision>
  <cp:lastPrinted>2014-08-25T17:18:00Z</cp:lastPrinted>
  <dcterms:created xsi:type="dcterms:W3CDTF">2014-08-26T07:58:00Z</dcterms:created>
  <dcterms:modified xsi:type="dcterms:W3CDTF">2014-08-26T07:58:00Z</dcterms:modified>
</cp:coreProperties>
</file>