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868" w:rsidRPr="00316EC1" w:rsidRDefault="009E103B">
      <w:pPr>
        <w:rPr>
          <w:b/>
          <w:sz w:val="36"/>
          <w:szCs w:val="36"/>
        </w:rPr>
      </w:pPr>
      <w:r>
        <w:rPr>
          <w:noProof/>
        </w:rPr>
        <w:drawing>
          <wp:anchor distT="0" distB="0" distL="114300" distR="114300" simplePos="0" relativeHeight="251676672" behindDoc="1" locked="0" layoutInCell="1" allowOverlap="1">
            <wp:simplePos x="0" y="0"/>
            <wp:positionH relativeFrom="column">
              <wp:posOffset>2426970</wp:posOffset>
            </wp:positionH>
            <wp:positionV relativeFrom="paragraph">
              <wp:posOffset>-202403</wp:posOffset>
            </wp:positionV>
            <wp:extent cx="3533775" cy="844550"/>
            <wp:effectExtent l="0" t="0" r="9525" b="0"/>
            <wp:wrapNone/>
            <wp:docPr id="21" name="Afbeelding 21" descr="http://repub.eur.nl/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pub.eur.nl/logo.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3775" cy="844550"/>
                    </a:xfrm>
                    <a:prstGeom prst="rect">
                      <a:avLst/>
                    </a:prstGeom>
                    <a:noFill/>
                    <a:ln>
                      <a:noFill/>
                    </a:ln>
                  </pic:spPr>
                </pic:pic>
              </a:graphicData>
            </a:graphic>
          </wp:anchor>
        </w:drawing>
      </w:r>
      <w:r w:rsidR="00BE10B2" w:rsidRPr="00316EC1">
        <w:rPr>
          <w:b/>
          <w:sz w:val="36"/>
          <w:szCs w:val="36"/>
        </w:rPr>
        <w:t xml:space="preserve">Bachelor </w:t>
      </w:r>
      <w:r w:rsidR="006A00B1">
        <w:rPr>
          <w:b/>
          <w:sz w:val="36"/>
          <w:szCs w:val="36"/>
        </w:rPr>
        <w:t>T</w:t>
      </w:r>
      <w:r>
        <w:rPr>
          <w:b/>
          <w:sz w:val="36"/>
          <w:szCs w:val="36"/>
        </w:rPr>
        <w:t>hesis</w:t>
      </w:r>
    </w:p>
    <w:p w:rsidR="00BE10B2" w:rsidRPr="00316EC1" w:rsidRDefault="00BE10B2">
      <w:pPr>
        <w:rPr>
          <w:b/>
          <w:sz w:val="36"/>
          <w:szCs w:val="36"/>
        </w:rPr>
      </w:pPr>
    </w:p>
    <w:p w:rsidR="00BE10B2" w:rsidRDefault="00BE10B2">
      <w:pPr>
        <w:rPr>
          <w:b/>
          <w:sz w:val="36"/>
          <w:szCs w:val="36"/>
        </w:rPr>
      </w:pPr>
    </w:p>
    <w:p w:rsidR="009E103B" w:rsidRPr="00316EC1" w:rsidRDefault="009E103B">
      <w:pPr>
        <w:rPr>
          <w:b/>
          <w:sz w:val="36"/>
          <w:szCs w:val="36"/>
        </w:rPr>
      </w:pPr>
    </w:p>
    <w:p w:rsidR="00BE10B2" w:rsidRPr="00BE10B2" w:rsidRDefault="00BE10B2" w:rsidP="00BE10B2">
      <w:pPr>
        <w:pStyle w:val="NoSpacing"/>
        <w:rPr>
          <w:b/>
          <w:sz w:val="40"/>
        </w:rPr>
      </w:pPr>
      <w:r w:rsidRPr="00BE10B2">
        <w:rPr>
          <w:b/>
          <w:sz w:val="40"/>
        </w:rPr>
        <w:t xml:space="preserve">Hot and Cold Deal Markets: </w:t>
      </w:r>
    </w:p>
    <w:p w:rsidR="00BE10B2" w:rsidRDefault="00BE10B2" w:rsidP="00BE10B2">
      <w:pPr>
        <w:pStyle w:val="NoSpacing"/>
        <w:rPr>
          <w:b/>
          <w:sz w:val="40"/>
        </w:rPr>
      </w:pPr>
      <w:r>
        <w:rPr>
          <w:b/>
          <w:sz w:val="40"/>
        </w:rPr>
        <w:t>“</w:t>
      </w:r>
      <w:r w:rsidRPr="00BE10B2">
        <w:rPr>
          <w:b/>
          <w:sz w:val="40"/>
        </w:rPr>
        <w:t>Real options as remedy for valuation bias</w:t>
      </w:r>
      <w:r w:rsidR="0071743B">
        <w:rPr>
          <w:b/>
          <w:sz w:val="40"/>
        </w:rPr>
        <w:t>es</w:t>
      </w:r>
      <w:r w:rsidRPr="00BE10B2">
        <w:rPr>
          <w:b/>
          <w:sz w:val="40"/>
        </w:rPr>
        <w:t>?</w:t>
      </w:r>
      <w:r>
        <w:rPr>
          <w:b/>
          <w:sz w:val="40"/>
        </w:rPr>
        <w:t>”</w:t>
      </w:r>
    </w:p>
    <w:p w:rsidR="00BE10B2" w:rsidRDefault="00BE10B2" w:rsidP="00BE10B2">
      <w:pPr>
        <w:pStyle w:val="NoSpacing"/>
        <w:rPr>
          <w:b/>
          <w:sz w:val="40"/>
        </w:rPr>
      </w:pPr>
    </w:p>
    <w:p w:rsidR="00BE10B2" w:rsidRPr="00316EC1" w:rsidRDefault="00BE10B2" w:rsidP="00BE10B2">
      <w:pPr>
        <w:pStyle w:val="NoSpacing"/>
        <w:rPr>
          <w:sz w:val="40"/>
        </w:rPr>
      </w:pPr>
      <w:bookmarkStart w:id="0" w:name="_GoBack"/>
      <w:bookmarkEnd w:id="0"/>
    </w:p>
    <w:p w:rsidR="00BE10B2" w:rsidRDefault="00316EC1" w:rsidP="00362671">
      <w:pPr>
        <w:pStyle w:val="NoSpacing"/>
        <w:spacing w:line="360" w:lineRule="auto"/>
        <w:rPr>
          <w:b/>
          <w:sz w:val="28"/>
        </w:rPr>
      </w:pPr>
      <w:r>
        <w:rPr>
          <w:b/>
          <w:sz w:val="28"/>
        </w:rPr>
        <w:t>Abstract:</w:t>
      </w:r>
    </w:p>
    <w:p w:rsidR="00316EC1" w:rsidRPr="008D7BDA" w:rsidRDefault="00DF438A" w:rsidP="008D7BDA">
      <w:pPr>
        <w:pStyle w:val="NoSpacing"/>
        <w:spacing w:line="360" w:lineRule="auto"/>
        <w:jc w:val="both"/>
        <w:rPr>
          <w:sz w:val="20"/>
          <w:szCs w:val="20"/>
        </w:rPr>
      </w:pPr>
      <w:r w:rsidRPr="008D7BDA">
        <w:rPr>
          <w:sz w:val="20"/>
          <w:szCs w:val="20"/>
        </w:rPr>
        <w:t xml:space="preserve">Activity in mergers and acquisitions (M&amp;A) deals over the years show a pattern of occurring in waves. </w:t>
      </w:r>
      <w:r w:rsidR="00E70224" w:rsidRPr="008D7BDA">
        <w:rPr>
          <w:sz w:val="20"/>
          <w:szCs w:val="20"/>
        </w:rPr>
        <w:t>This occurrence comes with some negative consequences, such as  reduced competition as well as firms becoming larger to the point that they are ‘too big to fail.’ The phenomenon, also referred to as  ‘hot’ and ‘cold’ deal markets, may have various causes. In this thesis the cause concerning personal-level uncertainty</w:t>
      </w:r>
      <w:r w:rsidR="00055F49" w:rsidRPr="008D7BDA">
        <w:rPr>
          <w:sz w:val="20"/>
          <w:szCs w:val="20"/>
        </w:rPr>
        <w:t xml:space="preserve"> biases of executives and the effect on their valuations </w:t>
      </w:r>
      <w:r w:rsidR="00E70224" w:rsidRPr="008D7BDA">
        <w:rPr>
          <w:sz w:val="20"/>
          <w:szCs w:val="20"/>
        </w:rPr>
        <w:t>is given attention</w:t>
      </w:r>
      <w:r w:rsidR="00055F49" w:rsidRPr="008D7BDA">
        <w:rPr>
          <w:sz w:val="20"/>
          <w:szCs w:val="20"/>
        </w:rPr>
        <w:t xml:space="preserve">. This thesis seeks to compose an experiment that is able to test the validity of a proposed real options solution by Smit &amp; Lovallo (2014). By creating a setting in which the relevant biases can affect valuation, the experiment </w:t>
      </w:r>
      <w:r w:rsidR="00524181" w:rsidRPr="008D7BDA">
        <w:rPr>
          <w:sz w:val="20"/>
          <w:szCs w:val="20"/>
        </w:rPr>
        <w:t xml:space="preserve">introduces real options as a countermeasure to these biases to see whether executives </w:t>
      </w:r>
      <w:r w:rsidR="00F36354" w:rsidRPr="008D7BDA">
        <w:rPr>
          <w:sz w:val="20"/>
          <w:szCs w:val="20"/>
        </w:rPr>
        <w:t>are susceptible for real options. If the experiment can provide evidence for this, this could justify further research into this subject and ultimately justify real options analysis to be a standard consideration in every valuation decision. Note that the conduct of the experiment and the interpretation of the results is subject of a future paper: this paper is solely concerned with th</w:t>
      </w:r>
      <w:r w:rsidR="008D7BDA" w:rsidRPr="008D7BDA">
        <w:rPr>
          <w:sz w:val="20"/>
          <w:szCs w:val="20"/>
        </w:rPr>
        <w:t>e composition of the experiment.</w:t>
      </w:r>
    </w:p>
    <w:p w:rsidR="008D7BDA" w:rsidRPr="008D7BDA" w:rsidRDefault="008D7BDA" w:rsidP="008D7BDA">
      <w:pPr>
        <w:pStyle w:val="NoSpacing"/>
        <w:spacing w:line="360" w:lineRule="auto"/>
        <w:jc w:val="both"/>
        <w:rPr>
          <w:b/>
        </w:rPr>
      </w:pPr>
    </w:p>
    <w:p w:rsidR="00F36354" w:rsidRPr="00F36354" w:rsidRDefault="00F36354" w:rsidP="00F36354"/>
    <w:p w:rsidR="00316EC1" w:rsidRPr="005A3B86" w:rsidRDefault="005A3B86" w:rsidP="00316EC1">
      <w:pPr>
        <w:pStyle w:val="NoSpacing"/>
        <w:rPr>
          <w:sz w:val="24"/>
          <w:szCs w:val="24"/>
          <w:lang w:val="nl-NL"/>
        </w:rPr>
      </w:pPr>
      <w:r w:rsidRPr="005A3B86">
        <w:rPr>
          <w:sz w:val="24"/>
          <w:szCs w:val="24"/>
          <w:lang w:val="nl-NL"/>
        </w:rPr>
        <w:t>Author:</w:t>
      </w:r>
      <w:r w:rsidRPr="005A3B86">
        <w:rPr>
          <w:sz w:val="24"/>
          <w:szCs w:val="24"/>
          <w:lang w:val="nl-NL"/>
        </w:rPr>
        <w:tab/>
      </w:r>
      <w:r w:rsidRPr="005A3B86">
        <w:rPr>
          <w:sz w:val="24"/>
          <w:szCs w:val="24"/>
          <w:lang w:val="nl-NL"/>
        </w:rPr>
        <w:tab/>
      </w:r>
      <w:r w:rsidR="00316EC1" w:rsidRPr="005A3B86">
        <w:rPr>
          <w:sz w:val="24"/>
          <w:szCs w:val="24"/>
          <w:lang w:val="nl-NL"/>
        </w:rPr>
        <w:t>Flint van der Vlist</w:t>
      </w:r>
    </w:p>
    <w:p w:rsidR="00316EC1" w:rsidRPr="001A670B" w:rsidRDefault="005A3B86" w:rsidP="00316EC1">
      <w:pPr>
        <w:pStyle w:val="NoSpacing"/>
        <w:rPr>
          <w:sz w:val="24"/>
          <w:szCs w:val="24"/>
          <w:lang w:val="nl-NL"/>
        </w:rPr>
      </w:pPr>
      <w:r w:rsidRPr="001A670B">
        <w:rPr>
          <w:sz w:val="24"/>
          <w:szCs w:val="24"/>
          <w:lang w:val="nl-NL"/>
        </w:rPr>
        <w:t>Student number:</w:t>
      </w:r>
      <w:r w:rsidRPr="001A670B">
        <w:rPr>
          <w:sz w:val="24"/>
          <w:szCs w:val="24"/>
          <w:lang w:val="nl-NL"/>
        </w:rPr>
        <w:tab/>
      </w:r>
      <w:r w:rsidR="00316EC1" w:rsidRPr="001A670B">
        <w:rPr>
          <w:sz w:val="24"/>
          <w:szCs w:val="24"/>
          <w:lang w:val="nl-NL"/>
        </w:rPr>
        <w:t>358509</w:t>
      </w:r>
    </w:p>
    <w:p w:rsidR="00316EC1" w:rsidRPr="005A3B86" w:rsidRDefault="005A3B86" w:rsidP="00316EC1">
      <w:pPr>
        <w:pStyle w:val="NoSpacing"/>
        <w:rPr>
          <w:i/>
          <w:sz w:val="24"/>
          <w:szCs w:val="24"/>
        </w:rPr>
      </w:pPr>
      <w:r w:rsidRPr="005A3B86">
        <w:rPr>
          <w:sz w:val="24"/>
          <w:szCs w:val="24"/>
        </w:rPr>
        <w:t>Date:</w:t>
      </w:r>
      <w:r w:rsidRPr="005A3B86">
        <w:rPr>
          <w:sz w:val="24"/>
          <w:szCs w:val="24"/>
        </w:rPr>
        <w:tab/>
      </w:r>
      <w:r w:rsidRPr="005A3B86">
        <w:rPr>
          <w:sz w:val="24"/>
          <w:szCs w:val="24"/>
        </w:rPr>
        <w:tab/>
      </w:r>
      <w:r w:rsidRPr="005A3B86">
        <w:rPr>
          <w:sz w:val="24"/>
          <w:szCs w:val="24"/>
        </w:rPr>
        <w:tab/>
      </w:r>
      <w:r w:rsidR="00DC2BF0">
        <w:rPr>
          <w:sz w:val="24"/>
          <w:szCs w:val="24"/>
        </w:rPr>
        <w:t>August 2</w:t>
      </w:r>
      <w:r w:rsidR="00E247A6">
        <w:rPr>
          <w:sz w:val="24"/>
          <w:szCs w:val="24"/>
        </w:rPr>
        <w:t>8</w:t>
      </w:r>
      <w:r w:rsidR="00DC2BF0" w:rsidRPr="00DC2BF0">
        <w:rPr>
          <w:sz w:val="24"/>
          <w:szCs w:val="24"/>
          <w:vertAlign w:val="superscript"/>
        </w:rPr>
        <w:t>th</w:t>
      </w:r>
      <w:r w:rsidR="00316EC1" w:rsidRPr="005A3B86">
        <w:rPr>
          <w:sz w:val="24"/>
          <w:szCs w:val="24"/>
        </w:rPr>
        <w:t xml:space="preserve"> 2014</w:t>
      </w:r>
    </w:p>
    <w:p w:rsidR="00316EC1" w:rsidRPr="005A3B86" w:rsidRDefault="00316EC1" w:rsidP="00316EC1">
      <w:pPr>
        <w:pStyle w:val="NoSpacing"/>
        <w:rPr>
          <w:sz w:val="24"/>
          <w:szCs w:val="24"/>
        </w:rPr>
      </w:pPr>
      <w:r w:rsidRPr="005A3B86">
        <w:rPr>
          <w:sz w:val="24"/>
          <w:szCs w:val="24"/>
        </w:rPr>
        <w:t>Word count:</w:t>
      </w:r>
      <w:r w:rsidR="00E247A6">
        <w:rPr>
          <w:sz w:val="24"/>
          <w:szCs w:val="24"/>
        </w:rPr>
        <w:tab/>
      </w:r>
      <w:r w:rsidR="00E247A6">
        <w:rPr>
          <w:sz w:val="24"/>
          <w:szCs w:val="24"/>
        </w:rPr>
        <w:tab/>
        <w:t>9982</w:t>
      </w:r>
    </w:p>
    <w:p w:rsidR="00316EC1" w:rsidRDefault="00316EC1" w:rsidP="00316EC1">
      <w:pPr>
        <w:pStyle w:val="NoSpacing"/>
        <w:rPr>
          <w:sz w:val="24"/>
          <w:szCs w:val="24"/>
        </w:rPr>
      </w:pPr>
      <w:r w:rsidRPr="005A3B86">
        <w:rPr>
          <w:sz w:val="24"/>
          <w:szCs w:val="24"/>
        </w:rPr>
        <w:t xml:space="preserve">Thesis supervisor: </w:t>
      </w:r>
      <w:r w:rsidR="005A3B86" w:rsidRPr="005A3B86">
        <w:rPr>
          <w:sz w:val="24"/>
          <w:szCs w:val="24"/>
        </w:rPr>
        <w:tab/>
        <w:t xml:space="preserve">Prof. dr. </w:t>
      </w:r>
      <w:r w:rsidRPr="005A3B86">
        <w:rPr>
          <w:sz w:val="24"/>
          <w:szCs w:val="24"/>
        </w:rPr>
        <w:t>Han T.J. Smit</w:t>
      </w:r>
    </w:p>
    <w:p w:rsidR="003E376C" w:rsidRDefault="003E376C" w:rsidP="00316EC1">
      <w:pPr>
        <w:pStyle w:val="NoSpacing"/>
        <w:rPr>
          <w:sz w:val="24"/>
          <w:szCs w:val="24"/>
        </w:rPr>
      </w:pPr>
      <w:r>
        <w:rPr>
          <w:sz w:val="24"/>
          <w:szCs w:val="24"/>
        </w:rPr>
        <w:t>Faculty:</w:t>
      </w:r>
      <w:r>
        <w:rPr>
          <w:sz w:val="24"/>
          <w:szCs w:val="24"/>
        </w:rPr>
        <w:tab/>
      </w:r>
      <w:r>
        <w:rPr>
          <w:sz w:val="24"/>
          <w:szCs w:val="24"/>
        </w:rPr>
        <w:tab/>
        <w:t>Erasmus School of Economics</w:t>
      </w:r>
      <w:r w:rsidR="009E103B">
        <w:rPr>
          <w:sz w:val="24"/>
          <w:szCs w:val="24"/>
        </w:rPr>
        <w:t xml:space="preserve"> (ESE)</w:t>
      </w:r>
    </w:p>
    <w:p w:rsidR="003E376C" w:rsidRPr="005A3B86" w:rsidRDefault="003E376C" w:rsidP="00316EC1">
      <w:pPr>
        <w:pStyle w:val="NoSpacing"/>
        <w:rPr>
          <w:sz w:val="24"/>
          <w:szCs w:val="24"/>
        </w:rPr>
      </w:pPr>
      <w:r>
        <w:rPr>
          <w:sz w:val="24"/>
          <w:szCs w:val="24"/>
        </w:rPr>
        <w:t>University:</w:t>
      </w:r>
      <w:r>
        <w:rPr>
          <w:sz w:val="24"/>
          <w:szCs w:val="24"/>
        </w:rPr>
        <w:tab/>
      </w:r>
      <w:r>
        <w:rPr>
          <w:sz w:val="24"/>
          <w:szCs w:val="24"/>
        </w:rPr>
        <w:tab/>
        <w:t>Erasmus University Rotterdam (EUR)</w:t>
      </w:r>
    </w:p>
    <w:p w:rsidR="00316EC1" w:rsidRDefault="00316EC1" w:rsidP="00316EC1">
      <w:pPr>
        <w:pStyle w:val="NoSpacing"/>
        <w:rPr>
          <w:b/>
          <w:sz w:val="24"/>
          <w:szCs w:val="24"/>
        </w:rPr>
      </w:pPr>
    </w:p>
    <w:p w:rsidR="003E376C" w:rsidRPr="00316EC1" w:rsidRDefault="003E376C" w:rsidP="00316EC1">
      <w:pPr>
        <w:pStyle w:val="NoSpacing"/>
        <w:rPr>
          <w:b/>
          <w:sz w:val="24"/>
          <w:szCs w:val="24"/>
        </w:rPr>
      </w:pPr>
    </w:p>
    <w:p w:rsidR="00316EC1" w:rsidRPr="005A3B86" w:rsidRDefault="00316EC1" w:rsidP="00316EC1">
      <w:pPr>
        <w:rPr>
          <w:sz w:val="24"/>
        </w:rPr>
      </w:pPr>
      <w:r w:rsidRPr="005A3B86">
        <w:rPr>
          <w:b/>
          <w:sz w:val="24"/>
        </w:rPr>
        <w:t xml:space="preserve">Keywords: </w:t>
      </w:r>
      <w:r w:rsidRPr="005A3B86">
        <w:rPr>
          <w:sz w:val="24"/>
        </w:rPr>
        <w:t xml:space="preserve">hot </w:t>
      </w:r>
      <w:r w:rsidR="006A00B1">
        <w:rPr>
          <w:sz w:val="24"/>
        </w:rPr>
        <w:t>and</w:t>
      </w:r>
      <w:r w:rsidRPr="005A3B86">
        <w:rPr>
          <w:sz w:val="24"/>
        </w:rPr>
        <w:t xml:space="preserve"> cold deal market, valuation biases, real options, </w:t>
      </w:r>
      <w:r w:rsidR="006A00B1">
        <w:rPr>
          <w:sz w:val="24"/>
        </w:rPr>
        <w:t xml:space="preserve">composition </w:t>
      </w:r>
      <w:r w:rsidRPr="005A3B86">
        <w:rPr>
          <w:sz w:val="24"/>
        </w:rPr>
        <w:t>experiment</w:t>
      </w:r>
    </w:p>
    <w:sdt>
      <w:sdtPr>
        <w:rPr>
          <w:rFonts w:asciiTheme="minorHAnsi" w:eastAsiaTheme="minorHAnsi" w:hAnsiTheme="minorHAnsi" w:cstheme="minorBidi"/>
          <w:color w:val="auto"/>
          <w:sz w:val="22"/>
          <w:szCs w:val="22"/>
          <w:lang w:val="nl-NL"/>
        </w:rPr>
        <w:id w:val="9119224"/>
        <w:docPartObj>
          <w:docPartGallery w:val="Table of Contents"/>
          <w:docPartUnique/>
        </w:docPartObj>
      </w:sdtPr>
      <w:sdtEndPr>
        <w:rPr>
          <w:bCs/>
        </w:rPr>
      </w:sdtEndPr>
      <w:sdtContent>
        <w:p w:rsidR="00F817CC" w:rsidRPr="00F817CC" w:rsidRDefault="00B02A3D" w:rsidP="006A00B1">
          <w:pPr>
            <w:pStyle w:val="TOCHeading"/>
            <w:spacing w:line="360" w:lineRule="auto"/>
            <w:rPr>
              <w:b/>
              <w:color w:val="auto"/>
            </w:rPr>
          </w:pPr>
          <w:r w:rsidRPr="005A3B86">
            <w:rPr>
              <w:b/>
              <w:color w:val="auto"/>
            </w:rPr>
            <w:t>Table of contents</w:t>
          </w:r>
        </w:p>
        <w:p w:rsidR="008F2241" w:rsidRPr="008F2241" w:rsidRDefault="008E0B8C" w:rsidP="008F2241">
          <w:pPr>
            <w:pStyle w:val="TOC1"/>
            <w:tabs>
              <w:tab w:val="right" w:leader="dot" w:pos="9350"/>
            </w:tabs>
            <w:spacing w:line="360" w:lineRule="auto"/>
            <w:rPr>
              <w:rFonts w:eastAsiaTheme="minorEastAsia"/>
              <w:noProof/>
            </w:rPr>
          </w:pPr>
          <w:r w:rsidRPr="008E0B8C">
            <w:fldChar w:fldCharType="begin"/>
          </w:r>
          <w:r w:rsidR="00F817CC" w:rsidRPr="008F2241">
            <w:instrText xml:space="preserve"> TOC \o "1-3" \h \z \u </w:instrText>
          </w:r>
          <w:r w:rsidRPr="008E0B8C">
            <w:fldChar w:fldCharType="separate"/>
          </w:r>
          <w:hyperlink w:anchor="_Toc397159367" w:history="1">
            <w:r w:rsidR="008F2241" w:rsidRPr="008F2241">
              <w:rPr>
                <w:rStyle w:val="Hyperlink"/>
                <w:noProof/>
              </w:rPr>
              <w:t>Introduction</w:t>
            </w:r>
            <w:r w:rsidR="008F2241" w:rsidRPr="008F2241">
              <w:rPr>
                <w:noProof/>
                <w:webHidden/>
              </w:rPr>
              <w:tab/>
            </w:r>
            <w:r w:rsidRPr="008F2241">
              <w:rPr>
                <w:noProof/>
                <w:webHidden/>
              </w:rPr>
              <w:fldChar w:fldCharType="begin"/>
            </w:r>
            <w:r w:rsidR="008F2241" w:rsidRPr="008F2241">
              <w:rPr>
                <w:noProof/>
                <w:webHidden/>
              </w:rPr>
              <w:instrText xml:space="preserve"> PAGEREF _Toc397159367 \h </w:instrText>
            </w:r>
            <w:r w:rsidRPr="008F2241">
              <w:rPr>
                <w:noProof/>
                <w:webHidden/>
              </w:rPr>
            </w:r>
            <w:r w:rsidRPr="008F2241">
              <w:rPr>
                <w:noProof/>
                <w:webHidden/>
              </w:rPr>
              <w:fldChar w:fldCharType="separate"/>
            </w:r>
            <w:r w:rsidR="008F2241" w:rsidRPr="008F2241">
              <w:rPr>
                <w:noProof/>
                <w:webHidden/>
              </w:rPr>
              <w:t>2</w:t>
            </w:r>
            <w:r w:rsidRPr="008F2241">
              <w:rPr>
                <w:noProof/>
                <w:webHidden/>
              </w:rPr>
              <w:fldChar w:fldCharType="end"/>
            </w:r>
          </w:hyperlink>
        </w:p>
        <w:p w:rsidR="008F2241" w:rsidRPr="008F2241" w:rsidRDefault="008E0B8C" w:rsidP="008F2241">
          <w:pPr>
            <w:pStyle w:val="TOC1"/>
            <w:tabs>
              <w:tab w:val="right" w:leader="dot" w:pos="9350"/>
            </w:tabs>
            <w:spacing w:line="360" w:lineRule="auto"/>
            <w:rPr>
              <w:rFonts w:eastAsiaTheme="minorEastAsia"/>
              <w:noProof/>
            </w:rPr>
          </w:pPr>
          <w:hyperlink w:anchor="_Toc397159368" w:history="1">
            <w:r w:rsidR="008F2241" w:rsidRPr="008F2241">
              <w:rPr>
                <w:rStyle w:val="Hyperlink"/>
                <w:noProof/>
              </w:rPr>
              <w:t>Theoretical Framework</w:t>
            </w:r>
            <w:r w:rsidR="008F2241" w:rsidRPr="008F2241">
              <w:rPr>
                <w:noProof/>
                <w:webHidden/>
              </w:rPr>
              <w:tab/>
            </w:r>
            <w:r w:rsidRPr="008F2241">
              <w:rPr>
                <w:noProof/>
                <w:webHidden/>
              </w:rPr>
              <w:fldChar w:fldCharType="begin"/>
            </w:r>
            <w:r w:rsidR="008F2241" w:rsidRPr="008F2241">
              <w:rPr>
                <w:noProof/>
                <w:webHidden/>
              </w:rPr>
              <w:instrText xml:space="preserve"> PAGEREF _Toc397159368 \h </w:instrText>
            </w:r>
            <w:r w:rsidRPr="008F2241">
              <w:rPr>
                <w:noProof/>
                <w:webHidden/>
              </w:rPr>
            </w:r>
            <w:r w:rsidRPr="008F2241">
              <w:rPr>
                <w:noProof/>
                <w:webHidden/>
              </w:rPr>
              <w:fldChar w:fldCharType="separate"/>
            </w:r>
            <w:r w:rsidR="008F2241" w:rsidRPr="008F2241">
              <w:rPr>
                <w:noProof/>
                <w:webHidden/>
              </w:rPr>
              <w:t>5</w:t>
            </w:r>
            <w:r w:rsidRPr="008F2241">
              <w:rPr>
                <w:noProof/>
                <w:webHidden/>
              </w:rPr>
              <w:fldChar w:fldCharType="end"/>
            </w:r>
          </w:hyperlink>
        </w:p>
        <w:p w:rsidR="008F2241" w:rsidRPr="008F2241" w:rsidRDefault="008E0B8C" w:rsidP="008F2241">
          <w:pPr>
            <w:pStyle w:val="TOC1"/>
            <w:tabs>
              <w:tab w:val="right" w:leader="dot" w:pos="9350"/>
            </w:tabs>
            <w:spacing w:line="360" w:lineRule="auto"/>
            <w:rPr>
              <w:rFonts w:eastAsiaTheme="minorEastAsia"/>
              <w:noProof/>
            </w:rPr>
          </w:pPr>
          <w:hyperlink w:anchor="_Toc397159369" w:history="1">
            <w:r w:rsidR="008F2241" w:rsidRPr="008F2241">
              <w:rPr>
                <w:rStyle w:val="Hyperlink"/>
                <w:noProof/>
              </w:rPr>
              <w:t>Methodology</w:t>
            </w:r>
            <w:r w:rsidR="008F2241" w:rsidRPr="008F2241">
              <w:rPr>
                <w:noProof/>
                <w:webHidden/>
              </w:rPr>
              <w:tab/>
            </w:r>
            <w:r w:rsidRPr="008F2241">
              <w:rPr>
                <w:noProof/>
                <w:webHidden/>
              </w:rPr>
              <w:fldChar w:fldCharType="begin"/>
            </w:r>
            <w:r w:rsidR="008F2241" w:rsidRPr="008F2241">
              <w:rPr>
                <w:noProof/>
                <w:webHidden/>
              </w:rPr>
              <w:instrText xml:space="preserve"> PAGEREF _Toc397159369 \h </w:instrText>
            </w:r>
            <w:r w:rsidRPr="008F2241">
              <w:rPr>
                <w:noProof/>
                <w:webHidden/>
              </w:rPr>
            </w:r>
            <w:r w:rsidRPr="008F2241">
              <w:rPr>
                <w:noProof/>
                <w:webHidden/>
              </w:rPr>
              <w:fldChar w:fldCharType="separate"/>
            </w:r>
            <w:r w:rsidR="008F2241" w:rsidRPr="008F2241">
              <w:rPr>
                <w:noProof/>
                <w:webHidden/>
              </w:rPr>
              <w:t>19</w:t>
            </w:r>
            <w:r w:rsidRPr="008F2241">
              <w:rPr>
                <w:noProof/>
                <w:webHidden/>
              </w:rPr>
              <w:fldChar w:fldCharType="end"/>
            </w:r>
          </w:hyperlink>
        </w:p>
        <w:p w:rsidR="008F2241" w:rsidRPr="008F2241" w:rsidRDefault="008E0B8C" w:rsidP="008F2241">
          <w:pPr>
            <w:pStyle w:val="TOC1"/>
            <w:tabs>
              <w:tab w:val="right" w:leader="dot" w:pos="9350"/>
            </w:tabs>
            <w:spacing w:line="360" w:lineRule="auto"/>
            <w:rPr>
              <w:rFonts w:eastAsiaTheme="minorEastAsia"/>
              <w:noProof/>
            </w:rPr>
          </w:pPr>
          <w:hyperlink w:anchor="_Toc397159370" w:history="1">
            <w:r w:rsidR="008F2241" w:rsidRPr="008F2241">
              <w:rPr>
                <w:rStyle w:val="Hyperlink"/>
                <w:noProof/>
              </w:rPr>
              <w:t>Concluding Remarks</w:t>
            </w:r>
            <w:r w:rsidR="008F2241" w:rsidRPr="008F2241">
              <w:rPr>
                <w:noProof/>
                <w:webHidden/>
              </w:rPr>
              <w:tab/>
            </w:r>
            <w:r w:rsidRPr="008F2241">
              <w:rPr>
                <w:noProof/>
                <w:webHidden/>
              </w:rPr>
              <w:fldChar w:fldCharType="begin"/>
            </w:r>
            <w:r w:rsidR="008F2241" w:rsidRPr="008F2241">
              <w:rPr>
                <w:noProof/>
                <w:webHidden/>
              </w:rPr>
              <w:instrText xml:space="preserve"> PAGEREF _Toc397159370 \h </w:instrText>
            </w:r>
            <w:r w:rsidRPr="008F2241">
              <w:rPr>
                <w:noProof/>
                <w:webHidden/>
              </w:rPr>
            </w:r>
            <w:r w:rsidRPr="008F2241">
              <w:rPr>
                <w:noProof/>
                <w:webHidden/>
              </w:rPr>
              <w:fldChar w:fldCharType="separate"/>
            </w:r>
            <w:r w:rsidR="008F2241" w:rsidRPr="008F2241">
              <w:rPr>
                <w:noProof/>
                <w:webHidden/>
              </w:rPr>
              <w:t>26</w:t>
            </w:r>
            <w:r w:rsidRPr="008F2241">
              <w:rPr>
                <w:noProof/>
                <w:webHidden/>
              </w:rPr>
              <w:fldChar w:fldCharType="end"/>
            </w:r>
          </w:hyperlink>
        </w:p>
        <w:p w:rsidR="008F2241" w:rsidRPr="008F2241" w:rsidRDefault="008E0B8C" w:rsidP="008F2241">
          <w:pPr>
            <w:pStyle w:val="TOC1"/>
            <w:tabs>
              <w:tab w:val="right" w:leader="dot" w:pos="9350"/>
            </w:tabs>
            <w:spacing w:line="360" w:lineRule="auto"/>
            <w:rPr>
              <w:rFonts w:eastAsiaTheme="minorEastAsia"/>
              <w:noProof/>
            </w:rPr>
          </w:pPr>
          <w:hyperlink w:anchor="_Toc397159371" w:history="1">
            <w:r w:rsidR="008F2241" w:rsidRPr="008F2241">
              <w:rPr>
                <w:rStyle w:val="Hyperlink"/>
                <w:noProof/>
              </w:rPr>
              <w:t>Bibliography</w:t>
            </w:r>
            <w:r w:rsidR="008F2241" w:rsidRPr="008F2241">
              <w:rPr>
                <w:noProof/>
                <w:webHidden/>
              </w:rPr>
              <w:tab/>
            </w:r>
            <w:r w:rsidRPr="008F2241">
              <w:rPr>
                <w:noProof/>
                <w:webHidden/>
              </w:rPr>
              <w:fldChar w:fldCharType="begin"/>
            </w:r>
            <w:r w:rsidR="008F2241" w:rsidRPr="008F2241">
              <w:rPr>
                <w:noProof/>
                <w:webHidden/>
              </w:rPr>
              <w:instrText xml:space="preserve"> PAGEREF _Toc397159371 \h </w:instrText>
            </w:r>
            <w:r w:rsidRPr="008F2241">
              <w:rPr>
                <w:noProof/>
                <w:webHidden/>
              </w:rPr>
            </w:r>
            <w:r w:rsidRPr="008F2241">
              <w:rPr>
                <w:noProof/>
                <w:webHidden/>
              </w:rPr>
              <w:fldChar w:fldCharType="separate"/>
            </w:r>
            <w:r w:rsidR="008F2241" w:rsidRPr="008F2241">
              <w:rPr>
                <w:noProof/>
                <w:webHidden/>
              </w:rPr>
              <w:t>27</w:t>
            </w:r>
            <w:r w:rsidRPr="008F2241">
              <w:rPr>
                <w:noProof/>
                <w:webHidden/>
              </w:rPr>
              <w:fldChar w:fldCharType="end"/>
            </w:r>
          </w:hyperlink>
        </w:p>
        <w:p w:rsidR="008F2241" w:rsidRPr="008F2241" w:rsidRDefault="008E0B8C" w:rsidP="008F2241">
          <w:pPr>
            <w:pStyle w:val="TOC1"/>
            <w:tabs>
              <w:tab w:val="right" w:leader="dot" w:pos="9350"/>
            </w:tabs>
            <w:spacing w:line="360" w:lineRule="auto"/>
            <w:rPr>
              <w:rFonts w:eastAsiaTheme="minorEastAsia"/>
              <w:noProof/>
            </w:rPr>
          </w:pPr>
          <w:hyperlink w:anchor="_Toc397159372" w:history="1">
            <w:r w:rsidR="008F2241" w:rsidRPr="008F2241">
              <w:rPr>
                <w:rStyle w:val="Hyperlink"/>
                <w:noProof/>
              </w:rPr>
              <w:t>Appendices</w:t>
            </w:r>
            <w:r w:rsidR="008F2241" w:rsidRPr="008F2241">
              <w:rPr>
                <w:noProof/>
                <w:webHidden/>
              </w:rPr>
              <w:tab/>
            </w:r>
            <w:r w:rsidRPr="008F2241">
              <w:rPr>
                <w:noProof/>
                <w:webHidden/>
              </w:rPr>
              <w:fldChar w:fldCharType="begin"/>
            </w:r>
            <w:r w:rsidR="008F2241" w:rsidRPr="008F2241">
              <w:rPr>
                <w:noProof/>
                <w:webHidden/>
              </w:rPr>
              <w:instrText xml:space="preserve"> PAGEREF _Toc397159372 \h </w:instrText>
            </w:r>
            <w:r w:rsidRPr="008F2241">
              <w:rPr>
                <w:noProof/>
                <w:webHidden/>
              </w:rPr>
            </w:r>
            <w:r w:rsidRPr="008F2241">
              <w:rPr>
                <w:noProof/>
                <w:webHidden/>
              </w:rPr>
              <w:fldChar w:fldCharType="separate"/>
            </w:r>
            <w:r w:rsidR="008F2241" w:rsidRPr="008F2241">
              <w:rPr>
                <w:noProof/>
                <w:webHidden/>
              </w:rPr>
              <w:t>29</w:t>
            </w:r>
            <w:r w:rsidRPr="008F2241">
              <w:rPr>
                <w:noProof/>
                <w:webHidden/>
              </w:rPr>
              <w:fldChar w:fldCharType="end"/>
            </w:r>
          </w:hyperlink>
        </w:p>
        <w:p w:rsidR="008F2241" w:rsidRPr="008F2241" w:rsidRDefault="008E0B8C" w:rsidP="008F2241">
          <w:pPr>
            <w:pStyle w:val="TOC2"/>
            <w:tabs>
              <w:tab w:val="right" w:leader="dot" w:pos="9350"/>
            </w:tabs>
            <w:spacing w:line="360" w:lineRule="auto"/>
            <w:rPr>
              <w:rFonts w:eastAsiaTheme="minorEastAsia"/>
              <w:noProof/>
            </w:rPr>
          </w:pPr>
          <w:hyperlink w:anchor="_Toc397159373" w:history="1">
            <w:r w:rsidR="008F2241" w:rsidRPr="008F2241">
              <w:rPr>
                <w:rStyle w:val="Hyperlink"/>
                <w:noProof/>
              </w:rPr>
              <w:t>Appendix A: Discounted cash flow valuation with horizon value</w:t>
            </w:r>
            <w:r w:rsidR="008F2241" w:rsidRPr="008F2241">
              <w:rPr>
                <w:noProof/>
                <w:webHidden/>
              </w:rPr>
              <w:tab/>
            </w:r>
            <w:r w:rsidRPr="008F2241">
              <w:rPr>
                <w:noProof/>
                <w:webHidden/>
              </w:rPr>
              <w:fldChar w:fldCharType="begin"/>
            </w:r>
            <w:r w:rsidR="008F2241" w:rsidRPr="008F2241">
              <w:rPr>
                <w:noProof/>
                <w:webHidden/>
              </w:rPr>
              <w:instrText xml:space="preserve"> PAGEREF _Toc397159373 \h </w:instrText>
            </w:r>
            <w:r w:rsidRPr="008F2241">
              <w:rPr>
                <w:noProof/>
                <w:webHidden/>
              </w:rPr>
            </w:r>
            <w:r w:rsidRPr="008F2241">
              <w:rPr>
                <w:noProof/>
                <w:webHidden/>
              </w:rPr>
              <w:fldChar w:fldCharType="separate"/>
            </w:r>
            <w:r w:rsidR="008F2241" w:rsidRPr="008F2241">
              <w:rPr>
                <w:noProof/>
                <w:webHidden/>
              </w:rPr>
              <w:t>29</w:t>
            </w:r>
            <w:r w:rsidRPr="008F2241">
              <w:rPr>
                <w:noProof/>
                <w:webHidden/>
              </w:rPr>
              <w:fldChar w:fldCharType="end"/>
            </w:r>
          </w:hyperlink>
        </w:p>
        <w:p w:rsidR="00F817CC" w:rsidRPr="006A00B1" w:rsidRDefault="008E0B8C" w:rsidP="008F2241">
          <w:pPr>
            <w:spacing w:line="360" w:lineRule="auto"/>
          </w:pPr>
          <w:r w:rsidRPr="008F2241">
            <w:rPr>
              <w:bCs/>
              <w:lang w:val="nl-NL"/>
            </w:rPr>
            <w:fldChar w:fldCharType="end"/>
          </w:r>
        </w:p>
      </w:sdtContent>
    </w:sdt>
    <w:p w:rsidR="00F817CC" w:rsidRDefault="00F817CC" w:rsidP="007231D6">
      <w:pPr>
        <w:pStyle w:val="Heading1"/>
        <w:spacing w:line="276" w:lineRule="auto"/>
        <w:rPr>
          <w:b/>
          <w:color w:val="auto"/>
        </w:rPr>
      </w:pPr>
    </w:p>
    <w:p w:rsidR="00F817CC" w:rsidRDefault="00F817CC" w:rsidP="00F817CC"/>
    <w:p w:rsidR="00F817CC" w:rsidRDefault="00F817CC" w:rsidP="00F817CC"/>
    <w:p w:rsidR="00F817CC" w:rsidRDefault="00F817CC" w:rsidP="00F817CC"/>
    <w:p w:rsidR="00F817CC" w:rsidRDefault="00F817CC" w:rsidP="00F817CC"/>
    <w:p w:rsidR="00F817CC" w:rsidRDefault="00F817CC" w:rsidP="00F817CC"/>
    <w:p w:rsidR="00F817CC" w:rsidRDefault="00F817CC" w:rsidP="00F817CC"/>
    <w:p w:rsidR="00F817CC" w:rsidRDefault="00F817CC" w:rsidP="00F817CC"/>
    <w:p w:rsidR="00F817CC" w:rsidRDefault="00F817CC" w:rsidP="00F817CC"/>
    <w:p w:rsidR="00F817CC" w:rsidRDefault="00F817CC" w:rsidP="00F817CC"/>
    <w:p w:rsidR="00F817CC" w:rsidRDefault="00F817CC" w:rsidP="00F817CC"/>
    <w:p w:rsidR="00F817CC" w:rsidRDefault="00F817CC" w:rsidP="00F817CC"/>
    <w:p w:rsidR="00F817CC" w:rsidRDefault="00F817CC" w:rsidP="00F817CC"/>
    <w:p w:rsidR="00B206D3" w:rsidRDefault="00B206D3" w:rsidP="00F817CC"/>
    <w:p w:rsidR="00F817CC" w:rsidRDefault="00F817CC" w:rsidP="00F817CC"/>
    <w:p w:rsidR="003D3B2C" w:rsidRDefault="003D3B2C" w:rsidP="00F817CC"/>
    <w:p w:rsidR="000F594D" w:rsidRPr="00F817CC" w:rsidRDefault="000F594D" w:rsidP="00F817CC"/>
    <w:p w:rsidR="00BE10B2" w:rsidRDefault="00BE10B2" w:rsidP="00502D19">
      <w:pPr>
        <w:pStyle w:val="Heading1"/>
        <w:spacing w:line="276" w:lineRule="auto"/>
        <w:jc w:val="both"/>
        <w:rPr>
          <w:b/>
          <w:color w:val="auto"/>
          <w:sz w:val="24"/>
        </w:rPr>
      </w:pPr>
      <w:bookmarkStart w:id="1" w:name="_Toc397159367"/>
      <w:r w:rsidRPr="00BE10B2">
        <w:rPr>
          <w:b/>
          <w:color w:val="auto"/>
        </w:rPr>
        <w:lastRenderedPageBreak/>
        <w:t>Introduction</w:t>
      </w:r>
      <w:bookmarkEnd w:id="1"/>
    </w:p>
    <w:p w:rsidR="006B6215" w:rsidRDefault="006B6215" w:rsidP="00502D19">
      <w:pPr>
        <w:pStyle w:val="NoSpacing"/>
        <w:spacing w:line="360" w:lineRule="auto"/>
        <w:jc w:val="both"/>
      </w:pPr>
    </w:p>
    <w:p w:rsidR="00353094" w:rsidRDefault="000D7F18" w:rsidP="00502D19">
      <w:pPr>
        <w:pStyle w:val="NoSpacing"/>
        <w:spacing w:line="360" w:lineRule="auto"/>
        <w:jc w:val="both"/>
      </w:pPr>
      <w:r>
        <w:t>It has been repeatedly shown that mergers and acquisitions (M&amp;A) occur in waves</w:t>
      </w:r>
      <w:r w:rsidR="00176DC8">
        <w:t>, with the earliest wave dating as far back as the late 1890s</w:t>
      </w:r>
      <w:r w:rsidR="008A12F9">
        <w:rPr>
          <w:noProof/>
        </w:rPr>
        <w:t xml:space="preserve"> </w:t>
      </w:r>
      <w:r w:rsidR="008A12F9" w:rsidRPr="008A12F9">
        <w:rPr>
          <w:noProof/>
        </w:rPr>
        <w:t>(The Economist, 2012</w:t>
      </w:r>
      <w:r w:rsidR="008A12F9">
        <w:rPr>
          <w:noProof/>
        </w:rPr>
        <w:t>a</w:t>
      </w:r>
      <w:r w:rsidR="008A12F9" w:rsidRPr="008A12F9">
        <w:rPr>
          <w:noProof/>
        </w:rPr>
        <w:t>)</w:t>
      </w:r>
      <w:r w:rsidR="00176DC8">
        <w:t xml:space="preserve">. </w:t>
      </w:r>
      <w:r w:rsidR="00AA124E">
        <w:t xml:space="preserve">This </w:t>
      </w:r>
      <w:r w:rsidR="00DC2BF0">
        <w:t>means</w:t>
      </w:r>
      <w:r w:rsidR="00AA124E">
        <w:t xml:space="preserve"> that in some periods markets are hot and many deals are done. </w:t>
      </w:r>
      <w:r w:rsidR="00353094">
        <w:t>I</w:t>
      </w:r>
      <w:r w:rsidR="00AA124E">
        <w:t xml:space="preserve">nversely, when this is not the case, markets tend to </w:t>
      </w:r>
      <w:r w:rsidR="006F5F14">
        <w:t>be cold and few deals are done.</w:t>
      </w:r>
      <w:r w:rsidR="006E27D2">
        <w:t xml:space="preserve"> </w:t>
      </w:r>
      <w:r w:rsidR="003E7877">
        <w:rPr>
          <w:noProof/>
        </w:rPr>
        <w:t>Becketti</w:t>
      </w:r>
      <w:r w:rsidR="000414AB" w:rsidRPr="000414AB">
        <w:rPr>
          <w:noProof/>
        </w:rPr>
        <w:t xml:space="preserve"> </w:t>
      </w:r>
      <w:r w:rsidR="000414AB">
        <w:rPr>
          <w:noProof/>
        </w:rPr>
        <w:t>(</w:t>
      </w:r>
      <w:r w:rsidR="000414AB" w:rsidRPr="000414AB">
        <w:rPr>
          <w:noProof/>
        </w:rPr>
        <w:t>1986)</w:t>
      </w:r>
      <w:r w:rsidR="000414AB">
        <w:rPr>
          <w:noProof/>
        </w:rPr>
        <w:t xml:space="preserve"> </w:t>
      </w:r>
      <w:r w:rsidR="000414AB">
        <w:t xml:space="preserve">has provided evidence for a positive relationship between merger activity and the business cycle. This </w:t>
      </w:r>
      <w:r w:rsidR="000414AB">
        <w:rPr>
          <w:color w:val="000000" w:themeColor="text1"/>
        </w:rPr>
        <w:t xml:space="preserve">implies that </w:t>
      </w:r>
      <w:r w:rsidR="001C3DD3">
        <w:rPr>
          <w:color w:val="000000" w:themeColor="text1"/>
        </w:rPr>
        <w:t xml:space="preserve">the </w:t>
      </w:r>
      <w:r w:rsidR="001A670B">
        <w:rPr>
          <w:color w:val="000000" w:themeColor="text1"/>
        </w:rPr>
        <w:t>decisions</w:t>
      </w:r>
      <w:r w:rsidR="000414AB">
        <w:rPr>
          <w:color w:val="000000" w:themeColor="text1"/>
        </w:rPr>
        <w:t xml:space="preserve"> by executives are</w:t>
      </w:r>
      <w:r w:rsidR="000414AB" w:rsidRPr="00275248">
        <w:rPr>
          <w:color w:val="000000" w:themeColor="text1"/>
        </w:rPr>
        <w:t xml:space="preserve"> biased by behavioral errors </w:t>
      </w:r>
      <w:r w:rsidR="000414AB">
        <w:rPr>
          <w:color w:val="000000" w:themeColor="text1"/>
        </w:rPr>
        <w:t>during</w:t>
      </w:r>
      <w:r w:rsidR="000414AB" w:rsidRPr="00275248">
        <w:rPr>
          <w:color w:val="000000" w:themeColor="text1"/>
        </w:rPr>
        <w:t xml:space="preserve"> different phases </w:t>
      </w:r>
      <w:r w:rsidR="00587A9E">
        <w:rPr>
          <w:color w:val="000000" w:themeColor="text1"/>
        </w:rPr>
        <w:t>of</w:t>
      </w:r>
      <w:r w:rsidR="000414AB" w:rsidRPr="00275248">
        <w:rPr>
          <w:color w:val="000000" w:themeColor="text1"/>
        </w:rPr>
        <w:t xml:space="preserve"> the business cycle</w:t>
      </w:r>
      <w:r w:rsidR="001C3DD3">
        <w:rPr>
          <w:color w:val="000000" w:themeColor="text1"/>
        </w:rPr>
        <w:t>, which results in hot and cold deal market situations</w:t>
      </w:r>
      <w:r w:rsidR="000414AB" w:rsidRPr="00275248">
        <w:rPr>
          <w:color w:val="000000" w:themeColor="text1"/>
        </w:rPr>
        <w:t>. In a hot deal market, executives tend to be optimistic and consequently exaggerate the growth possibilities associated with an acquisition or venture</w:t>
      </w:r>
      <w:r w:rsidR="001C3DD3">
        <w:rPr>
          <w:color w:val="000000" w:themeColor="text1"/>
        </w:rPr>
        <w:t>, whilst in</w:t>
      </w:r>
      <w:r w:rsidR="000414AB" w:rsidRPr="00275248">
        <w:rPr>
          <w:color w:val="000000" w:themeColor="text1"/>
        </w:rPr>
        <w:t xml:space="preserve"> a cold deal market, executives tend to be pessimistic and therefore focus more on the risk inherent </w:t>
      </w:r>
      <w:r w:rsidR="00DC2BF0">
        <w:rPr>
          <w:color w:val="000000" w:themeColor="text1"/>
        </w:rPr>
        <w:t>in</w:t>
      </w:r>
      <w:r w:rsidR="000414AB" w:rsidRPr="00275248">
        <w:rPr>
          <w:color w:val="000000" w:themeColor="text1"/>
        </w:rPr>
        <w:t xml:space="preserve"> an acquisition or venture. The fluctuations in the </w:t>
      </w:r>
      <w:r w:rsidR="001C3DD3">
        <w:rPr>
          <w:color w:val="000000" w:themeColor="text1"/>
        </w:rPr>
        <w:t xml:space="preserve">amount of deals caused by the </w:t>
      </w:r>
      <w:r w:rsidR="000414AB" w:rsidRPr="00275248">
        <w:rPr>
          <w:color w:val="000000" w:themeColor="text1"/>
        </w:rPr>
        <w:t xml:space="preserve">biased valuations </w:t>
      </w:r>
      <w:r w:rsidR="00DC2BF0">
        <w:t>give</w:t>
      </w:r>
      <w:r w:rsidR="00353094">
        <w:t xml:space="preserve"> rise to different problems. One of those problems concerns the sudden tightening of the market, consequently reducing competition in the market. </w:t>
      </w:r>
      <w:r w:rsidR="001101F3">
        <w:t xml:space="preserve">Furthermore, </w:t>
      </w:r>
      <w:r w:rsidR="00162830">
        <w:t xml:space="preserve">the most </w:t>
      </w:r>
      <w:r w:rsidR="003055CA">
        <w:t xml:space="preserve">predominant </w:t>
      </w:r>
      <w:r w:rsidR="00162830">
        <w:t xml:space="preserve">problem caused by the </w:t>
      </w:r>
      <w:r w:rsidR="003055CA">
        <w:t xml:space="preserve">recent </w:t>
      </w:r>
      <w:r w:rsidR="00162830">
        <w:t>waves of M&amp;A activity is that the merging companies become ‘too big to fail’</w:t>
      </w:r>
      <w:r w:rsidR="001812E5">
        <w:t xml:space="preserve">. This </w:t>
      </w:r>
      <w:r w:rsidR="00DC2BF0">
        <w:t>means</w:t>
      </w:r>
      <w:r w:rsidR="001812E5">
        <w:t xml:space="preserve"> that if the now larger companies get in</w:t>
      </w:r>
      <w:r w:rsidR="00DC2BF0">
        <w:t>to</w:t>
      </w:r>
      <w:r w:rsidR="001812E5">
        <w:t xml:space="preserve"> financial </w:t>
      </w:r>
      <w:r w:rsidR="003055CA">
        <w:t>distress</w:t>
      </w:r>
      <w:r w:rsidR="001812E5">
        <w:t xml:space="preserve">, the government will have to </w:t>
      </w:r>
      <w:r w:rsidR="003055CA">
        <w:t>intervene</w:t>
      </w:r>
      <w:r w:rsidR="008A12F9">
        <w:t xml:space="preserve"> </w:t>
      </w:r>
      <w:r w:rsidR="008A12F9" w:rsidRPr="008A12F9">
        <w:rPr>
          <w:noProof/>
        </w:rPr>
        <w:t>(The Economist, 2012</w:t>
      </w:r>
      <w:r w:rsidR="008A12F9">
        <w:rPr>
          <w:noProof/>
        </w:rPr>
        <w:t>b</w:t>
      </w:r>
      <w:r w:rsidR="008A12F9" w:rsidRPr="008A12F9">
        <w:rPr>
          <w:noProof/>
        </w:rPr>
        <w:t>)</w:t>
      </w:r>
      <w:r w:rsidR="008A12F9">
        <w:t>.</w:t>
      </w:r>
      <w:r w:rsidR="003055CA">
        <w:t xml:space="preserve"> It is therefore imperative </w:t>
      </w:r>
      <w:r w:rsidR="001A670B">
        <w:t xml:space="preserve">to seek out possible solutions </w:t>
      </w:r>
      <w:r w:rsidR="003055CA">
        <w:t xml:space="preserve">in order to dampen the occurrence </w:t>
      </w:r>
      <w:r w:rsidR="001A670B">
        <w:t xml:space="preserve">and magnitude </w:t>
      </w:r>
      <w:r w:rsidR="003055CA">
        <w:t>of hot and cold deal markets.</w:t>
      </w:r>
    </w:p>
    <w:p w:rsidR="001F7DD7" w:rsidRDefault="001F7DD7" w:rsidP="00502D19">
      <w:pPr>
        <w:pStyle w:val="NoSpacing"/>
        <w:spacing w:line="360" w:lineRule="auto"/>
        <w:jc w:val="both"/>
      </w:pPr>
    </w:p>
    <w:p w:rsidR="001F7DD7" w:rsidRDefault="003615BC" w:rsidP="00502D19">
      <w:pPr>
        <w:pStyle w:val="NoSpacing"/>
        <w:spacing w:line="360" w:lineRule="auto"/>
        <w:jc w:val="both"/>
      </w:pPr>
      <w:r w:rsidRPr="00275248">
        <w:t xml:space="preserve">One of those possible solutions is </w:t>
      </w:r>
      <w:r>
        <w:t>provided</w:t>
      </w:r>
      <w:r w:rsidR="001F7DD7">
        <w:t xml:space="preserve"> by </w:t>
      </w:r>
      <w:r w:rsidR="003E7877">
        <w:rPr>
          <w:noProof/>
        </w:rPr>
        <w:t>Smit &amp; Lovallo (</w:t>
      </w:r>
      <w:r w:rsidR="001F7DD7">
        <w:rPr>
          <w:noProof/>
        </w:rPr>
        <w:t>2014</w:t>
      </w:r>
      <w:r w:rsidR="003E7877">
        <w:rPr>
          <w:noProof/>
        </w:rPr>
        <w:t>)</w:t>
      </w:r>
      <w:r w:rsidR="001F7DD7">
        <w:rPr>
          <w:noProof/>
        </w:rPr>
        <w:t xml:space="preserve">. </w:t>
      </w:r>
      <w:r w:rsidRPr="00275248">
        <w:t xml:space="preserve">They propose a synthesis of behavioral finance and a real options approach for debiasing the valuations in hot and cold deal markets. </w:t>
      </w:r>
      <w:r>
        <w:t>They state that due to the perception of executives of acquisitions and ventures as go/no-go</w:t>
      </w:r>
      <w:r w:rsidR="00C117E9">
        <w:t xml:space="preserve"> decisions, there exist</w:t>
      </w:r>
      <w:r>
        <w:t xml:space="preserve"> </w:t>
      </w:r>
      <w:r w:rsidR="00AE3805">
        <w:t>biases</w:t>
      </w:r>
      <w:r>
        <w:t xml:space="preserve"> in valuation in hot and cold deal markets. As previously stated, executives tend to be overly optimistic about growth opportunities in hot deal markets, whilst in cold deal markets, executives are reluctant </w:t>
      </w:r>
      <w:r w:rsidR="002D4B74">
        <w:t xml:space="preserve">to make deals due to an emphasis on risk. Seen in the light of the most commonly used valuation method, the discounted cash flow method (DCF), the growth inherent in the horizon value is exaggerated in hot deal markets, while the initial outlay and the overall risk in the project is focused upon in cold deal markets, with little to no attention </w:t>
      </w:r>
      <w:r w:rsidR="00AE3805">
        <w:t>given</w:t>
      </w:r>
      <w:r w:rsidR="002D4B74">
        <w:t xml:space="preserve"> to the horizon value</w:t>
      </w:r>
      <w:r w:rsidR="00B16558">
        <w:t xml:space="preserve"> (see Appendix A)</w:t>
      </w:r>
      <w:r w:rsidR="002D4B74">
        <w:t xml:space="preserve">. </w:t>
      </w:r>
      <w:r w:rsidR="001F7DD7">
        <w:t xml:space="preserve">In other words, the </w:t>
      </w:r>
      <w:r w:rsidR="00AE3805">
        <w:t xml:space="preserve">perception of the </w:t>
      </w:r>
      <w:r w:rsidR="001F7DD7">
        <w:t>uncertainty inherent in the acquisition or venture gives rise to biases in valuations.</w:t>
      </w:r>
    </w:p>
    <w:p w:rsidR="001F7DD7" w:rsidRDefault="001F7DD7" w:rsidP="00502D19">
      <w:pPr>
        <w:pStyle w:val="NoSpacing"/>
        <w:spacing w:line="360" w:lineRule="auto"/>
        <w:jc w:val="both"/>
      </w:pPr>
    </w:p>
    <w:p w:rsidR="002D4B74" w:rsidRDefault="002D4B74" w:rsidP="00502D19">
      <w:pPr>
        <w:pStyle w:val="NoSpacing"/>
        <w:spacing w:line="360" w:lineRule="auto"/>
        <w:jc w:val="both"/>
      </w:pPr>
      <w:r>
        <w:lastRenderedPageBreak/>
        <w:t>Th</w:t>
      </w:r>
      <w:r w:rsidR="00B16558">
        <w:t>ese cognitive biases have</w:t>
      </w:r>
      <w:r>
        <w:t xml:space="preserve"> been subject to extensive research. </w:t>
      </w:r>
      <w:r w:rsidR="003E7877">
        <w:rPr>
          <w:noProof/>
        </w:rPr>
        <w:t>Kahneman &amp; Lovallo (</w:t>
      </w:r>
      <w:r w:rsidR="00B16558">
        <w:rPr>
          <w:noProof/>
        </w:rPr>
        <w:t>1993</w:t>
      </w:r>
      <w:r w:rsidR="003E7877">
        <w:rPr>
          <w:noProof/>
        </w:rPr>
        <w:t>)</w:t>
      </w:r>
      <w:r w:rsidR="00A92051">
        <w:rPr>
          <w:noProof/>
        </w:rPr>
        <w:t xml:space="preserve"> discuss various of these cognitive biases, which, in the light of the hot and cold deal market, can explain the behavior of executives.</w:t>
      </w:r>
      <w:r w:rsidR="00B16558">
        <w:rPr>
          <w:noProof/>
        </w:rPr>
        <w:t xml:space="preserve"> </w:t>
      </w:r>
      <w:r w:rsidR="001F7DD7">
        <w:t xml:space="preserve">The explanation for the </w:t>
      </w:r>
      <w:r w:rsidR="00AE3805">
        <w:t xml:space="preserve">overvaluation in </w:t>
      </w:r>
      <w:r w:rsidR="001F7DD7">
        <w:t xml:space="preserve">hot deal market can be found in the </w:t>
      </w:r>
      <w:r w:rsidR="00C117E9">
        <w:t>over</w:t>
      </w:r>
      <w:r w:rsidR="001F7DD7">
        <w:t xml:space="preserve">optimism </w:t>
      </w:r>
      <w:r w:rsidR="00C117E9">
        <w:t xml:space="preserve">and overconfidence </w:t>
      </w:r>
      <w:r w:rsidR="001F7DD7">
        <w:t>bias</w:t>
      </w:r>
      <w:r w:rsidR="00A92051">
        <w:t xml:space="preserve">, whilst the </w:t>
      </w:r>
      <w:r w:rsidR="00AE3805">
        <w:t xml:space="preserve">undervaluation and </w:t>
      </w:r>
      <w:r w:rsidR="00A92051">
        <w:t xml:space="preserve">relatively few deals in the cold deal market situation can be explained by loss aversion and </w:t>
      </w:r>
      <w:r w:rsidR="00C117E9">
        <w:t xml:space="preserve">narrow </w:t>
      </w:r>
      <w:r w:rsidR="003C197A">
        <w:t>framing</w:t>
      </w:r>
      <w:r w:rsidR="00A92051">
        <w:t>. Smit &amp; Lovallo (2014) also regard herding behavior of competitors</w:t>
      </w:r>
      <w:r w:rsidR="00C117E9">
        <w:t xml:space="preserve"> and anchoring</w:t>
      </w:r>
      <w:r w:rsidR="00A92051">
        <w:t xml:space="preserve"> as a </w:t>
      </w:r>
      <w:r w:rsidR="001A5139">
        <w:t xml:space="preserve">driving force of the hot and cold deal markets. </w:t>
      </w:r>
      <w:r w:rsidR="00A92051">
        <w:t xml:space="preserve">However, these possible explanations for the </w:t>
      </w:r>
      <w:r w:rsidR="001A5139">
        <w:t xml:space="preserve">hot and cold deal markets </w:t>
      </w:r>
      <w:r w:rsidR="00AE3805">
        <w:t>are</w:t>
      </w:r>
      <w:r w:rsidR="001A5139">
        <w:t xml:space="preserve"> not what this paper aims to study. </w:t>
      </w:r>
      <w:r w:rsidR="00C117E9">
        <w:t xml:space="preserve">This paper will solely look at previously mentioned personal-level uncertainty biases of  executives. Through these biases, </w:t>
      </w:r>
      <w:r w:rsidR="001A5139">
        <w:t xml:space="preserve">the possible solution, the real options approach, proposed by Smit &amp; Lovallo (2014) </w:t>
      </w:r>
      <w:r w:rsidR="00C117E9">
        <w:t xml:space="preserve">will be </w:t>
      </w:r>
      <w:r w:rsidR="00956726">
        <w:t>treated.</w:t>
      </w:r>
    </w:p>
    <w:p w:rsidR="001E67B5" w:rsidRDefault="001E67B5" w:rsidP="00502D19">
      <w:pPr>
        <w:pStyle w:val="NoSpacing"/>
        <w:spacing w:line="360" w:lineRule="auto"/>
        <w:jc w:val="both"/>
      </w:pPr>
    </w:p>
    <w:p w:rsidR="005031C5" w:rsidRDefault="001E67B5" w:rsidP="00502D19">
      <w:pPr>
        <w:pStyle w:val="NoSpacing"/>
        <w:spacing w:line="360" w:lineRule="auto"/>
        <w:jc w:val="both"/>
      </w:pPr>
      <w:r>
        <w:t>This real options solution focuses on the uncertainty inherent in acquisitions and ventures. Basically, the solution attempts to dampen the</w:t>
      </w:r>
      <w:r w:rsidR="00DC2BF0">
        <w:t xml:space="preserve"> effect that</w:t>
      </w:r>
      <w:r>
        <w:t xml:space="preserve"> optimism and pessimism of executives</w:t>
      </w:r>
      <w:r w:rsidR="00DC2BF0">
        <w:t xml:space="preserve"> has on the amount of deal done, </w:t>
      </w:r>
      <w:r>
        <w:t>by respectively trying to evoke a feeling</w:t>
      </w:r>
      <w:r w:rsidR="00DC2BF0">
        <w:t xml:space="preserve"> of</w:t>
      </w:r>
      <w:r>
        <w:t xml:space="preserve"> caution and venturing. Th</w:t>
      </w:r>
      <w:r w:rsidR="005031C5">
        <w:t xml:space="preserve">e idea is that this </w:t>
      </w:r>
      <w:r>
        <w:t xml:space="preserve">can be achieved by making executives aware of the real options inherent </w:t>
      </w:r>
      <w:r w:rsidR="00E10B09">
        <w:t>in</w:t>
      </w:r>
      <w:r>
        <w:t xml:space="preserve"> acquisitions and ventures. </w:t>
      </w:r>
      <w:r w:rsidR="005031C5">
        <w:t xml:space="preserve">In hot deal markets, where many deals are done and overvaluation is present, executives should be made more cautious in order to temper the amount of deals done. </w:t>
      </w:r>
      <w:r w:rsidR="00956726">
        <w:t>Smit &amp; Lovallo (2014)</w:t>
      </w:r>
      <w:r w:rsidR="005031C5">
        <w:t xml:space="preserve"> propose that options to defer or </w:t>
      </w:r>
      <w:r w:rsidR="00E10B09">
        <w:t xml:space="preserve">to </w:t>
      </w:r>
      <w:r w:rsidR="005031C5">
        <w:t>stage investments should be acknowledged by executives in order to make executives aware that acquisitions are not necessarily go/no-go decisions. In cold deal markets, with few deals being done, executives should be</w:t>
      </w:r>
      <w:r w:rsidR="00956726">
        <w:t>come</w:t>
      </w:r>
      <w:r w:rsidR="005031C5">
        <w:t xml:space="preserve"> more venturing by i</w:t>
      </w:r>
      <w:r w:rsidR="00956726">
        <w:t>mproving</w:t>
      </w:r>
      <w:r w:rsidR="005031C5">
        <w:t xml:space="preserve"> the perception of value in the targets and consequently increasing the amount of deals done. By making executives more aware of </w:t>
      </w:r>
      <w:r w:rsidR="00E10B09">
        <w:t>growth options,</w:t>
      </w:r>
      <w:r w:rsidR="005031C5">
        <w:t xml:space="preserve"> options to abandon investments</w:t>
      </w:r>
      <w:r w:rsidR="00E10B09">
        <w:t xml:space="preserve"> and options to switch</w:t>
      </w:r>
      <w:r w:rsidR="005031C5">
        <w:t>, the tendency to focus on risk can be dampened as well as redirecting the focus to the growth opportunities in po</w:t>
      </w:r>
      <w:r w:rsidR="00E10B09">
        <w:t xml:space="preserve">tential </w:t>
      </w:r>
      <w:r w:rsidR="005031C5">
        <w:t>investments</w:t>
      </w:r>
      <w:r w:rsidR="0042777E">
        <w:t>, thereby reducing the undervaluation</w:t>
      </w:r>
      <w:r w:rsidR="005031C5">
        <w:t>.</w:t>
      </w:r>
    </w:p>
    <w:p w:rsidR="001E67B5" w:rsidRDefault="001E67B5" w:rsidP="00502D19">
      <w:pPr>
        <w:pStyle w:val="NoSpacing"/>
        <w:spacing w:line="360" w:lineRule="auto"/>
        <w:jc w:val="both"/>
      </w:pPr>
      <w:r>
        <w:t xml:space="preserve"> </w:t>
      </w:r>
    </w:p>
    <w:p w:rsidR="006B6215" w:rsidRDefault="001F7DD7" w:rsidP="00502D19">
      <w:pPr>
        <w:pStyle w:val="NoSpacing"/>
        <w:spacing w:line="360" w:lineRule="auto"/>
        <w:jc w:val="both"/>
      </w:pPr>
      <w:r>
        <w:t>The co</w:t>
      </w:r>
      <w:r w:rsidR="00956726">
        <w:t>ntribution of this paper can be found in</w:t>
      </w:r>
      <w:r>
        <w:t xml:space="preserve"> the composition of an experiment</w:t>
      </w:r>
      <w:r w:rsidR="00956726">
        <w:t xml:space="preserve"> in which the proposed solution</w:t>
      </w:r>
      <w:r>
        <w:t xml:space="preserve"> of Smit and Lovallo (2014) </w:t>
      </w:r>
      <w:r w:rsidR="00956726">
        <w:t xml:space="preserve">is </w:t>
      </w:r>
      <w:r w:rsidR="00F817CC">
        <w:t xml:space="preserve">empirically </w:t>
      </w:r>
      <w:r>
        <w:t>tes</w:t>
      </w:r>
      <w:r w:rsidR="006B6215">
        <w:t xml:space="preserve">ted in a controlled environment. </w:t>
      </w:r>
      <w:r w:rsidR="005F1FBE">
        <w:t xml:space="preserve">Firstly, </w:t>
      </w:r>
      <w:r w:rsidR="006B6215">
        <w:t>the participants will be framed as executive of a fictional company</w:t>
      </w:r>
      <w:r w:rsidR="00956726">
        <w:t xml:space="preserve">. They </w:t>
      </w:r>
      <w:r w:rsidR="006B6215">
        <w:t xml:space="preserve">will be able to earn real cash, depending on the decision made as well as chance event. After this, </w:t>
      </w:r>
      <w:r w:rsidR="005F1FBE">
        <w:t>the experiment will test whether there is indeed a discrepancy in the valuation of ventures (with a horizon value) between executives in hot and cold deal markets</w:t>
      </w:r>
      <w:r w:rsidR="006B6215">
        <w:t>, by framing groups of participants in hot and cold deal market setting</w:t>
      </w:r>
      <w:r w:rsidR="00956726">
        <w:t>s</w:t>
      </w:r>
      <w:r w:rsidR="006B6215">
        <w:t xml:space="preserve"> by drastically changing their initial endowment</w:t>
      </w:r>
      <w:r w:rsidR="005F1FBE">
        <w:t xml:space="preserve">. Secondly, the experiment seeks to research whether real </w:t>
      </w:r>
      <w:r w:rsidR="005F1FBE">
        <w:lastRenderedPageBreak/>
        <w:t xml:space="preserve">options are noticed by </w:t>
      </w:r>
      <w:r w:rsidR="006B6215">
        <w:t>participants</w:t>
      </w:r>
      <w:r w:rsidR="00956726">
        <w:t xml:space="preserve"> and</w:t>
      </w:r>
      <w:r w:rsidR="005F1FBE">
        <w:t xml:space="preserve"> how they perceive them when the options are made increasingly explicit. Ultimately, the goal is to find out whether raising awareness among </w:t>
      </w:r>
      <w:r w:rsidR="006B6215">
        <w:t>participants</w:t>
      </w:r>
      <w:r w:rsidR="005F1FBE">
        <w:t xml:space="preserve"> about the presence of different real options in ventures effectively af</w:t>
      </w:r>
      <w:r w:rsidR="001B78F0">
        <w:t xml:space="preserve">fects their further valuations. In other words, to find out whether executives are susceptible for real options. If this is the case then making real options analysis standard in every valuation decision could indeed provide a solution for the occurrence and magnitude of the hot and cold deal market phenomena. </w:t>
      </w:r>
      <w:r w:rsidR="005F1FBE">
        <w:t xml:space="preserve">Important to note at this point is that this paper does not yet conduct the experiment; it is solely concerned with the composition of the experiment. </w:t>
      </w:r>
      <w:r w:rsidR="00956726">
        <w:t xml:space="preserve">The conduction of the experiment will be subject of a future extension of this research, and will be therefore be reported in a different paper. </w:t>
      </w:r>
      <w:r w:rsidR="005F1FBE">
        <w:t xml:space="preserve">The main question the experiment </w:t>
      </w:r>
      <w:r w:rsidR="00956726">
        <w:t xml:space="preserve">that will be composed will seek </w:t>
      </w:r>
      <w:r w:rsidR="005F1FBE">
        <w:t>to answer, and thus, what the experiment is ultimately based upon is as follows:</w:t>
      </w:r>
    </w:p>
    <w:p w:rsidR="0042777E" w:rsidRDefault="0042777E" w:rsidP="00502D19">
      <w:pPr>
        <w:pStyle w:val="NoSpacing"/>
        <w:spacing w:line="360" w:lineRule="auto"/>
        <w:jc w:val="both"/>
      </w:pPr>
    </w:p>
    <w:p w:rsidR="001E67B5" w:rsidRDefault="005F1FBE" w:rsidP="00502D19">
      <w:pPr>
        <w:jc w:val="both"/>
        <w:rPr>
          <w:b/>
        </w:rPr>
      </w:pPr>
      <w:r w:rsidRPr="005F1FBE">
        <w:rPr>
          <w:b/>
        </w:rPr>
        <w:t>“</w:t>
      </w:r>
      <w:r w:rsidR="000B316A">
        <w:rPr>
          <w:b/>
        </w:rPr>
        <w:t>How does the introduction of</w:t>
      </w:r>
      <w:r w:rsidR="001E67B5" w:rsidRPr="005F1FBE">
        <w:rPr>
          <w:b/>
        </w:rPr>
        <w:t xml:space="preserve"> real options in </w:t>
      </w:r>
      <w:r w:rsidRPr="005F1FBE">
        <w:rPr>
          <w:b/>
        </w:rPr>
        <w:t>ventures</w:t>
      </w:r>
      <w:r w:rsidR="001E67B5" w:rsidRPr="005F1FBE">
        <w:rPr>
          <w:b/>
        </w:rPr>
        <w:t xml:space="preserve"> </w:t>
      </w:r>
      <w:r w:rsidR="000B316A">
        <w:rPr>
          <w:b/>
        </w:rPr>
        <w:t xml:space="preserve">affect </w:t>
      </w:r>
      <w:r w:rsidR="001E67B5" w:rsidRPr="005F1FBE">
        <w:rPr>
          <w:b/>
        </w:rPr>
        <w:t xml:space="preserve">the valuation of these </w:t>
      </w:r>
      <w:r w:rsidR="000B316A">
        <w:rPr>
          <w:b/>
        </w:rPr>
        <w:t>ventures</w:t>
      </w:r>
      <w:r w:rsidR="001E67B5" w:rsidRPr="005F1FBE">
        <w:rPr>
          <w:b/>
        </w:rPr>
        <w:t xml:space="preserve"> by </w:t>
      </w:r>
      <w:r w:rsidR="000B316A">
        <w:rPr>
          <w:b/>
        </w:rPr>
        <w:t>executives</w:t>
      </w:r>
      <w:r w:rsidR="001E67B5" w:rsidRPr="005F1FBE">
        <w:rPr>
          <w:b/>
        </w:rPr>
        <w:t xml:space="preserve"> in a hot and cold deal market setting?</w:t>
      </w:r>
      <w:r w:rsidRPr="005F1FBE">
        <w:rPr>
          <w:b/>
        </w:rPr>
        <w:t>”</w:t>
      </w:r>
    </w:p>
    <w:p w:rsidR="006B6215" w:rsidRDefault="006B6215" w:rsidP="00502D19">
      <w:pPr>
        <w:jc w:val="both"/>
        <w:rPr>
          <w:b/>
        </w:rPr>
      </w:pPr>
    </w:p>
    <w:p w:rsidR="002B46E4" w:rsidRDefault="00844661" w:rsidP="00502D19">
      <w:pPr>
        <w:spacing w:line="360" w:lineRule="auto"/>
        <w:jc w:val="both"/>
      </w:pPr>
      <w:r>
        <w:t xml:space="preserve">In the next section of the paper, the theoretical framework will be </w:t>
      </w:r>
      <w:r w:rsidR="002B46E4">
        <w:t>covered</w:t>
      </w:r>
      <w:r w:rsidR="0063599E">
        <w:t>. Firstly, a detailed discussion of the conventional valuation methods is covered</w:t>
      </w:r>
      <w:r w:rsidR="00933098">
        <w:t>, after which an overview of the relevant cognitive biases will be given</w:t>
      </w:r>
      <w:r>
        <w:t>. Next, the</w:t>
      </w:r>
      <w:r w:rsidR="0063599E">
        <w:t xml:space="preserve"> cognitive biases</w:t>
      </w:r>
      <w:r w:rsidR="00933098">
        <w:t xml:space="preserve"> will be explained in conjunction with </w:t>
      </w:r>
      <w:r w:rsidR="0063599E">
        <w:t>the</w:t>
      </w:r>
      <w:r>
        <w:t xml:space="preserve"> </w:t>
      </w:r>
      <w:r w:rsidR="0063599E">
        <w:t>relevant conventional valuation method</w:t>
      </w:r>
      <w:r w:rsidR="00933098">
        <w:t>, thereby providing an explanation for the hot and cold deal market phenomenon, based on these personal-level uncertainty biases</w:t>
      </w:r>
      <w:r>
        <w:t xml:space="preserve">. </w:t>
      </w:r>
      <w:r w:rsidR="002B46E4">
        <w:t>After this extensive description of the problem</w:t>
      </w:r>
      <w:r w:rsidR="00933098">
        <w:t xml:space="preserve"> and its causes</w:t>
      </w:r>
      <w:r w:rsidR="002B46E4">
        <w:t xml:space="preserve">, </w:t>
      </w:r>
      <w:r w:rsidR="00956726">
        <w:t xml:space="preserve">a short overview of the debiasing </w:t>
      </w:r>
      <w:r w:rsidR="00933098">
        <w:t>possibilities</w:t>
      </w:r>
      <w:r w:rsidR="00956726">
        <w:t xml:space="preserve"> will be given, after which </w:t>
      </w:r>
      <w:r w:rsidR="002B46E4">
        <w:t xml:space="preserve">the real options approach will be covered. </w:t>
      </w:r>
      <w:r w:rsidR="00956726">
        <w:t>The</w:t>
      </w:r>
      <w:r w:rsidR="002B46E4">
        <w:t xml:space="preserve"> theoretical framework will be concluded with </w:t>
      </w:r>
      <w:r w:rsidR="00956726">
        <w:t>an overview of the experimental literature. Throughout the theoretical framework</w:t>
      </w:r>
      <w:r w:rsidR="00933098">
        <w:t xml:space="preserve"> the goal is to come up with </w:t>
      </w:r>
      <w:r w:rsidR="002B46E4">
        <w:t>hypotheses, which are based upon the explicit link between the described problem and the real options approach as the solution, as proposed by Smit &amp; Lovallo (2014).</w:t>
      </w:r>
      <w:r w:rsidR="0018271B">
        <w:t xml:space="preserve"> The experiment will be composed by </w:t>
      </w:r>
      <w:r w:rsidR="00933098">
        <w:t xml:space="preserve">creating a setting in which </w:t>
      </w:r>
      <w:r w:rsidR="0018271B">
        <w:t>answer</w:t>
      </w:r>
      <w:r w:rsidR="00933098">
        <w:t>s to</w:t>
      </w:r>
      <w:r w:rsidR="0018271B">
        <w:t xml:space="preserve"> these hypotheses</w:t>
      </w:r>
      <w:r w:rsidR="00933098">
        <w:t xml:space="preserve"> can be found</w:t>
      </w:r>
      <w:r w:rsidR="0018271B">
        <w:t xml:space="preserve">. </w:t>
      </w:r>
      <w:r w:rsidR="002B46E4">
        <w:t>After the discussion of the theoretical framework, the process of composing the experiment will be covered, with an extensive consideration for the choice of structure and formulation of the questions.</w:t>
      </w:r>
      <w:r w:rsidR="006B6215">
        <w:t xml:space="preserve"> The paper will be concluded by giving an overview of all the consideration</w:t>
      </w:r>
      <w:r w:rsidR="0018271B">
        <w:t>s</w:t>
      </w:r>
      <w:r w:rsidR="006B6215">
        <w:t xml:space="preserve"> and limitations made during the composition of the experiment, as well as some important suggestions about the conduction of the experiment and future compositions of experiments regarding this topic.</w:t>
      </w:r>
    </w:p>
    <w:p w:rsidR="00771F01" w:rsidRDefault="00771F01" w:rsidP="00836B55">
      <w:pPr>
        <w:pStyle w:val="Heading1"/>
        <w:rPr>
          <w:b/>
          <w:color w:val="auto"/>
        </w:rPr>
      </w:pPr>
    </w:p>
    <w:p w:rsidR="00771F01" w:rsidRDefault="00771F01" w:rsidP="00836B55">
      <w:pPr>
        <w:pStyle w:val="Heading1"/>
        <w:rPr>
          <w:b/>
          <w:color w:val="auto"/>
        </w:rPr>
      </w:pPr>
    </w:p>
    <w:p w:rsidR="00771F01" w:rsidRPr="00771F01" w:rsidRDefault="00771F01" w:rsidP="00771F01"/>
    <w:p w:rsidR="00836B55" w:rsidRPr="00AF479D" w:rsidRDefault="00836B55" w:rsidP="00836B55">
      <w:pPr>
        <w:pStyle w:val="Heading1"/>
        <w:rPr>
          <w:b/>
          <w:color w:val="auto"/>
        </w:rPr>
      </w:pPr>
      <w:bookmarkStart w:id="2" w:name="_Toc397159368"/>
      <w:r w:rsidRPr="00AF479D">
        <w:rPr>
          <w:b/>
          <w:color w:val="auto"/>
        </w:rPr>
        <w:t>Theoretical Framework</w:t>
      </w:r>
      <w:bookmarkEnd w:id="2"/>
    </w:p>
    <w:p w:rsidR="00836B55" w:rsidRDefault="00836B55" w:rsidP="00ED7021">
      <w:pPr>
        <w:pStyle w:val="NoSpacing"/>
        <w:spacing w:line="360" w:lineRule="auto"/>
      </w:pPr>
    </w:p>
    <w:p w:rsidR="00132FF9" w:rsidRDefault="002070F2" w:rsidP="003E2FED">
      <w:pPr>
        <w:pStyle w:val="NoSpacing"/>
        <w:spacing w:line="360" w:lineRule="auto"/>
        <w:jc w:val="both"/>
        <w:rPr>
          <w:i/>
        </w:rPr>
      </w:pPr>
      <w:r w:rsidRPr="00132FF9">
        <w:rPr>
          <w:i/>
        </w:rPr>
        <w:t xml:space="preserve">In this section of the paper the theoretical foundations upon which the experiment will be based is treated. </w:t>
      </w:r>
      <w:r w:rsidR="004B4F0F" w:rsidRPr="00132FF9">
        <w:rPr>
          <w:i/>
        </w:rPr>
        <w:t>By first giving a proper description of the problem this paper seeks to test a solution of by composing an experiment</w:t>
      </w:r>
      <w:r w:rsidR="00132FF9" w:rsidRPr="00132FF9">
        <w:rPr>
          <w:i/>
        </w:rPr>
        <w:t>,</w:t>
      </w:r>
      <w:r w:rsidR="004B4F0F" w:rsidRPr="00132FF9">
        <w:rPr>
          <w:i/>
        </w:rPr>
        <w:t xml:space="preserve"> the relevant factors will be fenced off from the factors which will not be given further consideration </w:t>
      </w:r>
      <w:r w:rsidR="0018271B">
        <w:rPr>
          <w:i/>
        </w:rPr>
        <w:t>in</w:t>
      </w:r>
      <w:r w:rsidR="004B4F0F" w:rsidRPr="00132FF9">
        <w:rPr>
          <w:i/>
        </w:rPr>
        <w:t xml:space="preserve"> this paper. </w:t>
      </w:r>
      <w:r w:rsidR="00132FF9" w:rsidRPr="00132FF9">
        <w:rPr>
          <w:i/>
        </w:rPr>
        <w:t>After this, an overview of the relevant real options will be given, after which th</w:t>
      </w:r>
      <w:r w:rsidR="00132FF9">
        <w:rPr>
          <w:i/>
        </w:rPr>
        <w:t>e</w:t>
      </w:r>
      <w:r w:rsidR="00132FF9" w:rsidRPr="00132FF9">
        <w:rPr>
          <w:i/>
        </w:rPr>
        <w:t xml:space="preserve"> proposed solution by Smit &amp; Lovallo (2014) will be explained by combining t</w:t>
      </w:r>
      <w:r w:rsidR="00132FF9">
        <w:rPr>
          <w:i/>
        </w:rPr>
        <w:t>he described problem with the properties of the explained real options</w:t>
      </w:r>
      <w:r w:rsidR="00CC40F0">
        <w:rPr>
          <w:i/>
        </w:rPr>
        <w:t xml:space="preserve"> and thereby explaining the proposed possibility to debias the valuations</w:t>
      </w:r>
      <w:r w:rsidR="00132FF9">
        <w:rPr>
          <w:i/>
        </w:rPr>
        <w:t xml:space="preserve">. </w:t>
      </w:r>
      <w:r w:rsidR="00FA783A">
        <w:rPr>
          <w:i/>
        </w:rPr>
        <w:t xml:space="preserve">Near the end of </w:t>
      </w:r>
      <w:r w:rsidR="0018271B">
        <w:rPr>
          <w:i/>
        </w:rPr>
        <w:t>t</w:t>
      </w:r>
      <w:r w:rsidR="00132FF9">
        <w:rPr>
          <w:i/>
        </w:rPr>
        <w:t xml:space="preserve">he theoretical framework </w:t>
      </w:r>
      <w:r w:rsidR="00FA783A">
        <w:rPr>
          <w:i/>
        </w:rPr>
        <w:t xml:space="preserve">the </w:t>
      </w:r>
      <w:r w:rsidR="00132FF9">
        <w:rPr>
          <w:i/>
        </w:rPr>
        <w:t>hypotheses</w:t>
      </w:r>
      <w:r w:rsidR="0018271B">
        <w:rPr>
          <w:i/>
        </w:rPr>
        <w:t xml:space="preserve"> will be posited</w:t>
      </w:r>
      <w:r w:rsidR="00132FF9">
        <w:rPr>
          <w:i/>
        </w:rPr>
        <w:t xml:space="preserve">, </w:t>
      </w:r>
      <w:r w:rsidR="0018271B">
        <w:rPr>
          <w:i/>
        </w:rPr>
        <w:t xml:space="preserve">which will reflect the </w:t>
      </w:r>
      <w:r w:rsidR="00503F9B">
        <w:rPr>
          <w:i/>
        </w:rPr>
        <w:t xml:space="preserve">theoretical </w:t>
      </w:r>
      <w:r w:rsidR="002810D2">
        <w:rPr>
          <w:i/>
        </w:rPr>
        <w:t>expectations. These expectations will be the basis for the experiment.</w:t>
      </w:r>
      <w:r w:rsidR="00FA783A">
        <w:rPr>
          <w:i/>
        </w:rPr>
        <w:t xml:space="preserve"> The section concludes by providing a short overview of considerations offered by the current experimental literature.</w:t>
      </w:r>
    </w:p>
    <w:p w:rsidR="000C6AE3" w:rsidRDefault="000C6AE3" w:rsidP="003E2FED">
      <w:pPr>
        <w:pStyle w:val="NoSpacing"/>
        <w:spacing w:line="360" w:lineRule="auto"/>
        <w:jc w:val="both"/>
      </w:pPr>
    </w:p>
    <w:p w:rsidR="00B57B3A" w:rsidRDefault="00EF4803" w:rsidP="003E2FED">
      <w:pPr>
        <w:pStyle w:val="NoSpacing"/>
        <w:spacing w:line="360" w:lineRule="auto"/>
        <w:jc w:val="both"/>
      </w:pPr>
      <w:r>
        <w:t>As</w:t>
      </w:r>
      <w:r w:rsidR="00B57B3A">
        <w:t xml:space="preserve"> </w:t>
      </w:r>
      <w:r w:rsidR="00A234F7">
        <w:t xml:space="preserve">briefly explained in the Introduction, </w:t>
      </w:r>
      <w:r w:rsidR="00B57B3A">
        <w:t xml:space="preserve">the scope of this paper is </w:t>
      </w:r>
      <w:r w:rsidR="00A234F7">
        <w:t>to compose an experiment that can test a</w:t>
      </w:r>
      <w:r w:rsidR="00B57B3A">
        <w:t xml:space="preserve"> solution for personal-level uncertainty biases of executives giving rise to the hot and cold deal market situations, via distorted valuations. Therefore, the other causes</w:t>
      </w:r>
      <w:r w:rsidR="00A234F7">
        <w:t xml:space="preserve"> Smit &amp; Lovallo (2014) posit, among which herding behavior, anchoring to distorted multiples and groupthink,</w:t>
      </w:r>
      <w:r w:rsidR="00B57B3A">
        <w:t xml:space="preserve"> will not be given further attention in this paper. The focus here will be on the personal-level u</w:t>
      </w:r>
      <w:r w:rsidR="00A234F7">
        <w:t>ncertainty biases of executives as cause for the hot and cold deal market phenomena.</w:t>
      </w:r>
    </w:p>
    <w:p w:rsidR="00B57B3A" w:rsidRDefault="00B57B3A" w:rsidP="003E2FED">
      <w:pPr>
        <w:pStyle w:val="NoSpacing"/>
        <w:spacing w:line="360" w:lineRule="auto"/>
        <w:jc w:val="both"/>
      </w:pPr>
    </w:p>
    <w:p w:rsidR="00DF7BA1" w:rsidRDefault="00B57B3A" w:rsidP="00DF7BA1">
      <w:pPr>
        <w:spacing w:line="360" w:lineRule="auto"/>
        <w:jc w:val="both"/>
      </w:pPr>
      <w:r>
        <w:t xml:space="preserve">To understand the effect of these personal-level uncertainty biases on the valuation of ventures, which in turn gives rise to the hot and cold deal markets, a brief overview of the relevant valuation methods is essential, </w:t>
      </w:r>
      <w:r w:rsidR="00DF7BA1">
        <w:t xml:space="preserve">before going in depth on how different biases influence the valuations obtained from these methods. There are two primary method used in valuations, the discounted cash flow (DCF) method and multiples analysis. </w:t>
      </w:r>
      <w:r w:rsidR="00763CC2">
        <w:t>The latter however will not be given further attention in this paper, as it has more to do with the other possible causes of the hot and cold deal markets</w:t>
      </w:r>
      <w:r w:rsidR="00A234F7">
        <w:t xml:space="preserve"> (anchoring to distorted market multiples)</w:t>
      </w:r>
      <w:r w:rsidR="00763CC2">
        <w:t xml:space="preserve">. </w:t>
      </w:r>
      <w:r w:rsidR="00DF7BA1">
        <w:t>The DCF method is the method in which future cash flows of an investment opportunity are discounted agai</w:t>
      </w:r>
      <w:r w:rsidR="001D780B">
        <w:t xml:space="preserve">nst a particular discount rate, </w:t>
      </w:r>
      <w:r w:rsidR="00DF7BA1">
        <w:t xml:space="preserve">in order to obtain the net present value (NPV) of that </w:t>
      </w:r>
      <w:r w:rsidR="00DF7BA1">
        <w:lastRenderedPageBreak/>
        <w:t xml:space="preserve">investment opportunity. The general rule of thumb is to accept an investment opportunity if the NPV of this project exceeds 0 </w:t>
      </w:r>
      <w:sdt>
        <w:sdtPr>
          <w:id w:val="-158462377"/>
          <w:citation/>
        </w:sdtPr>
        <w:sdtContent>
          <w:r w:rsidR="008E0B8C">
            <w:fldChar w:fldCharType="begin"/>
          </w:r>
          <w:r w:rsidR="00DF7BA1" w:rsidRPr="00532370">
            <w:instrText xml:space="preserve"> CITATION Ber14 \l 1043 </w:instrText>
          </w:r>
          <w:r w:rsidR="008E0B8C">
            <w:fldChar w:fldCharType="separate"/>
          </w:r>
          <w:r w:rsidR="00362671" w:rsidRPr="00362671">
            <w:rPr>
              <w:noProof/>
            </w:rPr>
            <w:t>(Berk &amp; DeMarzo, 2014)</w:t>
          </w:r>
          <w:r w:rsidR="008E0B8C">
            <w:fldChar w:fldCharType="end"/>
          </w:r>
        </w:sdtContent>
      </w:sdt>
      <w:r w:rsidR="00DF7BA1">
        <w:t xml:space="preserve">. As long as the aforementioned future cash flows can be estimated with relative confidence, this </w:t>
      </w:r>
      <w:r w:rsidR="001D780B">
        <w:t>is desirable</w:t>
      </w:r>
      <w:r w:rsidR="00DF7BA1">
        <w:t xml:space="preserve">. However, when this is no longer the case, a so called horizon value </w:t>
      </w:r>
      <w:r w:rsidR="001D780B">
        <w:t>should be</w:t>
      </w:r>
      <w:r w:rsidR="00DF7BA1">
        <w:t xml:space="preserve"> established (see Appendix A for an example of an</w:t>
      </w:r>
      <w:r w:rsidR="001D780B">
        <w:t xml:space="preserve"> overview of a DCF analysis of an</w:t>
      </w:r>
      <w:r w:rsidR="00DF7BA1">
        <w:t xml:space="preserve"> investment opportunity). </w:t>
      </w:r>
      <w:r w:rsidR="001D780B">
        <w:t>This horizon value can be perceived as the value left due to this investment opportunity at</w:t>
      </w:r>
      <w:r w:rsidR="00C311AF">
        <w:t xml:space="preserve"> the end of the planning period</w:t>
      </w:r>
      <w:r w:rsidR="001D780B">
        <w:t xml:space="preserve">. </w:t>
      </w:r>
      <w:r w:rsidR="00DF7BA1">
        <w:t>By discounting t</w:t>
      </w:r>
      <w:r w:rsidR="00C311AF">
        <w:t>he</w:t>
      </w:r>
      <w:r w:rsidR="00DF7BA1">
        <w:t xml:space="preserve"> horizon value back to present and adding it to the present value of the other cash flows, the NPV for the investment opportunity is obtained. This horizon value can be estimated in various ways, among which the perpetuity growth model and the exit multiple approach. In the former, a perpetuity, an estimated cash flow expected to be received in regular intervals for eternity, is discounted by the difference in the cost of capital and the growth rate, in order to obtain the horizon value </w:t>
      </w:r>
      <w:sdt>
        <w:sdtPr>
          <w:id w:val="-1767608073"/>
          <w:citation/>
        </w:sdtPr>
        <w:sdtContent>
          <w:r w:rsidR="008E0B8C">
            <w:fldChar w:fldCharType="begin"/>
          </w:r>
          <w:r w:rsidR="00DF7BA1" w:rsidRPr="00597CCA">
            <w:instrText xml:space="preserve"> CITATION Bre111 \l 1043 </w:instrText>
          </w:r>
          <w:r w:rsidR="008E0B8C">
            <w:fldChar w:fldCharType="separate"/>
          </w:r>
          <w:r w:rsidR="00362671" w:rsidRPr="00362671">
            <w:rPr>
              <w:noProof/>
            </w:rPr>
            <w:t>(Brealey, Myers, &amp; Allen, 2011)</w:t>
          </w:r>
          <w:r w:rsidR="008E0B8C">
            <w:fldChar w:fldCharType="end"/>
          </w:r>
        </w:sdtContent>
      </w:sdt>
      <w:r w:rsidR="00DF7BA1">
        <w:t xml:space="preserve">. This method of estimating the horizon value however is prone to crude estimations and assumptions regarding the growth rate and is therefore subjective to biases. In the latter, the exit multiple approach, the horizon value is estimated by valuing the hypothetical situation in which the investment is sold after the period in which the cash flows can still be estimated with a fair amount of confidence. The value of the investment opportunity is obtained with a so called multiple (financial ratio), such as </w:t>
      </w:r>
      <w:r w:rsidR="00DF7BA1">
        <w:rPr>
          <w:i/>
        </w:rPr>
        <w:t>enterprise value</w:t>
      </w:r>
      <w:r w:rsidR="00DF7BA1">
        <w:t xml:space="preserve"> / </w:t>
      </w:r>
      <w:r w:rsidR="00C311AF">
        <w:rPr>
          <w:i/>
        </w:rPr>
        <w:t>earnings before interest and</w:t>
      </w:r>
      <w:r w:rsidR="00DF7BA1">
        <w:rPr>
          <w:i/>
        </w:rPr>
        <w:t xml:space="preserve"> taxes</w:t>
      </w:r>
      <w:r w:rsidR="00C311AF">
        <w:rPr>
          <w:i/>
        </w:rPr>
        <w:t xml:space="preserve"> (EBIT</w:t>
      </w:r>
      <w:r w:rsidR="00DF7BA1">
        <w:rPr>
          <w:i/>
        </w:rPr>
        <w:t>)</w:t>
      </w:r>
      <w:r w:rsidR="00DF7BA1">
        <w:t xml:space="preserve">. These multiples are based on market values of comparable projects or companies. The horizon value obtained from this method is therefore by default dependent on the comparability of the market investment opportunities. </w:t>
      </w:r>
    </w:p>
    <w:p w:rsidR="00DF7BA1" w:rsidRDefault="00DF7BA1" w:rsidP="00DF7BA1">
      <w:pPr>
        <w:pStyle w:val="NoSpacing"/>
        <w:spacing w:line="360" w:lineRule="auto"/>
        <w:jc w:val="both"/>
      </w:pPr>
      <w:r>
        <w:t xml:space="preserve">As the horizon value often determines a large portion of the total value of an investment opportunity, the methods used to estimate it should be as objective and precise as possible. However, as described above, in reality this is not the case. The estimation of the horizon value can differ greatly, dependent on the interpretation of future growth or the choice of comparable multiples. As in hot and cold deal markets executives tend to respectively over- and undervaluate investment opportunities, the presence of cognitive biases in conjunction with the sensitivity of the DCF method to the horizon value </w:t>
      </w:r>
      <w:r w:rsidR="00E12D5D">
        <w:t>could be regarded as a possible reason for the occurrence of hot and cold deal markets.</w:t>
      </w:r>
    </w:p>
    <w:p w:rsidR="00DF7BA1" w:rsidRDefault="00DF7BA1" w:rsidP="00DF7BA1">
      <w:pPr>
        <w:pStyle w:val="NoSpacing"/>
        <w:spacing w:line="360" w:lineRule="auto"/>
        <w:jc w:val="both"/>
      </w:pPr>
    </w:p>
    <w:p w:rsidR="00F80538" w:rsidRDefault="00DF7BA1" w:rsidP="003E2FED">
      <w:pPr>
        <w:pStyle w:val="NoSpacing"/>
        <w:spacing w:line="360" w:lineRule="auto"/>
        <w:jc w:val="both"/>
      </w:pPr>
      <w:r>
        <w:t>As the relevant valuation method has now briefly been explained, one can now take a closer look at the cognitive biases that influence the valuation</w:t>
      </w:r>
      <w:r w:rsidR="005F2F47" w:rsidRPr="00851405">
        <w:t xml:space="preserve">. In the context of the subject of this paper, </w:t>
      </w:r>
      <w:r w:rsidR="00F73FCA">
        <w:t>the following cognitive</w:t>
      </w:r>
      <w:r w:rsidR="00BA78AD" w:rsidRPr="00851405">
        <w:t xml:space="preserve"> biases are </w:t>
      </w:r>
      <w:r w:rsidR="004276E6">
        <w:t xml:space="preserve">regarded as </w:t>
      </w:r>
      <w:r w:rsidR="00BA78AD" w:rsidRPr="00851405">
        <w:t xml:space="preserve">most predominantly of influence on the valuation in hot and cold deal markets: </w:t>
      </w:r>
      <w:r w:rsidR="00E034F5">
        <w:t xml:space="preserve">overoptimism, </w:t>
      </w:r>
      <w:r w:rsidR="00E671C6">
        <w:t>overconfidence,</w:t>
      </w:r>
      <w:r w:rsidR="009D26F3">
        <w:t xml:space="preserve"> </w:t>
      </w:r>
      <w:r w:rsidR="009D26F3" w:rsidRPr="00851405">
        <w:t>loss aversion</w:t>
      </w:r>
      <w:r w:rsidR="009D26F3">
        <w:t xml:space="preserve"> and narrow framing,</w:t>
      </w:r>
      <w:r w:rsidR="00BA50F0">
        <w:t xml:space="preserve"> each of which will be</w:t>
      </w:r>
      <w:r w:rsidR="004276E6">
        <w:t xml:space="preserve"> </w:t>
      </w:r>
      <w:r w:rsidR="00BA50F0">
        <w:t xml:space="preserve">treated </w:t>
      </w:r>
      <w:r w:rsidR="00BA50F0">
        <w:lastRenderedPageBreak/>
        <w:t>below</w:t>
      </w:r>
      <w:r w:rsidR="009D26F3">
        <w:t>. Aft</w:t>
      </w:r>
      <w:r w:rsidR="00E12D5D">
        <w:t xml:space="preserve">er this theoretical explanation, </w:t>
      </w:r>
      <w:r w:rsidR="009D26F3">
        <w:t>the link will be made with the DCF valuation method, thereby providing an explanation for the occurrence of hot and cold deal markets.</w:t>
      </w:r>
    </w:p>
    <w:p w:rsidR="00E12D5D" w:rsidRDefault="00E12D5D" w:rsidP="000118D2">
      <w:pPr>
        <w:spacing w:line="360" w:lineRule="auto"/>
        <w:rPr>
          <w:i/>
        </w:rPr>
      </w:pPr>
    </w:p>
    <w:p w:rsidR="0052486F" w:rsidRDefault="0052486F" w:rsidP="000118D2">
      <w:pPr>
        <w:spacing w:line="360" w:lineRule="auto"/>
        <w:rPr>
          <w:i/>
        </w:rPr>
      </w:pPr>
    </w:p>
    <w:p w:rsidR="006D7E1A" w:rsidRDefault="006D7E1A" w:rsidP="000118D2">
      <w:pPr>
        <w:spacing w:line="360" w:lineRule="auto"/>
        <w:rPr>
          <w:i/>
        </w:rPr>
      </w:pPr>
    </w:p>
    <w:p w:rsidR="000118D2" w:rsidRPr="002A2F13" w:rsidRDefault="00E12D5D" w:rsidP="000118D2">
      <w:pPr>
        <w:spacing w:line="360" w:lineRule="auto"/>
        <w:rPr>
          <w:i/>
        </w:rPr>
      </w:pPr>
      <w:r w:rsidRPr="002A2F13">
        <w:rPr>
          <w:i/>
        </w:rPr>
        <w:t>Over</w:t>
      </w:r>
      <w:r w:rsidR="00E034F5">
        <w:rPr>
          <w:i/>
        </w:rPr>
        <w:t xml:space="preserve">optimism and overconfidence </w:t>
      </w:r>
      <w:r w:rsidR="000118D2" w:rsidRPr="002A2F13">
        <w:rPr>
          <w:i/>
        </w:rPr>
        <w:t xml:space="preserve"> bias</w:t>
      </w:r>
    </w:p>
    <w:p w:rsidR="00741856" w:rsidRDefault="00E034F5" w:rsidP="000118D2">
      <w:pPr>
        <w:spacing w:line="360" w:lineRule="auto"/>
        <w:jc w:val="both"/>
      </w:pPr>
      <w:r>
        <w:t xml:space="preserve">Smit &amp; Lovallo (2014) suggest that overconfidence and overoptimism in executives </w:t>
      </w:r>
      <w:r w:rsidR="00741856">
        <w:t>can cause</w:t>
      </w:r>
      <w:r>
        <w:t xml:space="preserve"> overestimated horizon values. This gives rise to the question what the difference between these two concepts is. </w:t>
      </w:r>
      <w:r w:rsidR="00741856">
        <w:t>O</w:t>
      </w:r>
      <w:r w:rsidR="002A2F13">
        <w:t>ver</w:t>
      </w:r>
      <w:r w:rsidR="000118D2" w:rsidRPr="002A2F13">
        <w:t xml:space="preserve">optimism bias is the tendency for people to think they are more likely than others to experience positive events and less likely to experience negative events </w:t>
      </w:r>
      <w:sdt>
        <w:sdtPr>
          <w:id w:val="-685442009"/>
          <w:citation/>
        </w:sdtPr>
        <w:sdtContent>
          <w:r w:rsidR="008E0B8C" w:rsidRPr="002A2F13">
            <w:fldChar w:fldCharType="begin"/>
          </w:r>
          <w:r w:rsidR="000118D2" w:rsidRPr="002A2F13">
            <w:instrText xml:space="preserve"> CITATION Hel01 \l 1043 </w:instrText>
          </w:r>
          <w:r w:rsidR="008E0B8C" w:rsidRPr="002A2F13">
            <w:fldChar w:fldCharType="separate"/>
          </w:r>
          <w:r w:rsidR="00362671" w:rsidRPr="00362671">
            <w:rPr>
              <w:noProof/>
            </w:rPr>
            <w:t>(Helweg-Larsen &amp; Shepperd, 2001)</w:t>
          </w:r>
          <w:r w:rsidR="008E0B8C" w:rsidRPr="002A2F13">
            <w:fldChar w:fldCharType="end"/>
          </w:r>
        </w:sdtContent>
      </w:sdt>
      <w:r w:rsidR="000118D2" w:rsidRPr="002A2F13">
        <w:t xml:space="preserve">. With positive events, the bias causes people to be confident and feel well, and could possibly cause people to feel overconfident. This overconfidence may also give rise to a new bias, which </w:t>
      </w:r>
      <w:r w:rsidR="002A2F13">
        <w:t>means</w:t>
      </w:r>
      <w:r w:rsidR="000118D2" w:rsidRPr="002A2F13">
        <w:t xml:space="preserve"> the people influenced by it to think they can effectively influence risks, whilst in reality they cannot. However, in case of negative events, people affected by </w:t>
      </w:r>
      <w:r w:rsidR="00741856">
        <w:t>the bias tend to take more risk</w:t>
      </w:r>
      <w:r w:rsidR="000118D2" w:rsidRPr="002A2F13">
        <w:t xml:space="preserve"> without paying much attention to the consequences</w:t>
      </w:r>
      <w:r w:rsidR="00741856">
        <w:t xml:space="preserve"> that</w:t>
      </w:r>
      <w:r w:rsidR="000118D2" w:rsidRPr="002A2F13">
        <w:t xml:space="preserve"> are affiliated with their actions </w:t>
      </w:r>
      <w:sdt>
        <w:sdtPr>
          <w:id w:val="-27657699"/>
          <w:citation/>
        </w:sdtPr>
        <w:sdtContent>
          <w:r w:rsidR="008E0B8C" w:rsidRPr="002A2F13">
            <w:fldChar w:fldCharType="begin"/>
          </w:r>
          <w:r w:rsidR="000118D2" w:rsidRPr="002A2F13">
            <w:instrText xml:space="preserve"> CITATION Wei96 \l 1043 </w:instrText>
          </w:r>
          <w:r w:rsidR="008E0B8C" w:rsidRPr="002A2F13">
            <w:fldChar w:fldCharType="separate"/>
          </w:r>
          <w:r w:rsidR="00362671" w:rsidRPr="00362671">
            <w:rPr>
              <w:noProof/>
            </w:rPr>
            <w:t>(Weinstein &amp; Klein, 1996)</w:t>
          </w:r>
          <w:r w:rsidR="008E0B8C" w:rsidRPr="002A2F13">
            <w:fldChar w:fldCharType="end"/>
          </w:r>
        </w:sdtContent>
      </w:sdt>
      <w:r w:rsidR="002A2F13">
        <w:t>.</w:t>
      </w:r>
      <w:r>
        <w:t xml:space="preserve"> In short, overoptimism bias refers to excessively optimistic expectations about exogenous factors. </w:t>
      </w:r>
    </w:p>
    <w:p w:rsidR="00E034F5" w:rsidRDefault="00741856" w:rsidP="000118D2">
      <w:pPr>
        <w:spacing w:line="360" w:lineRule="auto"/>
        <w:jc w:val="both"/>
      </w:pPr>
      <w:r>
        <w:t>O</w:t>
      </w:r>
      <w:r w:rsidR="00E034F5">
        <w:t xml:space="preserve">verconfidence refers to the situation of being excessively confident about one’s own abilities, performance or the level of control one has over situations </w:t>
      </w:r>
      <w:sdt>
        <w:sdtPr>
          <w:id w:val="-556704862"/>
          <w:citation/>
        </w:sdtPr>
        <w:sdtContent>
          <w:r w:rsidR="008E0B8C">
            <w:fldChar w:fldCharType="begin"/>
          </w:r>
          <w:r w:rsidR="00E034F5" w:rsidRPr="00E034F5">
            <w:instrText xml:space="preserve"> CITATION Wil08 \l 1043 </w:instrText>
          </w:r>
          <w:r w:rsidR="008E0B8C">
            <w:fldChar w:fldCharType="separate"/>
          </w:r>
          <w:r w:rsidR="00362671" w:rsidRPr="00362671">
            <w:rPr>
              <w:noProof/>
            </w:rPr>
            <w:t>(Wilkinson, 2008)</w:t>
          </w:r>
          <w:r w:rsidR="008E0B8C">
            <w:fldChar w:fldCharType="end"/>
          </w:r>
        </w:sdtContent>
      </w:sdt>
      <w:r w:rsidR="00E034F5">
        <w:t xml:space="preserve">. </w:t>
      </w:r>
      <w:r>
        <w:t xml:space="preserve"> </w:t>
      </w:r>
      <w:r w:rsidR="00E034F5" w:rsidRPr="00E034F5">
        <w:rPr>
          <w:noProof/>
        </w:rPr>
        <w:t>Moore &amp; Healy (2008)</w:t>
      </w:r>
      <w:r w:rsidR="00E034F5">
        <w:rPr>
          <w:noProof/>
        </w:rPr>
        <w:t xml:space="preserve"> distinguish three different manifestations of overconfidence, namely overestimation, overprecision and overplacement. Overestimation refers to overestimating one’s control over the situation, one’s abilities and chances for success. Overprecision </w:t>
      </w:r>
      <w:r w:rsidR="00386DA1">
        <w:rPr>
          <w:noProof/>
        </w:rPr>
        <w:t xml:space="preserve">refers to excessive certainty regarding the accuracy of one’s beliefs </w:t>
      </w:r>
      <w:sdt>
        <w:sdtPr>
          <w:rPr>
            <w:noProof/>
          </w:rPr>
          <w:id w:val="-1558307742"/>
          <w:citation/>
        </w:sdtPr>
        <w:sdtContent>
          <w:r w:rsidR="008E0B8C">
            <w:rPr>
              <w:noProof/>
            </w:rPr>
            <w:fldChar w:fldCharType="begin"/>
          </w:r>
          <w:r w:rsidR="00386DA1" w:rsidRPr="00386DA1">
            <w:rPr>
              <w:noProof/>
            </w:rPr>
            <w:instrText xml:space="preserve"> CITATION Wil08 \l 1043 </w:instrText>
          </w:r>
          <w:r w:rsidR="008E0B8C">
            <w:rPr>
              <w:noProof/>
            </w:rPr>
            <w:fldChar w:fldCharType="separate"/>
          </w:r>
          <w:r w:rsidR="00362671" w:rsidRPr="00362671">
            <w:rPr>
              <w:noProof/>
            </w:rPr>
            <w:t>(Wilkinson, 2008)</w:t>
          </w:r>
          <w:r w:rsidR="008E0B8C">
            <w:rPr>
              <w:noProof/>
            </w:rPr>
            <w:fldChar w:fldCharType="end"/>
          </w:r>
        </w:sdtContent>
      </w:sdt>
      <w:r w:rsidR="00386DA1">
        <w:rPr>
          <w:noProof/>
        </w:rPr>
        <w:t>.</w:t>
      </w:r>
      <w:r w:rsidR="003D63F7">
        <w:rPr>
          <w:noProof/>
        </w:rPr>
        <w:t xml:space="preserve"> Overplacement refers to one’s feeling of being ‘better than average’.</w:t>
      </w:r>
      <w:r>
        <w:rPr>
          <w:noProof/>
        </w:rPr>
        <w:t xml:space="preserve"> All of these forms of overconfidence could play a role in the valuation of targets. More on this after the theoretical treatment of the cognitive biases.</w:t>
      </w:r>
    </w:p>
    <w:p w:rsidR="003D63F7" w:rsidRDefault="00FA0016" w:rsidP="000118D2">
      <w:pPr>
        <w:spacing w:line="360" w:lineRule="auto"/>
        <w:jc w:val="both"/>
      </w:pPr>
      <w:r>
        <w:t>The literature regarding overconfidence distinguishes various factors which have an effect on or are affected by overconfidence</w:t>
      </w:r>
      <w:r w:rsidR="00CD5618">
        <w:t>, or both</w:t>
      </w:r>
      <w:r>
        <w:t>. One of these factors is the illusion of control. Illusion of control is the phenomenon in which people assume that they have influence on the outcome of an uncontrollable situation</w:t>
      </w:r>
      <w:r w:rsidR="000C7B05">
        <w:t xml:space="preserve"> </w:t>
      </w:r>
      <w:sdt>
        <w:sdtPr>
          <w:id w:val="-434598051"/>
          <w:citation/>
        </w:sdtPr>
        <w:sdtContent>
          <w:r w:rsidR="008E0B8C">
            <w:fldChar w:fldCharType="begin"/>
          </w:r>
          <w:r w:rsidR="000C7B05" w:rsidRPr="000C7B05">
            <w:instrText xml:space="preserve"> CITATION Lan75 \l 1043 </w:instrText>
          </w:r>
          <w:r w:rsidR="008E0B8C">
            <w:fldChar w:fldCharType="separate"/>
          </w:r>
          <w:r w:rsidR="00362671" w:rsidRPr="00362671">
            <w:rPr>
              <w:noProof/>
            </w:rPr>
            <w:t>(Langer, 1975)</w:t>
          </w:r>
          <w:r w:rsidR="008E0B8C">
            <w:fldChar w:fldCharType="end"/>
          </w:r>
        </w:sdtContent>
      </w:sdt>
      <w:r w:rsidR="000C7B05">
        <w:t>.</w:t>
      </w:r>
      <w:r w:rsidR="0056330C">
        <w:t xml:space="preserve"> In other words, people in suffering from illusion of control underestimate the predominant role of randomness on the outcome of certain situations.</w:t>
      </w:r>
      <w:r w:rsidR="000C7B05">
        <w:t xml:space="preserve"> </w:t>
      </w:r>
      <w:r w:rsidR="0056330C">
        <w:t xml:space="preserve">There are </w:t>
      </w:r>
      <w:r w:rsidR="000C7B05">
        <w:t xml:space="preserve">factors </w:t>
      </w:r>
      <w:r w:rsidR="0056330C">
        <w:t xml:space="preserve">that </w:t>
      </w:r>
      <w:r w:rsidR="000C7B05">
        <w:t xml:space="preserve">amplify </w:t>
      </w:r>
      <w:r w:rsidR="000C7B05">
        <w:lastRenderedPageBreak/>
        <w:t xml:space="preserve">this illusion of control, namely </w:t>
      </w:r>
      <w:r w:rsidR="0056330C">
        <w:t>competition, familiarity, the possibility to decide and degree of involvement</w:t>
      </w:r>
      <w:r w:rsidR="00CD5618">
        <w:t>.</w:t>
      </w:r>
    </w:p>
    <w:p w:rsidR="00CD5618" w:rsidRDefault="00CD5618" w:rsidP="000118D2">
      <w:pPr>
        <w:spacing w:line="360" w:lineRule="auto"/>
        <w:jc w:val="both"/>
      </w:pPr>
      <w:r>
        <w:t xml:space="preserve">A different factor </w:t>
      </w:r>
      <w:r w:rsidR="00503C86">
        <w:t xml:space="preserve">enhancing </w:t>
      </w:r>
      <w:r>
        <w:t xml:space="preserve">overconfidence </w:t>
      </w:r>
      <w:r w:rsidR="00503C86">
        <w:t xml:space="preserve">is the confirmation bias. Confirmation bias </w:t>
      </w:r>
      <w:r w:rsidR="00576D4B">
        <w:t xml:space="preserve">is the phenomenon in which a person invests a disproportionate amount of time in </w:t>
      </w:r>
      <w:r w:rsidR="003C6C8A">
        <w:t xml:space="preserve">accumulating </w:t>
      </w:r>
      <w:r w:rsidR="00576D4B">
        <w:t xml:space="preserve">information which confirms a hypothesis you strongly believe in </w:t>
      </w:r>
      <w:sdt>
        <w:sdtPr>
          <w:id w:val="-178510032"/>
          <w:citation/>
        </w:sdtPr>
        <w:sdtContent>
          <w:r w:rsidR="008E0B8C">
            <w:fldChar w:fldCharType="begin"/>
          </w:r>
          <w:r w:rsidR="00503C86" w:rsidRPr="00576D4B">
            <w:instrText xml:space="preserve"> CITATION Jon01 \l 1043 </w:instrText>
          </w:r>
          <w:r w:rsidR="008E0B8C">
            <w:fldChar w:fldCharType="separate"/>
          </w:r>
          <w:r w:rsidR="00362671" w:rsidRPr="00362671">
            <w:rPr>
              <w:noProof/>
            </w:rPr>
            <w:t>(Jones &amp; Sugden, 2001)</w:t>
          </w:r>
          <w:r w:rsidR="008E0B8C">
            <w:fldChar w:fldCharType="end"/>
          </w:r>
        </w:sdtContent>
      </w:sdt>
      <w:r w:rsidR="00503C86">
        <w:t>.</w:t>
      </w:r>
      <w:r w:rsidR="009A6CFA">
        <w:t xml:space="preserve"> Self-attribution is the closely related phenomenon where a person discounts information which is contradictive to one’s belief, thereby firmly holding on to that belief, regardless of the information indicating otherwise</w:t>
      </w:r>
      <w:r w:rsidR="003C6C8A">
        <w:t xml:space="preserve"> </w:t>
      </w:r>
      <w:sdt>
        <w:sdtPr>
          <w:id w:val="718711588"/>
          <w:citation/>
        </w:sdtPr>
        <w:sdtContent>
          <w:r w:rsidR="008E0B8C">
            <w:fldChar w:fldCharType="begin"/>
          </w:r>
          <w:r w:rsidR="003C6C8A" w:rsidRPr="003C6C8A">
            <w:instrText xml:space="preserve"> CITATION Wil08 \l 1043 </w:instrText>
          </w:r>
          <w:r w:rsidR="008E0B8C">
            <w:fldChar w:fldCharType="separate"/>
          </w:r>
          <w:r w:rsidR="00362671" w:rsidRPr="00362671">
            <w:rPr>
              <w:noProof/>
            </w:rPr>
            <w:t>(Wilkinson, 2008)</w:t>
          </w:r>
          <w:r w:rsidR="008E0B8C">
            <w:fldChar w:fldCharType="end"/>
          </w:r>
        </w:sdtContent>
      </w:sdt>
      <w:r w:rsidR="009A6CFA">
        <w:t>.</w:t>
      </w:r>
    </w:p>
    <w:p w:rsidR="007E1A79" w:rsidRPr="007C0915" w:rsidRDefault="00EA39F2" w:rsidP="007E1A79">
      <w:pPr>
        <w:spacing w:line="360" w:lineRule="auto"/>
        <w:jc w:val="both"/>
      </w:pPr>
      <w:r>
        <w:t xml:space="preserve">The concept ‘overconfidence’ has also been subject for research in the field of mergers and acquisitions. </w:t>
      </w:r>
      <w:r w:rsidR="007E1A79">
        <w:t xml:space="preserve">One of these researches has shown that some indicators for CEO overconfidence have a relationship with the premiums paid in acquisitions. Those indicators included most significantly historical performance of the company and attention of the media about the CEO </w:t>
      </w:r>
      <w:sdt>
        <w:sdtPr>
          <w:id w:val="1328478752"/>
          <w:citation/>
        </w:sdtPr>
        <w:sdtContent>
          <w:r w:rsidR="008E0B8C">
            <w:fldChar w:fldCharType="begin"/>
          </w:r>
          <w:r w:rsidR="007E1A79" w:rsidRPr="007E1A79">
            <w:instrText xml:space="preserve"> CITATION Hay97 \l 1043 </w:instrText>
          </w:r>
          <w:r w:rsidR="008E0B8C">
            <w:fldChar w:fldCharType="separate"/>
          </w:r>
          <w:r w:rsidR="00362671" w:rsidRPr="00362671">
            <w:rPr>
              <w:noProof/>
            </w:rPr>
            <w:t>(Hayward &amp; Hambrick, 1997)</w:t>
          </w:r>
          <w:r w:rsidR="008E0B8C">
            <w:fldChar w:fldCharType="end"/>
          </w:r>
        </w:sdtContent>
      </w:sdt>
      <w:r w:rsidR="007E1A79">
        <w:t xml:space="preserve">. Another research has shown that overconfidence, in the presence of cash reserves in a firm, can induce overinvestment </w:t>
      </w:r>
      <w:sdt>
        <w:sdtPr>
          <w:id w:val="-799067878"/>
          <w:citation/>
        </w:sdtPr>
        <w:sdtContent>
          <w:r w:rsidR="008E0B8C">
            <w:fldChar w:fldCharType="begin"/>
          </w:r>
          <w:r w:rsidR="007E1A79" w:rsidRPr="007E1A79">
            <w:instrText xml:space="preserve"> CITATION Mal05 \l 1043 </w:instrText>
          </w:r>
          <w:r w:rsidR="008E0B8C">
            <w:fldChar w:fldCharType="separate"/>
          </w:r>
          <w:r w:rsidR="00362671" w:rsidRPr="00362671">
            <w:rPr>
              <w:noProof/>
            </w:rPr>
            <w:t>(Malmendier &amp; Tate, 2005)</w:t>
          </w:r>
          <w:r w:rsidR="008E0B8C">
            <w:fldChar w:fldCharType="end"/>
          </w:r>
        </w:sdtContent>
      </w:sdt>
      <w:r w:rsidR="007E1A79">
        <w:t>.</w:t>
      </w:r>
    </w:p>
    <w:p w:rsidR="00E671C6" w:rsidRDefault="00E671C6" w:rsidP="003E2FED">
      <w:pPr>
        <w:pStyle w:val="NoSpacing"/>
        <w:spacing w:line="360" w:lineRule="auto"/>
        <w:jc w:val="both"/>
        <w:rPr>
          <w:i/>
        </w:rPr>
      </w:pPr>
      <w:r>
        <w:rPr>
          <w:i/>
        </w:rPr>
        <w:t>Loss aversion bias</w:t>
      </w:r>
    </w:p>
    <w:p w:rsidR="0085614B" w:rsidRDefault="00E671C6" w:rsidP="003E2FED">
      <w:pPr>
        <w:spacing w:line="360" w:lineRule="auto"/>
        <w:jc w:val="both"/>
        <w:rPr>
          <w:noProof/>
        </w:rPr>
      </w:pPr>
      <w:r>
        <w:t>Loss aversion is the phenomenon that people weigh losses heavier than they do</w:t>
      </w:r>
      <w:r w:rsidR="00055FE7">
        <w:t xml:space="preserve"> gains</w:t>
      </w:r>
      <w:r>
        <w:t>. In terms of money, the aggravation people experience from losing a certain amount of money exceeds the pleasure people receive from gaining that same amount</w:t>
      </w:r>
      <w:r w:rsidR="00055FE7">
        <w:t xml:space="preserve"> </w:t>
      </w:r>
      <w:r w:rsidR="0052486F">
        <w:rPr>
          <w:noProof/>
        </w:rPr>
        <w:t>(Kahneman &amp; Tversky</w:t>
      </w:r>
      <w:r w:rsidR="0052486F" w:rsidRPr="0052486F">
        <w:rPr>
          <w:noProof/>
        </w:rPr>
        <w:t>, 1979)</w:t>
      </w:r>
      <w:r>
        <w:rPr>
          <w:noProof/>
        </w:rPr>
        <w:t>. Due to aversion for losses, people tend to become risk averse when confronted with choices regarding outcomes which consists of both negative and positive gains.</w:t>
      </w:r>
      <w:r w:rsidR="00055FE7">
        <w:rPr>
          <w:noProof/>
        </w:rPr>
        <w:t xml:space="preserve"> </w:t>
      </w:r>
    </w:p>
    <w:p w:rsidR="004170EE" w:rsidRDefault="00055FE7" w:rsidP="003E2FED">
      <w:pPr>
        <w:spacing w:line="360" w:lineRule="auto"/>
        <w:jc w:val="both"/>
        <w:rPr>
          <w:noProof/>
        </w:rPr>
      </w:pPr>
      <w:r>
        <w:rPr>
          <w:noProof/>
        </w:rPr>
        <w:t xml:space="preserve">One of the most straightforward evidences for loss aversion is given by Kahneman &amp; Tversky (1979). They showed that people have a tendency to reject the following gamble (or comparable gambles): </w:t>
      </w:r>
      <w:r w:rsidRPr="003E2FED">
        <w:rPr>
          <w:noProof/>
        </w:rPr>
        <w:t>“win €110 with probability 0.5, lose €100 with probability 0.5, independent of other risks”</w:t>
      </w:r>
      <w:r w:rsidR="003E2FED">
        <w:rPr>
          <w:noProof/>
        </w:rPr>
        <w:t xml:space="preserve">. </w:t>
      </w:r>
      <w:r>
        <w:rPr>
          <w:noProof/>
        </w:rPr>
        <w:t>It is apparent that gambles of this form have positive expected value. Under</w:t>
      </w:r>
      <w:r w:rsidR="0058196E">
        <w:rPr>
          <w:noProof/>
        </w:rPr>
        <w:t xml:space="preserve"> the</w:t>
      </w:r>
      <w:r>
        <w:rPr>
          <w:noProof/>
        </w:rPr>
        <w:t xml:space="preserve"> traditional</w:t>
      </w:r>
      <w:r w:rsidR="0058196E">
        <w:rPr>
          <w:noProof/>
        </w:rPr>
        <w:t>, normative</w:t>
      </w:r>
      <w:r>
        <w:rPr>
          <w:noProof/>
        </w:rPr>
        <w:t xml:space="preserve"> expected utility theory, this gamble should therefore be accepted. </w:t>
      </w:r>
      <w:r w:rsidR="00D45ABC">
        <w:rPr>
          <w:noProof/>
        </w:rPr>
        <w:t xml:space="preserve">Namely, as the gamble is independent of other risks, this gamble provides one with an opportunity to diversify its risk. </w:t>
      </w:r>
      <w:r>
        <w:rPr>
          <w:noProof/>
        </w:rPr>
        <w:t xml:space="preserve">The observation that people tend to reject this gamble, is therefore indicatory for the presence of an aversion for losses. </w:t>
      </w:r>
      <w:r w:rsidR="0058196E">
        <w:rPr>
          <w:noProof/>
        </w:rPr>
        <w:t xml:space="preserve">Kahneman &amp; Tversky (1979) have described this phenomenon by positing a descriptive theory, the so called prospect theory. A thorough treatment of this theory is beyond the scope of this paper. For further understanding </w:t>
      </w:r>
      <w:r w:rsidR="0058196E">
        <w:rPr>
          <w:noProof/>
        </w:rPr>
        <w:lastRenderedPageBreak/>
        <w:t>of prospect theory</w:t>
      </w:r>
      <w:r w:rsidR="006E6318">
        <w:rPr>
          <w:noProof/>
        </w:rPr>
        <w:t xml:space="preserve">, one </w:t>
      </w:r>
      <w:r w:rsidR="00D45ABC">
        <w:rPr>
          <w:noProof/>
        </w:rPr>
        <w:t>should</w:t>
      </w:r>
      <w:r w:rsidR="0058196E">
        <w:rPr>
          <w:noProof/>
        </w:rPr>
        <w:t xml:space="preserve"> consult the original papers</w:t>
      </w:r>
      <w:r w:rsidR="004170EE">
        <w:rPr>
          <w:noProof/>
        </w:rPr>
        <w:t xml:space="preserve"> regarding this topic (Kahneman &amp; Tversky</w:t>
      </w:r>
      <w:r w:rsidR="0058196E" w:rsidRPr="0058196E">
        <w:rPr>
          <w:noProof/>
        </w:rPr>
        <w:t>, 1979</w:t>
      </w:r>
      <w:r w:rsidR="004170EE">
        <w:rPr>
          <w:noProof/>
        </w:rPr>
        <w:t>; Tversky &amp; Kahneman</w:t>
      </w:r>
      <w:r w:rsidR="004170EE" w:rsidRPr="004170EE">
        <w:rPr>
          <w:noProof/>
        </w:rPr>
        <w:t>, 1992)</w:t>
      </w:r>
      <w:r w:rsidR="004170EE">
        <w:rPr>
          <w:noProof/>
        </w:rPr>
        <w:t xml:space="preserve">. </w:t>
      </w:r>
    </w:p>
    <w:p w:rsidR="00E671C6" w:rsidRDefault="004170EE" w:rsidP="00E671C6">
      <w:pPr>
        <w:pStyle w:val="NoSpacing"/>
        <w:spacing w:line="360" w:lineRule="auto"/>
        <w:jc w:val="both"/>
        <w:rPr>
          <w:noProof/>
        </w:rPr>
      </w:pPr>
      <w:r>
        <w:rPr>
          <w:noProof/>
        </w:rPr>
        <w:t xml:space="preserve">Kahneman &amp; Tversky (1979) </w:t>
      </w:r>
      <w:r w:rsidR="0058196E">
        <w:rPr>
          <w:noProof/>
        </w:rPr>
        <w:t xml:space="preserve">show the aversion for losses by a kink </w:t>
      </w:r>
      <w:r w:rsidR="006E6318">
        <w:rPr>
          <w:noProof/>
        </w:rPr>
        <w:t xml:space="preserve">at the origin </w:t>
      </w:r>
      <w:r w:rsidR="0058196E">
        <w:rPr>
          <w:noProof/>
        </w:rPr>
        <w:t>in the value function</w:t>
      </w:r>
      <w:r>
        <w:rPr>
          <w:noProof/>
        </w:rPr>
        <w:t xml:space="preserve"> between the area for gains and losses</w:t>
      </w:r>
      <w:r w:rsidR="00892708">
        <w:rPr>
          <w:noProof/>
        </w:rPr>
        <w:t>, where the origin reflects the reference point at hand</w:t>
      </w:r>
      <w:r w:rsidR="0058196E">
        <w:rPr>
          <w:noProof/>
        </w:rPr>
        <w:t>. This is shown in Figure 1.</w:t>
      </w:r>
    </w:p>
    <w:p w:rsidR="0058196E" w:rsidRDefault="0058196E" w:rsidP="00E671C6">
      <w:pPr>
        <w:pStyle w:val="NoSpacing"/>
        <w:spacing w:line="360" w:lineRule="auto"/>
        <w:jc w:val="both"/>
        <w:rPr>
          <w:noProof/>
        </w:rPr>
      </w:pPr>
    </w:p>
    <w:p w:rsidR="00055FE7" w:rsidRDefault="00055FE7" w:rsidP="0058196E">
      <w:pPr>
        <w:pStyle w:val="NoSpacing"/>
        <w:spacing w:line="360" w:lineRule="auto"/>
        <w:jc w:val="center"/>
        <w:rPr>
          <w:noProof/>
        </w:rPr>
      </w:pPr>
      <w:r>
        <w:rPr>
          <w:noProof/>
        </w:rPr>
        <w:drawing>
          <wp:inline distT="0" distB="0" distL="0" distR="0">
            <wp:extent cx="3628859" cy="2723297"/>
            <wp:effectExtent l="0" t="0" r="0" b="127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3628859" cy="2723297"/>
                    </a:xfrm>
                    <a:prstGeom prst="rect">
                      <a:avLst/>
                    </a:prstGeom>
                  </pic:spPr>
                </pic:pic>
              </a:graphicData>
            </a:graphic>
          </wp:inline>
        </w:drawing>
      </w:r>
    </w:p>
    <w:p w:rsidR="0058196E" w:rsidRPr="0058196E" w:rsidRDefault="0058196E" w:rsidP="003E2FED">
      <w:pPr>
        <w:pStyle w:val="NoSpacing"/>
        <w:spacing w:line="360" w:lineRule="auto"/>
        <w:ind w:left="1440" w:firstLine="720"/>
        <w:jc w:val="both"/>
        <w:rPr>
          <w:b/>
          <w:noProof/>
          <w:sz w:val="20"/>
        </w:rPr>
      </w:pPr>
      <w:r w:rsidRPr="0058196E">
        <w:rPr>
          <w:b/>
          <w:noProof/>
          <w:sz w:val="20"/>
        </w:rPr>
        <w:t>Figure 1: A hypothetical value function (Kahneman &amp; Tversky, 1979)</w:t>
      </w:r>
    </w:p>
    <w:p w:rsidR="0058196E" w:rsidRDefault="0058196E" w:rsidP="0058196E">
      <w:pPr>
        <w:pStyle w:val="NoSpacing"/>
        <w:spacing w:line="360" w:lineRule="auto"/>
        <w:jc w:val="center"/>
        <w:rPr>
          <w:b/>
          <w:noProof/>
        </w:rPr>
      </w:pPr>
    </w:p>
    <w:p w:rsidR="006E6318" w:rsidRDefault="006E6318" w:rsidP="006E6318">
      <w:pPr>
        <w:pStyle w:val="NoSpacing"/>
        <w:spacing w:line="360" w:lineRule="auto"/>
        <w:jc w:val="both"/>
        <w:rPr>
          <w:noProof/>
        </w:rPr>
      </w:pPr>
      <w:r>
        <w:rPr>
          <w:noProof/>
        </w:rPr>
        <w:t>As can be seen in Figure 1, the value function is</w:t>
      </w:r>
      <w:r w:rsidR="00EB2661">
        <w:rPr>
          <w:noProof/>
        </w:rPr>
        <w:t xml:space="preserve"> convex in the area for losses and concave in the area for gains. Moreover, the curvature is</w:t>
      </w:r>
      <w:r>
        <w:rPr>
          <w:noProof/>
        </w:rPr>
        <w:t xml:space="preserve"> steeper in the area for losses than in the area for gains, indicating loss aversion. The magnitude of this loss aversion has been subject for various researches. Expressed as a ‘loss aversion coefficient’, indicating the amount of units ‘gain’ required to offset one unit of ‘loss’, the findings indicate this coefficient to be somewhere in between 2:1 and 2.5:1 </w:t>
      </w:r>
      <w:r w:rsidRPr="00B13F0A">
        <w:rPr>
          <w:noProof/>
        </w:rPr>
        <w:t>(Tversky &amp; Kahneman, 1991)</w:t>
      </w:r>
      <w:r>
        <w:rPr>
          <w:noProof/>
        </w:rPr>
        <w:t>. The phenomenon of loss aversion is one of the reasons risk aversion exists among people facing decis</w:t>
      </w:r>
      <w:r w:rsidR="00D45ABC">
        <w:rPr>
          <w:noProof/>
        </w:rPr>
        <w:t>ions under uncertainty and risk, as people tend to avoid situations which expose them to potential losses</w:t>
      </w:r>
      <w:r w:rsidR="005F2DB0">
        <w:rPr>
          <w:noProof/>
        </w:rPr>
        <w:t>, whilst potential gains may be much higher or more likely to occur.</w:t>
      </w:r>
    </w:p>
    <w:p w:rsidR="006E6318" w:rsidRPr="0058196E" w:rsidRDefault="006E6318" w:rsidP="006E6318">
      <w:pPr>
        <w:pStyle w:val="NoSpacing"/>
        <w:spacing w:line="360" w:lineRule="auto"/>
        <w:jc w:val="both"/>
        <w:rPr>
          <w:b/>
          <w:noProof/>
        </w:rPr>
      </w:pPr>
    </w:p>
    <w:p w:rsidR="00E671C6" w:rsidRPr="000476C1" w:rsidRDefault="006E6318" w:rsidP="000476C1">
      <w:pPr>
        <w:pStyle w:val="NoSpacing"/>
        <w:spacing w:line="360" w:lineRule="auto"/>
        <w:jc w:val="both"/>
      </w:pPr>
      <w:r>
        <w:t xml:space="preserve">This is also the case in organizational contexts. Kahneman &amp; Lovallo (1993) even argue that loss aversion in </w:t>
      </w:r>
      <w:r w:rsidR="00A84960">
        <w:t>executives</w:t>
      </w:r>
      <w:r>
        <w:t xml:space="preserve"> can be even larger, due to the fact that they are ultimately responsible for the outcome of the decis</w:t>
      </w:r>
      <w:r w:rsidR="007F274A">
        <w:t xml:space="preserve">ions. They argue that </w:t>
      </w:r>
      <w:r w:rsidR="000476C1">
        <w:t>t</w:t>
      </w:r>
      <w:r w:rsidR="007F274A">
        <w:t>here is an asymmetry between credit and blame, which can enhance</w:t>
      </w:r>
      <w:r>
        <w:t xml:space="preserve"> the </w:t>
      </w:r>
      <w:r>
        <w:lastRenderedPageBreak/>
        <w:t>magnitude of loss aversion in the</w:t>
      </w:r>
      <w:r w:rsidR="000476C1">
        <w:t xml:space="preserve"> executive’s</w:t>
      </w:r>
      <w:r>
        <w:t xml:space="preserve"> utility function. </w:t>
      </w:r>
      <w:r w:rsidR="00A84960">
        <w:t xml:space="preserve">Consequently, this increased manifestation </w:t>
      </w:r>
      <w:r w:rsidR="00A84960" w:rsidRPr="000476C1">
        <w:t>of loss aversion among executives may induce more risk averse behavior</w:t>
      </w:r>
      <w:r w:rsidR="000476C1" w:rsidRPr="000476C1">
        <w:t>.</w:t>
      </w:r>
    </w:p>
    <w:p w:rsidR="000476C1" w:rsidRPr="000476C1" w:rsidRDefault="000476C1" w:rsidP="000476C1">
      <w:pPr>
        <w:pStyle w:val="NoSpacing"/>
        <w:spacing w:line="360" w:lineRule="auto"/>
        <w:jc w:val="both"/>
      </w:pPr>
    </w:p>
    <w:p w:rsidR="000476C1" w:rsidRDefault="002B39DE" w:rsidP="000476C1">
      <w:pPr>
        <w:pStyle w:val="NoSpacing"/>
        <w:spacing w:line="360" w:lineRule="auto"/>
        <w:jc w:val="both"/>
      </w:pPr>
      <w:r>
        <w:t xml:space="preserve">Thus, it is now established that executives have a proclivity for loss aversion, which consequently induces risk averse behavior. </w:t>
      </w:r>
      <w:r w:rsidR="00586D30">
        <w:t>As this paper seeks to compose an experiment in order to test the real options solution (</w:t>
      </w:r>
      <w:r>
        <w:t xml:space="preserve">this solution </w:t>
      </w:r>
      <w:r w:rsidR="00586D30">
        <w:t xml:space="preserve">will receive further attention later in this section) on the valuation decisions of executives, it is important to understand how prior outcomes of decisions of the executive affect the attitude of said executive. In other words, how does a prior gain or loss influence the executive’s attitude toward risk? The literature regarding this subject does not yet provide a clear-cut answer. </w:t>
      </w:r>
      <w:r w:rsidR="00C9438A">
        <w:t>There are currently two interpretations that have gained in support: the house-money effect and the escalation of commitment view. As</w:t>
      </w:r>
      <w:r w:rsidR="00586D30">
        <w:t xml:space="preserve"> the outcome of prior decisions will be used as a way to frame the participants of the experiment</w:t>
      </w:r>
      <w:r>
        <w:t xml:space="preserve"> (more on this later)</w:t>
      </w:r>
      <w:r w:rsidR="00586D30">
        <w:t xml:space="preserve">, it is imperative to understand the different considerations </w:t>
      </w:r>
      <w:r w:rsidR="00C9438A">
        <w:t>about these two interpretations. Therefore, a brief overview of both views will now be provided.</w:t>
      </w:r>
    </w:p>
    <w:p w:rsidR="00C9438A" w:rsidRDefault="00C9438A" w:rsidP="000476C1">
      <w:pPr>
        <w:pStyle w:val="NoSpacing"/>
        <w:spacing w:line="360" w:lineRule="auto"/>
        <w:jc w:val="both"/>
      </w:pPr>
    </w:p>
    <w:p w:rsidR="008C642C" w:rsidRDefault="00F22B4C" w:rsidP="000476C1">
      <w:pPr>
        <w:pStyle w:val="NoSpacing"/>
        <w:spacing w:line="360" w:lineRule="auto"/>
        <w:jc w:val="both"/>
      </w:pPr>
      <w:r>
        <w:t>The house-money effect</w:t>
      </w:r>
      <w:r w:rsidR="00A83CC4">
        <w:t xml:space="preserve"> is the observed effect that a prior gain increases a person’s willingness to take risk, whilst a prior loss decreases this willingness to take risk</w:t>
      </w:r>
      <w:r>
        <w:t xml:space="preserve"> </w:t>
      </w:r>
      <w:sdt>
        <w:sdtPr>
          <w:id w:val="1950818265"/>
          <w:citation/>
        </w:sdtPr>
        <w:sdtContent>
          <w:r w:rsidR="008E0B8C">
            <w:fldChar w:fldCharType="begin"/>
          </w:r>
          <w:r w:rsidR="004C15F2">
            <w:instrText xml:space="preserve">CITATION Tha90 \l 1043 </w:instrText>
          </w:r>
          <w:r w:rsidR="008E0B8C">
            <w:fldChar w:fldCharType="separate"/>
          </w:r>
          <w:r w:rsidR="00362671" w:rsidRPr="00362671">
            <w:rPr>
              <w:noProof/>
            </w:rPr>
            <w:t>(Thaler &amp; Johnson, 1990)</w:t>
          </w:r>
          <w:r w:rsidR="008E0B8C">
            <w:fldChar w:fldCharType="end"/>
          </w:r>
        </w:sdtContent>
      </w:sdt>
      <w:r w:rsidR="00A83CC4">
        <w:t xml:space="preserve">. </w:t>
      </w:r>
      <w:r w:rsidR="008C642C">
        <w:t>They conducted the following experiment among students (undergraduate and MBA):</w:t>
      </w:r>
    </w:p>
    <w:p w:rsidR="008C642C" w:rsidRDefault="008C642C" w:rsidP="008C642C">
      <w:pPr>
        <w:pStyle w:val="NoSpacing"/>
        <w:numPr>
          <w:ilvl w:val="0"/>
          <w:numId w:val="4"/>
        </w:numPr>
        <w:spacing w:line="360" w:lineRule="auto"/>
        <w:jc w:val="both"/>
      </w:pPr>
      <w:r>
        <w:t>You have just won €30. Choose between</w:t>
      </w:r>
    </w:p>
    <w:p w:rsidR="008C642C" w:rsidRDefault="008C642C" w:rsidP="008C642C">
      <w:pPr>
        <w:pStyle w:val="NoSpacing"/>
        <w:numPr>
          <w:ilvl w:val="1"/>
          <w:numId w:val="4"/>
        </w:numPr>
        <w:spacing w:line="360" w:lineRule="auto"/>
        <w:jc w:val="both"/>
      </w:pPr>
      <w:r>
        <w:t>A 50% chance to gain €9 and a 50% chance to lose €9</w:t>
      </w:r>
    </w:p>
    <w:p w:rsidR="008C642C" w:rsidRDefault="008C642C" w:rsidP="008C642C">
      <w:pPr>
        <w:pStyle w:val="NoSpacing"/>
        <w:numPr>
          <w:ilvl w:val="1"/>
          <w:numId w:val="4"/>
        </w:numPr>
        <w:spacing w:line="360" w:lineRule="auto"/>
        <w:jc w:val="both"/>
      </w:pPr>
      <w:r>
        <w:t>No further gain or loss</w:t>
      </w:r>
    </w:p>
    <w:p w:rsidR="008C642C" w:rsidRDefault="008C642C" w:rsidP="008C642C">
      <w:pPr>
        <w:pStyle w:val="NoSpacing"/>
        <w:numPr>
          <w:ilvl w:val="0"/>
          <w:numId w:val="4"/>
        </w:numPr>
        <w:spacing w:line="360" w:lineRule="auto"/>
        <w:jc w:val="both"/>
      </w:pPr>
      <w:r>
        <w:t>You have just lost €30. Choose between</w:t>
      </w:r>
    </w:p>
    <w:p w:rsidR="008C642C" w:rsidRDefault="008C642C" w:rsidP="008C642C">
      <w:pPr>
        <w:pStyle w:val="NoSpacing"/>
        <w:numPr>
          <w:ilvl w:val="1"/>
          <w:numId w:val="4"/>
        </w:numPr>
        <w:spacing w:line="360" w:lineRule="auto"/>
        <w:jc w:val="both"/>
      </w:pPr>
      <w:r>
        <w:t>A 50% to gain €9 and a 50% chance to lose €9</w:t>
      </w:r>
    </w:p>
    <w:p w:rsidR="008C642C" w:rsidRDefault="008C642C" w:rsidP="008C642C">
      <w:pPr>
        <w:pStyle w:val="NoSpacing"/>
        <w:numPr>
          <w:ilvl w:val="1"/>
          <w:numId w:val="4"/>
        </w:numPr>
        <w:spacing w:line="360" w:lineRule="auto"/>
        <w:jc w:val="both"/>
      </w:pPr>
      <w:r>
        <w:t>No further gain or loss</w:t>
      </w:r>
    </w:p>
    <w:p w:rsidR="00F22B4C" w:rsidRDefault="00C636C2" w:rsidP="000476C1">
      <w:pPr>
        <w:pStyle w:val="NoSpacing"/>
        <w:spacing w:line="360" w:lineRule="auto"/>
        <w:jc w:val="both"/>
      </w:pPr>
      <w:r>
        <w:t>Option (a)</w:t>
      </w:r>
      <w:r w:rsidR="00EB2661">
        <w:t xml:space="preserve"> was preferred by 82% of the participants in </w:t>
      </w:r>
      <w:r>
        <w:t>S</w:t>
      </w:r>
      <w:r w:rsidR="00EB2661">
        <w:t xml:space="preserve">ituation 1, whilst only 36% chose </w:t>
      </w:r>
      <w:r>
        <w:t>O</w:t>
      </w:r>
      <w:r w:rsidR="00EB2661">
        <w:t xml:space="preserve">ption </w:t>
      </w:r>
      <w:r>
        <w:t>(</w:t>
      </w:r>
      <w:r w:rsidR="00EB2661">
        <w:t>a</w:t>
      </w:r>
      <w:r>
        <w:t>)</w:t>
      </w:r>
      <w:r w:rsidR="00EB2661">
        <w:t xml:space="preserve"> in </w:t>
      </w:r>
      <w:r>
        <w:t>S</w:t>
      </w:r>
      <w:r w:rsidR="00EB2661">
        <w:t xml:space="preserve">ituation 2. In other words, the prior gain induced more risk seeking behavior, whilst the prior loss gave rise to risk averse behavior. </w:t>
      </w:r>
      <w:r w:rsidR="009C0C00">
        <w:t xml:space="preserve">However, this result </w:t>
      </w:r>
      <w:r w:rsidR="003F135F">
        <w:t xml:space="preserve">in the area of losses </w:t>
      </w:r>
      <w:r w:rsidR="009C0C00">
        <w:t xml:space="preserve">no longer holds if the decision in situation 2 </w:t>
      </w:r>
      <w:r w:rsidR="00C64A89">
        <w:t>comprises</w:t>
      </w:r>
      <w:r w:rsidR="009C0C00">
        <w:t xml:space="preserve"> an opportunity to break even, </w:t>
      </w:r>
      <w:r w:rsidR="003F135F">
        <w:t xml:space="preserve">which is appropriately </w:t>
      </w:r>
      <w:r w:rsidR="009C0C00">
        <w:t xml:space="preserve">called the break-even effect </w:t>
      </w:r>
      <w:sdt>
        <w:sdtPr>
          <w:id w:val="-1193617964"/>
          <w:citation/>
        </w:sdtPr>
        <w:sdtContent>
          <w:r w:rsidR="008E0B8C">
            <w:fldChar w:fldCharType="begin"/>
          </w:r>
          <w:r w:rsidR="004C15F2">
            <w:instrText xml:space="preserve">CITATION Tha90 \l 1043 </w:instrText>
          </w:r>
          <w:r w:rsidR="008E0B8C">
            <w:fldChar w:fldCharType="separate"/>
          </w:r>
          <w:r w:rsidR="00362671" w:rsidRPr="00362671">
            <w:rPr>
              <w:noProof/>
            </w:rPr>
            <w:t>(Thaler &amp; Johnson, 1990)</w:t>
          </w:r>
          <w:r w:rsidR="008E0B8C">
            <w:fldChar w:fldCharType="end"/>
          </w:r>
        </w:sdtContent>
      </w:sdt>
      <w:r w:rsidR="009C0C00">
        <w:t xml:space="preserve">. </w:t>
      </w:r>
      <w:r w:rsidR="003F135F">
        <w:t>Thus, if it possible for the subject to cancel out the previous loss by gambling, the integration of th</w:t>
      </w:r>
      <w:r w:rsidR="00C64A89">
        <w:t>e outcomes is facilitated, giving</w:t>
      </w:r>
      <w:r w:rsidR="003F135F">
        <w:t xml:space="preserve"> rise to risk seeking behavior </w:t>
      </w:r>
      <w:r w:rsidR="003F135F">
        <w:rPr>
          <w:noProof/>
        </w:rPr>
        <w:t>(Kahneman &amp; Tversky</w:t>
      </w:r>
      <w:r w:rsidR="003F135F" w:rsidRPr="003F135F">
        <w:rPr>
          <w:noProof/>
        </w:rPr>
        <w:t>, 1979)</w:t>
      </w:r>
      <w:r w:rsidR="003F135F">
        <w:t xml:space="preserve">. The phrasing of the situation (the framing) does play an important role in this, as this can </w:t>
      </w:r>
      <w:r w:rsidR="003F135F">
        <w:lastRenderedPageBreak/>
        <w:t>influence the ease with which a subject can integrate the outcomes. More on framing will be provided later on in this section.</w:t>
      </w:r>
    </w:p>
    <w:p w:rsidR="00343B96" w:rsidRDefault="00343B96" w:rsidP="000476C1">
      <w:pPr>
        <w:pStyle w:val="NoSpacing"/>
        <w:spacing w:line="360" w:lineRule="auto"/>
        <w:jc w:val="both"/>
      </w:pPr>
    </w:p>
    <w:p w:rsidR="00F22B4C" w:rsidRDefault="00F22B4C" w:rsidP="000476C1">
      <w:pPr>
        <w:pStyle w:val="NoSpacing"/>
        <w:spacing w:line="360" w:lineRule="auto"/>
        <w:jc w:val="both"/>
      </w:pPr>
      <w:r>
        <w:t>The escalation of commitment</w:t>
      </w:r>
      <w:r w:rsidR="00FB416E">
        <w:t xml:space="preserve"> is the observation that contradicts the house-money effect. In other words, it is the observation that after prior gains</w:t>
      </w:r>
      <w:r w:rsidR="00761C5B">
        <w:t xml:space="preserve"> a person’s willingness to take risk decreases, and vice versa for prior losses</w:t>
      </w:r>
      <w:r w:rsidR="004E7ACD">
        <w:t xml:space="preserve"> </w:t>
      </w:r>
      <w:sdt>
        <w:sdtPr>
          <w:id w:val="-1957089091"/>
          <w:citation/>
        </w:sdtPr>
        <w:sdtContent>
          <w:r w:rsidR="008E0B8C">
            <w:fldChar w:fldCharType="begin"/>
          </w:r>
          <w:r w:rsidR="00A83CC4" w:rsidRPr="00A83CC4">
            <w:instrText xml:space="preserve"> CITATION Web05 \l 1043 </w:instrText>
          </w:r>
          <w:r w:rsidR="008E0B8C">
            <w:fldChar w:fldCharType="separate"/>
          </w:r>
          <w:r w:rsidR="00362671" w:rsidRPr="00362671">
            <w:rPr>
              <w:noProof/>
            </w:rPr>
            <w:t>(Weber &amp; Zuchel, 2005)</w:t>
          </w:r>
          <w:r w:rsidR="008E0B8C">
            <w:fldChar w:fldCharType="end"/>
          </w:r>
        </w:sdtContent>
      </w:sdt>
      <w:r w:rsidR="00761C5B">
        <w:t xml:space="preserve">. </w:t>
      </w:r>
      <w:r w:rsidR="00872F47">
        <w:t xml:space="preserve">This observation can be explained by taking a closer look at the value function under prospect theory (see Figure 1). </w:t>
      </w:r>
      <w:r w:rsidR="004E7ACD">
        <w:t xml:space="preserve">Initially, the origin represents the reference point. If a person with this value function now experiences a gain, the reference point will move into the area for gains. A new decision will now be evaluated </w:t>
      </w:r>
      <w:r w:rsidR="003263E0">
        <w:t>with respect to this</w:t>
      </w:r>
      <w:r w:rsidR="004E7ACD">
        <w:t xml:space="preserve"> new reference point, which, due to the concave shape of the value function in the area for gains, </w:t>
      </w:r>
      <w:r w:rsidR="001C12EA">
        <w:t xml:space="preserve">now causes this person to be more risk averse. </w:t>
      </w:r>
      <w:r w:rsidR="004E7ACD">
        <w:t>Inversely, experiencing a loss moves the reference point into the area for losses</w:t>
      </w:r>
      <w:r w:rsidR="001C12EA">
        <w:t xml:space="preserve"> and will make the person more risk seeking</w:t>
      </w:r>
      <w:r w:rsidR="004E7ACD">
        <w:t xml:space="preserve">. </w:t>
      </w:r>
      <w:r w:rsidR="001C12EA">
        <w:t>Therefore, prior gains and losses affect future decisions due to the change in risk attitude</w:t>
      </w:r>
      <w:r w:rsidR="003263E0">
        <w:t xml:space="preserve"> reflected in the value function</w:t>
      </w:r>
      <w:r w:rsidR="001C12EA">
        <w:t xml:space="preserve">. </w:t>
      </w:r>
      <w:r w:rsidR="00B0336C">
        <w:t xml:space="preserve">However, it has to be noted that this ‘escalation of commitment’ observation holds only if the initial decision is perceived as ‘initiating a course of action’ </w:t>
      </w:r>
      <w:sdt>
        <w:sdtPr>
          <w:id w:val="1502549687"/>
          <w:citation/>
        </w:sdtPr>
        <w:sdtContent>
          <w:r w:rsidR="008E0B8C">
            <w:fldChar w:fldCharType="begin"/>
          </w:r>
          <w:r w:rsidR="00B0336C" w:rsidRPr="00B0336C">
            <w:instrText xml:space="preserve"> CITATION Web05 \l 1043 </w:instrText>
          </w:r>
          <w:r w:rsidR="008E0B8C">
            <w:fldChar w:fldCharType="separate"/>
          </w:r>
          <w:r w:rsidR="00362671" w:rsidRPr="00362671">
            <w:rPr>
              <w:noProof/>
            </w:rPr>
            <w:t>(Weber &amp; Zuchel, 2005)</w:t>
          </w:r>
          <w:r w:rsidR="008E0B8C">
            <w:fldChar w:fldCharType="end"/>
          </w:r>
        </w:sdtContent>
      </w:sdt>
      <w:r w:rsidR="00B0336C">
        <w:t>, which is understandable given the theoretic</w:t>
      </w:r>
      <w:r w:rsidR="003263E0">
        <w:t>al</w:t>
      </w:r>
      <w:r w:rsidR="00B0336C">
        <w:t xml:space="preserve"> explanation provided by the value function under prospect theory. Namely, if the decisions seem to be independent and separate from one another, the reference point shifts back to the original point in the origin. </w:t>
      </w:r>
    </w:p>
    <w:p w:rsidR="00B0336C" w:rsidRDefault="00B0336C" w:rsidP="000476C1">
      <w:pPr>
        <w:pStyle w:val="NoSpacing"/>
        <w:spacing w:line="360" w:lineRule="auto"/>
        <w:jc w:val="both"/>
      </w:pPr>
    </w:p>
    <w:p w:rsidR="005871DA" w:rsidRDefault="00B0336C" w:rsidP="00ED7021">
      <w:pPr>
        <w:pStyle w:val="NoSpacing"/>
        <w:spacing w:line="360" w:lineRule="auto"/>
        <w:jc w:val="both"/>
      </w:pPr>
      <w:r>
        <w:t>Framing effects, the manner in which a decision is presented to a person, play a role in the two vie</w:t>
      </w:r>
      <w:r w:rsidR="001B05A0">
        <w:t xml:space="preserve">ws treated above. </w:t>
      </w:r>
      <w:r w:rsidR="00330282">
        <w:t>Therefore, framing (and narrow framing) will now be given more attention to, after which the concepts of loss aversion</w:t>
      </w:r>
      <w:r w:rsidR="00BF41A3">
        <w:t xml:space="preserve"> (and the related risk aversion)</w:t>
      </w:r>
      <w:r w:rsidR="00330282">
        <w:t xml:space="preserve"> and narrow framing will be </w:t>
      </w:r>
      <w:r w:rsidR="004013CF">
        <w:t>linked with each other, thereby providing an explanation as to why the phenomena of hot and cold deal markets occur.</w:t>
      </w:r>
    </w:p>
    <w:p w:rsidR="006E7890" w:rsidRPr="00851405" w:rsidRDefault="006E7890" w:rsidP="00ED7021">
      <w:pPr>
        <w:pStyle w:val="NoSpacing"/>
        <w:spacing w:line="360" w:lineRule="auto"/>
        <w:jc w:val="both"/>
      </w:pPr>
    </w:p>
    <w:p w:rsidR="00851405" w:rsidRDefault="00E671C6" w:rsidP="00ED7021">
      <w:pPr>
        <w:pStyle w:val="NoSpacing"/>
        <w:spacing w:line="360" w:lineRule="auto"/>
        <w:jc w:val="both"/>
      </w:pPr>
      <w:r>
        <w:rPr>
          <w:i/>
        </w:rPr>
        <w:t>Narrow framing</w:t>
      </w:r>
    </w:p>
    <w:p w:rsidR="00F80538" w:rsidRDefault="00ED7021" w:rsidP="00ED7021">
      <w:pPr>
        <w:pStyle w:val="NoSpacing"/>
        <w:spacing w:line="360" w:lineRule="auto"/>
        <w:jc w:val="both"/>
      </w:pPr>
      <w:r>
        <w:t>One</w:t>
      </w:r>
      <w:r w:rsidR="00F80538">
        <w:t xml:space="preserve"> of the basic assumptions of rational choice theory</w:t>
      </w:r>
      <w:r>
        <w:t xml:space="preserve"> is invariance, which assumes </w:t>
      </w:r>
      <w:r w:rsidR="00F80538">
        <w:t>consistency and coherence</w:t>
      </w:r>
      <w:r w:rsidR="008307BE">
        <w:t xml:space="preserve"> </w:t>
      </w:r>
      <w:r>
        <w:t xml:space="preserve">in people’s choices </w:t>
      </w:r>
      <w:sdt>
        <w:sdtPr>
          <w:id w:val="-571965311"/>
          <w:citation/>
        </w:sdtPr>
        <w:sdtContent>
          <w:r w:rsidR="008E0B8C">
            <w:fldChar w:fldCharType="begin"/>
          </w:r>
          <w:r w:rsidRPr="00ED7021">
            <w:instrText xml:space="preserve"> CITATION Wil08 \l 1043 </w:instrText>
          </w:r>
          <w:r w:rsidR="008E0B8C">
            <w:fldChar w:fldCharType="separate"/>
          </w:r>
          <w:r w:rsidR="00362671" w:rsidRPr="00362671">
            <w:rPr>
              <w:noProof/>
            </w:rPr>
            <w:t>(Wilkinson, 2008)</w:t>
          </w:r>
          <w:r w:rsidR="008E0B8C">
            <w:fldChar w:fldCharType="end"/>
          </w:r>
        </w:sdtContent>
      </w:sdt>
      <w:r w:rsidR="00F80538">
        <w:t xml:space="preserve">. </w:t>
      </w:r>
      <w:r>
        <w:t>This implies</w:t>
      </w:r>
      <w:r w:rsidR="00F80538">
        <w:t xml:space="preserve"> that the presentation of any choice should not influence the eventual decision. </w:t>
      </w:r>
      <w:r w:rsidR="008307BE">
        <w:t xml:space="preserve">However, many studies have shown that these conditions do not hold, if the presentation of the same choice is changed from a positive to </w:t>
      </w:r>
      <w:r w:rsidR="00DF7F3B">
        <w:t xml:space="preserve">a </w:t>
      </w:r>
      <w:r w:rsidR="008307BE">
        <w:t xml:space="preserve">negative phrasing, or vice versa. </w:t>
      </w:r>
      <w:r w:rsidR="00F80538">
        <w:t>Th</w:t>
      </w:r>
      <w:r w:rsidR="008307BE">
        <w:t xml:space="preserve">is </w:t>
      </w:r>
      <w:r w:rsidR="00F80538">
        <w:t xml:space="preserve">cognitive bias </w:t>
      </w:r>
      <w:r w:rsidR="008307BE">
        <w:t xml:space="preserve">is called </w:t>
      </w:r>
      <w:r w:rsidR="00F80538">
        <w:t>framing effects</w:t>
      </w:r>
      <w:r w:rsidR="008307BE">
        <w:t>. It describes</w:t>
      </w:r>
      <w:r w:rsidR="00F80538">
        <w:t xml:space="preserve"> the phenomenon where people make different choices dependent on the presentation of the</w:t>
      </w:r>
      <w:r>
        <w:t xml:space="preserve"> question as losses or as gains </w:t>
      </w:r>
      <w:r w:rsidR="0052486F">
        <w:rPr>
          <w:noProof/>
        </w:rPr>
        <w:t>(Tversky &amp; Kahneman</w:t>
      </w:r>
      <w:r w:rsidR="0052486F" w:rsidRPr="006A00B1">
        <w:rPr>
          <w:noProof/>
        </w:rPr>
        <w:t>, 1981)</w:t>
      </w:r>
      <w:r>
        <w:t>.</w:t>
      </w:r>
      <w:r w:rsidR="00CA5577">
        <w:t xml:space="preserve"> Framing effects are among the most prominent phenomena in behavioral economics </w:t>
      </w:r>
      <w:sdt>
        <w:sdtPr>
          <w:id w:val="-591901"/>
          <w:citation/>
        </w:sdtPr>
        <w:sdtContent>
          <w:r w:rsidR="008E0B8C">
            <w:fldChar w:fldCharType="begin"/>
          </w:r>
          <w:r w:rsidR="00CA5577" w:rsidRPr="00CA5577">
            <w:instrText xml:space="preserve"> CITATION Wil08 \l 1043 </w:instrText>
          </w:r>
          <w:r w:rsidR="008E0B8C">
            <w:fldChar w:fldCharType="separate"/>
          </w:r>
          <w:r w:rsidR="00362671" w:rsidRPr="00362671">
            <w:rPr>
              <w:noProof/>
            </w:rPr>
            <w:t>(Wilkinson, 2008)</w:t>
          </w:r>
          <w:r w:rsidR="008E0B8C">
            <w:fldChar w:fldCharType="end"/>
          </w:r>
        </w:sdtContent>
      </w:sdt>
      <w:r w:rsidR="00CA5577">
        <w:t>.</w:t>
      </w:r>
      <w:r w:rsidR="00BF5182">
        <w:t xml:space="preserve"> </w:t>
      </w:r>
      <w:r w:rsidR="00DF7F3B">
        <w:t>Narrow framing is such a phenomenon. To grasp t</w:t>
      </w:r>
      <w:r w:rsidR="00C66060">
        <w:t xml:space="preserve">he concept </w:t>
      </w:r>
      <w:r w:rsidR="00DF7F3B">
        <w:t xml:space="preserve">of narrow framing, one should first recall traditional utility theory. This </w:t>
      </w:r>
      <w:r w:rsidR="00C66060">
        <w:t xml:space="preserve">theory </w:t>
      </w:r>
      <w:r w:rsidR="00DF7F3B">
        <w:t>states that a person given a decision involving risks should evaluate this decision by mixing the risks inherent to the decision with the risks the person already faces over the total wealth of said person</w:t>
      </w:r>
      <w:r w:rsidR="00C66060">
        <w:t xml:space="preserve"> in order to establish whether the decision to be made is either attractive or unattractive</w:t>
      </w:r>
      <w:r w:rsidR="007D0EC8">
        <w:t xml:space="preserve"> </w:t>
      </w:r>
      <w:sdt>
        <w:sdtPr>
          <w:id w:val="-1462802273"/>
          <w:citation/>
        </w:sdtPr>
        <w:sdtContent>
          <w:r w:rsidR="008E0B8C">
            <w:fldChar w:fldCharType="begin"/>
          </w:r>
          <w:r w:rsidR="00DF7F3B" w:rsidRPr="00DF7F3B">
            <w:instrText xml:space="preserve"> CITATION Bar081 \l 1043 </w:instrText>
          </w:r>
          <w:r w:rsidR="008E0B8C">
            <w:fldChar w:fldCharType="separate"/>
          </w:r>
          <w:r w:rsidR="00362671" w:rsidRPr="00362671">
            <w:rPr>
              <w:noProof/>
            </w:rPr>
            <w:t>(Barberis &amp; Huang, 2008)</w:t>
          </w:r>
          <w:r w:rsidR="008E0B8C">
            <w:fldChar w:fldCharType="end"/>
          </w:r>
        </w:sdtContent>
      </w:sdt>
      <w:r w:rsidR="00DF7F3B">
        <w:t xml:space="preserve">. </w:t>
      </w:r>
      <w:r w:rsidR="00C66060">
        <w:t xml:space="preserve">Narrow framing is the observation that such decisions or gambles are evaluated in isolation of all other risks a person already faces. Tversky &amp; Kahneman (1981) have shown </w:t>
      </w:r>
      <w:r w:rsidR="00867521">
        <w:t>this in their classic experiment:</w:t>
      </w:r>
    </w:p>
    <w:p w:rsidR="00867521" w:rsidRDefault="00867521" w:rsidP="00ED7021">
      <w:pPr>
        <w:pStyle w:val="NoSpacing"/>
        <w:spacing w:line="360" w:lineRule="auto"/>
        <w:jc w:val="both"/>
      </w:pPr>
    </w:p>
    <w:p w:rsidR="00867521" w:rsidRDefault="00867521" w:rsidP="00867521">
      <w:pPr>
        <w:pStyle w:val="NoSpacing"/>
        <w:spacing w:line="360" w:lineRule="auto"/>
        <w:jc w:val="both"/>
        <w:rPr>
          <w:i/>
        </w:rPr>
      </w:pPr>
      <w:r>
        <w:rPr>
          <w:i/>
        </w:rPr>
        <w:t>“Imagine that you face the following pair of concurrent decisions. First examine both decisions, and then indicate the options you prefer.</w:t>
      </w:r>
    </w:p>
    <w:p w:rsidR="00867521" w:rsidRDefault="00867521" w:rsidP="00867521">
      <w:pPr>
        <w:pStyle w:val="NoSpacing"/>
        <w:spacing w:line="360" w:lineRule="auto"/>
        <w:jc w:val="both"/>
        <w:rPr>
          <w:i/>
        </w:rPr>
      </w:pPr>
      <w:r>
        <w:rPr>
          <w:i/>
        </w:rPr>
        <w:t>Choice 1: Choose between</w:t>
      </w:r>
    </w:p>
    <w:p w:rsidR="00867521" w:rsidRDefault="00867521" w:rsidP="00867521">
      <w:pPr>
        <w:pStyle w:val="NoSpacing"/>
        <w:numPr>
          <w:ilvl w:val="0"/>
          <w:numId w:val="5"/>
        </w:numPr>
        <w:spacing w:line="360" w:lineRule="auto"/>
        <w:jc w:val="both"/>
        <w:rPr>
          <w:i/>
        </w:rPr>
      </w:pPr>
      <w:r>
        <w:rPr>
          <w:i/>
        </w:rPr>
        <w:t>A sure gain of €240,</w:t>
      </w:r>
    </w:p>
    <w:p w:rsidR="00867521" w:rsidRDefault="00867521" w:rsidP="00867521">
      <w:pPr>
        <w:pStyle w:val="NoSpacing"/>
        <w:numPr>
          <w:ilvl w:val="0"/>
          <w:numId w:val="5"/>
        </w:numPr>
        <w:spacing w:line="360" w:lineRule="auto"/>
        <w:jc w:val="both"/>
        <w:rPr>
          <w:i/>
        </w:rPr>
      </w:pPr>
      <w:r>
        <w:rPr>
          <w:i/>
        </w:rPr>
        <w:t>A 25% chance to gain €1,000 and a 75% chance to gain nothing.</w:t>
      </w:r>
    </w:p>
    <w:p w:rsidR="00867521" w:rsidRDefault="00867521" w:rsidP="00867521">
      <w:pPr>
        <w:pStyle w:val="NoSpacing"/>
        <w:spacing w:line="360" w:lineRule="auto"/>
        <w:jc w:val="both"/>
        <w:rPr>
          <w:i/>
        </w:rPr>
      </w:pPr>
      <w:r>
        <w:rPr>
          <w:i/>
        </w:rPr>
        <w:t>Choice 2: Choose between</w:t>
      </w:r>
    </w:p>
    <w:p w:rsidR="00867521" w:rsidRDefault="00867521" w:rsidP="00867521">
      <w:pPr>
        <w:pStyle w:val="NoSpacing"/>
        <w:numPr>
          <w:ilvl w:val="0"/>
          <w:numId w:val="5"/>
        </w:numPr>
        <w:spacing w:line="360" w:lineRule="auto"/>
        <w:jc w:val="both"/>
        <w:rPr>
          <w:i/>
        </w:rPr>
      </w:pPr>
      <w:r>
        <w:rPr>
          <w:i/>
        </w:rPr>
        <w:t>A sure loss of €750,</w:t>
      </w:r>
    </w:p>
    <w:p w:rsidR="00867521" w:rsidRPr="00867521" w:rsidRDefault="00867521" w:rsidP="00867521">
      <w:pPr>
        <w:pStyle w:val="NoSpacing"/>
        <w:numPr>
          <w:ilvl w:val="0"/>
          <w:numId w:val="5"/>
        </w:numPr>
        <w:spacing w:line="360" w:lineRule="auto"/>
        <w:jc w:val="both"/>
        <w:rPr>
          <w:i/>
        </w:rPr>
      </w:pPr>
      <w:r>
        <w:rPr>
          <w:i/>
        </w:rPr>
        <w:t>A 75% chance to lose €1,000 and a 25% chance to lose nothing.”</w:t>
      </w:r>
    </w:p>
    <w:p w:rsidR="00867521" w:rsidRDefault="00867521" w:rsidP="00ED7021">
      <w:pPr>
        <w:pStyle w:val="NoSpacing"/>
        <w:spacing w:line="360" w:lineRule="auto"/>
        <w:jc w:val="both"/>
      </w:pPr>
    </w:p>
    <w:p w:rsidR="00867521" w:rsidRDefault="003F3E20" w:rsidP="00ED7021">
      <w:pPr>
        <w:pStyle w:val="NoSpacing"/>
        <w:spacing w:line="360" w:lineRule="auto"/>
        <w:jc w:val="both"/>
      </w:pPr>
      <w:r>
        <w:t xml:space="preserve">As the subjects are asked to first examine both decisions before indicating which of the options they prefer, the subject should integrate the outcome of the options of Choice 1 and Choice 2 and then determine which of the options in these two situations are preferable. This should cause them to opt for B&amp;C as the </w:t>
      </w:r>
      <w:r w:rsidR="007B67D6">
        <w:t xml:space="preserve">expected </w:t>
      </w:r>
      <w:r>
        <w:t xml:space="preserve">integrated outcome of this gamble is: [25% chance to gain €250, 75% chance to lose €750]. This outcome clearly dominates the </w:t>
      </w:r>
      <w:r w:rsidR="007B67D6">
        <w:t xml:space="preserve">expected integrated </w:t>
      </w:r>
      <w:r>
        <w:t>outcome of A&amp;D: [25% chance to gain €240</w:t>
      </w:r>
      <w:r w:rsidR="007B67D6">
        <w:t xml:space="preserve">, 75% chance to lose €760]. However, 84% of the subjects opted for A and 87% chose for D (thus, only 16% opted for B and </w:t>
      </w:r>
      <w:r w:rsidR="00AA42B9">
        <w:t xml:space="preserve">a mere 13% opted for C). This indicates that subjects do not focus on the combined outcome of decisions, as traditional utility theory prescribes, but subjects tend to isolate decisions and their outcome, disregarding indirect impact of their choice on total wealth. In other words, people tend to look directly at the outcome of a single decision and they examine whether that decision is attractive. </w:t>
      </w:r>
      <w:r w:rsidR="0034329D">
        <w:t>Concluding, narrow framing is the focus on the outcome of a single decision, without appropriately taking into account the other risks one already faces.</w:t>
      </w:r>
    </w:p>
    <w:p w:rsidR="00AA42B9" w:rsidRDefault="00AA42B9" w:rsidP="00ED7021">
      <w:pPr>
        <w:pStyle w:val="NoSpacing"/>
        <w:spacing w:line="360" w:lineRule="auto"/>
        <w:jc w:val="both"/>
      </w:pPr>
    </w:p>
    <w:p w:rsidR="001A6E86" w:rsidRPr="0049095A" w:rsidRDefault="00AA42B9" w:rsidP="00ED7021">
      <w:pPr>
        <w:pStyle w:val="NoSpacing"/>
        <w:spacing w:line="360" w:lineRule="auto"/>
        <w:jc w:val="both"/>
      </w:pPr>
      <w:r w:rsidRPr="0049095A">
        <w:t>There are two interpretations as to what</w:t>
      </w:r>
      <w:r w:rsidR="00836C4A" w:rsidRPr="0049095A">
        <w:t xml:space="preserve"> the </w:t>
      </w:r>
      <w:r w:rsidR="00AB06AC" w:rsidRPr="0049095A">
        <w:t>underlying sources</w:t>
      </w:r>
      <w:r w:rsidR="00836C4A" w:rsidRPr="0049095A">
        <w:t xml:space="preserve"> of narrow framing </w:t>
      </w:r>
      <w:r w:rsidR="0034329D" w:rsidRPr="0049095A">
        <w:t>may be, both of which may provide explanations as to why the hot and cold deal market phenomena occur. O</w:t>
      </w:r>
      <w:r w:rsidR="00492C1D" w:rsidRPr="0049095A">
        <w:t xml:space="preserve">ne </w:t>
      </w:r>
      <w:r w:rsidR="00AE09C8" w:rsidRPr="0049095A">
        <w:t xml:space="preserve">of these </w:t>
      </w:r>
      <w:r w:rsidR="00AE09C8" w:rsidRPr="0049095A">
        <w:lastRenderedPageBreak/>
        <w:t xml:space="preserve">interpretations focuses on </w:t>
      </w:r>
      <w:r w:rsidR="00815913" w:rsidRPr="0049095A">
        <w:t>th</w:t>
      </w:r>
      <w:r w:rsidR="00AE09C8" w:rsidRPr="0049095A">
        <w:t xml:space="preserve">e non-consumption utility </w:t>
      </w:r>
      <w:r w:rsidR="00492C1D" w:rsidRPr="0049095A">
        <w:t>‘regret’</w:t>
      </w:r>
      <w:r w:rsidR="00815913" w:rsidRPr="0049095A">
        <w:t>. In this regard, regret is seen as the pain caused due to the realization that one would have been better off now if a different choice was made in the past</w:t>
      </w:r>
      <w:sdt>
        <w:sdtPr>
          <w:id w:val="-872691884"/>
          <w:citation/>
        </w:sdtPr>
        <w:sdtContent>
          <w:r w:rsidR="008E0B8C" w:rsidRPr="0049095A">
            <w:fldChar w:fldCharType="begin"/>
          </w:r>
          <w:r w:rsidR="00815913" w:rsidRPr="0049095A">
            <w:instrText xml:space="preserve"> CITATION Bar081 \l 1043 </w:instrText>
          </w:r>
          <w:r w:rsidR="008E0B8C" w:rsidRPr="0049095A">
            <w:fldChar w:fldCharType="separate"/>
          </w:r>
          <w:r w:rsidR="00362671">
            <w:rPr>
              <w:noProof/>
            </w:rPr>
            <w:t xml:space="preserve"> </w:t>
          </w:r>
          <w:r w:rsidR="00362671" w:rsidRPr="00362671">
            <w:rPr>
              <w:noProof/>
            </w:rPr>
            <w:t>(Barberis &amp; Huang, 2008)</w:t>
          </w:r>
          <w:r w:rsidR="008E0B8C" w:rsidRPr="0049095A">
            <w:fldChar w:fldCharType="end"/>
          </w:r>
        </w:sdtContent>
      </w:sdt>
      <w:r w:rsidR="00815913" w:rsidRPr="0049095A">
        <w:t xml:space="preserve">. Consequently, this would explain why one frames narrowly: as the pain due to the regret is explicitly tied to a specific choice made in the past, the exposure to future regret is taken into account in the decision making process now. In other words, the possibility of making a decision now that turns out to be bad in the future shies people away from making that particular decision, independently of any other risks. Therefore, the existence of regret could be an explanation for the tendency to not appropriately merge the risk of the decision at hand with the other risks a person already faces. </w:t>
      </w:r>
      <w:r w:rsidR="00723FAA" w:rsidRPr="0049095A">
        <w:t xml:space="preserve">Important to note is that one can of course also regret not having taken a decision in the future (e.g. not investing in a particular stock after which the price of this stock skyrockets). However, research has shown that regret of making a decision (errors of commission) is more painful than the regret of not making a decision (errors of omission) </w:t>
      </w:r>
      <w:sdt>
        <w:sdtPr>
          <w:id w:val="-1701083641"/>
          <w:citation/>
        </w:sdtPr>
        <w:sdtContent>
          <w:r w:rsidR="008E0B8C" w:rsidRPr="0049095A">
            <w:fldChar w:fldCharType="begin"/>
          </w:r>
          <w:r w:rsidR="00723FAA" w:rsidRPr="0049095A">
            <w:instrText xml:space="preserve"> CITATION Kah82 \l 1043 </w:instrText>
          </w:r>
          <w:r w:rsidR="008E0B8C" w:rsidRPr="0049095A">
            <w:fldChar w:fldCharType="separate"/>
          </w:r>
          <w:r w:rsidR="00362671" w:rsidRPr="00362671">
            <w:rPr>
              <w:noProof/>
            </w:rPr>
            <w:t>(Kahneman &amp; Tversky, The psychology of preferences, 1982)</w:t>
          </w:r>
          <w:r w:rsidR="008E0B8C" w:rsidRPr="0049095A">
            <w:fldChar w:fldCharType="end"/>
          </w:r>
        </w:sdtContent>
      </w:sdt>
      <w:r w:rsidR="001A6E86" w:rsidRPr="0049095A">
        <w:t>.</w:t>
      </w:r>
    </w:p>
    <w:p w:rsidR="001A6E86" w:rsidRPr="0049095A" w:rsidRDefault="001A6E86" w:rsidP="00ED7021">
      <w:pPr>
        <w:pStyle w:val="NoSpacing"/>
        <w:spacing w:line="360" w:lineRule="auto"/>
        <w:jc w:val="both"/>
      </w:pPr>
    </w:p>
    <w:p w:rsidR="001A6E86" w:rsidRPr="0049095A" w:rsidRDefault="001A6E86" w:rsidP="00ED7021">
      <w:pPr>
        <w:pStyle w:val="NoSpacing"/>
        <w:spacing w:line="360" w:lineRule="auto"/>
        <w:jc w:val="both"/>
      </w:pPr>
      <w:r w:rsidRPr="0049095A">
        <w:t xml:space="preserve">The second interpretation of a possible underlying source of narrow framing is provided by </w:t>
      </w:r>
      <w:r w:rsidRPr="0049095A">
        <w:rPr>
          <w:noProof/>
        </w:rPr>
        <w:t>Kahneman (2003)</w:t>
      </w:r>
      <w:r w:rsidRPr="0049095A">
        <w:t>.</w:t>
      </w:r>
      <w:r w:rsidR="000B0256" w:rsidRPr="0049095A">
        <w:t xml:space="preserve"> </w:t>
      </w:r>
      <w:r w:rsidRPr="0049095A">
        <w:t>Kahneman distinguishes two systems of thinking and decision making, which respectively corresponds to intuitive thinking and reasoning</w:t>
      </w:r>
      <w:r w:rsidR="00FA4D67" w:rsidRPr="0049095A">
        <w:t>, which he labels System 1 and System 2 conform</w:t>
      </w:r>
      <w:r w:rsidR="00FA4D67" w:rsidRPr="0049095A">
        <w:rPr>
          <w:noProof/>
        </w:rPr>
        <w:t xml:space="preserve"> Stanovich &amp; West (2000).</w:t>
      </w:r>
      <w:r w:rsidR="00FA4D67" w:rsidRPr="0049095A">
        <w:t xml:space="preserve"> </w:t>
      </w:r>
      <w:r w:rsidR="009A10A9" w:rsidRPr="0049095A">
        <w:t xml:space="preserve">In short, System 1 represents </w:t>
      </w:r>
      <w:r w:rsidR="000B0256" w:rsidRPr="0049095A">
        <w:t xml:space="preserve">intuitive thought, which operates fast, automatically, effortlessly, largely emotionally charged and associative, and is therefore hard to control. In contrast, System 2 represents reasoning, which operates slower, effortful, controlled and is to a large extent rule-governed </w:t>
      </w:r>
      <w:r w:rsidR="000B0256" w:rsidRPr="0049095A">
        <w:rPr>
          <w:noProof/>
        </w:rPr>
        <w:t>(Kahneman, 2003)</w:t>
      </w:r>
      <w:r w:rsidR="000B0256" w:rsidRPr="0049095A">
        <w:t xml:space="preserve">. Kahneman continues by introducing the concept of ‘accessibility’. </w:t>
      </w:r>
      <w:r w:rsidR="000F59A7" w:rsidRPr="0049095A">
        <w:t xml:space="preserve">He argues that narrow framing occurs when decisions are made more intuitively as opposed to effortful reasoning. The accessibility of the features of the decision are therefore of paramount importance. </w:t>
      </w:r>
      <w:r w:rsidR="00036D9D" w:rsidRPr="0049095A">
        <w:t xml:space="preserve">If certain aspects of a decision are not accessible enough to a decision maker, this will increase the likelihood that the decision is framed too narrowly, thereby not taking into account other risks or opportunities. </w:t>
      </w:r>
    </w:p>
    <w:p w:rsidR="00747BB0" w:rsidRDefault="00747BB0" w:rsidP="00ED7021">
      <w:pPr>
        <w:pStyle w:val="NoSpacing"/>
        <w:spacing w:line="360" w:lineRule="auto"/>
        <w:jc w:val="both"/>
      </w:pPr>
    </w:p>
    <w:p w:rsidR="00230424" w:rsidRPr="00622047" w:rsidRDefault="00622047" w:rsidP="009D26F3">
      <w:pPr>
        <w:pStyle w:val="NoSpacing"/>
        <w:spacing w:line="360" w:lineRule="auto"/>
        <w:jc w:val="both"/>
        <w:rPr>
          <w:i/>
        </w:rPr>
      </w:pPr>
      <w:r>
        <w:rPr>
          <w:i/>
        </w:rPr>
        <w:t xml:space="preserve">Hot and cold deal market </w:t>
      </w:r>
      <w:r w:rsidR="00FA38AD">
        <w:rPr>
          <w:i/>
        </w:rPr>
        <w:t>in relation to</w:t>
      </w:r>
      <w:r w:rsidR="00267900">
        <w:rPr>
          <w:i/>
        </w:rPr>
        <w:t xml:space="preserve"> valuation</w:t>
      </w:r>
      <w:r w:rsidR="00FA38AD">
        <w:rPr>
          <w:i/>
        </w:rPr>
        <w:t xml:space="preserve"> through cognitive biases</w:t>
      </w:r>
    </w:p>
    <w:p w:rsidR="008D7BDA" w:rsidRDefault="00200DE2" w:rsidP="00200DE2">
      <w:pPr>
        <w:spacing w:line="360" w:lineRule="auto"/>
        <w:jc w:val="both"/>
      </w:pPr>
      <w:r w:rsidRPr="00200DE2">
        <w:t>The theo</w:t>
      </w:r>
      <w:r>
        <w:t xml:space="preserve">retical considerations regarding the valuation methods and the cognitive biases of overconfidence, loss aversion and narrow framing have now been sufficiently covered, such that it is now possible to describe the expected </w:t>
      </w:r>
      <w:r w:rsidR="00723F5C">
        <w:t>effect</w:t>
      </w:r>
      <w:r>
        <w:t xml:space="preserve"> hot and cold deal markets </w:t>
      </w:r>
      <w:r w:rsidR="00723F5C">
        <w:t xml:space="preserve">have </w:t>
      </w:r>
      <w:r>
        <w:t xml:space="preserve">through the </w:t>
      </w:r>
      <w:r>
        <w:lastRenderedPageBreak/>
        <w:t>aforementioned cognitive biases on the eventual valuation. The expected relationships will form the first hypotheses wh</w:t>
      </w:r>
      <w:r w:rsidR="00723F5C">
        <w:t>ich the experiment will seek to find answer to.</w:t>
      </w:r>
    </w:p>
    <w:p w:rsidR="00723F5C" w:rsidRDefault="00723F5C" w:rsidP="00200DE2">
      <w:pPr>
        <w:spacing w:line="360" w:lineRule="auto"/>
        <w:jc w:val="both"/>
      </w:pPr>
      <w:r>
        <w:t xml:space="preserve">First, it is important to see that a positive correlation between the business cycle and M&amp;A activity (thus: hot and cold deal markets) has readily been established </w:t>
      </w:r>
      <w:sdt>
        <w:sdtPr>
          <w:id w:val="-520701048"/>
          <w:citation/>
        </w:sdtPr>
        <w:sdtContent>
          <w:r w:rsidR="008E0B8C">
            <w:fldChar w:fldCharType="begin"/>
          </w:r>
          <w:r w:rsidRPr="00723F5C">
            <w:instrText xml:space="preserve"> CITATION Bec86 \l 1043 </w:instrText>
          </w:r>
          <w:r w:rsidR="008E0B8C">
            <w:fldChar w:fldCharType="separate"/>
          </w:r>
          <w:r w:rsidR="00362671" w:rsidRPr="00362671">
            <w:rPr>
              <w:noProof/>
            </w:rPr>
            <w:t>(Becketti, 1986)</w:t>
          </w:r>
          <w:r w:rsidR="008E0B8C">
            <w:fldChar w:fldCharType="end"/>
          </w:r>
        </w:sdtContent>
      </w:sdt>
      <w:r>
        <w:t xml:space="preserve">. This means that executives in a hot deal market are near the top of the cycle and </w:t>
      </w:r>
      <w:r w:rsidR="008A4503">
        <w:t xml:space="preserve">are likely to </w:t>
      </w:r>
      <w:r>
        <w:t>have experienced recent gains. This</w:t>
      </w:r>
      <w:r w:rsidR="00230BE8">
        <w:t xml:space="preserve"> recent gain</w:t>
      </w:r>
      <w:r>
        <w:t xml:space="preserve"> in turn amplifies the overconfidence inherent in executives, as they are likely to attribute these recent successes </w:t>
      </w:r>
      <w:r w:rsidR="00ED4E17">
        <w:t xml:space="preserve">to their own abilities. </w:t>
      </w:r>
      <w:r w:rsidR="008A4503">
        <w:t>This increased degree of overconfidence in executives is then expected to increase valuation of new ventures by these executives, as they are overoptimistic about the future of this venture, expressed in an overestimation of the horizon value in the DCF analysis. This reasoning leads to following hypothesis:</w:t>
      </w:r>
    </w:p>
    <w:p w:rsidR="008A4503" w:rsidRDefault="008A4503" w:rsidP="008A4503">
      <w:pPr>
        <w:spacing w:line="360" w:lineRule="auto"/>
        <w:jc w:val="both"/>
        <w:rPr>
          <w:i/>
        </w:rPr>
      </w:pPr>
      <w:r w:rsidRPr="002A42CD">
        <w:rPr>
          <w:b/>
        </w:rPr>
        <w:t xml:space="preserve">Hypothesis </w:t>
      </w:r>
      <w:r>
        <w:rPr>
          <w:b/>
        </w:rPr>
        <w:t>1</w:t>
      </w:r>
      <w:r w:rsidRPr="002A42CD">
        <w:rPr>
          <w:b/>
        </w:rPr>
        <w:t>:</w:t>
      </w:r>
      <w:r>
        <w:t xml:space="preserve"> </w:t>
      </w:r>
      <w:r w:rsidRPr="00230BE8">
        <w:rPr>
          <w:i/>
        </w:rPr>
        <w:t>“</w:t>
      </w:r>
      <w:r w:rsidR="00230BE8">
        <w:rPr>
          <w:i/>
        </w:rPr>
        <w:t>The</w:t>
      </w:r>
      <w:r w:rsidR="00230BE8" w:rsidRPr="00230BE8">
        <w:rPr>
          <w:i/>
        </w:rPr>
        <w:t xml:space="preserve"> </w:t>
      </w:r>
      <w:r w:rsidRPr="002A42CD">
        <w:rPr>
          <w:i/>
        </w:rPr>
        <w:t>v</w:t>
      </w:r>
      <w:r w:rsidR="00230BE8">
        <w:rPr>
          <w:i/>
        </w:rPr>
        <w:t>aluations of executives who have recently experienced a gain are higher than valuations of</w:t>
      </w:r>
      <w:r>
        <w:rPr>
          <w:i/>
        </w:rPr>
        <w:t xml:space="preserve"> executives without </w:t>
      </w:r>
      <w:r w:rsidR="00230BE8">
        <w:rPr>
          <w:i/>
        </w:rPr>
        <w:t>any prior experience.”</w:t>
      </w:r>
    </w:p>
    <w:p w:rsidR="00230BE8" w:rsidRDefault="00230BE8" w:rsidP="008A4503">
      <w:pPr>
        <w:spacing w:line="360" w:lineRule="auto"/>
        <w:jc w:val="both"/>
      </w:pPr>
      <w:r>
        <w:t xml:space="preserve">If Hypothesis 1 holds, this </w:t>
      </w:r>
      <w:r w:rsidR="00CE3A59">
        <w:t>would provide evidence to the statement</w:t>
      </w:r>
      <w:r>
        <w:t xml:space="preserve"> that recent gains, characteristic to a hot deal market, </w:t>
      </w:r>
      <w:r w:rsidR="00CE3A59">
        <w:t>amplify overconfidence, which in turn leads to a higher valuation of the venture in question, due to overestimation of growth possibilities inherent in the horizon value. If Hypothesis 1 does not hold, this could either imply that</w:t>
      </w:r>
      <w:r w:rsidR="00E71BF3">
        <w:t xml:space="preserve"> the</w:t>
      </w:r>
      <w:r w:rsidR="00CE3A59">
        <w:t xml:space="preserve"> prior gains are not significant enough (or in terms of the experiment: the frami</w:t>
      </w:r>
      <w:r w:rsidR="00E71BF3">
        <w:t>ng was not successful), or more extremely, that prior gains do not truly have a relationship with overconfidence.</w:t>
      </w:r>
    </w:p>
    <w:p w:rsidR="00E71BF3" w:rsidRDefault="00871469" w:rsidP="008A4503">
      <w:pPr>
        <w:spacing w:line="360" w:lineRule="auto"/>
        <w:jc w:val="both"/>
      </w:pPr>
      <w:r>
        <w:t xml:space="preserve">Given the established positive correlation between business cycle and M&amp;A activity, it can be derived that executives in a cold deal market are near the bottom of the cycle </w:t>
      </w:r>
      <w:r w:rsidR="0041050D">
        <w:t>and are thereby likely to have experienced recent losses or setbacks. Assuming that the house money effect holds, this recent loss would induce risk averse behavior. If this executive then has to valuate a new venture, this risk averse behavior should be reflected by a conservative valuation, as the risk inherent to the initial outlay is weighted relatively more. This reasoning leads to the following hypothesis:</w:t>
      </w:r>
    </w:p>
    <w:p w:rsidR="0041050D" w:rsidRDefault="0041050D" w:rsidP="0041050D">
      <w:pPr>
        <w:spacing w:line="360" w:lineRule="auto"/>
        <w:jc w:val="both"/>
        <w:rPr>
          <w:i/>
        </w:rPr>
      </w:pPr>
      <w:r w:rsidRPr="002A42CD">
        <w:rPr>
          <w:b/>
        </w:rPr>
        <w:t xml:space="preserve">Hypothesis </w:t>
      </w:r>
      <w:r>
        <w:rPr>
          <w:b/>
        </w:rPr>
        <w:t>2</w:t>
      </w:r>
      <w:r w:rsidR="000F594D">
        <w:rPr>
          <w:b/>
        </w:rPr>
        <w:t>a</w:t>
      </w:r>
      <w:r w:rsidRPr="002A42CD">
        <w:rPr>
          <w:b/>
        </w:rPr>
        <w:t>:</w:t>
      </w:r>
      <w:r>
        <w:t xml:space="preserve"> </w:t>
      </w:r>
      <w:r w:rsidRPr="00230BE8">
        <w:rPr>
          <w:i/>
        </w:rPr>
        <w:t>“</w:t>
      </w:r>
      <w:r>
        <w:rPr>
          <w:i/>
        </w:rPr>
        <w:t>The</w:t>
      </w:r>
      <w:r w:rsidRPr="00230BE8">
        <w:rPr>
          <w:i/>
        </w:rPr>
        <w:t xml:space="preserve"> </w:t>
      </w:r>
      <w:r w:rsidRPr="002A42CD">
        <w:rPr>
          <w:i/>
        </w:rPr>
        <w:t>v</w:t>
      </w:r>
      <w:r>
        <w:rPr>
          <w:i/>
        </w:rPr>
        <w:t>aluations of executives w</w:t>
      </w:r>
      <w:r w:rsidR="000F594D">
        <w:rPr>
          <w:i/>
        </w:rPr>
        <w:t xml:space="preserve">ho have recently experienced a loss </w:t>
      </w:r>
      <w:r>
        <w:rPr>
          <w:i/>
        </w:rPr>
        <w:t xml:space="preserve">are </w:t>
      </w:r>
      <w:r w:rsidR="000F594D">
        <w:rPr>
          <w:i/>
        </w:rPr>
        <w:t>lower</w:t>
      </w:r>
      <w:r>
        <w:rPr>
          <w:i/>
        </w:rPr>
        <w:t xml:space="preserve"> than valuations of executives without any prior experience.”</w:t>
      </w:r>
    </w:p>
    <w:p w:rsidR="000F594D" w:rsidRPr="000F594D" w:rsidRDefault="000F594D" w:rsidP="0041050D">
      <w:pPr>
        <w:spacing w:line="360" w:lineRule="auto"/>
        <w:jc w:val="both"/>
      </w:pPr>
      <w:r>
        <w:t>However, if one is to assume the escalation of commitment effect</w:t>
      </w:r>
      <w:r w:rsidR="00932BB8">
        <w:t xml:space="preserve"> to be dominant</w:t>
      </w:r>
      <w:r>
        <w:t xml:space="preserve">, the prior loss could induce more risk seeking behavior among these executives. In a valuation this should be reflected </w:t>
      </w:r>
      <w:r w:rsidR="00932BB8">
        <w:t>by a more opportunistic valuation of the venture.</w:t>
      </w:r>
    </w:p>
    <w:p w:rsidR="00932BB8" w:rsidRDefault="00932BB8" w:rsidP="00932BB8">
      <w:pPr>
        <w:spacing w:line="360" w:lineRule="auto"/>
        <w:jc w:val="both"/>
        <w:rPr>
          <w:i/>
        </w:rPr>
      </w:pPr>
      <w:r w:rsidRPr="002A42CD">
        <w:rPr>
          <w:b/>
        </w:rPr>
        <w:lastRenderedPageBreak/>
        <w:t xml:space="preserve">Hypothesis </w:t>
      </w:r>
      <w:r>
        <w:rPr>
          <w:b/>
        </w:rPr>
        <w:t>2b</w:t>
      </w:r>
      <w:r w:rsidRPr="002A42CD">
        <w:rPr>
          <w:b/>
        </w:rPr>
        <w:t>:</w:t>
      </w:r>
      <w:r>
        <w:t xml:space="preserve"> </w:t>
      </w:r>
      <w:r w:rsidRPr="00230BE8">
        <w:rPr>
          <w:i/>
        </w:rPr>
        <w:t>“</w:t>
      </w:r>
      <w:r>
        <w:rPr>
          <w:i/>
        </w:rPr>
        <w:t>The</w:t>
      </w:r>
      <w:r w:rsidRPr="00230BE8">
        <w:rPr>
          <w:i/>
        </w:rPr>
        <w:t xml:space="preserve"> </w:t>
      </w:r>
      <w:r w:rsidRPr="002A42CD">
        <w:rPr>
          <w:i/>
        </w:rPr>
        <w:t>v</w:t>
      </w:r>
      <w:r>
        <w:rPr>
          <w:i/>
        </w:rPr>
        <w:t>aluations of executives who have recently experienced a loss are higher than valuations of executives without any prior experience.”</w:t>
      </w:r>
    </w:p>
    <w:p w:rsidR="0041050D" w:rsidRDefault="00CB3B4C" w:rsidP="008A4503">
      <w:pPr>
        <w:spacing w:line="360" w:lineRule="auto"/>
        <w:jc w:val="both"/>
      </w:pPr>
      <w:r>
        <w:t xml:space="preserve">As Hypothesis 2a and Hypothesis 2b are mutually exclusive, the </w:t>
      </w:r>
      <w:r w:rsidR="006D7E1A">
        <w:t xml:space="preserve">results of the </w:t>
      </w:r>
      <w:r w:rsidR="00895C3A">
        <w:t xml:space="preserve">experiments will have to provide the answer as to which of the two expectations hold. </w:t>
      </w:r>
      <w:r w:rsidR="00653428">
        <w:t>Given the outcome, one should look critically at the experiment and results to see whether the framing as executives has been sufficient. If this turns out not to be the case, this affects the results and one should therefore take that into account whilst interpreting the results.</w:t>
      </w:r>
    </w:p>
    <w:p w:rsidR="00895C3A" w:rsidRDefault="00895C3A" w:rsidP="008A4503">
      <w:pPr>
        <w:spacing w:line="360" w:lineRule="auto"/>
        <w:jc w:val="both"/>
      </w:pPr>
      <w:r>
        <w:t xml:space="preserve">After having established whether there exists a difference in valuations between groups with a prior gain/loss (‘hot deal market framing’/’cold deal </w:t>
      </w:r>
      <w:r w:rsidR="00653428">
        <w:t xml:space="preserve">market </w:t>
      </w:r>
      <w:r>
        <w:t xml:space="preserve">framing’) and groups without any prior experience, </w:t>
      </w:r>
      <w:r w:rsidR="00196A74">
        <w:t xml:space="preserve">testing whether a valuation difference exists between groups with respectively a prior experienced gain and a prior experienced loss. </w:t>
      </w:r>
      <w:r w:rsidR="00653428">
        <w:t>Following the same reasoning and assuming the house money effect to hold in the ‘cold deal market framing’, the following hypothesis should hold:</w:t>
      </w:r>
    </w:p>
    <w:p w:rsidR="00653428" w:rsidRDefault="00653428" w:rsidP="008A4503">
      <w:pPr>
        <w:spacing w:line="360" w:lineRule="auto"/>
        <w:jc w:val="both"/>
      </w:pPr>
      <w:r>
        <w:rPr>
          <w:b/>
        </w:rPr>
        <w:t xml:space="preserve">Hypothesis 3: </w:t>
      </w:r>
      <w:r>
        <w:rPr>
          <w:i/>
        </w:rPr>
        <w:t>“The valuations of executives who have recently experienced a gain are higher than valuation of executives who have recently experienced a loss.”</w:t>
      </w:r>
    </w:p>
    <w:p w:rsidR="00073BD0" w:rsidRDefault="00771F01" w:rsidP="00862BF4">
      <w:pPr>
        <w:spacing w:line="360" w:lineRule="auto"/>
        <w:jc w:val="both"/>
      </w:pPr>
      <w:r>
        <w:t xml:space="preserve">After answering these three hypotheses, it is time to see whether the proposed solution, a real options approach, for the hot and cold deal market phenomena by Smit &amp; Lovallo (2014) could be feasible. In order to explain how they propose to use real options to mitigate these phenomena, it is first imperative to explain the real options that are important with regard to this topic. </w:t>
      </w:r>
      <w:r w:rsidR="00073BD0">
        <w:t xml:space="preserve">In the context of this research there are four relevant real options: options to defer, </w:t>
      </w:r>
      <w:r w:rsidR="001250A5">
        <w:t>growth option</w:t>
      </w:r>
      <w:r w:rsidR="00CC10ED">
        <w:t>s</w:t>
      </w:r>
      <w:r w:rsidR="00073BD0">
        <w:t>, options to abandon and option</w:t>
      </w:r>
      <w:r w:rsidR="00CC10ED">
        <w:t>s</w:t>
      </w:r>
      <w:r w:rsidR="00073BD0">
        <w:t xml:space="preserve"> to switch. Each of these options will now be</w:t>
      </w:r>
      <w:r w:rsidR="000169F3">
        <w:t xml:space="preserve"> shortly</w:t>
      </w:r>
      <w:r w:rsidR="00073BD0">
        <w:t xml:space="preserve"> discussed.</w:t>
      </w:r>
      <w:r w:rsidR="000169F3">
        <w:t xml:space="preserve"> The valuation of real options will not be discussed: this is not relevant given the goal of this paper. </w:t>
      </w:r>
    </w:p>
    <w:p w:rsidR="00B02A3D" w:rsidRPr="00B02A3D" w:rsidRDefault="00B02A3D" w:rsidP="00CE52D7">
      <w:pPr>
        <w:pStyle w:val="NoSpacing"/>
        <w:spacing w:line="360" w:lineRule="auto"/>
        <w:rPr>
          <w:i/>
        </w:rPr>
      </w:pPr>
      <w:r w:rsidRPr="00B02A3D">
        <w:rPr>
          <w:i/>
        </w:rPr>
        <w:t>Option to defer</w:t>
      </w:r>
    </w:p>
    <w:p w:rsidR="000169F3" w:rsidRDefault="00DC3407" w:rsidP="00CE52D7">
      <w:pPr>
        <w:spacing w:line="360" w:lineRule="auto"/>
        <w:jc w:val="both"/>
      </w:pPr>
      <w:r>
        <w:t>As described above, it is conventional wisdom to commit to a project if the NPV is positive. However, it is sometimes better to wait with committing. By waiting, one obtains a</w:t>
      </w:r>
      <w:r w:rsidR="00073BD0">
        <w:t>n option to defer</w:t>
      </w:r>
      <w:r>
        <w:t xml:space="preserve"> (</w:t>
      </w:r>
      <w:r w:rsidR="005416C9">
        <w:t xml:space="preserve">also known as an option </w:t>
      </w:r>
      <w:r w:rsidR="004165D6">
        <w:t xml:space="preserve">to </w:t>
      </w:r>
      <w:r w:rsidR="001250A5">
        <w:t>stage,</w:t>
      </w:r>
      <w:r w:rsidR="005416C9">
        <w:t xml:space="preserve"> an option to wait and learn</w:t>
      </w:r>
      <w:r w:rsidR="001250A5">
        <w:t>, and a timing option</w:t>
      </w:r>
      <w:r>
        <w:t>).</w:t>
      </w:r>
      <w:r w:rsidR="005416C9">
        <w:t xml:space="preserve"> </w:t>
      </w:r>
      <w:r>
        <w:t>Basically, this is</w:t>
      </w:r>
      <w:r w:rsidR="006E1029">
        <w:t xml:space="preserve"> a call o</w:t>
      </w:r>
      <w:r w:rsidR="00DC456C">
        <w:t>ption</w:t>
      </w:r>
      <w:r>
        <w:t xml:space="preserve"> </w:t>
      </w:r>
      <w:r w:rsidR="00DC456C">
        <w:t xml:space="preserve">on an investment project. This call option is exercised by committing to the underlying project. </w:t>
      </w:r>
      <w:r>
        <w:t>By waiting (deferring) instead of immediately investing, one can obtain additional information and consequently more certainty about the future of the project. This option to defer becomes increasingly valuable as uncertainty about the project increases, as well as relatively small immediate cash flows, which are lost due to the postponement of the investment</w:t>
      </w:r>
      <w:r w:rsidR="00CE52D7">
        <w:t xml:space="preserve"> </w:t>
      </w:r>
      <w:sdt>
        <w:sdtPr>
          <w:id w:val="1124113419"/>
          <w:citation/>
        </w:sdtPr>
        <w:sdtContent>
          <w:r w:rsidR="008E0B8C">
            <w:fldChar w:fldCharType="begin"/>
          </w:r>
          <w:r w:rsidR="00CE52D7" w:rsidRPr="00CE52D7">
            <w:instrText xml:space="preserve"> CITATION Bre111 \l 1043 </w:instrText>
          </w:r>
          <w:r w:rsidR="008E0B8C">
            <w:fldChar w:fldCharType="separate"/>
          </w:r>
          <w:r w:rsidR="00362671" w:rsidRPr="00362671">
            <w:rPr>
              <w:noProof/>
            </w:rPr>
            <w:t>(Brealey, Myers, &amp; Allen, 2011)</w:t>
          </w:r>
          <w:r w:rsidR="008E0B8C">
            <w:fldChar w:fldCharType="end"/>
          </w:r>
        </w:sdtContent>
      </w:sdt>
      <w:r>
        <w:t xml:space="preserve">. </w:t>
      </w:r>
    </w:p>
    <w:p w:rsidR="00CE52D7" w:rsidRPr="000169F3" w:rsidRDefault="001250A5" w:rsidP="000169F3">
      <w:pPr>
        <w:pStyle w:val="NoSpacing"/>
        <w:spacing w:line="360" w:lineRule="auto"/>
        <w:jc w:val="both"/>
        <w:rPr>
          <w:i/>
        </w:rPr>
      </w:pPr>
      <w:r>
        <w:rPr>
          <w:i/>
        </w:rPr>
        <w:lastRenderedPageBreak/>
        <w:t>Growth option</w:t>
      </w:r>
    </w:p>
    <w:p w:rsidR="009C539F" w:rsidRPr="00650896" w:rsidRDefault="004165D6" w:rsidP="00650896">
      <w:pPr>
        <w:spacing w:line="360" w:lineRule="auto"/>
        <w:jc w:val="both"/>
      </w:pPr>
      <w:r w:rsidRPr="000169F3">
        <w:t xml:space="preserve">An investment project should not be solely evaluated on the basis of the NPV, as this would </w:t>
      </w:r>
      <w:r w:rsidR="00FD17FB">
        <w:t>imply</w:t>
      </w:r>
      <w:r w:rsidRPr="000169F3">
        <w:t xml:space="preserve"> that only projects with a positive NPV would be </w:t>
      </w:r>
      <w:r w:rsidR="000169F3" w:rsidRPr="000169F3">
        <w:t xml:space="preserve">carried out. </w:t>
      </w:r>
      <w:r w:rsidR="000169F3">
        <w:t xml:space="preserve">In reality, many projects contain possible follow-on projects contingent </w:t>
      </w:r>
      <w:r w:rsidR="00FD17FB">
        <w:t>on</w:t>
      </w:r>
      <w:r w:rsidR="000169F3">
        <w:t xml:space="preserve"> the commitment to the initial project</w:t>
      </w:r>
      <w:r w:rsidR="003E2F9E">
        <w:t xml:space="preserve"> </w:t>
      </w:r>
      <w:sdt>
        <w:sdtPr>
          <w:id w:val="1416817151"/>
          <w:citation/>
        </w:sdtPr>
        <w:sdtContent>
          <w:r w:rsidR="008E0B8C">
            <w:fldChar w:fldCharType="begin"/>
          </w:r>
          <w:r w:rsidR="003E2F9E" w:rsidRPr="003E2F9E">
            <w:instrText xml:space="preserve"> CITATION Bre111 \l 1043 </w:instrText>
          </w:r>
          <w:r w:rsidR="008E0B8C">
            <w:fldChar w:fldCharType="separate"/>
          </w:r>
          <w:r w:rsidR="00362671" w:rsidRPr="00362671">
            <w:rPr>
              <w:noProof/>
            </w:rPr>
            <w:t>(Brealey, Myers, &amp; Allen, 2011)</w:t>
          </w:r>
          <w:r w:rsidR="008E0B8C">
            <w:fldChar w:fldCharType="end"/>
          </w:r>
        </w:sdtContent>
      </w:sdt>
      <w:r w:rsidR="000169F3">
        <w:t xml:space="preserve">. </w:t>
      </w:r>
      <w:r w:rsidR="00FD17FB">
        <w:t xml:space="preserve">In other words, the initial project contains call options of follow-on projects in the future. These call options are however not accounted for in </w:t>
      </w:r>
      <w:r w:rsidR="003E2F9E">
        <w:t>the static DCF method of valuating projects. By properly accounting for these type of real options, the commitment to projects which initially have a negative NPV could now be justified.</w:t>
      </w:r>
    </w:p>
    <w:p w:rsidR="000169F3" w:rsidRPr="00CC5F3C" w:rsidRDefault="00FD17FB" w:rsidP="00CC5F3C">
      <w:pPr>
        <w:pStyle w:val="NoSpacing"/>
        <w:spacing w:line="360" w:lineRule="auto"/>
        <w:rPr>
          <w:i/>
        </w:rPr>
      </w:pPr>
      <w:r w:rsidRPr="00CC5F3C">
        <w:rPr>
          <w:i/>
        </w:rPr>
        <w:t>Option to abandon</w:t>
      </w:r>
    </w:p>
    <w:p w:rsidR="00CC5F3C" w:rsidRDefault="00C76B3E" w:rsidP="001250A5">
      <w:pPr>
        <w:spacing w:line="360" w:lineRule="auto"/>
        <w:jc w:val="both"/>
      </w:pPr>
      <w:r>
        <w:t>The option</w:t>
      </w:r>
      <w:r w:rsidR="00CC5F3C">
        <w:t xml:space="preserve"> to abandon is a put option on the underlying assets of a project </w:t>
      </w:r>
      <w:sdt>
        <w:sdtPr>
          <w:id w:val="-2143722918"/>
          <w:citation/>
        </w:sdtPr>
        <w:sdtContent>
          <w:r w:rsidR="008E0B8C">
            <w:fldChar w:fldCharType="begin"/>
          </w:r>
          <w:r w:rsidR="00CC5F3C" w:rsidRPr="00CC5F3C">
            <w:instrText xml:space="preserve"> CITATION Bre111 \l 1043 </w:instrText>
          </w:r>
          <w:r w:rsidR="008E0B8C">
            <w:fldChar w:fldCharType="separate"/>
          </w:r>
          <w:r w:rsidR="00362671" w:rsidRPr="00362671">
            <w:rPr>
              <w:noProof/>
            </w:rPr>
            <w:t>(Brealey, Myers, &amp; Allen, 2011)</w:t>
          </w:r>
          <w:r w:rsidR="008E0B8C">
            <w:fldChar w:fldCharType="end"/>
          </w:r>
        </w:sdtContent>
      </w:sdt>
      <w:r w:rsidR="00CC5F3C">
        <w:t>. In principal, this is a limited insurance against possible failure of the project, when the underlying assets have at least some salvage value. If the project then turns out to be unsuccessful, the losses can be reduced by selling these assets.</w:t>
      </w:r>
      <w:r w:rsidR="001250A5">
        <w:t xml:space="preserve"> Ignoring these abandonment options wou</w:t>
      </w:r>
      <w:r w:rsidR="00ED4E17">
        <w:t>ld give rise to an  undervalue</w:t>
      </w:r>
      <w:r w:rsidR="001250A5">
        <w:t>d project.</w:t>
      </w:r>
      <w:r w:rsidR="00CC5F3C">
        <w:t xml:space="preserve"> By evaluating </w:t>
      </w:r>
      <w:r w:rsidR="00407988">
        <w:t xml:space="preserve">the expected salvage value over the time of the project and </w:t>
      </w:r>
      <w:r w:rsidR="00A507D8">
        <w:t xml:space="preserve">using this as augmentation </w:t>
      </w:r>
      <w:r w:rsidR="00966264">
        <w:t xml:space="preserve">to </w:t>
      </w:r>
      <w:r w:rsidR="00A507D8">
        <w:t>the DCF method, some projects with an initial negative NPV can justifiably be embarked upon</w:t>
      </w:r>
      <w:r w:rsidR="001250A5">
        <w:t xml:space="preserve"> </w:t>
      </w:r>
      <w:sdt>
        <w:sdtPr>
          <w:id w:val="21677026"/>
          <w:citation/>
        </w:sdtPr>
        <w:sdtContent>
          <w:r w:rsidR="008E0B8C">
            <w:fldChar w:fldCharType="begin"/>
          </w:r>
          <w:r w:rsidR="001250A5" w:rsidRPr="001250A5">
            <w:instrText xml:space="preserve"> CITATION Pik06 \l 1043 </w:instrText>
          </w:r>
          <w:r w:rsidR="008E0B8C">
            <w:fldChar w:fldCharType="separate"/>
          </w:r>
          <w:r w:rsidR="00362671" w:rsidRPr="00362671">
            <w:rPr>
              <w:noProof/>
            </w:rPr>
            <w:t>(Pike &amp; Neale, 2006)</w:t>
          </w:r>
          <w:r w:rsidR="008E0B8C">
            <w:fldChar w:fldCharType="end"/>
          </w:r>
        </w:sdtContent>
      </w:sdt>
      <w:r w:rsidR="00A507D8">
        <w:t xml:space="preserve">. </w:t>
      </w:r>
    </w:p>
    <w:p w:rsidR="00FD17FB" w:rsidRPr="004A7BCF" w:rsidRDefault="00FD17FB" w:rsidP="00653428">
      <w:pPr>
        <w:pStyle w:val="NoSpacing"/>
        <w:tabs>
          <w:tab w:val="left" w:pos="1926"/>
        </w:tabs>
        <w:spacing w:line="360" w:lineRule="auto"/>
        <w:rPr>
          <w:i/>
        </w:rPr>
      </w:pPr>
      <w:r w:rsidRPr="004A7BCF">
        <w:rPr>
          <w:i/>
        </w:rPr>
        <w:t>Option to switch</w:t>
      </w:r>
      <w:r w:rsidR="00653428">
        <w:rPr>
          <w:i/>
        </w:rPr>
        <w:tab/>
      </w:r>
    </w:p>
    <w:p w:rsidR="000169F3" w:rsidRPr="001250A5" w:rsidRDefault="001250A5" w:rsidP="00A358EA">
      <w:pPr>
        <w:spacing w:line="360" w:lineRule="auto"/>
        <w:jc w:val="both"/>
      </w:pPr>
      <w:r w:rsidRPr="001250A5">
        <w:t xml:space="preserve">The option </w:t>
      </w:r>
      <w:r>
        <w:t xml:space="preserve">to switch </w:t>
      </w:r>
      <w:r w:rsidR="00EB76D3">
        <w:t>has two different interpretations. On the one side, the option to switch involves the possibility of changing the inputs in the production of a particular output product, due to so called pro</w:t>
      </w:r>
      <w:r w:rsidR="004A7BCF">
        <w:t>cess</w:t>
      </w:r>
      <w:r w:rsidR="00EB76D3">
        <w:t xml:space="preserve"> flexibility. As the market price or demand may shift over the duration of the project, having the flexibility to change which inputs are </w:t>
      </w:r>
      <w:r w:rsidR="004A7BCF">
        <w:t>used in the production process is valuable, especially if input factors are subject to high price volatility</w:t>
      </w:r>
      <w:r w:rsidR="007D1545">
        <w:t xml:space="preserve"> </w:t>
      </w:r>
      <w:r w:rsidR="004A7BCF">
        <w:t>. On the other side, the option to switch can also entail the so called product flexibility; the possibility of changing which output products are produced in a facility</w:t>
      </w:r>
      <w:r w:rsidR="007D1545">
        <w:t xml:space="preserve"> </w:t>
      </w:r>
      <w:sdt>
        <w:sdtPr>
          <w:id w:val="2026435634"/>
          <w:citation/>
        </w:sdtPr>
        <w:sdtContent>
          <w:r w:rsidR="008E0B8C">
            <w:fldChar w:fldCharType="begin"/>
          </w:r>
          <w:r w:rsidR="007D1545" w:rsidRPr="007D1545">
            <w:instrText xml:space="preserve"> CITATION Smi04 \l 1043 </w:instrText>
          </w:r>
          <w:r w:rsidR="008E0B8C">
            <w:fldChar w:fldCharType="separate"/>
          </w:r>
          <w:r w:rsidR="00362671" w:rsidRPr="00362671">
            <w:rPr>
              <w:noProof/>
            </w:rPr>
            <w:t>(Smit &amp; Trigeorgis, 2004)</w:t>
          </w:r>
          <w:r w:rsidR="008E0B8C">
            <w:fldChar w:fldCharType="end"/>
          </w:r>
        </w:sdtContent>
      </w:sdt>
      <w:r w:rsidR="00966264">
        <w:t>. This option to</w:t>
      </w:r>
      <w:r w:rsidR="004A7BCF">
        <w:t xml:space="preserve"> becomes more valuable as markets are volatile. Both product flexibility as process flexibility options to switch should be regarded when evaluating a project, as both can add significant value. </w:t>
      </w:r>
    </w:p>
    <w:p w:rsidR="00DF03D8" w:rsidRDefault="00587A9E" w:rsidP="009C3C26">
      <w:pPr>
        <w:spacing w:line="360" w:lineRule="auto"/>
        <w:jc w:val="both"/>
      </w:pPr>
      <w:r>
        <w:t xml:space="preserve">Now the relevant real options have been covered, the link with the </w:t>
      </w:r>
      <w:r w:rsidR="00390A29">
        <w:t>initial problem can now be made, in order to then be able to explain the proposed solution of Smit &amp; Lovallo (2014</w:t>
      </w:r>
      <w:r w:rsidR="009C3C26">
        <w:t>). The</w:t>
      </w:r>
      <w:r w:rsidR="00254E4D">
        <w:t xml:space="preserve"> DCF method is a static method for decision making (NPV &gt; 0, then commi</w:t>
      </w:r>
      <w:r w:rsidR="009C3C26">
        <w:t xml:space="preserve">t, otherwise not), and therefore can create a sense of certainty and control among the executives in charge. However, by approaching decisions regarding new ventures with from a more dynamic point of view, thereby focusing more on the </w:t>
      </w:r>
      <w:r w:rsidR="009C3C26">
        <w:lastRenderedPageBreak/>
        <w:t>uncertainty inherent in projects, this would augment the decision making process and could lead to better decision making.</w:t>
      </w:r>
    </w:p>
    <w:p w:rsidR="009C3C26" w:rsidRDefault="009C3C26" w:rsidP="009C3C26">
      <w:pPr>
        <w:spacing w:line="360" w:lineRule="auto"/>
        <w:jc w:val="both"/>
      </w:pPr>
      <w:r>
        <w:t xml:space="preserve">This is where real options provide an opportunity. </w:t>
      </w:r>
      <w:r w:rsidR="00840B61">
        <w:t>As previously mentioned, t</w:t>
      </w:r>
      <w:r>
        <w:t>he existence of hot and cold deal markets suggest</w:t>
      </w:r>
      <w:r w:rsidR="00840B61">
        <w:t>s</w:t>
      </w:r>
      <w:r>
        <w:t xml:space="preserve"> that valuations are biased over the cycle: overvaluations occur in hot deal markets, undervaluations in cold deal markets. </w:t>
      </w:r>
      <w:r w:rsidR="00840B61">
        <w:t>Real options can help to mitigate this in both situations: real options can be used as either a venturing argument in cold deal markets, as well as a cautionary argument in hot deal markets. Given the four described real options above, the option to defer can be seen as real option providing a cautionary argument. By introducing this option in hot deal markets, the executives should realize that only partially committing to the project might be more valuable than fully committing immediately. By waiting the uncertainty regarding the future of the proje</w:t>
      </w:r>
      <w:r w:rsidR="00BF3599">
        <w:t>ct might be, in part, resolved.</w:t>
      </w:r>
      <w:r w:rsidR="00C404CB">
        <w:t xml:space="preserve"> </w:t>
      </w:r>
    </w:p>
    <w:p w:rsidR="006D2379" w:rsidRDefault="00BF3599" w:rsidP="009C3C26">
      <w:pPr>
        <w:spacing w:line="360" w:lineRule="auto"/>
        <w:jc w:val="both"/>
      </w:pPr>
      <w:r>
        <w:t xml:space="preserve">Inversely, in cold deal markets too few deals are done due to undervaluation. </w:t>
      </w:r>
      <w:r w:rsidR="00C404CB">
        <w:t>The growth options, options to abandon and options to switch provide a venturing argument in this regard. As stated before, in the DCF analysis the horizon value makes up a large part of the valuation. Uncertainty is inherent in the horizon value, and as executives in cold deal markets are too focused on risk, they tend to ignore or grossly underestimate the growth potential a new venture can provide. Therefore, by introducing the three options stated above into the decision making process of said executives, they will have to pay more attention to the horizon value and future of the project, instead of mainly focusing on the risk, thereby undervaluating the venture.</w:t>
      </w:r>
    </w:p>
    <w:p w:rsidR="00C616A3" w:rsidRPr="002A42CD" w:rsidRDefault="006D2379" w:rsidP="007256B5">
      <w:pPr>
        <w:spacing w:line="360" w:lineRule="auto"/>
        <w:jc w:val="both"/>
      </w:pPr>
      <w:r>
        <w:t xml:space="preserve">In short, the solution </w:t>
      </w:r>
      <w:r w:rsidR="00683980">
        <w:t>proposed is that making real options analysis a standard part in the decision making procedure, this will objectify the valuations, as executives now are explicitly pointed to the uncertainty inherent in new ventures.</w:t>
      </w:r>
      <w:r w:rsidR="00A715F8">
        <w:t xml:space="preserve"> Thus, by making real options more explicit in the valuation process, this will lead to debiased valuations, and ultimately improved decision making. The question now is, are executives susceptible for real options? If so, then real options might indeed be a good solution to the hot and cold deal market phenomena. If not, then this provides indication for the statement that real options might not be a good solution, or at least, that more teaching about real options is needed before it becomes a viable solution. This leads to the following hypothesis:</w:t>
      </w:r>
    </w:p>
    <w:p w:rsidR="00685162" w:rsidRDefault="002A42CD" w:rsidP="007256B5">
      <w:pPr>
        <w:spacing w:line="360" w:lineRule="auto"/>
        <w:jc w:val="both"/>
      </w:pPr>
      <w:r w:rsidRPr="002A42CD">
        <w:rPr>
          <w:b/>
        </w:rPr>
        <w:t>Hypothesis</w:t>
      </w:r>
      <w:r w:rsidR="00683980">
        <w:rPr>
          <w:b/>
        </w:rPr>
        <w:t xml:space="preserve"> 4</w:t>
      </w:r>
      <w:r w:rsidR="00685162" w:rsidRPr="002A42CD">
        <w:rPr>
          <w:b/>
        </w:rPr>
        <w:t>:</w:t>
      </w:r>
      <w:r w:rsidR="00685162">
        <w:t xml:space="preserve"> </w:t>
      </w:r>
      <w:r>
        <w:t>“</w:t>
      </w:r>
      <w:r w:rsidR="00685162" w:rsidRPr="002A42CD">
        <w:rPr>
          <w:i/>
        </w:rPr>
        <w:t xml:space="preserve">The valuations of executives in hot and cold deal markets </w:t>
      </w:r>
      <w:r w:rsidR="00683980">
        <w:rPr>
          <w:i/>
        </w:rPr>
        <w:t xml:space="preserve">are relatively </w:t>
      </w:r>
      <w:r w:rsidR="00CC3B0B">
        <w:rPr>
          <w:i/>
        </w:rPr>
        <w:t xml:space="preserve">higher </w:t>
      </w:r>
      <w:r w:rsidR="00685162" w:rsidRPr="002A42CD">
        <w:rPr>
          <w:i/>
        </w:rPr>
        <w:t>after explicitly introducing real options</w:t>
      </w:r>
      <w:r w:rsidR="00683980">
        <w:rPr>
          <w:i/>
        </w:rPr>
        <w:t>, compared to their previous valuations</w:t>
      </w:r>
      <w:r w:rsidR="00685162" w:rsidRPr="002A42CD">
        <w:rPr>
          <w:i/>
        </w:rPr>
        <w:t>.</w:t>
      </w:r>
      <w:r>
        <w:t>”</w:t>
      </w:r>
    </w:p>
    <w:p w:rsidR="00C616A3" w:rsidRDefault="00A715F8" w:rsidP="00862BF4">
      <w:pPr>
        <w:spacing w:line="360" w:lineRule="auto"/>
        <w:jc w:val="both"/>
      </w:pPr>
      <w:r>
        <w:lastRenderedPageBreak/>
        <w:t xml:space="preserve">As all the real options </w:t>
      </w:r>
      <w:r w:rsidR="00862BF4">
        <w:t xml:space="preserve">considered </w:t>
      </w:r>
      <w:r>
        <w:t xml:space="preserve">are value-enhancing, all the valuations should become higher after having made the real options more explicit. </w:t>
      </w:r>
      <w:r w:rsidR="0043277B">
        <w:t>This would provide indication for the statement that executives are susceptible for real options and that making these real options a standard part of any valuation decision</w:t>
      </w:r>
      <w:r w:rsidR="00862BF4">
        <w:t xml:space="preserve"> could possibly serve as solution for the hot and cold deal market phenomena. </w:t>
      </w:r>
      <w:r w:rsidR="00F576F9">
        <w:t>The goal of the experiment is to test whether this susceptibility is present. The next section will cover the composition of the experiment.</w:t>
      </w:r>
    </w:p>
    <w:p w:rsidR="0052486F" w:rsidRDefault="0052486F" w:rsidP="00685162"/>
    <w:p w:rsidR="00490E8A" w:rsidRDefault="00490E8A" w:rsidP="00685162"/>
    <w:p w:rsidR="00490E8A" w:rsidRDefault="00490E8A" w:rsidP="00685162"/>
    <w:p w:rsidR="00490E8A" w:rsidRDefault="00490E8A" w:rsidP="00685162"/>
    <w:p w:rsidR="00490E8A" w:rsidRDefault="00490E8A" w:rsidP="00685162"/>
    <w:p w:rsidR="00490E8A" w:rsidRDefault="00490E8A" w:rsidP="00685162"/>
    <w:p w:rsidR="00490E8A" w:rsidRDefault="00490E8A" w:rsidP="00685162"/>
    <w:p w:rsidR="00490E8A" w:rsidRDefault="00490E8A" w:rsidP="00685162"/>
    <w:p w:rsidR="00AF479D" w:rsidRDefault="00AF479D" w:rsidP="00AF479D">
      <w:pPr>
        <w:pStyle w:val="Heading1"/>
        <w:rPr>
          <w:b/>
          <w:color w:val="auto"/>
        </w:rPr>
      </w:pPr>
      <w:bookmarkStart w:id="3" w:name="_Toc397159369"/>
      <w:r w:rsidRPr="00AF479D">
        <w:rPr>
          <w:b/>
          <w:color w:val="auto"/>
        </w:rPr>
        <w:t>Methodology</w:t>
      </w:r>
      <w:bookmarkEnd w:id="3"/>
    </w:p>
    <w:p w:rsidR="00C616A3" w:rsidRPr="00C616A3" w:rsidRDefault="00C616A3" w:rsidP="00C616A3"/>
    <w:p w:rsidR="00F622F8" w:rsidRDefault="00797DDC" w:rsidP="00F622F8">
      <w:pPr>
        <w:spacing w:line="360" w:lineRule="auto"/>
        <w:jc w:val="both"/>
        <w:rPr>
          <w:i/>
        </w:rPr>
      </w:pPr>
      <w:r>
        <w:rPr>
          <w:i/>
        </w:rPr>
        <w:t xml:space="preserve">In this section of the paper the experiment is composed and will be explained step-by-step. </w:t>
      </w:r>
      <w:r w:rsidR="007C0915">
        <w:rPr>
          <w:i/>
        </w:rPr>
        <w:t>Firstly, the general idea and goal of the experiment will be covered. Secondly, a link with the previous theoretical section will be provided and all considerations will be explained and</w:t>
      </w:r>
      <w:r w:rsidR="00BF338D">
        <w:rPr>
          <w:i/>
        </w:rPr>
        <w:t xml:space="preserve"> the choices will be justified.</w:t>
      </w:r>
      <w:r w:rsidR="006F0B9F">
        <w:rPr>
          <w:i/>
        </w:rPr>
        <w:t xml:space="preserve"> The experiment will be added as an addendum to this paper (so not added within this paper or its appendices).</w:t>
      </w:r>
    </w:p>
    <w:p w:rsidR="00CE0549" w:rsidRDefault="00CE0549" w:rsidP="00F622F8">
      <w:pPr>
        <w:spacing w:line="360" w:lineRule="auto"/>
        <w:jc w:val="both"/>
        <w:rPr>
          <w:i/>
        </w:rPr>
      </w:pPr>
      <w:r>
        <w:rPr>
          <w:i/>
        </w:rPr>
        <w:t>Goal of the experiment</w:t>
      </w:r>
    </w:p>
    <w:p w:rsidR="00CE0549" w:rsidRDefault="00CE0549" w:rsidP="00542F03">
      <w:pPr>
        <w:spacing w:line="360" w:lineRule="auto"/>
        <w:jc w:val="both"/>
      </w:pPr>
      <w:r>
        <w:t>The goal of the experiment composed in this paper is twofold. Firstly, it should test whether there is in fact a discrepancy in the valuation of a venture between subjects framed in a hot and cold deal market setting. As covered in the Theoretical Framework, the expectation is that subjects framed in a hot deal market tend to focus on growth and thereby exaggerate the horizon value. Subjects framed in a cold deal market are expected to focus more on the risk inherent in the horizon value, thereby giving conservative valuations. Secondly, the experiment seeks to answer the question whether</w:t>
      </w:r>
      <w:r w:rsidR="004D6245">
        <w:t xml:space="preserve"> executives are susceptible for real options</w:t>
      </w:r>
      <w:r>
        <w:t>. If the real options get recognized once they are made more explicit,</w:t>
      </w:r>
      <w:r w:rsidR="004D6245">
        <w:t xml:space="preserve"> which co</w:t>
      </w:r>
      <w:r>
        <w:t>uld debias the valuations in both hot and cold deal markets thereby</w:t>
      </w:r>
      <w:r w:rsidR="00CE5180">
        <w:t xml:space="preserve"> reducing the initial difference in </w:t>
      </w:r>
      <w:r w:rsidR="00CE5180">
        <w:lastRenderedPageBreak/>
        <w:t>valuations.</w:t>
      </w:r>
      <w:r w:rsidR="009E65E4">
        <w:t xml:space="preserve"> In short, the experiment seeks to answer the question whether real options could reduce the magnitude of the hot and cold deal market waves by verifying whether executives are sensitive to these options once they are made more explicitly aware of the</w:t>
      </w:r>
      <w:r w:rsidR="004D6245">
        <w:t>ir existence</w:t>
      </w:r>
      <w:r w:rsidR="009E65E4">
        <w:t>.</w:t>
      </w:r>
    </w:p>
    <w:p w:rsidR="00542F03" w:rsidRDefault="00481887" w:rsidP="00542F03">
      <w:pPr>
        <w:spacing w:line="360" w:lineRule="auto"/>
        <w:jc w:val="both"/>
      </w:pPr>
      <w:r>
        <w:t>As can be induced from previous paragraph, the test subjects will be framed into either a hot deal or a cold deal market setting</w:t>
      </w:r>
      <w:r w:rsidR="00A45C82">
        <w:t xml:space="preserve">. They will also get slightly altered questions. The manner in which this is done, will be explained in the remainder of this section. However, in order to be able to verify whether the results of the experiment confirm or reject the hypotheses, there will be two control groups. One of the control groups will be given the same questions as the hot deal market subjects, the other control group will be given the same questions as the cold deal market subjects. The only difference between the control groups and the hot and cold deal market groups, is that the control groups will not be framed into a hot and cold deal market setting. By doing so, it is now possible to control whether the chosen measure for framing the subjects does in fact frame them in that way, as well as to see whether the recognition of real options differs between the test group and the control group. All groups will be of similar size: with sample size N, each group (A through D) </w:t>
      </w:r>
      <w:r w:rsidR="00542F03">
        <w:t>will comprise N/</w:t>
      </w:r>
      <w:r w:rsidR="00EF270F">
        <w:t>4 subjects (see Table 1 below).</w:t>
      </w:r>
    </w:p>
    <w:p w:rsidR="0052486F" w:rsidRDefault="0052486F" w:rsidP="00542F03">
      <w:pPr>
        <w:spacing w:line="360" w:lineRule="auto"/>
        <w:jc w:val="both"/>
      </w:pPr>
    </w:p>
    <w:p w:rsidR="00542F03" w:rsidRDefault="00542F03" w:rsidP="00542F03">
      <w:pPr>
        <w:pStyle w:val="NoSpacing"/>
        <w:spacing w:line="276" w:lineRule="auto"/>
        <w:rPr>
          <w:b/>
          <w:sz w:val="20"/>
        </w:rPr>
      </w:pPr>
      <w:r>
        <w:tab/>
      </w:r>
      <w:r w:rsidRPr="00542F03">
        <w:rPr>
          <w:b/>
          <w:sz w:val="20"/>
        </w:rPr>
        <w:t>Table 1: Overview of test group A&amp;C and control group B&amp;D, each consisting of N/4 subjects</w:t>
      </w:r>
    </w:p>
    <w:p w:rsidR="00BF338D" w:rsidRPr="00542F03" w:rsidRDefault="00BF338D" w:rsidP="00542F03">
      <w:pPr>
        <w:pStyle w:val="NoSpacing"/>
        <w:spacing w:line="276" w:lineRule="auto"/>
        <w:rPr>
          <w:b/>
          <w:sz w:val="20"/>
        </w:rPr>
      </w:pPr>
    </w:p>
    <w:tbl>
      <w:tblPr>
        <w:tblStyle w:val="TableGrid"/>
        <w:tblW w:w="0" w:type="auto"/>
        <w:jc w:val="center"/>
        <w:tblLook w:val="04A0"/>
      </w:tblPr>
      <w:tblGrid>
        <w:gridCol w:w="2088"/>
        <w:gridCol w:w="2012"/>
        <w:gridCol w:w="2465"/>
      </w:tblGrid>
      <w:tr w:rsidR="00A45C82" w:rsidRPr="00A45C82" w:rsidTr="00542F03">
        <w:trPr>
          <w:trHeight w:val="308"/>
          <w:jc w:val="center"/>
        </w:trPr>
        <w:tc>
          <w:tcPr>
            <w:tcW w:w="2088" w:type="dxa"/>
            <w:noWrap/>
            <w:hideMark/>
          </w:tcPr>
          <w:p w:rsidR="00A45C82" w:rsidRPr="00A45C82" w:rsidRDefault="00A45C82" w:rsidP="00A45C82">
            <w:pPr>
              <w:spacing w:line="360" w:lineRule="auto"/>
              <w:jc w:val="both"/>
            </w:pPr>
          </w:p>
        </w:tc>
        <w:tc>
          <w:tcPr>
            <w:tcW w:w="2012" w:type="dxa"/>
            <w:noWrap/>
            <w:hideMark/>
          </w:tcPr>
          <w:p w:rsidR="00A45C82" w:rsidRPr="00A45C82" w:rsidRDefault="00A45C82" w:rsidP="00A45C82">
            <w:pPr>
              <w:spacing w:line="360" w:lineRule="auto"/>
              <w:jc w:val="both"/>
              <w:rPr>
                <w:b/>
                <w:bCs/>
              </w:rPr>
            </w:pPr>
            <w:r w:rsidRPr="00A45C82">
              <w:rPr>
                <w:b/>
                <w:bCs/>
              </w:rPr>
              <w:t>Hot deal questions</w:t>
            </w:r>
          </w:p>
        </w:tc>
        <w:tc>
          <w:tcPr>
            <w:tcW w:w="2465" w:type="dxa"/>
            <w:noWrap/>
            <w:hideMark/>
          </w:tcPr>
          <w:p w:rsidR="00A45C82" w:rsidRPr="00A45C82" w:rsidRDefault="00A45C82" w:rsidP="00A45C82">
            <w:pPr>
              <w:spacing w:line="360" w:lineRule="auto"/>
              <w:jc w:val="both"/>
              <w:rPr>
                <w:b/>
                <w:bCs/>
              </w:rPr>
            </w:pPr>
            <w:r w:rsidRPr="00A45C82">
              <w:rPr>
                <w:b/>
                <w:bCs/>
              </w:rPr>
              <w:t>Cold deal questions</w:t>
            </w:r>
          </w:p>
        </w:tc>
      </w:tr>
      <w:tr w:rsidR="00A45C82" w:rsidRPr="00A45C82" w:rsidTr="00542F03">
        <w:trPr>
          <w:trHeight w:val="308"/>
          <w:jc w:val="center"/>
        </w:trPr>
        <w:tc>
          <w:tcPr>
            <w:tcW w:w="2088" w:type="dxa"/>
            <w:noWrap/>
            <w:hideMark/>
          </w:tcPr>
          <w:p w:rsidR="00A45C82" w:rsidRPr="00A45C82" w:rsidRDefault="00A45C82" w:rsidP="00A45C82">
            <w:pPr>
              <w:spacing w:line="360" w:lineRule="auto"/>
              <w:jc w:val="both"/>
              <w:rPr>
                <w:b/>
                <w:bCs/>
              </w:rPr>
            </w:pPr>
            <w:r w:rsidRPr="00A45C82">
              <w:rPr>
                <w:b/>
                <w:bCs/>
              </w:rPr>
              <w:t>With framing</w:t>
            </w:r>
          </w:p>
        </w:tc>
        <w:tc>
          <w:tcPr>
            <w:tcW w:w="2012" w:type="dxa"/>
            <w:noWrap/>
            <w:hideMark/>
          </w:tcPr>
          <w:p w:rsidR="00A45C82" w:rsidRPr="00A45C82" w:rsidRDefault="00542F03" w:rsidP="00A45C82">
            <w:pPr>
              <w:spacing w:line="360" w:lineRule="auto"/>
              <w:jc w:val="both"/>
            </w:pPr>
            <w:r>
              <w:t xml:space="preserve">Group </w:t>
            </w:r>
            <w:r w:rsidR="00A45C82" w:rsidRPr="00A45C82">
              <w:t>A</w:t>
            </w:r>
          </w:p>
        </w:tc>
        <w:tc>
          <w:tcPr>
            <w:tcW w:w="2465" w:type="dxa"/>
            <w:noWrap/>
            <w:hideMark/>
          </w:tcPr>
          <w:p w:rsidR="00A45C82" w:rsidRPr="00A45C82" w:rsidRDefault="00542F03" w:rsidP="00A45C82">
            <w:pPr>
              <w:spacing w:line="360" w:lineRule="auto"/>
              <w:jc w:val="both"/>
            </w:pPr>
            <w:r>
              <w:t xml:space="preserve">Group </w:t>
            </w:r>
            <w:r w:rsidR="00A45C82" w:rsidRPr="00A45C82">
              <w:t>C</w:t>
            </w:r>
          </w:p>
        </w:tc>
      </w:tr>
      <w:tr w:rsidR="00A45C82" w:rsidRPr="00A45C82" w:rsidTr="00542F03">
        <w:trPr>
          <w:trHeight w:val="308"/>
          <w:jc w:val="center"/>
        </w:trPr>
        <w:tc>
          <w:tcPr>
            <w:tcW w:w="2088" w:type="dxa"/>
            <w:noWrap/>
            <w:hideMark/>
          </w:tcPr>
          <w:p w:rsidR="00A45C82" w:rsidRPr="00A45C82" w:rsidRDefault="00A45C82" w:rsidP="00A45C82">
            <w:pPr>
              <w:spacing w:line="360" w:lineRule="auto"/>
              <w:jc w:val="both"/>
              <w:rPr>
                <w:b/>
                <w:bCs/>
              </w:rPr>
            </w:pPr>
            <w:r w:rsidRPr="00A45C82">
              <w:rPr>
                <w:b/>
                <w:bCs/>
              </w:rPr>
              <w:t>Without framing</w:t>
            </w:r>
          </w:p>
        </w:tc>
        <w:tc>
          <w:tcPr>
            <w:tcW w:w="2012" w:type="dxa"/>
            <w:noWrap/>
            <w:hideMark/>
          </w:tcPr>
          <w:p w:rsidR="00A45C82" w:rsidRPr="00A45C82" w:rsidRDefault="00542F03" w:rsidP="00A45C82">
            <w:pPr>
              <w:spacing w:line="360" w:lineRule="auto"/>
              <w:jc w:val="both"/>
            </w:pPr>
            <w:r>
              <w:t xml:space="preserve">Group </w:t>
            </w:r>
            <w:r w:rsidR="00A45C82" w:rsidRPr="00A45C82">
              <w:t>B</w:t>
            </w:r>
          </w:p>
        </w:tc>
        <w:tc>
          <w:tcPr>
            <w:tcW w:w="2465" w:type="dxa"/>
            <w:noWrap/>
            <w:hideMark/>
          </w:tcPr>
          <w:p w:rsidR="00A45C82" w:rsidRPr="00A45C82" w:rsidRDefault="00542F03" w:rsidP="00A45C82">
            <w:pPr>
              <w:spacing w:line="360" w:lineRule="auto"/>
              <w:jc w:val="both"/>
            </w:pPr>
            <w:r>
              <w:t xml:space="preserve">Group </w:t>
            </w:r>
            <w:r w:rsidR="00A45C82" w:rsidRPr="00A45C82">
              <w:t>D</w:t>
            </w:r>
          </w:p>
        </w:tc>
      </w:tr>
    </w:tbl>
    <w:p w:rsidR="00A45C82" w:rsidRDefault="00A45C82" w:rsidP="00A45C82">
      <w:pPr>
        <w:spacing w:line="360" w:lineRule="auto"/>
        <w:jc w:val="both"/>
      </w:pPr>
    </w:p>
    <w:p w:rsidR="002B59F3" w:rsidRDefault="00277A7D" w:rsidP="00A45C82">
      <w:pPr>
        <w:spacing w:line="360" w:lineRule="auto"/>
        <w:jc w:val="both"/>
      </w:pPr>
      <w:r>
        <w:t xml:space="preserve">Now that the goal of the experiment has been covered, </w:t>
      </w:r>
      <w:r w:rsidR="002B59F3">
        <w:t>it is now time to discuss the subjects of the experiment.</w:t>
      </w:r>
    </w:p>
    <w:p w:rsidR="002B59F3" w:rsidRDefault="002B59F3" w:rsidP="00A45C82">
      <w:pPr>
        <w:spacing w:line="360" w:lineRule="auto"/>
        <w:jc w:val="both"/>
        <w:rPr>
          <w:i/>
        </w:rPr>
      </w:pPr>
      <w:r>
        <w:rPr>
          <w:i/>
        </w:rPr>
        <w:t>Subjects of the experiments</w:t>
      </w:r>
    </w:p>
    <w:p w:rsidR="002B59F3" w:rsidRDefault="002B59F3" w:rsidP="00A45C82">
      <w:pPr>
        <w:spacing w:line="360" w:lineRule="auto"/>
        <w:jc w:val="both"/>
      </w:pPr>
      <w:r>
        <w:t xml:space="preserve">This experiment requires at least some preliminary knowledge of financial economics, namely the interpretation of a discounted cash flow </w:t>
      </w:r>
      <w:r w:rsidR="00297F69">
        <w:t xml:space="preserve">analysis. Therefore, the sample will be drawn from all the students who have at least once followed a financial economics related course or seminar. In order to be able to make statistical inferences about the eventual results of the experiment, a sample size of at least 20 per group (A-D) is necessary, because this would provide the opportunity to test the hypotheses </w:t>
      </w:r>
      <w:r w:rsidR="00297F69">
        <w:lastRenderedPageBreak/>
        <w:t xml:space="preserve">with the use of a t-test. A smaller sample size per group could lead to less reliable and robust results. A larger sample size is desirable. However, as the </w:t>
      </w:r>
      <w:r w:rsidR="008F514F">
        <w:t xml:space="preserve">subjects receive </w:t>
      </w:r>
      <w:r w:rsidR="00297F69">
        <w:t>monetary remuner</w:t>
      </w:r>
      <w:r w:rsidR="008F514F">
        <w:t>ation</w:t>
      </w:r>
      <w:r w:rsidR="00D95DF3">
        <w:t xml:space="preserve">, which on </w:t>
      </w:r>
      <w:r w:rsidR="008F514F">
        <w:t>average will be approximately €10,-, this totals to €800,-. I</w:t>
      </w:r>
      <w:r w:rsidR="00297F69">
        <w:t>f each of the four gr</w:t>
      </w:r>
      <w:r w:rsidR="008F514F">
        <w:t>oups (A-D) has a sample size larger than 20</w:t>
      </w:r>
      <w:r w:rsidR="00297F69">
        <w:t>, the financial means at the disposal of thi</w:t>
      </w:r>
      <w:r w:rsidR="008F514F">
        <w:t>s experiment might be exhausted, making larger sample sizes un</w:t>
      </w:r>
      <w:r w:rsidR="002E63E2">
        <w:t>realistic</w:t>
      </w:r>
      <w:r w:rsidR="008F514F">
        <w:t>.</w:t>
      </w:r>
    </w:p>
    <w:p w:rsidR="00297F69" w:rsidRDefault="00297F69" w:rsidP="00A45C82">
      <w:pPr>
        <w:spacing w:line="360" w:lineRule="auto"/>
        <w:jc w:val="both"/>
      </w:pPr>
      <w:r>
        <w:t xml:space="preserve">The </w:t>
      </w:r>
      <w:r w:rsidR="00BC17A6">
        <w:t xml:space="preserve">subjects will be evenly and randomly assigned to each of the four groups, thereby assuring that group A-D is of equal size and thereby more easily comparable with one another, as well as making sure there are as little confounding variables as possible that could possible skew the results. </w:t>
      </w:r>
    </w:p>
    <w:p w:rsidR="003E7147" w:rsidRPr="00622B37" w:rsidRDefault="0020368E" w:rsidP="00A45C82">
      <w:pPr>
        <w:spacing w:line="360" w:lineRule="auto"/>
        <w:jc w:val="both"/>
      </w:pPr>
      <w:r>
        <w:t>When conducting the experiment the subjects will be put into isolated booths with only a computer running the experiment present. The choice for using a computer during the conduct is made, because this gives the conductors full control of what information the subject receives. The reduces any potential noise from conducting the experiment in person or in groups. Also, the computer provides the possibility to give the questions in a sequence chosen by the conductors, thereby making it easier to insert the desired manipulations.</w:t>
      </w:r>
      <w:r w:rsidR="00622B37">
        <w:t xml:space="preserve"> The subjects will not be provided a calculator: all question</w:t>
      </w:r>
      <w:r w:rsidR="002E63E2">
        <w:t>s</w:t>
      </w:r>
      <w:r w:rsidR="00622B37">
        <w:t xml:space="preserve"> will have to </w:t>
      </w:r>
      <w:r w:rsidR="002E63E2">
        <w:t xml:space="preserve">be </w:t>
      </w:r>
      <w:r w:rsidR="00622B37">
        <w:t>made intuitively.</w:t>
      </w:r>
    </w:p>
    <w:p w:rsidR="00AD1938" w:rsidRDefault="00AD1938" w:rsidP="00A45C82">
      <w:pPr>
        <w:spacing w:line="360" w:lineRule="auto"/>
        <w:jc w:val="both"/>
        <w:rPr>
          <w:i/>
        </w:rPr>
      </w:pPr>
    </w:p>
    <w:p w:rsidR="00A45C82" w:rsidRPr="00542F03" w:rsidRDefault="001E67C1" w:rsidP="00A45C82">
      <w:pPr>
        <w:spacing w:line="360" w:lineRule="auto"/>
        <w:jc w:val="both"/>
        <w:rPr>
          <w:i/>
        </w:rPr>
      </w:pPr>
      <w:r>
        <w:rPr>
          <w:i/>
        </w:rPr>
        <w:t>Position in the experiment</w:t>
      </w:r>
    </w:p>
    <w:p w:rsidR="001E67C1" w:rsidRDefault="005F17D1" w:rsidP="00A94C2D">
      <w:pPr>
        <w:spacing w:line="360" w:lineRule="auto"/>
        <w:jc w:val="both"/>
      </w:pPr>
      <w:r>
        <w:t>The test subject will assume the position of CEO of a fictional firm, called KeenScreen, which is an established company in the</w:t>
      </w:r>
      <w:r w:rsidR="00BA636E">
        <w:t xml:space="preserve"> market for electronic devices. The company has a particular valuation at the start of the experiment (t=0), expressed in points. </w:t>
      </w:r>
      <w:r w:rsidR="00A94C2D">
        <w:t>This valuation will be different for hot and cold deal market</w:t>
      </w:r>
      <w:r w:rsidR="0075631B">
        <w:t xml:space="preserve"> and control group subjects</w:t>
      </w:r>
      <w:r w:rsidR="003E7147">
        <w:t xml:space="preserve">. </w:t>
      </w:r>
      <w:r w:rsidR="00BA636E">
        <w:t>During the course of the experiment the subject will be asked to m</w:t>
      </w:r>
      <w:r w:rsidR="00A94C2D">
        <w:t>ake various valuation decisions, which can either increase or d</w:t>
      </w:r>
      <w:r w:rsidR="003E7147">
        <w:t>ecrease the company’s valuation</w:t>
      </w:r>
      <w:r w:rsidR="00A94C2D">
        <w:t xml:space="preserve">. </w:t>
      </w:r>
      <w:r w:rsidR="00EB1F5F">
        <w:t xml:space="preserve">It is of paramount importance that the subjects believe that they can effectively influence the future valuation of the company by making good decisions, but they also </w:t>
      </w:r>
      <w:r w:rsidR="003E7147">
        <w:t>should be able to realize</w:t>
      </w:r>
      <w:r w:rsidR="00EB1F5F">
        <w:t xml:space="preserve"> that the chance state of economy plays a large role as well</w:t>
      </w:r>
      <w:r w:rsidR="00352028">
        <w:t xml:space="preserve">, which they </w:t>
      </w:r>
      <w:r w:rsidR="003E7147">
        <w:t xml:space="preserve">can then </w:t>
      </w:r>
      <w:r w:rsidR="00352028">
        <w:t>take into account and adapt for</w:t>
      </w:r>
      <w:r w:rsidR="00EB1F5F">
        <w:t xml:space="preserve">. </w:t>
      </w:r>
      <w:r w:rsidR="001E67C1">
        <w:t xml:space="preserve">The compensation of the executive will be equal to the company’s valuation, measured in points, at the end of the experiment. </w:t>
      </w:r>
    </w:p>
    <w:p w:rsidR="00D326D1" w:rsidRDefault="00EE4948" w:rsidP="00A94C2D">
      <w:pPr>
        <w:spacing w:line="360" w:lineRule="auto"/>
        <w:jc w:val="both"/>
      </w:pPr>
      <w:r>
        <w:t xml:space="preserve">The valuation of the company will be continuously provided to the subject in the corner of the computer screen. This is done in order to try to keep the subject focused on improving this company valuation, as </w:t>
      </w:r>
      <w:r>
        <w:lastRenderedPageBreak/>
        <w:t>well as keep the subject reminded of a relatively high or low valuation (compared to the first valuation), which is required for the framing in hot and cold deal markets.</w:t>
      </w:r>
    </w:p>
    <w:p w:rsidR="00BF40AC" w:rsidRDefault="00BF40AC" w:rsidP="00A94C2D">
      <w:pPr>
        <w:spacing w:line="360" w:lineRule="auto"/>
        <w:jc w:val="both"/>
      </w:pPr>
      <w:r>
        <w:t>The goal of Part One is to introduce the test subject into the role of CEO, as well as introducing the company, after which the participant will have to make a simple binary decision. After this decision, the test subject will either be framed in a hot deal market or in a cold deal market.</w:t>
      </w:r>
    </w:p>
    <w:p w:rsidR="007D6CE2" w:rsidRDefault="00D326D1" w:rsidP="00A94C2D">
      <w:pPr>
        <w:spacing w:line="360" w:lineRule="auto"/>
        <w:jc w:val="both"/>
      </w:pPr>
      <w:r>
        <w:t>First, the</w:t>
      </w:r>
      <w:r w:rsidR="0075631B">
        <w:t xml:space="preserve"> test subject </w:t>
      </w:r>
      <w:r>
        <w:t xml:space="preserve">is given </w:t>
      </w:r>
      <w:r w:rsidR="0075631B">
        <w:t>a</w:t>
      </w:r>
      <w:r w:rsidR="002475D3">
        <w:t xml:space="preserve"> description of the company (s)</w:t>
      </w:r>
      <w:r w:rsidR="0075631B">
        <w:t xml:space="preserve">he’s about to assume the role of CEO of, </w:t>
      </w:r>
      <w:r>
        <w:t xml:space="preserve">namely </w:t>
      </w:r>
      <w:r w:rsidR="0075631B">
        <w:t>KeenScreen</w:t>
      </w:r>
      <w:r w:rsidR="006F4E36">
        <w:t>, a company producing numerous electronic devices</w:t>
      </w:r>
      <w:r w:rsidR="0075631B">
        <w:t>.</w:t>
      </w:r>
      <w:r w:rsidR="006F4E36">
        <w:t xml:space="preserve"> </w:t>
      </w:r>
      <w:r>
        <w:t>This will e</w:t>
      </w:r>
      <w:r w:rsidR="006F4E36">
        <w:t>s</w:t>
      </w:r>
      <w:r>
        <w:t>tablish</w:t>
      </w:r>
      <w:r w:rsidR="006F4E36">
        <w:t xml:space="preserve"> the mindset of</w:t>
      </w:r>
      <w:r>
        <w:t xml:space="preserve"> a</w:t>
      </w:r>
      <w:r w:rsidR="006F4E36">
        <w:t xml:space="preserve"> CEO, which is</w:t>
      </w:r>
      <w:r>
        <w:t xml:space="preserve"> enforced</w:t>
      </w:r>
      <w:r w:rsidR="006F4E36">
        <w:t xml:space="preserve"> by providing an extensive company description, including past successes. The subject has to adequately feel as if </w:t>
      </w:r>
      <w:r w:rsidR="002475D3">
        <w:t>(s)</w:t>
      </w:r>
      <w:r w:rsidR="006F4E36">
        <w:t xml:space="preserve">he’s now in charge of a well-established company. </w:t>
      </w:r>
      <w:r>
        <w:t>Furthermore,</w:t>
      </w:r>
      <w:r w:rsidR="006F4E36">
        <w:t xml:space="preserve"> the description is to give the subjects the opportunity to identify real options inherent to this company</w:t>
      </w:r>
      <w:r w:rsidR="00164530">
        <w:t xml:space="preserve"> </w:t>
      </w:r>
      <w:r w:rsidR="006F4E36">
        <w:t xml:space="preserve">and </w:t>
      </w:r>
      <w:r w:rsidR="00164530">
        <w:t>its industry</w:t>
      </w:r>
      <w:r w:rsidR="006F4E36">
        <w:t xml:space="preserve">. </w:t>
      </w:r>
      <w:r>
        <w:t xml:space="preserve">In the description numerous suggestions are made for possible real options. Firstly, KeenScreen is established in the Netherlands, but also has locations in Belgium and Germany, which points to possible options to expand. Secondly, from previous successes of KeenScreen described, it can be inferred that there is a significant possibility for know-how spillover between the product lines of KeenScreen, indicating possible growth options. Thirdly, the description explains that some of the technology used by KeenScreen </w:t>
      </w:r>
      <w:r w:rsidR="007D6CE2">
        <w:t>can be sold for salvage money or used in different product lines, indicating options to abandon or options to switch.</w:t>
      </w:r>
    </w:p>
    <w:p w:rsidR="00D4684F" w:rsidRDefault="00D4684F" w:rsidP="00A94C2D">
      <w:pPr>
        <w:spacing w:line="360" w:lineRule="auto"/>
        <w:jc w:val="both"/>
      </w:pPr>
      <w:r>
        <w:t>Depending on the group the subject is assigned into, the company valuation will be different. For hot market subjects, the valuation will be 600 points. This will be 1,400 points for cold market subjects. The control groups will both be 1,000 points. The valuation will be graphically illustrated, including past valuations. All of this is done in order to enforce the managerial mindset.</w:t>
      </w:r>
    </w:p>
    <w:p w:rsidR="00D4684F" w:rsidRPr="00D4684F" w:rsidRDefault="00D4684F" w:rsidP="00A94C2D">
      <w:pPr>
        <w:spacing w:line="360" w:lineRule="auto"/>
        <w:jc w:val="both"/>
      </w:pPr>
      <w:r>
        <w:t>Now the subject has been appropriately framed into the role of CEO, the</w:t>
      </w:r>
      <w:r w:rsidR="00AD1938">
        <w:t xml:space="preserve"> hot and cold deal</w:t>
      </w:r>
      <w:r>
        <w:t xml:space="preserve"> subject</w:t>
      </w:r>
      <w:r w:rsidR="00AD1938">
        <w:t>s</w:t>
      </w:r>
      <w:r>
        <w:t xml:space="preserve"> will be asked to make its first managerial decision. </w:t>
      </w:r>
      <w:r w:rsidR="00AD1938">
        <w:t xml:space="preserve">Note that the control group will not get this first question, as this group should start the next question as blank as possible. </w:t>
      </w:r>
      <w:r>
        <w:t>This decision entails a possible geographical expansion to either Sweden or Norway. It is important to note that no additional information is given, so the subjects have to make a judgment call based on their own perceptions</w:t>
      </w:r>
      <w:r w:rsidR="00927249">
        <w:t xml:space="preserve"> of the costs and benefits associated with each of the two countries</w:t>
      </w:r>
      <w:r>
        <w:t xml:space="preserve">. The </w:t>
      </w:r>
      <w:r w:rsidR="00927249">
        <w:t xml:space="preserve">eventual </w:t>
      </w:r>
      <w:r>
        <w:t xml:space="preserve">answer to this question is irrelevant. It is only important </w:t>
      </w:r>
      <w:r>
        <w:rPr>
          <w:i/>
        </w:rPr>
        <w:t xml:space="preserve">that </w:t>
      </w:r>
      <w:r>
        <w:t>the subject has made a decision, and therefore feels partly responsible for future performance of KeenScreen.</w:t>
      </w:r>
      <w:r w:rsidR="00DA2482">
        <w:t xml:space="preserve"> The great amount of freedom the subject has in determining the best option increases the likelihood that he/she accepts the results to be their doing </w:t>
      </w:r>
      <w:r w:rsidR="00DA2482">
        <w:lastRenderedPageBreak/>
        <w:t>(even if it in fact is not).</w:t>
      </w:r>
      <w:r w:rsidR="00706DC1">
        <w:t xml:space="preserve"> The importance of this feeling of responsibility lies in the fact that the framing in the next part of the experiment will not be effective if the </w:t>
      </w:r>
      <w:r w:rsidR="00A43B74">
        <w:t>subject</w:t>
      </w:r>
      <w:r w:rsidR="00706DC1">
        <w:t xml:space="preserve"> does not attribute the upcoming valuation to be at least partly his</w:t>
      </w:r>
      <w:r w:rsidR="00A43B74">
        <w:t>/her doing (which could in turn lead to overconfidence in the subject about his/her skills).</w:t>
      </w:r>
    </w:p>
    <w:p w:rsidR="00884AA8" w:rsidRDefault="00433829" w:rsidP="00F01145">
      <w:pPr>
        <w:spacing w:line="360" w:lineRule="auto"/>
        <w:jc w:val="both"/>
      </w:pPr>
      <w:r>
        <w:t>After the irrelevant decision for Sweden or Norway, the subject will now face the first valuation after (s)he’s assumed the role of CEO. Group A had a valuation at t=0 of 600 points and will now experience a gain of 400 to 1,000 points. Group C had a valuation at t=0 of 1,400 points and will now experience a loss of 400 to 1,000 points. Control groups B and D</w:t>
      </w:r>
      <w:r w:rsidR="00AD1938">
        <w:t xml:space="preserve"> have not participated in the first question and</w:t>
      </w:r>
      <w:r>
        <w:t xml:space="preserve"> will remain at 1,000 points. A brief explanation of the factors accounting for the new valuation will be provided. This includes the choice for expansion, as well as chance state of the economy. However, the magnitude of each of these factors on the valuation is not specified. This will give each subject room for interpretation. Hot deal subjects are likely to attribute the gain to their decision, thereby becoming more overconfident. Cold deal subjects </w:t>
      </w:r>
      <w:r w:rsidR="00B3776C">
        <w:t>could attribute the results to the business c</w:t>
      </w:r>
      <w:r w:rsidR="0000481A">
        <w:t xml:space="preserve">ycle and therefore uncertainty. The subjects have now been framed in hot deal, cold deal and control groups, which all have a valuation of 1,000, which is important, because of the various effects potential liquidity differences could have on later decisions. </w:t>
      </w:r>
    </w:p>
    <w:p w:rsidR="001E67C1" w:rsidRDefault="003B6CAA" w:rsidP="00F01145">
      <w:pPr>
        <w:spacing w:line="360" w:lineRule="auto"/>
        <w:jc w:val="both"/>
      </w:pPr>
      <w:r>
        <w:t xml:space="preserve">Part Two concerns the first valuation question based on a DCF analysis with an uncertain horizon value. </w:t>
      </w:r>
      <w:r w:rsidR="002278E8">
        <w:t>The question will be exactly the same for each of the four groups.</w:t>
      </w:r>
    </w:p>
    <w:p w:rsidR="002278E8" w:rsidRDefault="002278E8" w:rsidP="00F01145">
      <w:pPr>
        <w:spacing w:line="360" w:lineRule="auto"/>
        <w:jc w:val="both"/>
      </w:pPr>
      <w:r>
        <w:t xml:space="preserve">The question starts off by again emphasizing the current value of the company </w:t>
      </w:r>
      <w:r>
        <w:rPr>
          <w:i/>
        </w:rPr>
        <w:t xml:space="preserve">and </w:t>
      </w:r>
      <w:r>
        <w:t xml:space="preserve">whether the subject has experienced a gain or a loss. The </w:t>
      </w:r>
      <w:r w:rsidR="005C27EA">
        <w:t>description concerns a decision about a new technology, which would enable KeenScreen to produce TV’</w:t>
      </w:r>
      <w:r w:rsidR="006A025F">
        <w:t>s of higher quality. The technology is called UltraHD, but it is not explicitly stated that the technology is solely usable for their television product line, which gives rise to growth options. KeenScreen can obtain the right to use this technology by paying InnovaTV, the research company which invented UltraHD, a license fee.</w:t>
      </w:r>
      <w:r w:rsidR="00D24385">
        <w:t xml:space="preserve"> KeenScreen’s competitors are interested as well, but only one company can obtain the license. </w:t>
      </w:r>
      <w:r w:rsidR="000D6007">
        <w:t xml:space="preserve">The license is put up for auction. The reason for using an auction it to obtain a valuation which is close to the true subjects’ reservation price. As it is an  </w:t>
      </w:r>
      <w:r w:rsidR="00B34EA2">
        <w:t>a</w:t>
      </w:r>
      <w:r w:rsidR="000D6007">
        <w:t>uction, only one can obtain the license. It is important for the subject to realize the now-or-never character of the decision. After the auction, there is no more possibility to obtain the license. As this license could open up future growth options via know-how spillover, losing the auction would put a definitive end to these opportunities.</w:t>
      </w:r>
    </w:p>
    <w:p w:rsidR="00B34EA2" w:rsidRDefault="00B34EA2" w:rsidP="00F01145">
      <w:pPr>
        <w:spacing w:line="360" w:lineRule="auto"/>
        <w:jc w:val="both"/>
      </w:pPr>
      <w:r>
        <w:lastRenderedPageBreak/>
        <w:t xml:space="preserve">Before having to make a bid for the license, the subject is provided a forecast of the future cash flows of the application of the new technology in their TV product line. This forecast leaves the horizon value open for interpretation by the subject. </w:t>
      </w:r>
      <w:r w:rsidR="00582A3D">
        <w:t xml:space="preserve">It is provided that each year there are at least some fixed costs. This is done in order to make the subjects aware that the horizon value could also turn out negatively, if the expected revenues after the planning period are, in their perception, low. </w:t>
      </w:r>
      <w:r>
        <w:t>The revenues of the project UltraHD consist of the positive cash flows in the planning period, together with the uncertain horizon value. The costs associated with the project are the cost of implementation, as well as the amount paid for the license.</w:t>
      </w:r>
      <w:r w:rsidR="00622B37">
        <w:t xml:space="preserve"> The discount factor is 0 in order to simplify the situation.</w:t>
      </w:r>
    </w:p>
    <w:p w:rsidR="008A1E64" w:rsidRDefault="008A1E64" w:rsidP="00F01145">
      <w:pPr>
        <w:spacing w:line="360" w:lineRule="auto"/>
        <w:jc w:val="both"/>
      </w:pPr>
      <w:r>
        <w:t xml:space="preserve">By analyzing the bids made on the license, the valuations of the horizon value can be derived. The horizon value is the combination of the </w:t>
      </w:r>
      <w:r w:rsidR="004C30BA">
        <w:t xml:space="preserve">amount </w:t>
      </w:r>
      <w:r>
        <w:t>bi</w:t>
      </w:r>
      <w:r w:rsidR="004C30BA">
        <w:t>d for the license fee</w:t>
      </w:r>
      <w:r>
        <w:t xml:space="preserve"> and the residual </w:t>
      </w:r>
      <w:r w:rsidR="004C30BA">
        <w:t xml:space="preserve">obtained </w:t>
      </w:r>
      <w:r w:rsidR="00041782">
        <w:t xml:space="preserve">after deducting the (absolute value of the) costs of implementation by the </w:t>
      </w:r>
      <w:r w:rsidR="004C30BA">
        <w:t xml:space="preserve">positive </w:t>
      </w:r>
      <w:r>
        <w:t>cash</w:t>
      </w:r>
      <w:r w:rsidR="00041782">
        <w:t xml:space="preserve"> flows in the planning period</w:t>
      </w:r>
      <w:r>
        <w:t xml:space="preserve">. It has to be noted that </w:t>
      </w:r>
      <w:r w:rsidR="006E263C">
        <w:t>the assumption is made that the bid is equal to the reservation price.</w:t>
      </w:r>
    </w:p>
    <w:p w:rsidR="006E263C" w:rsidRDefault="00A73710" w:rsidP="00F01145">
      <w:pPr>
        <w:spacing w:line="360" w:lineRule="auto"/>
        <w:jc w:val="both"/>
      </w:pPr>
      <w:r>
        <w:t>Part Three is different for group A&amp;B and C&amp;D, because now the real options will be implemented, according to the solution provided by Smit &amp; Lovallo (2014). Group A&amp;B will be presented a situation including an explicit option to stage, which represents the caution argument. Group C&amp;B will be presented a situation including an explicit growth option, representing the venturing argument.</w:t>
      </w:r>
    </w:p>
    <w:p w:rsidR="00A73710" w:rsidRDefault="00DD5A76" w:rsidP="00F01145">
      <w:pPr>
        <w:spacing w:line="360" w:lineRule="auto"/>
        <w:jc w:val="both"/>
      </w:pPr>
      <w:r>
        <w:t>The subject (Group A&amp;B) is now informed that before the auction has taken place, InnovaTV has approached them with an offer to start a joint venture. In this venture both the revenues and costs would be evenly split between KeenScreen and InnovaTV.</w:t>
      </w:r>
      <w:r w:rsidR="003043E8">
        <w:t xml:space="preserve"> Upon the acceptance of this joint venture, KeenScreen would also receive a clause, which gives them the opportunity to buy out InnovaTV’s share in the joint venture </w:t>
      </w:r>
      <w:r w:rsidR="001B3593">
        <w:t>after six year (</w:t>
      </w:r>
      <w:r w:rsidR="001B3593">
        <w:rPr>
          <w:i/>
        </w:rPr>
        <w:t xml:space="preserve">and only </w:t>
      </w:r>
      <w:r w:rsidR="001B3593" w:rsidRPr="001B3593">
        <w:rPr>
          <w:i/>
        </w:rPr>
        <w:t>then</w:t>
      </w:r>
      <w:r w:rsidR="001B3593">
        <w:t xml:space="preserve">) </w:t>
      </w:r>
      <w:r w:rsidR="003043E8" w:rsidRPr="001B3593">
        <w:t>for</w:t>
      </w:r>
      <w:r w:rsidR="003043E8">
        <w:t xml:space="preserve"> the same price as KeenScreen paid to buy into the joint venture (See cash flow projections). InnovaTV has also approached the other players in the market and still demands a license fee. The subject now has to </w:t>
      </w:r>
      <w:r w:rsidR="000C1854">
        <w:t xml:space="preserve">come up with a price for this license fee. </w:t>
      </w:r>
    </w:p>
    <w:p w:rsidR="00622B37" w:rsidRDefault="000C1854" w:rsidP="00F01145">
      <w:pPr>
        <w:spacing w:line="360" w:lineRule="auto"/>
        <w:jc w:val="both"/>
      </w:pPr>
      <w:r>
        <w:t>By analyzing the new offer for the license fee, the conclusion that the subject values the clause (which is in fact an option to stage) could be drawn, if this bid is at least more than half of the original bid in Part Two.</w:t>
      </w:r>
    </w:p>
    <w:p w:rsidR="00622B37" w:rsidRDefault="001B3593" w:rsidP="00F01145">
      <w:pPr>
        <w:spacing w:line="360" w:lineRule="auto"/>
        <w:jc w:val="both"/>
      </w:pPr>
      <w:r>
        <w:t>After having come up with the price for the license fee, the subject is informed that the board of directors wants a revised clause in the joint venture, which allows KeenScreen to buy o</w:t>
      </w:r>
      <w:r w:rsidR="005D5A14">
        <w:t xml:space="preserve">ut InnovaTV at any moment after six years. The subject again has to make a new offer for the license fee to InnovaTV. </w:t>
      </w:r>
    </w:p>
    <w:p w:rsidR="005D5A14" w:rsidRDefault="005D5A14" w:rsidP="00F01145">
      <w:pPr>
        <w:spacing w:line="360" w:lineRule="auto"/>
        <w:jc w:val="both"/>
      </w:pPr>
      <w:r>
        <w:lastRenderedPageBreak/>
        <w:t>As the clause is always more valuable now then it was in the previous question, the price offered for the license fee should be higher. If this is the case, the conclusion can be drawn that there is in fact awareness of options and that subjects now how (at least in part) how to value them.</w:t>
      </w:r>
    </w:p>
    <w:p w:rsidR="00463699" w:rsidRDefault="005D5A14" w:rsidP="00463699">
      <w:pPr>
        <w:spacing w:line="360" w:lineRule="auto"/>
        <w:jc w:val="both"/>
      </w:pPr>
      <w:r>
        <w:t>In contrast, the subject (Group C&amp;D) gets new information before the auction takes place. The subject is now explicitly informed of a growth option</w:t>
      </w:r>
      <w:r w:rsidR="00EC273F">
        <w:t>. T</w:t>
      </w:r>
      <w:r>
        <w:t xml:space="preserve">he </w:t>
      </w:r>
      <w:r w:rsidR="00463699">
        <w:t>right to use the technology</w:t>
      </w:r>
      <w:r w:rsidR="00EC273F">
        <w:t xml:space="preserve"> makes </w:t>
      </w:r>
      <w:r w:rsidR="00463699">
        <w:t xml:space="preserve"> implementation in the smart phone product line feasible</w:t>
      </w:r>
      <w:r w:rsidR="0003589C">
        <w:t xml:space="preserve">, but no sooner than five years after project UltraHD </w:t>
      </w:r>
      <w:r w:rsidR="0054733E">
        <w:t xml:space="preserve">TV </w:t>
      </w:r>
      <w:r w:rsidR="0003589C">
        <w:t>has commenced</w:t>
      </w:r>
      <w:r w:rsidR="0054733E">
        <w:t xml:space="preserve"> (as know-how about this technology has to accumulate over the period of executing UltraHD TV)</w:t>
      </w:r>
      <w:r w:rsidR="00463699">
        <w:t xml:space="preserve">. The subject is also notified about the conditionality of this growth option on winning the auction now. This is characteristic for growth options, as growth options only arise from a commitment at an earlier moment in time. </w:t>
      </w:r>
      <w:r w:rsidR="0003589C">
        <w:t xml:space="preserve">The success of possible implementation in the smart phone market is uncertain, because of economic circumstances. </w:t>
      </w:r>
      <w:r w:rsidR="0054733E">
        <w:t>If the market turns out to be favorable for implementing Ultra HD Smartphones, the magnitude of the cash flows</w:t>
      </w:r>
      <w:r w:rsidR="00126485">
        <w:t xml:space="preserve"> (in and out)</w:t>
      </w:r>
      <w:r w:rsidR="0054733E">
        <w:t xml:space="preserve"> will be twice as large as those associated with project UltraHD TV. </w:t>
      </w:r>
      <w:r w:rsidR="00126485">
        <w:t xml:space="preserve">If the market turns out to be unfavorable, implementation will result in an annual loss of 10 for the upcoming ten years. This loss remark should be irrelevant, as the subject should realize that implementation if the market is unfavorable is not mandatory. </w:t>
      </w:r>
      <w:r w:rsidR="0003589C">
        <w:t>Given this new information, the subject is asked to make a bid for the license fee.</w:t>
      </w:r>
    </w:p>
    <w:p w:rsidR="0003589C" w:rsidRDefault="0044624B" w:rsidP="00463699">
      <w:pPr>
        <w:spacing w:line="360" w:lineRule="auto"/>
        <w:jc w:val="both"/>
      </w:pPr>
      <w:r>
        <w:t xml:space="preserve">By analyzing the new bids, the conclusion that subjects value the growth option can be drawn, when the subjects offer a higher bid than in Part Two. </w:t>
      </w:r>
    </w:p>
    <w:p w:rsidR="00642C1E" w:rsidRPr="002278E8" w:rsidRDefault="00642C1E" w:rsidP="00463699">
      <w:pPr>
        <w:spacing w:line="360" w:lineRule="auto"/>
        <w:jc w:val="both"/>
      </w:pPr>
      <w:r>
        <w:t xml:space="preserve">Again, before the auction has taken place, the subject gets new information. An unfavorable market after five years does not mean that this attitude will endure. </w:t>
      </w:r>
      <w:r w:rsidR="00C17335">
        <w:t xml:space="preserve">The subject is told that the market’s attitude could change, although the likelihood of this occurring diminishes as time progresses. The subject is given some information about the chances and degree of diminishment, but for drawing conclusions this is irrelevant. The only thing the subject needs to realize is that, due to this possible market attitude change, </w:t>
      </w:r>
      <w:r w:rsidR="00A73B43">
        <w:t xml:space="preserve">the option is worth more than it was before, and therefore the license is worth more. </w:t>
      </w:r>
    </w:p>
    <w:p w:rsidR="00AF479D" w:rsidRDefault="001E67C1" w:rsidP="00525693">
      <w:pPr>
        <w:spacing w:line="360" w:lineRule="auto"/>
        <w:jc w:val="both"/>
      </w:pPr>
      <w:r>
        <w:t>At the end of the experiment the test subject will receive the amount of points in company valuation in cash with a conversion rate of €1,- per 100 points.</w:t>
      </w:r>
      <w:r w:rsidR="00133A48">
        <w:t xml:space="preserve"> The subject will receive random feedback on the eventual results of the last questions. Some of the subjects will go up, others will go down, but not too much. This gives the conductors the opportunity to distribute the money within the limits of the budget, as well as give the subjects the feeling that they had influence over this outcome. </w:t>
      </w:r>
      <w:r w:rsidR="00A61340">
        <w:tab/>
      </w:r>
    </w:p>
    <w:p w:rsidR="0052486F" w:rsidRDefault="0052486F"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8F2241" w:rsidRDefault="008F2241" w:rsidP="00FA4D67">
      <w:pPr>
        <w:tabs>
          <w:tab w:val="left" w:pos="5835"/>
        </w:tabs>
      </w:pPr>
    </w:p>
    <w:p w:rsidR="00DF03D8" w:rsidRPr="004C30BA" w:rsidRDefault="00FA4D67" w:rsidP="00FA4D67">
      <w:pPr>
        <w:tabs>
          <w:tab w:val="left" w:pos="5835"/>
        </w:tabs>
      </w:pPr>
      <w:r w:rsidRPr="004C30BA">
        <w:tab/>
      </w:r>
    </w:p>
    <w:p w:rsidR="00053E89" w:rsidRDefault="00316EC1" w:rsidP="00053E89">
      <w:pPr>
        <w:pStyle w:val="Heading1"/>
        <w:rPr>
          <w:b/>
          <w:color w:val="auto"/>
        </w:rPr>
      </w:pPr>
      <w:bookmarkStart w:id="4" w:name="_Toc397159370"/>
      <w:r w:rsidRPr="008307BE">
        <w:rPr>
          <w:b/>
          <w:color w:val="auto"/>
        </w:rPr>
        <w:t>Conclu</w:t>
      </w:r>
      <w:r w:rsidR="00C36FA5">
        <w:rPr>
          <w:b/>
          <w:color w:val="auto"/>
        </w:rPr>
        <w:t>ding Remarks</w:t>
      </w:r>
      <w:bookmarkEnd w:id="4"/>
    </w:p>
    <w:p w:rsidR="00BF7CEE" w:rsidRPr="00BF7CEE" w:rsidRDefault="00BF7CEE" w:rsidP="00BF7CEE">
      <w:pPr>
        <w:pStyle w:val="NoSpacing"/>
      </w:pPr>
    </w:p>
    <w:p w:rsidR="00427B08" w:rsidRDefault="005078B3" w:rsidP="00E81A27">
      <w:pPr>
        <w:spacing w:line="360" w:lineRule="auto"/>
        <w:jc w:val="both"/>
      </w:pPr>
      <w:r>
        <w:t xml:space="preserve">The goal of this paper was to compose an experiment </w:t>
      </w:r>
      <w:r w:rsidR="0028464B">
        <w:t xml:space="preserve">which could test whether real options could provide a solution to </w:t>
      </w:r>
      <w:r w:rsidR="00E81A27">
        <w:t xml:space="preserve">the behavior of executives causing </w:t>
      </w:r>
      <w:r w:rsidR="0028464B">
        <w:t xml:space="preserve">the hot and cold deal market phenomena. </w:t>
      </w:r>
      <w:r w:rsidR="00336032">
        <w:t xml:space="preserve">After an elaborate explanation of how valuations of new ventures are most commonly done and how cognitive biases influence these valuations in hot and cold deal markets, the composition of the experiment was treated. </w:t>
      </w:r>
      <w:r w:rsidR="00416F33">
        <w:t xml:space="preserve">The composed experiment </w:t>
      </w:r>
      <w:r w:rsidR="00F3321C">
        <w:t xml:space="preserve">has been elaborately covered with a step-by-step explanation and justification for each consideration or formulation. However, as this paper’s goal was solely the composition of the experiment, no results have been gathered to interpret and therefore no conclusion can be drawn on the basis of this paper. The conduct of the experiment will be the subject of a future paper, after which interpretations and answers will be given to the </w:t>
      </w:r>
      <w:r w:rsidR="00FB119C">
        <w:t>hypotheses and research questions</w:t>
      </w:r>
      <w:r w:rsidR="00F3321C">
        <w:t xml:space="preserve"> the composed experiment seeks to test.</w:t>
      </w:r>
    </w:p>
    <w:p w:rsidR="00FB119C" w:rsidRDefault="00FB119C" w:rsidP="00E81A27">
      <w:pPr>
        <w:spacing w:line="360" w:lineRule="auto"/>
        <w:jc w:val="both"/>
      </w:pPr>
      <w:r>
        <w:lastRenderedPageBreak/>
        <w:t xml:space="preserve">After the composition of the experiment some possible additions or alternatives to possible future experiments were found. </w:t>
      </w:r>
      <w:r w:rsidR="00AA2886">
        <w:t>Firstly, by giving the subjects another case, one could verify if the subjects improve in their valuations. Secondly</w:t>
      </w:r>
      <w:r>
        <w:t>, it c</w:t>
      </w:r>
      <w:r w:rsidR="00AA2886">
        <w:t>ould</w:t>
      </w:r>
      <w:r>
        <w:t xml:space="preserve"> be interesting to make twice as many groups and give half of the groups an instruction on the subject of real options, so they are familiar with the topic. This should improve the susceptibility to </w:t>
      </w:r>
      <w:r w:rsidR="00F65ABD">
        <w:t xml:space="preserve">real </w:t>
      </w:r>
      <w:r>
        <w:t>options</w:t>
      </w:r>
      <w:r w:rsidR="00F65ABD">
        <w:t xml:space="preserve"> and hence increase the likelihood of these groups to see these options in the description of the valuation problems. Comparing the valuations of the instructed groups with the uninstructed groups could then uncover whether there are teaching effects to real options. </w:t>
      </w:r>
      <w:r w:rsidR="00AA2886">
        <w:t>This could give important extra insight into the feasibility of real options as a solution for hot and cold deal markets.</w:t>
      </w:r>
    </w:p>
    <w:p w:rsidR="0052486F" w:rsidRDefault="0052486F" w:rsidP="001A6E86"/>
    <w:p w:rsidR="00AA2886" w:rsidRDefault="00AA2886" w:rsidP="001A6E86"/>
    <w:p w:rsidR="00AA2886" w:rsidRDefault="00AA2886" w:rsidP="001A6E86"/>
    <w:p w:rsidR="00AA2886" w:rsidRDefault="00AA2886" w:rsidP="001A6E86"/>
    <w:p w:rsidR="00AA2886" w:rsidRDefault="00AA2886" w:rsidP="001A6E86"/>
    <w:p w:rsidR="008F2241" w:rsidRDefault="008F2241" w:rsidP="001A6E86"/>
    <w:p w:rsidR="00DF03D8" w:rsidRPr="00053E89" w:rsidRDefault="00DF03D8" w:rsidP="00053E89"/>
    <w:bookmarkStart w:id="5" w:name="_Toc397159371" w:displacedByCustomXml="next"/>
    <w:sdt>
      <w:sdtPr>
        <w:rPr>
          <w:rFonts w:asciiTheme="minorHAnsi" w:eastAsiaTheme="minorHAnsi" w:hAnsiTheme="minorHAnsi" w:cstheme="minorBidi"/>
          <w:color w:val="auto"/>
          <w:sz w:val="22"/>
          <w:szCs w:val="22"/>
          <w:lang w:val="nl-NL"/>
        </w:rPr>
        <w:id w:val="1762026554"/>
        <w:docPartObj>
          <w:docPartGallery w:val="Bibliographies"/>
          <w:docPartUnique/>
        </w:docPartObj>
      </w:sdtPr>
      <w:sdtEndPr>
        <w:rPr>
          <w:lang w:val="en-US"/>
        </w:rPr>
      </w:sdtEndPr>
      <w:sdtContent>
        <w:p w:rsidR="003055CA" w:rsidRPr="004C1BFB" w:rsidRDefault="004C1BFB" w:rsidP="00FA4D67">
          <w:pPr>
            <w:pStyle w:val="Heading1"/>
            <w:spacing w:line="360" w:lineRule="auto"/>
            <w:rPr>
              <w:b/>
              <w:color w:val="auto"/>
            </w:rPr>
          </w:pPr>
          <w:r w:rsidRPr="004C1BFB">
            <w:rPr>
              <w:b/>
              <w:color w:val="auto"/>
            </w:rPr>
            <w:t>Bibliography</w:t>
          </w:r>
          <w:bookmarkEnd w:id="5"/>
        </w:p>
        <w:sdt>
          <w:sdtPr>
            <w:id w:val="111145805"/>
            <w:bibliography/>
          </w:sdtPr>
          <w:sdtContent>
            <w:p w:rsidR="00362671" w:rsidRDefault="008E0B8C" w:rsidP="00362671">
              <w:pPr>
                <w:pStyle w:val="Bibliography"/>
                <w:spacing w:line="360" w:lineRule="auto"/>
                <w:ind w:left="720" w:hanging="720"/>
                <w:rPr>
                  <w:noProof/>
                  <w:sz w:val="24"/>
                  <w:szCs w:val="24"/>
                </w:rPr>
              </w:pPr>
              <w:r w:rsidRPr="008E0B8C">
                <w:fldChar w:fldCharType="begin"/>
              </w:r>
              <w:r w:rsidR="003055CA" w:rsidRPr="00362671">
                <w:instrText>BIBLIOGRAPHY</w:instrText>
              </w:r>
              <w:r w:rsidRPr="008E0B8C">
                <w:fldChar w:fldCharType="separate"/>
              </w:r>
              <w:r w:rsidR="00362671">
                <w:rPr>
                  <w:noProof/>
                </w:rPr>
                <w:t xml:space="preserve">Barberis, N., &amp; Huang, M. (2008). The Loss Aversion/Narrow Framing Approach to the Equity Premium Puzzle. In R. Mehra, </w:t>
              </w:r>
              <w:r w:rsidR="00362671">
                <w:rPr>
                  <w:i/>
                  <w:iCs/>
                  <w:noProof/>
                </w:rPr>
                <w:t>Handbook of the Equity Risk Premium</w:t>
              </w:r>
              <w:r w:rsidR="00362671">
                <w:rPr>
                  <w:noProof/>
                </w:rPr>
                <w:t xml:space="preserve"> (pp. 199-236). Amsterdam: Elsevier.</w:t>
              </w:r>
            </w:p>
            <w:p w:rsidR="00362671" w:rsidRDefault="00362671" w:rsidP="00362671">
              <w:pPr>
                <w:pStyle w:val="Bibliography"/>
                <w:spacing w:line="360" w:lineRule="auto"/>
                <w:ind w:left="720" w:hanging="720"/>
                <w:rPr>
                  <w:noProof/>
                </w:rPr>
              </w:pPr>
              <w:r>
                <w:rPr>
                  <w:noProof/>
                </w:rPr>
                <w:t xml:space="preserve">Becketti, S. (1986). Corporate Mergers and the Business Cycle. </w:t>
              </w:r>
              <w:r>
                <w:rPr>
                  <w:i/>
                  <w:iCs/>
                  <w:noProof/>
                </w:rPr>
                <w:t>Federal Reserve Bank of Kansas City: Economic Review</w:t>
              </w:r>
              <w:r>
                <w:rPr>
                  <w:noProof/>
                </w:rPr>
                <w:t>, 13-26.</w:t>
              </w:r>
            </w:p>
            <w:p w:rsidR="00362671" w:rsidRDefault="00362671" w:rsidP="00362671">
              <w:pPr>
                <w:pStyle w:val="Bibliography"/>
                <w:spacing w:line="360" w:lineRule="auto"/>
                <w:ind w:left="720" w:hanging="720"/>
                <w:rPr>
                  <w:noProof/>
                </w:rPr>
              </w:pPr>
              <w:r>
                <w:rPr>
                  <w:noProof/>
                </w:rPr>
                <w:t xml:space="preserve">Berk, J., &amp; DeMarzo, P. (2014). </w:t>
              </w:r>
              <w:r>
                <w:rPr>
                  <w:i/>
                  <w:iCs/>
                  <w:noProof/>
                </w:rPr>
                <w:t>Corporate Finance, 3rd edition.</w:t>
              </w:r>
              <w:r>
                <w:rPr>
                  <w:noProof/>
                </w:rPr>
                <w:t xml:space="preserve"> Boston: Pearson Education.</w:t>
              </w:r>
            </w:p>
            <w:p w:rsidR="00362671" w:rsidRDefault="00362671" w:rsidP="00362671">
              <w:pPr>
                <w:pStyle w:val="Bibliography"/>
                <w:spacing w:line="360" w:lineRule="auto"/>
                <w:ind w:left="720" w:hanging="720"/>
                <w:rPr>
                  <w:noProof/>
                </w:rPr>
              </w:pPr>
              <w:r>
                <w:rPr>
                  <w:noProof/>
                </w:rPr>
                <w:t xml:space="preserve">Brealey, R. A., Myers, S. C., &amp; Allen, F. (2011). </w:t>
              </w:r>
              <w:r>
                <w:rPr>
                  <w:i/>
                  <w:iCs/>
                  <w:noProof/>
                </w:rPr>
                <w:t>Principles of Corporate Finance, 10th edition.</w:t>
              </w:r>
              <w:r>
                <w:rPr>
                  <w:noProof/>
                </w:rPr>
                <w:t xml:space="preserve"> New York: McGraw-Hill/Irwin.</w:t>
              </w:r>
            </w:p>
            <w:p w:rsidR="00362671" w:rsidRDefault="00362671" w:rsidP="00362671">
              <w:pPr>
                <w:pStyle w:val="Bibliography"/>
                <w:spacing w:line="360" w:lineRule="auto"/>
                <w:ind w:left="720" w:hanging="720"/>
                <w:rPr>
                  <w:noProof/>
                </w:rPr>
              </w:pPr>
              <w:r>
                <w:rPr>
                  <w:noProof/>
                </w:rPr>
                <w:t xml:space="preserve">Hayward, M., &amp; Hambrick, D. (1997). Explaining the premiums paid for large acquisitions: evidence of CEO hubris. </w:t>
              </w:r>
              <w:r>
                <w:rPr>
                  <w:i/>
                  <w:iCs/>
                  <w:noProof/>
                </w:rPr>
                <w:t>Administrative Science Quarterly</w:t>
              </w:r>
              <w:r>
                <w:rPr>
                  <w:noProof/>
                </w:rPr>
                <w:t>, 103-127.</w:t>
              </w:r>
            </w:p>
            <w:p w:rsidR="00362671" w:rsidRDefault="00362671" w:rsidP="00362671">
              <w:pPr>
                <w:pStyle w:val="Bibliography"/>
                <w:spacing w:line="360" w:lineRule="auto"/>
                <w:ind w:left="720" w:hanging="720"/>
                <w:rPr>
                  <w:noProof/>
                </w:rPr>
              </w:pPr>
              <w:r>
                <w:rPr>
                  <w:noProof/>
                </w:rPr>
                <w:lastRenderedPageBreak/>
                <w:t xml:space="preserve">Helweg-Larsen, M., &amp; Shepperd, J. A. (2001). Do Moderators of the Optimistic Bias Affect Personal or Target Risk Estimates? A Review of the Literature. </w:t>
              </w:r>
              <w:r>
                <w:rPr>
                  <w:i/>
                  <w:iCs/>
                  <w:noProof/>
                </w:rPr>
                <w:t>Personality and Social Psychology Review</w:t>
              </w:r>
              <w:r>
                <w:rPr>
                  <w:noProof/>
                </w:rPr>
                <w:t>, 74-95.</w:t>
              </w:r>
            </w:p>
            <w:p w:rsidR="00362671" w:rsidRDefault="00362671" w:rsidP="00362671">
              <w:pPr>
                <w:pStyle w:val="Bibliography"/>
                <w:spacing w:line="360" w:lineRule="auto"/>
                <w:ind w:left="720" w:hanging="720"/>
                <w:rPr>
                  <w:noProof/>
                </w:rPr>
              </w:pPr>
              <w:r>
                <w:rPr>
                  <w:noProof/>
                </w:rPr>
                <w:t xml:space="preserve">Jones, M., &amp; Sugden, R. (2001). Positive confirmation bias in the acquisition of information. </w:t>
              </w:r>
              <w:r>
                <w:rPr>
                  <w:i/>
                  <w:iCs/>
                  <w:noProof/>
                </w:rPr>
                <w:t>Theory and Discussion</w:t>
              </w:r>
              <w:r>
                <w:rPr>
                  <w:noProof/>
                </w:rPr>
                <w:t>, 59-99.</w:t>
              </w:r>
            </w:p>
            <w:p w:rsidR="00362671" w:rsidRDefault="00362671" w:rsidP="00362671">
              <w:pPr>
                <w:pStyle w:val="Bibliography"/>
                <w:spacing w:line="360" w:lineRule="auto"/>
                <w:ind w:left="720" w:hanging="720"/>
                <w:rPr>
                  <w:noProof/>
                </w:rPr>
              </w:pPr>
              <w:r>
                <w:rPr>
                  <w:noProof/>
                </w:rPr>
                <w:t xml:space="preserve">Kahneman, &amp; Lovallo. (1993). Timid choices and bold forecasts: a cognitive perspective on risk taking. </w:t>
              </w:r>
              <w:r>
                <w:rPr>
                  <w:i/>
                  <w:iCs/>
                  <w:noProof/>
                </w:rPr>
                <w:t>Management Science</w:t>
              </w:r>
              <w:r>
                <w:rPr>
                  <w:noProof/>
                </w:rPr>
                <w:t>, 17-31.</w:t>
              </w:r>
            </w:p>
            <w:p w:rsidR="00362671" w:rsidRDefault="00362671" w:rsidP="00362671">
              <w:pPr>
                <w:pStyle w:val="Bibliography"/>
                <w:spacing w:line="360" w:lineRule="auto"/>
                <w:ind w:left="720" w:hanging="720"/>
                <w:rPr>
                  <w:noProof/>
                </w:rPr>
              </w:pPr>
              <w:r>
                <w:rPr>
                  <w:noProof/>
                </w:rPr>
                <w:t xml:space="preserve">Kahneman, D. (2003). Maps of Bounded Rationality: Psychology for Behavioral Economics. </w:t>
              </w:r>
              <w:r>
                <w:rPr>
                  <w:i/>
                  <w:iCs/>
                  <w:noProof/>
                </w:rPr>
                <w:t>The American Economic Review, Vol. 93</w:t>
              </w:r>
              <w:r>
                <w:rPr>
                  <w:noProof/>
                </w:rPr>
                <w:t>, 1449-1475.</w:t>
              </w:r>
            </w:p>
            <w:p w:rsidR="00362671" w:rsidRDefault="00362671" w:rsidP="00362671">
              <w:pPr>
                <w:pStyle w:val="Bibliography"/>
                <w:spacing w:line="360" w:lineRule="auto"/>
                <w:ind w:left="720" w:hanging="720"/>
                <w:rPr>
                  <w:noProof/>
                </w:rPr>
              </w:pPr>
              <w:r>
                <w:rPr>
                  <w:noProof/>
                </w:rPr>
                <w:t xml:space="preserve">Kahneman, D., &amp; Lovallo, D. (1993). Timid Choices and Bold Forecasts: A Cognitive Perspective on Risk Taking. </w:t>
              </w:r>
              <w:r>
                <w:rPr>
                  <w:i/>
                  <w:iCs/>
                  <w:noProof/>
                </w:rPr>
                <w:t>Management Science, 39</w:t>
              </w:r>
              <w:r>
                <w:rPr>
                  <w:noProof/>
                </w:rPr>
                <w:t>, 17-31.</w:t>
              </w:r>
            </w:p>
            <w:p w:rsidR="00362671" w:rsidRDefault="00362671" w:rsidP="00362671">
              <w:pPr>
                <w:pStyle w:val="Bibliography"/>
                <w:spacing w:line="360" w:lineRule="auto"/>
                <w:ind w:left="720" w:hanging="720"/>
                <w:rPr>
                  <w:noProof/>
                </w:rPr>
              </w:pPr>
              <w:r>
                <w:rPr>
                  <w:noProof/>
                </w:rPr>
                <w:t xml:space="preserve">Kahneman, D., &amp; Tversky, A. (1979). Prospect Theory: An Analysis of Decision under Risk. </w:t>
              </w:r>
              <w:r>
                <w:rPr>
                  <w:i/>
                  <w:iCs/>
                  <w:noProof/>
                </w:rPr>
                <w:t>Econometrica, 47</w:t>
              </w:r>
              <w:r>
                <w:rPr>
                  <w:noProof/>
                </w:rPr>
                <w:t>, 263-292.</w:t>
              </w:r>
            </w:p>
            <w:p w:rsidR="00362671" w:rsidRDefault="00362671" w:rsidP="00362671">
              <w:pPr>
                <w:pStyle w:val="Bibliography"/>
                <w:spacing w:line="360" w:lineRule="auto"/>
                <w:ind w:left="720" w:hanging="720"/>
                <w:rPr>
                  <w:noProof/>
                </w:rPr>
              </w:pPr>
              <w:r>
                <w:rPr>
                  <w:noProof/>
                </w:rPr>
                <w:t xml:space="preserve">Kahneman, D., &amp; Tversky, A. (1982). The psychology of preferences. </w:t>
              </w:r>
              <w:r>
                <w:rPr>
                  <w:i/>
                  <w:iCs/>
                  <w:noProof/>
                </w:rPr>
                <w:t>Scientific American, 246</w:t>
              </w:r>
              <w:r>
                <w:rPr>
                  <w:noProof/>
                </w:rPr>
                <w:t>, 160-173.</w:t>
              </w:r>
            </w:p>
            <w:p w:rsidR="00362671" w:rsidRDefault="00362671" w:rsidP="00362671">
              <w:pPr>
                <w:pStyle w:val="Bibliography"/>
                <w:spacing w:line="360" w:lineRule="auto"/>
                <w:ind w:left="720" w:hanging="720"/>
                <w:rPr>
                  <w:noProof/>
                </w:rPr>
              </w:pPr>
              <w:r>
                <w:rPr>
                  <w:noProof/>
                </w:rPr>
                <w:t xml:space="preserve">Langer, E. (1975). The illusion of control. </w:t>
              </w:r>
              <w:r>
                <w:rPr>
                  <w:i/>
                  <w:iCs/>
                  <w:noProof/>
                </w:rPr>
                <w:t>Journal of Personality and Social Psychology, 32</w:t>
              </w:r>
              <w:r>
                <w:rPr>
                  <w:noProof/>
                </w:rPr>
                <w:t>(2), 311-328.</w:t>
              </w:r>
            </w:p>
            <w:p w:rsidR="00362671" w:rsidRDefault="00362671" w:rsidP="00362671">
              <w:pPr>
                <w:pStyle w:val="Bibliography"/>
                <w:spacing w:line="360" w:lineRule="auto"/>
                <w:ind w:left="720" w:hanging="720"/>
                <w:rPr>
                  <w:noProof/>
                </w:rPr>
              </w:pPr>
              <w:r>
                <w:rPr>
                  <w:noProof/>
                </w:rPr>
                <w:t xml:space="preserve">Malmendier, &amp; Tate. (2005). CEO overconfidence and corporate investment. </w:t>
              </w:r>
              <w:r>
                <w:rPr>
                  <w:i/>
                  <w:iCs/>
                  <w:noProof/>
                </w:rPr>
                <w:t>Journal of Finance</w:t>
              </w:r>
              <w:r>
                <w:rPr>
                  <w:noProof/>
                </w:rPr>
                <w:t>, 2661-2700.</w:t>
              </w:r>
            </w:p>
            <w:p w:rsidR="00362671" w:rsidRDefault="00362671" w:rsidP="00362671">
              <w:pPr>
                <w:pStyle w:val="Bibliography"/>
                <w:spacing w:line="360" w:lineRule="auto"/>
                <w:ind w:left="720" w:hanging="720"/>
                <w:rPr>
                  <w:noProof/>
                </w:rPr>
              </w:pPr>
              <w:r>
                <w:rPr>
                  <w:noProof/>
                </w:rPr>
                <w:t xml:space="preserve">Moore, &amp; Healy. (2008). The trouble with overconfidence. . </w:t>
              </w:r>
              <w:r>
                <w:rPr>
                  <w:i/>
                  <w:iCs/>
                  <w:noProof/>
                </w:rPr>
                <w:t>Psychological review</w:t>
              </w:r>
              <w:r>
                <w:rPr>
                  <w:noProof/>
                </w:rPr>
                <w:t>, 502-517.</w:t>
              </w:r>
            </w:p>
            <w:p w:rsidR="00362671" w:rsidRDefault="00362671" w:rsidP="00362671">
              <w:pPr>
                <w:pStyle w:val="Bibliography"/>
                <w:spacing w:line="360" w:lineRule="auto"/>
                <w:ind w:left="720" w:hanging="720"/>
                <w:rPr>
                  <w:noProof/>
                </w:rPr>
              </w:pPr>
              <w:r>
                <w:rPr>
                  <w:noProof/>
                </w:rPr>
                <w:t xml:space="preserve">Pike, R., &amp; Neale, B. (2006). </w:t>
              </w:r>
              <w:r>
                <w:rPr>
                  <w:i/>
                  <w:iCs/>
                  <w:noProof/>
                </w:rPr>
                <w:t>Corporate Finance and Investment, 5th edition.</w:t>
              </w:r>
              <w:r>
                <w:rPr>
                  <w:noProof/>
                </w:rPr>
                <w:t xml:space="preserve"> Essex: Pearson Education.</w:t>
              </w:r>
            </w:p>
            <w:p w:rsidR="00362671" w:rsidRDefault="00362671" w:rsidP="00362671">
              <w:pPr>
                <w:pStyle w:val="Bibliography"/>
                <w:spacing w:line="360" w:lineRule="auto"/>
                <w:ind w:left="720" w:hanging="720"/>
                <w:rPr>
                  <w:noProof/>
                </w:rPr>
              </w:pPr>
              <w:r>
                <w:rPr>
                  <w:noProof/>
                </w:rPr>
                <w:t xml:space="preserve">Smit, H. T., &amp; Trigeorgis, L. (2004). </w:t>
              </w:r>
              <w:r>
                <w:rPr>
                  <w:i/>
                  <w:iCs/>
                  <w:noProof/>
                </w:rPr>
                <w:t>Strategic Investment: Real Options and Games.</w:t>
              </w:r>
              <w:r>
                <w:rPr>
                  <w:noProof/>
                </w:rPr>
                <w:t xml:space="preserve"> New Jersey: Princeton University Press.</w:t>
              </w:r>
            </w:p>
            <w:p w:rsidR="00362671" w:rsidRDefault="00362671" w:rsidP="00362671">
              <w:pPr>
                <w:pStyle w:val="Bibliography"/>
                <w:spacing w:line="360" w:lineRule="auto"/>
                <w:ind w:left="720" w:hanging="720"/>
                <w:rPr>
                  <w:noProof/>
                </w:rPr>
              </w:pPr>
              <w:r>
                <w:rPr>
                  <w:noProof/>
                </w:rPr>
                <w:t xml:space="preserve">Smit, H., &amp; Lovallo, D. (2014). Valuation Biases: Solutions for Hot and Cold Deal Markets. </w:t>
              </w:r>
              <w:r>
                <w:rPr>
                  <w:i/>
                  <w:iCs/>
                  <w:noProof/>
                </w:rPr>
                <w:t>Working paper</w:t>
              </w:r>
              <w:r>
                <w:rPr>
                  <w:noProof/>
                </w:rPr>
                <w:t>, 1-15.</w:t>
              </w:r>
            </w:p>
            <w:p w:rsidR="00362671" w:rsidRDefault="00362671" w:rsidP="00362671">
              <w:pPr>
                <w:pStyle w:val="Bibliography"/>
                <w:spacing w:line="360" w:lineRule="auto"/>
                <w:ind w:left="720" w:hanging="720"/>
                <w:rPr>
                  <w:noProof/>
                </w:rPr>
              </w:pPr>
              <w:r>
                <w:rPr>
                  <w:noProof/>
                </w:rPr>
                <w:t xml:space="preserve">Stanovich, K. E., &amp; West, R. F. (2000). Individual Differences in Reasoning: Implications for the Rationality Debate? </w:t>
              </w:r>
              <w:r>
                <w:rPr>
                  <w:i/>
                  <w:iCs/>
                  <w:noProof/>
                </w:rPr>
                <w:t>Behavioral and Brain Sciences, 23</w:t>
              </w:r>
              <w:r>
                <w:rPr>
                  <w:noProof/>
                </w:rPr>
                <w:t>, 645-665.</w:t>
              </w:r>
            </w:p>
            <w:p w:rsidR="00362671" w:rsidRDefault="00362671" w:rsidP="00362671">
              <w:pPr>
                <w:pStyle w:val="Bibliography"/>
                <w:spacing w:line="360" w:lineRule="auto"/>
                <w:ind w:left="720" w:hanging="720"/>
                <w:rPr>
                  <w:noProof/>
                </w:rPr>
              </w:pPr>
              <w:r>
                <w:rPr>
                  <w:noProof/>
                </w:rPr>
                <w:lastRenderedPageBreak/>
                <w:t xml:space="preserve">Thaler, R. H., &amp; Johnson, E. J. (1990). Gambling with the House Money and Trying to Break Even: The Effects of Prior Outcomes on Risky Choice. </w:t>
              </w:r>
              <w:r>
                <w:rPr>
                  <w:i/>
                  <w:iCs/>
                  <w:noProof/>
                </w:rPr>
                <w:t>Management Science</w:t>
              </w:r>
              <w:r>
                <w:rPr>
                  <w:noProof/>
                </w:rPr>
                <w:t>(36), 643-660.</w:t>
              </w:r>
            </w:p>
            <w:p w:rsidR="00362671" w:rsidRDefault="00362671" w:rsidP="00362671">
              <w:pPr>
                <w:pStyle w:val="Bibliography"/>
                <w:spacing w:line="360" w:lineRule="auto"/>
                <w:ind w:left="720" w:hanging="720"/>
                <w:rPr>
                  <w:noProof/>
                </w:rPr>
              </w:pPr>
              <w:r>
                <w:rPr>
                  <w:noProof/>
                </w:rPr>
                <w:t xml:space="preserve">The Economist. (2012, May 16). Merger waves, state subsidies. </w:t>
              </w:r>
              <w:r>
                <w:rPr>
                  <w:i/>
                  <w:iCs/>
                  <w:noProof/>
                </w:rPr>
                <w:t>The Economist</w:t>
              </w:r>
              <w:r>
                <w:rPr>
                  <w:noProof/>
                </w:rPr>
                <w:t>.</w:t>
              </w:r>
            </w:p>
            <w:p w:rsidR="00362671" w:rsidRDefault="00362671" w:rsidP="00362671">
              <w:pPr>
                <w:pStyle w:val="Bibliography"/>
                <w:spacing w:line="360" w:lineRule="auto"/>
                <w:ind w:left="720" w:hanging="720"/>
                <w:rPr>
                  <w:noProof/>
                </w:rPr>
              </w:pPr>
              <w:r>
                <w:rPr>
                  <w:noProof/>
                </w:rPr>
                <w:t xml:space="preserve">The Economist. (2012, May 19). Surf's up. </w:t>
              </w:r>
              <w:r>
                <w:rPr>
                  <w:i/>
                  <w:iCs/>
                  <w:noProof/>
                </w:rPr>
                <w:t>The Economist</w:t>
              </w:r>
              <w:r>
                <w:rPr>
                  <w:noProof/>
                </w:rPr>
                <w:t>.</w:t>
              </w:r>
            </w:p>
            <w:p w:rsidR="00362671" w:rsidRDefault="00362671" w:rsidP="00362671">
              <w:pPr>
                <w:pStyle w:val="Bibliography"/>
                <w:spacing w:line="360" w:lineRule="auto"/>
                <w:ind w:left="720" w:hanging="720"/>
                <w:rPr>
                  <w:noProof/>
                </w:rPr>
              </w:pPr>
              <w:r>
                <w:rPr>
                  <w:noProof/>
                </w:rPr>
                <w:t xml:space="preserve">Tversky, A., &amp; Kahneman, D. (1981). The Framing of Decisions and the Psychology of Choice. </w:t>
              </w:r>
              <w:r>
                <w:rPr>
                  <w:i/>
                  <w:iCs/>
                  <w:noProof/>
                </w:rPr>
                <w:t>Science, 211</w:t>
              </w:r>
              <w:r>
                <w:rPr>
                  <w:noProof/>
                </w:rPr>
                <w:t>, 453-458.</w:t>
              </w:r>
            </w:p>
            <w:p w:rsidR="00362671" w:rsidRDefault="00362671" w:rsidP="00362671">
              <w:pPr>
                <w:pStyle w:val="Bibliography"/>
                <w:spacing w:line="360" w:lineRule="auto"/>
                <w:ind w:left="720" w:hanging="720"/>
                <w:rPr>
                  <w:noProof/>
                </w:rPr>
              </w:pPr>
              <w:r>
                <w:rPr>
                  <w:noProof/>
                </w:rPr>
                <w:t xml:space="preserve">Tversky, A., &amp; Kahneman, D. (1991). Loss Aversion in Riskless Choice: A Reference-Dependent Model. </w:t>
              </w:r>
              <w:r>
                <w:rPr>
                  <w:i/>
                  <w:iCs/>
                  <w:noProof/>
                </w:rPr>
                <w:t>The Quarterly Journal of Economics, Vol. 106</w:t>
              </w:r>
              <w:r>
                <w:rPr>
                  <w:noProof/>
                </w:rPr>
                <w:t>, 1039-1061.</w:t>
              </w:r>
            </w:p>
            <w:p w:rsidR="00362671" w:rsidRDefault="00362671" w:rsidP="00362671">
              <w:pPr>
                <w:pStyle w:val="Bibliography"/>
                <w:spacing w:line="360" w:lineRule="auto"/>
                <w:ind w:left="720" w:hanging="720"/>
                <w:rPr>
                  <w:noProof/>
                </w:rPr>
              </w:pPr>
              <w:r>
                <w:rPr>
                  <w:noProof/>
                </w:rPr>
                <w:t xml:space="preserve">Tversky, A., &amp; Kahneman, D. (1992). Advances in Prospect Theory: Cumulative Representation of Uncertainty. </w:t>
              </w:r>
              <w:r>
                <w:rPr>
                  <w:i/>
                  <w:iCs/>
                  <w:noProof/>
                </w:rPr>
                <w:t>Journal of Risk and Uncertainity</w:t>
              </w:r>
              <w:r>
                <w:rPr>
                  <w:noProof/>
                </w:rPr>
                <w:t>, 297-323.</w:t>
              </w:r>
            </w:p>
            <w:p w:rsidR="00362671" w:rsidRDefault="00362671" w:rsidP="00362671">
              <w:pPr>
                <w:pStyle w:val="Bibliography"/>
                <w:spacing w:line="360" w:lineRule="auto"/>
                <w:ind w:left="720" w:hanging="720"/>
                <w:rPr>
                  <w:noProof/>
                </w:rPr>
              </w:pPr>
              <w:r>
                <w:rPr>
                  <w:noProof/>
                </w:rPr>
                <w:t xml:space="preserve">Weber, M., &amp; Zuchel, H. (2005). How Do Prior Outcomes Affect Risk Attitude: Comparing Escalation of Commitment and the House-Money Effect. </w:t>
              </w:r>
              <w:r>
                <w:rPr>
                  <w:i/>
                  <w:iCs/>
                  <w:noProof/>
                </w:rPr>
                <w:t>Decisions Analysis, Vol. 2</w:t>
              </w:r>
              <w:r>
                <w:rPr>
                  <w:noProof/>
                </w:rPr>
                <w:t>, 30-43.</w:t>
              </w:r>
            </w:p>
            <w:p w:rsidR="00362671" w:rsidRDefault="00362671" w:rsidP="00362671">
              <w:pPr>
                <w:pStyle w:val="Bibliography"/>
                <w:spacing w:line="360" w:lineRule="auto"/>
                <w:ind w:left="720" w:hanging="720"/>
                <w:rPr>
                  <w:noProof/>
                </w:rPr>
              </w:pPr>
              <w:r>
                <w:rPr>
                  <w:noProof/>
                </w:rPr>
                <w:t xml:space="preserve">Weinstein, N. D., &amp; Klein, W. M. (1996). Unrealistic Optimism: Present and Future. </w:t>
              </w:r>
              <w:r>
                <w:rPr>
                  <w:i/>
                  <w:iCs/>
                  <w:noProof/>
                </w:rPr>
                <w:t>Journal of Social and Clinical Psychology, 15</w:t>
              </w:r>
              <w:r>
                <w:rPr>
                  <w:noProof/>
                </w:rPr>
                <w:t>, 1-8.</w:t>
              </w:r>
            </w:p>
            <w:p w:rsidR="00362671" w:rsidRDefault="00362671" w:rsidP="00362671">
              <w:pPr>
                <w:pStyle w:val="Bibliography"/>
                <w:spacing w:line="360" w:lineRule="auto"/>
                <w:ind w:left="720" w:hanging="720"/>
                <w:rPr>
                  <w:noProof/>
                </w:rPr>
              </w:pPr>
              <w:r>
                <w:rPr>
                  <w:noProof/>
                </w:rPr>
                <w:t xml:space="preserve">Wilkinson, N. (2008). </w:t>
              </w:r>
              <w:r>
                <w:rPr>
                  <w:i/>
                  <w:iCs/>
                  <w:noProof/>
                </w:rPr>
                <w:t>An Introduction to Behavioral Economics.</w:t>
              </w:r>
              <w:r>
                <w:rPr>
                  <w:noProof/>
                </w:rPr>
                <w:t xml:space="preserve"> Palgrave Macmillan.</w:t>
              </w:r>
            </w:p>
            <w:p w:rsidR="00BD2A64" w:rsidRPr="007256B5" w:rsidRDefault="008E0B8C" w:rsidP="00362671">
              <w:pPr>
                <w:spacing w:line="360" w:lineRule="auto"/>
              </w:pPr>
              <w:r>
                <w:rPr>
                  <w:b/>
                  <w:bCs/>
                </w:rPr>
                <w:fldChar w:fldCharType="end"/>
              </w:r>
            </w:p>
          </w:sdtContent>
        </w:sdt>
      </w:sdtContent>
    </w:sdt>
    <w:p w:rsidR="00AF479D" w:rsidRPr="00B16558" w:rsidRDefault="00B16558" w:rsidP="00B16558">
      <w:pPr>
        <w:pStyle w:val="Heading1"/>
        <w:rPr>
          <w:b/>
          <w:color w:val="auto"/>
        </w:rPr>
      </w:pPr>
      <w:bookmarkStart w:id="6" w:name="_Toc397159372"/>
      <w:r w:rsidRPr="00B16558">
        <w:rPr>
          <w:b/>
          <w:color w:val="auto"/>
        </w:rPr>
        <w:t>Appendices</w:t>
      </w:r>
      <w:bookmarkEnd w:id="6"/>
    </w:p>
    <w:p w:rsidR="00B16558" w:rsidRDefault="00B16558" w:rsidP="00B16558"/>
    <w:p w:rsidR="00B16558" w:rsidRPr="00B16558" w:rsidRDefault="00B16558" w:rsidP="00B16558">
      <w:pPr>
        <w:pStyle w:val="Heading2"/>
        <w:rPr>
          <w:b/>
          <w:color w:val="auto"/>
        </w:rPr>
      </w:pPr>
      <w:bookmarkStart w:id="7" w:name="_Toc397159373"/>
      <w:r w:rsidRPr="00B16558">
        <w:rPr>
          <w:b/>
          <w:color w:val="auto"/>
        </w:rPr>
        <w:t>Appendix A</w:t>
      </w:r>
      <w:r w:rsidR="004276E6">
        <w:rPr>
          <w:b/>
          <w:color w:val="auto"/>
        </w:rPr>
        <w:t>: Discounted cash flow valuation with horizon value</w:t>
      </w:r>
      <w:bookmarkEnd w:id="7"/>
    </w:p>
    <w:p w:rsidR="00B16558" w:rsidRDefault="00B16558" w:rsidP="00B16558"/>
    <w:p w:rsidR="00B16558" w:rsidRPr="00B16558" w:rsidRDefault="00B16558" w:rsidP="00B16558">
      <w:r>
        <w:t>Figuur A.1: Discounted cash flow valuation; importance horizon value</w:t>
      </w:r>
    </w:p>
    <w:p w:rsidR="00AF479D" w:rsidRDefault="008E0B8C" w:rsidP="00AF479D">
      <w:pPr>
        <w:rPr>
          <w:lang w:val="nl-NL"/>
        </w:rPr>
      </w:pPr>
      <w:r w:rsidRPr="008E0B8C">
        <w:rPr>
          <w:noProof/>
          <w:sz w:val="24"/>
        </w:rPr>
        <w:lastRenderedPageBreak/>
        <w:pict>
          <v:shapetype id="_x0000_t202" coordsize="21600,21600" o:spt="202" path="m,l,21600r21600,l21600,xe">
            <v:stroke joinstyle="miter"/>
            <v:path gradientshapeok="t" o:connecttype="rect"/>
          </v:shapetype>
          <v:shape id="Tekstvak 2" o:spid="_x0000_s1026" type="#_x0000_t202" style="position:absolute;margin-left:312.75pt;margin-top:123.6pt;width:28.45pt;height:37.6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" stroked="f">
            <v:textbox>
              <w:txbxContent>
                <w:p w:rsidR="004C30BA" w:rsidRPr="0086558F" w:rsidRDefault="004C30BA" w:rsidP="00B16558">
                  <w:pPr>
                    <w:rPr>
                      <w:b/>
                      <w:sz w:val="52"/>
                      <w:lang w:val="nl-NL"/>
                    </w:rPr>
                  </w:pPr>
                  <w:r w:rsidRPr="0086558F">
                    <w:rPr>
                      <w:b/>
                      <w:sz w:val="52"/>
                      <w:lang w:val="nl-NL"/>
                    </w:rPr>
                    <w:t>?</w:t>
                  </w:r>
                </w:p>
              </w:txbxContent>
            </v:textbox>
            <w10:wrap anchorx="margin"/>
          </v:shape>
        </w:pict>
      </w:r>
      <w:r w:rsidRPr="008E0B8C">
        <w:rPr>
          <w:noProof/>
          <w:sz w:val="24"/>
        </w:rPr>
        <w:pict>
          <v:shape id="_x0000_s1027" type="#_x0000_t202" style="position:absolute;margin-left:312.75pt;margin-top:46.15pt;width:28.45pt;height:37.65pt;z-index:25165823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" stroked="f">
            <v:textbox>
              <w:txbxContent>
                <w:p w:rsidR="004C30BA" w:rsidRPr="0086558F" w:rsidRDefault="004C30BA" w:rsidP="00B16558">
                  <w:pPr>
                    <w:rPr>
                      <w:b/>
                      <w:sz w:val="52"/>
                      <w:lang w:val="nl-NL"/>
                    </w:rPr>
                  </w:pPr>
                  <w:r w:rsidRPr="0086558F">
                    <w:rPr>
                      <w:b/>
                      <w:sz w:val="52"/>
                      <w:lang w:val="nl-NL"/>
                    </w:rPr>
                    <w:t>?</w:t>
                  </w:r>
                </w:p>
              </w:txbxContent>
            </v:textbox>
            <w10:wrap anchorx="margin"/>
          </v:shape>
        </w:pict>
      </w:r>
      <w:r w:rsidR="00B16558">
        <w:rPr>
          <w:noProof/>
        </w:rPr>
        <w:drawing>
          <wp:inline distT="0" distB="0" distL="0" distR="0">
            <wp:extent cx="4572000" cy="2743200"/>
            <wp:effectExtent l="0" t="0" r="0" b="0"/>
            <wp:docPr id="14" name="Grafiek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F479D" w:rsidRDefault="00AF479D" w:rsidP="00AF479D">
      <w:pPr>
        <w:rPr>
          <w:lang w:val="nl-NL"/>
        </w:rPr>
      </w:pPr>
    </w:p>
    <w:p w:rsidR="00AF479D" w:rsidRPr="00AF479D" w:rsidRDefault="00AF479D" w:rsidP="00AF479D"/>
    <w:sectPr w:rsidR="00AF479D" w:rsidRPr="00AF479D" w:rsidSect="008E0B8C">
      <w:foot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18F6" w:rsidRDefault="002618F6" w:rsidP="007D5AD2">
      <w:pPr>
        <w:spacing w:after="0" w:line="240" w:lineRule="auto"/>
      </w:pPr>
      <w:r>
        <w:separator/>
      </w:r>
    </w:p>
  </w:endnote>
  <w:endnote w:type="continuationSeparator" w:id="0">
    <w:p w:rsidR="002618F6" w:rsidRDefault="002618F6" w:rsidP="007D5A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altName w:val="Calibri"/>
    <w:charset w:val="00"/>
    <w:family w:val="swiss"/>
    <w:pitch w:val="variable"/>
    <w:sig w:usb0="00000001"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8292384"/>
      <w:docPartObj>
        <w:docPartGallery w:val="Page Numbers (Bottom of Page)"/>
        <w:docPartUnique/>
      </w:docPartObj>
    </w:sdtPr>
    <w:sdtContent>
      <w:p w:rsidR="004C30BA" w:rsidRDefault="008E0B8C">
        <w:pPr>
          <w:pStyle w:val="Footer"/>
          <w:jc w:val="right"/>
        </w:pPr>
        <w:r>
          <w:fldChar w:fldCharType="begin"/>
        </w:r>
        <w:r w:rsidR="004C30BA">
          <w:instrText>PAGE   \* MERGEFORMAT</w:instrText>
        </w:r>
        <w:r>
          <w:fldChar w:fldCharType="separate"/>
        </w:r>
        <w:r w:rsidR="000C5CF8" w:rsidRPr="000C5CF8">
          <w:rPr>
            <w:noProof/>
            <w:lang w:val="nl-NL"/>
          </w:rPr>
          <w:t>30</w:t>
        </w:r>
        <w:r>
          <w:fldChar w:fldCharType="end"/>
        </w:r>
      </w:p>
    </w:sdtContent>
  </w:sdt>
  <w:p w:rsidR="004C30BA" w:rsidRDefault="004C30B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18F6" w:rsidRDefault="002618F6" w:rsidP="007D5AD2">
      <w:pPr>
        <w:spacing w:after="0" w:line="240" w:lineRule="auto"/>
      </w:pPr>
      <w:r>
        <w:separator/>
      </w:r>
    </w:p>
  </w:footnote>
  <w:footnote w:type="continuationSeparator" w:id="0">
    <w:p w:rsidR="002618F6" w:rsidRDefault="002618F6" w:rsidP="007D5A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B64F5"/>
    <w:multiLevelType w:val="hybridMultilevel"/>
    <w:tmpl w:val="CF54464C"/>
    <w:lvl w:ilvl="0" w:tplc="1766226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3A740B"/>
    <w:multiLevelType w:val="hybridMultilevel"/>
    <w:tmpl w:val="760C0616"/>
    <w:lvl w:ilvl="0" w:tplc="11BCD956">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C10ABE"/>
    <w:multiLevelType w:val="hybridMultilevel"/>
    <w:tmpl w:val="813A0C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592FAE"/>
    <w:multiLevelType w:val="hybridMultilevel"/>
    <w:tmpl w:val="A54610C6"/>
    <w:lvl w:ilvl="0" w:tplc="6D04C4A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07D40AF"/>
    <w:multiLevelType w:val="hybridMultilevel"/>
    <w:tmpl w:val="21589DA6"/>
    <w:lvl w:ilvl="0" w:tplc="58AC329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5F10E0"/>
    <w:multiLevelType w:val="hybridMultilevel"/>
    <w:tmpl w:val="260A8FEE"/>
    <w:lvl w:ilvl="0" w:tplc="58E819E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57E21B2"/>
    <w:multiLevelType w:val="hybridMultilevel"/>
    <w:tmpl w:val="722EC9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6"/>
  </w:num>
  <w:num w:numId="5">
    <w:abstractNumId w:val="2"/>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footnotePr>
    <w:footnote w:id="-1"/>
    <w:footnote w:id="0"/>
  </w:footnotePr>
  <w:endnotePr>
    <w:endnote w:id="-1"/>
    <w:endnote w:id="0"/>
  </w:endnotePr>
  <w:compat/>
  <w:rsids>
    <w:rsidRoot w:val="00BE10B2"/>
    <w:rsid w:val="0000481A"/>
    <w:rsid w:val="00007D8E"/>
    <w:rsid w:val="000118D2"/>
    <w:rsid w:val="000169F3"/>
    <w:rsid w:val="000311F9"/>
    <w:rsid w:val="0003589C"/>
    <w:rsid w:val="00036D9D"/>
    <w:rsid w:val="00037663"/>
    <w:rsid w:val="000414AB"/>
    <w:rsid w:val="00041782"/>
    <w:rsid w:val="000476C1"/>
    <w:rsid w:val="00053E89"/>
    <w:rsid w:val="00055F49"/>
    <w:rsid w:val="00055FE7"/>
    <w:rsid w:val="00073BD0"/>
    <w:rsid w:val="0007745F"/>
    <w:rsid w:val="00082F3A"/>
    <w:rsid w:val="000A0D3E"/>
    <w:rsid w:val="000B0256"/>
    <w:rsid w:val="000B316A"/>
    <w:rsid w:val="000C1854"/>
    <w:rsid w:val="000C5CF8"/>
    <w:rsid w:val="000C6AE3"/>
    <w:rsid w:val="000C7B05"/>
    <w:rsid w:val="000D1F01"/>
    <w:rsid w:val="000D6007"/>
    <w:rsid w:val="000D7984"/>
    <w:rsid w:val="000D7F18"/>
    <w:rsid w:val="000E2660"/>
    <w:rsid w:val="000F524F"/>
    <w:rsid w:val="000F594D"/>
    <w:rsid w:val="000F59A7"/>
    <w:rsid w:val="001101F3"/>
    <w:rsid w:val="00123874"/>
    <w:rsid w:val="001246CC"/>
    <w:rsid w:val="001250A5"/>
    <w:rsid w:val="00126485"/>
    <w:rsid w:val="00132FF9"/>
    <w:rsid w:val="00133A48"/>
    <w:rsid w:val="00134576"/>
    <w:rsid w:val="00137D27"/>
    <w:rsid w:val="0016090C"/>
    <w:rsid w:val="00162830"/>
    <w:rsid w:val="00163B80"/>
    <w:rsid w:val="001640AC"/>
    <w:rsid w:val="00164530"/>
    <w:rsid w:val="00175AC5"/>
    <w:rsid w:val="00176DC8"/>
    <w:rsid w:val="001812E5"/>
    <w:rsid w:val="0018271B"/>
    <w:rsid w:val="00196A74"/>
    <w:rsid w:val="001A0A21"/>
    <w:rsid w:val="001A3456"/>
    <w:rsid w:val="001A5139"/>
    <w:rsid w:val="001A670B"/>
    <w:rsid w:val="001A6E86"/>
    <w:rsid w:val="001B05A0"/>
    <w:rsid w:val="001B3593"/>
    <w:rsid w:val="001B78F0"/>
    <w:rsid w:val="001C12EA"/>
    <w:rsid w:val="001C3DD3"/>
    <w:rsid w:val="001D4582"/>
    <w:rsid w:val="001D4A5A"/>
    <w:rsid w:val="001D780B"/>
    <w:rsid w:val="001E67B5"/>
    <w:rsid w:val="001E67C1"/>
    <w:rsid w:val="001F5957"/>
    <w:rsid w:val="001F6DF3"/>
    <w:rsid w:val="001F7DD7"/>
    <w:rsid w:val="00200DE2"/>
    <w:rsid w:val="0020368E"/>
    <w:rsid w:val="0020592A"/>
    <w:rsid w:val="00205E86"/>
    <w:rsid w:val="002070F2"/>
    <w:rsid w:val="002174E8"/>
    <w:rsid w:val="00222BE4"/>
    <w:rsid w:val="002278E8"/>
    <w:rsid w:val="00230424"/>
    <w:rsid w:val="00230BE8"/>
    <w:rsid w:val="00234F18"/>
    <w:rsid w:val="002475D3"/>
    <w:rsid w:val="00252979"/>
    <w:rsid w:val="00254E4D"/>
    <w:rsid w:val="002618F6"/>
    <w:rsid w:val="00263C8B"/>
    <w:rsid w:val="00267900"/>
    <w:rsid w:val="00275248"/>
    <w:rsid w:val="00277A7D"/>
    <w:rsid w:val="002810D2"/>
    <w:rsid w:val="0028464B"/>
    <w:rsid w:val="0029073E"/>
    <w:rsid w:val="00297F69"/>
    <w:rsid w:val="002A2F13"/>
    <w:rsid w:val="002A42CD"/>
    <w:rsid w:val="002A5CD1"/>
    <w:rsid w:val="002B39DE"/>
    <w:rsid w:val="002B46E4"/>
    <w:rsid w:val="002B59F3"/>
    <w:rsid w:val="002B68FE"/>
    <w:rsid w:val="002D4B74"/>
    <w:rsid w:val="002E5B7D"/>
    <w:rsid w:val="002E63E2"/>
    <w:rsid w:val="002E725F"/>
    <w:rsid w:val="003010E0"/>
    <w:rsid w:val="003043E8"/>
    <w:rsid w:val="003055CA"/>
    <w:rsid w:val="00316EC1"/>
    <w:rsid w:val="00324868"/>
    <w:rsid w:val="0032491E"/>
    <w:rsid w:val="003263E0"/>
    <w:rsid w:val="00330282"/>
    <w:rsid w:val="00331EB0"/>
    <w:rsid w:val="00332518"/>
    <w:rsid w:val="00334204"/>
    <w:rsid w:val="00336032"/>
    <w:rsid w:val="003374E8"/>
    <w:rsid w:val="0034329D"/>
    <w:rsid w:val="00343B96"/>
    <w:rsid w:val="00345AE0"/>
    <w:rsid w:val="00352028"/>
    <w:rsid w:val="00353094"/>
    <w:rsid w:val="003579AC"/>
    <w:rsid w:val="0036131D"/>
    <w:rsid w:val="003615BC"/>
    <w:rsid w:val="00362671"/>
    <w:rsid w:val="00362A09"/>
    <w:rsid w:val="00372206"/>
    <w:rsid w:val="00380032"/>
    <w:rsid w:val="00386DA1"/>
    <w:rsid w:val="00390A29"/>
    <w:rsid w:val="003939BE"/>
    <w:rsid w:val="00394B0F"/>
    <w:rsid w:val="003A5972"/>
    <w:rsid w:val="003B6CAA"/>
    <w:rsid w:val="003C197A"/>
    <w:rsid w:val="003C28BA"/>
    <w:rsid w:val="003C6C8A"/>
    <w:rsid w:val="003D1BC5"/>
    <w:rsid w:val="003D3B2C"/>
    <w:rsid w:val="003D63F7"/>
    <w:rsid w:val="003E2F9E"/>
    <w:rsid w:val="003E2FED"/>
    <w:rsid w:val="003E376C"/>
    <w:rsid w:val="003E66B2"/>
    <w:rsid w:val="003E7147"/>
    <w:rsid w:val="003E7877"/>
    <w:rsid w:val="003E7EF1"/>
    <w:rsid w:val="003F135F"/>
    <w:rsid w:val="003F1AE8"/>
    <w:rsid w:val="003F3E20"/>
    <w:rsid w:val="004013CF"/>
    <w:rsid w:val="00407988"/>
    <w:rsid w:val="00407E49"/>
    <w:rsid w:val="0041050D"/>
    <w:rsid w:val="0041061F"/>
    <w:rsid w:val="004165D6"/>
    <w:rsid w:val="00416F33"/>
    <w:rsid w:val="004170EE"/>
    <w:rsid w:val="00417617"/>
    <w:rsid w:val="004276E6"/>
    <w:rsid w:val="0042777E"/>
    <w:rsid w:val="00427B08"/>
    <w:rsid w:val="0043156A"/>
    <w:rsid w:val="0043277B"/>
    <w:rsid w:val="00433829"/>
    <w:rsid w:val="00445A2D"/>
    <w:rsid w:val="0044624B"/>
    <w:rsid w:val="00455EE2"/>
    <w:rsid w:val="00463699"/>
    <w:rsid w:val="00465722"/>
    <w:rsid w:val="00476579"/>
    <w:rsid w:val="00481887"/>
    <w:rsid w:val="00486C0A"/>
    <w:rsid w:val="0049095A"/>
    <w:rsid w:val="00490E8A"/>
    <w:rsid w:val="00492C1D"/>
    <w:rsid w:val="00497075"/>
    <w:rsid w:val="004A57C9"/>
    <w:rsid w:val="004A68C4"/>
    <w:rsid w:val="004A7BCF"/>
    <w:rsid w:val="004A7FBA"/>
    <w:rsid w:val="004B4F0F"/>
    <w:rsid w:val="004C15F2"/>
    <w:rsid w:val="004C1BFB"/>
    <w:rsid w:val="004C30BA"/>
    <w:rsid w:val="004C3820"/>
    <w:rsid w:val="004D3D02"/>
    <w:rsid w:val="004D6245"/>
    <w:rsid w:val="004E5AD7"/>
    <w:rsid w:val="004E7ACD"/>
    <w:rsid w:val="0050180E"/>
    <w:rsid w:val="00502D19"/>
    <w:rsid w:val="005031C5"/>
    <w:rsid w:val="00503C86"/>
    <w:rsid w:val="00503F9B"/>
    <w:rsid w:val="00506659"/>
    <w:rsid w:val="005078B3"/>
    <w:rsid w:val="00513CD4"/>
    <w:rsid w:val="00524181"/>
    <w:rsid w:val="0052486F"/>
    <w:rsid w:val="00525693"/>
    <w:rsid w:val="00532370"/>
    <w:rsid w:val="00536E62"/>
    <w:rsid w:val="005416C9"/>
    <w:rsid w:val="00542F03"/>
    <w:rsid w:val="00544BDA"/>
    <w:rsid w:val="0054733E"/>
    <w:rsid w:val="00555EC3"/>
    <w:rsid w:val="00556D65"/>
    <w:rsid w:val="00562A38"/>
    <w:rsid w:val="0056330C"/>
    <w:rsid w:val="00576D4B"/>
    <w:rsid w:val="0058196E"/>
    <w:rsid w:val="00582A3D"/>
    <w:rsid w:val="00586D30"/>
    <w:rsid w:val="005871DA"/>
    <w:rsid w:val="00587A9E"/>
    <w:rsid w:val="0059232F"/>
    <w:rsid w:val="00597CCA"/>
    <w:rsid w:val="005A3B86"/>
    <w:rsid w:val="005C27EA"/>
    <w:rsid w:val="005D5A14"/>
    <w:rsid w:val="005F17D1"/>
    <w:rsid w:val="005F1FBE"/>
    <w:rsid w:val="005F2DB0"/>
    <w:rsid w:val="005F2E89"/>
    <w:rsid w:val="005F2F47"/>
    <w:rsid w:val="00611CB9"/>
    <w:rsid w:val="00622047"/>
    <w:rsid w:val="00622B37"/>
    <w:rsid w:val="0063599E"/>
    <w:rsid w:val="00635CC8"/>
    <w:rsid w:val="00642C1E"/>
    <w:rsid w:val="00646535"/>
    <w:rsid w:val="00650896"/>
    <w:rsid w:val="00653428"/>
    <w:rsid w:val="00660110"/>
    <w:rsid w:val="00665FD6"/>
    <w:rsid w:val="006714BA"/>
    <w:rsid w:val="006746C3"/>
    <w:rsid w:val="00680623"/>
    <w:rsid w:val="00683980"/>
    <w:rsid w:val="00685162"/>
    <w:rsid w:val="00696E77"/>
    <w:rsid w:val="006A00B1"/>
    <w:rsid w:val="006A025F"/>
    <w:rsid w:val="006B6215"/>
    <w:rsid w:val="006D1228"/>
    <w:rsid w:val="006D2379"/>
    <w:rsid w:val="006D7E1A"/>
    <w:rsid w:val="006E1029"/>
    <w:rsid w:val="006E263C"/>
    <w:rsid w:val="006E27D2"/>
    <w:rsid w:val="006E6318"/>
    <w:rsid w:val="006E7890"/>
    <w:rsid w:val="006F0B9F"/>
    <w:rsid w:val="006F4E36"/>
    <w:rsid w:val="006F5F14"/>
    <w:rsid w:val="00703A08"/>
    <w:rsid w:val="00706DC1"/>
    <w:rsid w:val="0071743B"/>
    <w:rsid w:val="00717945"/>
    <w:rsid w:val="007231D6"/>
    <w:rsid w:val="00723F5C"/>
    <w:rsid w:val="00723FAA"/>
    <w:rsid w:val="007256B5"/>
    <w:rsid w:val="00735B24"/>
    <w:rsid w:val="00741856"/>
    <w:rsid w:val="00747BB0"/>
    <w:rsid w:val="00752EEA"/>
    <w:rsid w:val="007557C7"/>
    <w:rsid w:val="0075631B"/>
    <w:rsid w:val="00761C5B"/>
    <w:rsid w:val="00763CC2"/>
    <w:rsid w:val="00771F01"/>
    <w:rsid w:val="00772B94"/>
    <w:rsid w:val="00777F11"/>
    <w:rsid w:val="00784EC1"/>
    <w:rsid w:val="00797DDC"/>
    <w:rsid w:val="007A6B77"/>
    <w:rsid w:val="007B67D6"/>
    <w:rsid w:val="007C0915"/>
    <w:rsid w:val="007D0EC8"/>
    <w:rsid w:val="007D1545"/>
    <w:rsid w:val="007D53DC"/>
    <w:rsid w:val="007D5AD2"/>
    <w:rsid w:val="007D63D3"/>
    <w:rsid w:val="007D6CE2"/>
    <w:rsid w:val="007E1A79"/>
    <w:rsid w:val="007E55A9"/>
    <w:rsid w:val="007E5A72"/>
    <w:rsid w:val="007F274A"/>
    <w:rsid w:val="00805F75"/>
    <w:rsid w:val="008134BE"/>
    <w:rsid w:val="00815913"/>
    <w:rsid w:val="00817902"/>
    <w:rsid w:val="008307BE"/>
    <w:rsid w:val="00836B55"/>
    <w:rsid w:val="00836C4A"/>
    <w:rsid w:val="00840B61"/>
    <w:rsid w:val="008414CD"/>
    <w:rsid w:val="00844661"/>
    <w:rsid w:val="00850EF8"/>
    <w:rsid w:val="00851405"/>
    <w:rsid w:val="0085614B"/>
    <w:rsid w:val="00862BF4"/>
    <w:rsid w:val="00867521"/>
    <w:rsid w:val="00871469"/>
    <w:rsid w:val="00872F47"/>
    <w:rsid w:val="00884AA8"/>
    <w:rsid w:val="008908BE"/>
    <w:rsid w:val="00892708"/>
    <w:rsid w:val="00895C3A"/>
    <w:rsid w:val="00896BB1"/>
    <w:rsid w:val="008A0D23"/>
    <w:rsid w:val="008A12F9"/>
    <w:rsid w:val="008A1E64"/>
    <w:rsid w:val="008A4503"/>
    <w:rsid w:val="008A5CBB"/>
    <w:rsid w:val="008C642C"/>
    <w:rsid w:val="008D7BDA"/>
    <w:rsid w:val="008D7EC0"/>
    <w:rsid w:val="008E0B8C"/>
    <w:rsid w:val="008F2241"/>
    <w:rsid w:val="008F514F"/>
    <w:rsid w:val="0090209D"/>
    <w:rsid w:val="00913FD9"/>
    <w:rsid w:val="009143FE"/>
    <w:rsid w:val="00916094"/>
    <w:rsid w:val="00927249"/>
    <w:rsid w:val="00931E04"/>
    <w:rsid w:val="00932BB8"/>
    <w:rsid w:val="00933098"/>
    <w:rsid w:val="00955331"/>
    <w:rsid w:val="00956726"/>
    <w:rsid w:val="00966264"/>
    <w:rsid w:val="00972109"/>
    <w:rsid w:val="0097751D"/>
    <w:rsid w:val="0099384F"/>
    <w:rsid w:val="009A10A9"/>
    <w:rsid w:val="009A1AD7"/>
    <w:rsid w:val="009A6CFA"/>
    <w:rsid w:val="009B067E"/>
    <w:rsid w:val="009B3DDF"/>
    <w:rsid w:val="009B4EBD"/>
    <w:rsid w:val="009C0C00"/>
    <w:rsid w:val="009C3C26"/>
    <w:rsid w:val="009C539F"/>
    <w:rsid w:val="009D26F3"/>
    <w:rsid w:val="009E103B"/>
    <w:rsid w:val="009E65E4"/>
    <w:rsid w:val="00A0271E"/>
    <w:rsid w:val="00A03997"/>
    <w:rsid w:val="00A06AB8"/>
    <w:rsid w:val="00A210FE"/>
    <w:rsid w:val="00A230DA"/>
    <w:rsid w:val="00A234F7"/>
    <w:rsid w:val="00A358EA"/>
    <w:rsid w:val="00A35C16"/>
    <w:rsid w:val="00A43B74"/>
    <w:rsid w:val="00A45C82"/>
    <w:rsid w:val="00A507D8"/>
    <w:rsid w:val="00A61340"/>
    <w:rsid w:val="00A715F8"/>
    <w:rsid w:val="00A73710"/>
    <w:rsid w:val="00A73B43"/>
    <w:rsid w:val="00A82154"/>
    <w:rsid w:val="00A83CC4"/>
    <w:rsid w:val="00A84960"/>
    <w:rsid w:val="00A8522A"/>
    <w:rsid w:val="00A92051"/>
    <w:rsid w:val="00A94C2D"/>
    <w:rsid w:val="00A9521C"/>
    <w:rsid w:val="00AA124E"/>
    <w:rsid w:val="00AA2886"/>
    <w:rsid w:val="00AA42B9"/>
    <w:rsid w:val="00AB06AC"/>
    <w:rsid w:val="00AC7FD4"/>
    <w:rsid w:val="00AD1938"/>
    <w:rsid w:val="00AE09C8"/>
    <w:rsid w:val="00AE3805"/>
    <w:rsid w:val="00AF479D"/>
    <w:rsid w:val="00B0232D"/>
    <w:rsid w:val="00B02A3D"/>
    <w:rsid w:val="00B0336C"/>
    <w:rsid w:val="00B13F0A"/>
    <w:rsid w:val="00B16199"/>
    <w:rsid w:val="00B16558"/>
    <w:rsid w:val="00B206D3"/>
    <w:rsid w:val="00B34EA2"/>
    <w:rsid w:val="00B36403"/>
    <w:rsid w:val="00B3776C"/>
    <w:rsid w:val="00B54A84"/>
    <w:rsid w:val="00B57889"/>
    <w:rsid w:val="00B57B3A"/>
    <w:rsid w:val="00B81420"/>
    <w:rsid w:val="00B81F4A"/>
    <w:rsid w:val="00BA50F0"/>
    <w:rsid w:val="00BA636E"/>
    <w:rsid w:val="00BA78AD"/>
    <w:rsid w:val="00BB40CE"/>
    <w:rsid w:val="00BC17A6"/>
    <w:rsid w:val="00BD0EDD"/>
    <w:rsid w:val="00BD2A64"/>
    <w:rsid w:val="00BD62B7"/>
    <w:rsid w:val="00BD7585"/>
    <w:rsid w:val="00BE10B2"/>
    <w:rsid w:val="00BF338D"/>
    <w:rsid w:val="00BF3599"/>
    <w:rsid w:val="00BF40AC"/>
    <w:rsid w:val="00BF41A3"/>
    <w:rsid w:val="00BF5182"/>
    <w:rsid w:val="00BF7CEE"/>
    <w:rsid w:val="00C0400C"/>
    <w:rsid w:val="00C117E9"/>
    <w:rsid w:val="00C13209"/>
    <w:rsid w:val="00C17335"/>
    <w:rsid w:val="00C213CE"/>
    <w:rsid w:val="00C24106"/>
    <w:rsid w:val="00C311AF"/>
    <w:rsid w:val="00C36FA5"/>
    <w:rsid w:val="00C404CB"/>
    <w:rsid w:val="00C51E7B"/>
    <w:rsid w:val="00C524EE"/>
    <w:rsid w:val="00C616A3"/>
    <w:rsid w:val="00C62C25"/>
    <w:rsid w:val="00C6315B"/>
    <w:rsid w:val="00C636C2"/>
    <w:rsid w:val="00C64A89"/>
    <w:rsid w:val="00C66060"/>
    <w:rsid w:val="00C76B3E"/>
    <w:rsid w:val="00C778EE"/>
    <w:rsid w:val="00C9438A"/>
    <w:rsid w:val="00CA5577"/>
    <w:rsid w:val="00CB3158"/>
    <w:rsid w:val="00CB3B4C"/>
    <w:rsid w:val="00CB3DB5"/>
    <w:rsid w:val="00CC10ED"/>
    <w:rsid w:val="00CC2134"/>
    <w:rsid w:val="00CC3B0B"/>
    <w:rsid w:val="00CC40F0"/>
    <w:rsid w:val="00CC5DFD"/>
    <w:rsid w:val="00CC5F3C"/>
    <w:rsid w:val="00CD3FCB"/>
    <w:rsid w:val="00CD5618"/>
    <w:rsid w:val="00CD5E32"/>
    <w:rsid w:val="00CE0549"/>
    <w:rsid w:val="00CE1039"/>
    <w:rsid w:val="00CE3A59"/>
    <w:rsid w:val="00CE3E4E"/>
    <w:rsid w:val="00CE4DDB"/>
    <w:rsid w:val="00CE5180"/>
    <w:rsid w:val="00CE52D7"/>
    <w:rsid w:val="00D02ED6"/>
    <w:rsid w:val="00D24385"/>
    <w:rsid w:val="00D260E0"/>
    <w:rsid w:val="00D326D1"/>
    <w:rsid w:val="00D32D10"/>
    <w:rsid w:val="00D45ABC"/>
    <w:rsid w:val="00D4684F"/>
    <w:rsid w:val="00D50F20"/>
    <w:rsid w:val="00D537FA"/>
    <w:rsid w:val="00D543A7"/>
    <w:rsid w:val="00D94025"/>
    <w:rsid w:val="00D95DF3"/>
    <w:rsid w:val="00D978D4"/>
    <w:rsid w:val="00DA0B20"/>
    <w:rsid w:val="00DA2482"/>
    <w:rsid w:val="00DA447E"/>
    <w:rsid w:val="00DC2BF0"/>
    <w:rsid w:val="00DC3407"/>
    <w:rsid w:val="00DC456C"/>
    <w:rsid w:val="00DD1D1A"/>
    <w:rsid w:val="00DD568A"/>
    <w:rsid w:val="00DD5A76"/>
    <w:rsid w:val="00DE332A"/>
    <w:rsid w:val="00DF03D8"/>
    <w:rsid w:val="00DF05D5"/>
    <w:rsid w:val="00DF438A"/>
    <w:rsid w:val="00DF7BA1"/>
    <w:rsid w:val="00DF7F3B"/>
    <w:rsid w:val="00E034F5"/>
    <w:rsid w:val="00E10B09"/>
    <w:rsid w:val="00E12D5D"/>
    <w:rsid w:val="00E2337A"/>
    <w:rsid w:val="00E247A6"/>
    <w:rsid w:val="00E33283"/>
    <w:rsid w:val="00E433B7"/>
    <w:rsid w:val="00E4478E"/>
    <w:rsid w:val="00E47B51"/>
    <w:rsid w:val="00E65CBC"/>
    <w:rsid w:val="00E671C6"/>
    <w:rsid w:val="00E70224"/>
    <w:rsid w:val="00E71BF3"/>
    <w:rsid w:val="00E81A27"/>
    <w:rsid w:val="00EA39F2"/>
    <w:rsid w:val="00EA492F"/>
    <w:rsid w:val="00EB1F5F"/>
    <w:rsid w:val="00EB2661"/>
    <w:rsid w:val="00EB4AE5"/>
    <w:rsid w:val="00EB76D3"/>
    <w:rsid w:val="00EC03BB"/>
    <w:rsid w:val="00EC273F"/>
    <w:rsid w:val="00ED4E17"/>
    <w:rsid w:val="00ED7021"/>
    <w:rsid w:val="00EE4948"/>
    <w:rsid w:val="00EE5D2F"/>
    <w:rsid w:val="00EE707B"/>
    <w:rsid w:val="00EF270F"/>
    <w:rsid w:val="00EF4803"/>
    <w:rsid w:val="00EF4A50"/>
    <w:rsid w:val="00EF4E83"/>
    <w:rsid w:val="00F01145"/>
    <w:rsid w:val="00F10ADC"/>
    <w:rsid w:val="00F116C2"/>
    <w:rsid w:val="00F12482"/>
    <w:rsid w:val="00F22B4C"/>
    <w:rsid w:val="00F244A1"/>
    <w:rsid w:val="00F3321C"/>
    <w:rsid w:val="00F36354"/>
    <w:rsid w:val="00F3735C"/>
    <w:rsid w:val="00F576F9"/>
    <w:rsid w:val="00F61ABF"/>
    <w:rsid w:val="00F622F8"/>
    <w:rsid w:val="00F649C2"/>
    <w:rsid w:val="00F65ABD"/>
    <w:rsid w:val="00F73FCA"/>
    <w:rsid w:val="00F80538"/>
    <w:rsid w:val="00F817CC"/>
    <w:rsid w:val="00F90D77"/>
    <w:rsid w:val="00FA0016"/>
    <w:rsid w:val="00FA38AD"/>
    <w:rsid w:val="00FA4D67"/>
    <w:rsid w:val="00FA783A"/>
    <w:rsid w:val="00FB119C"/>
    <w:rsid w:val="00FB416E"/>
    <w:rsid w:val="00FB6A80"/>
    <w:rsid w:val="00FB6E86"/>
    <w:rsid w:val="00FC25FA"/>
    <w:rsid w:val="00FC32F7"/>
    <w:rsid w:val="00FD17FB"/>
    <w:rsid w:val="00FD3B87"/>
    <w:rsid w:val="00FF7C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B8C"/>
  </w:style>
  <w:style w:type="paragraph" w:styleId="Heading1">
    <w:name w:val="heading 1"/>
    <w:basedOn w:val="Normal"/>
    <w:next w:val="Normal"/>
    <w:link w:val="Heading1Char"/>
    <w:uiPriority w:val="9"/>
    <w:qFormat/>
    <w:rsid w:val="00BE10B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1655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E10B2"/>
    <w:pPr>
      <w:spacing w:after="0" w:line="240" w:lineRule="auto"/>
    </w:pPr>
  </w:style>
  <w:style w:type="character" w:customStyle="1" w:styleId="Heading1Char">
    <w:name w:val="Heading 1 Char"/>
    <w:basedOn w:val="DefaultParagraphFont"/>
    <w:link w:val="Heading1"/>
    <w:uiPriority w:val="9"/>
    <w:rsid w:val="00BE10B2"/>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931E04"/>
    <w:pPr>
      <w:ind w:left="720"/>
      <w:contextualSpacing/>
    </w:pPr>
  </w:style>
  <w:style w:type="character" w:styleId="CommentReference">
    <w:name w:val="annotation reference"/>
    <w:basedOn w:val="DefaultParagraphFont"/>
    <w:uiPriority w:val="99"/>
    <w:semiHidden/>
    <w:unhideWhenUsed/>
    <w:rsid w:val="00AF479D"/>
    <w:rPr>
      <w:sz w:val="16"/>
      <w:szCs w:val="16"/>
    </w:rPr>
  </w:style>
  <w:style w:type="paragraph" w:styleId="CommentText">
    <w:name w:val="annotation text"/>
    <w:basedOn w:val="Normal"/>
    <w:link w:val="CommentTextChar"/>
    <w:uiPriority w:val="99"/>
    <w:semiHidden/>
    <w:unhideWhenUsed/>
    <w:rsid w:val="00AF479D"/>
    <w:pPr>
      <w:spacing w:line="240" w:lineRule="auto"/>
    </w:pPr>
    <w:rPr>
      <w:sz w:val="20"/>
      <w:szCs w:val="20"/>
    </w:rPr>
  </w:style>
  <w:style w:type="character" w:customStyle="1" w:styleId="CommentTextChar">
    <w:name w:val="Comment Text Char"/>
    <w:basedOn w:val="DefaultParagraphFont"/>
    <w:link w:val="CommentText"/>
    <w:uiPriority w:val="99"/>
    <w:semiHidden/>
    <w:rsid w:val="00AF479D"/>
    <w:rPr>
      <w:sz w:val="20"/>
      <w:szCs w:val="20"/>
    </w:rPr>
  </w:style>
  <w:style w:type="table" w:styleId="TableGrid">
    <w:name w:val="Table Grid"/>
    <w:basedOn w:val="TableNormal"/>
    <w:uiPriority w:val="39"/>
    <w:rsid w:val="00AF47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raster1">
    <w:name w:val="Tabelraster1"/>
    <w:basedOn w:val="TableNormal"/>
    <w:next w:val="TableGrid"/>
    <w:uiPriority w:val="39"/>
    <w:rsid w:val="00AF47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F47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479D"/>
    <w:rPr>
      <w:rFonts w:ascii="Segoe UI" w:hAnsi="Segoe UI" w:cs="Segoe UI"/>
      <w:sz w:val="18"/>
      <w:szCs w:val="18"/>
    </w:rPr>
  </w:style>
  <w:style w:type="character" w:customStyle="1" w:styleId="apple-converted-space">
    <w:name w:val="apple-converted-space"/>
    <w:basedOn w:val="DefaultParagraphFont"/>
    <w:rsid w:val="004A57C9"/>
  </w:style>
  <w:style w:type="character" w:styleId="Hyperlink">
    <w:name w:val="Hyperlink"/>
    <w:basedOn w:val="DefaultParagraphFont"/>
    <w:uiPriority w:val="99"/>
    <w:unhideWhenUsed/>
    <w:rsid w:val="004A57C9"/>
    <w:rPr>
      <w:color w:val="0000FF"/>
      <w:u w:val="single"/>
    </w:rPr>
  </w:style>
  <w:style w:type="paragraph" w:styleId="Header">
    <w:name w:val="header"/>
    <w:basedOn w:val="Normal"/>
    <w:link w:val="HeaderChar"/>
    <w:uiPriority w:val="99"/>
    <w:unhideWhenUsed/>
    <w:rsid w:val="007D5A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5AD2"/>
  </w:style>
  <w:style w:type="paragraph" w:styleId="Footer">
    <w:name w:val="footer"/>
    <w:basedOn w:val="Normal"/>
    <w:link w:val="FooterChar"/>
    <w:uiPriority w:val="99"/>
    <w:unhideWhenUsed/>
    <w:rsid w:val="007D5A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5AD2"/>
  </w:style>
  <w:style w:type="character" w:styleId="FollowedHyperlink">
    <w:name w:val="FollowedHyperlink"/>
    <w:basedOn w:val="DefaultParagraphFont"/>
    <w:uiPriority w:val="99"/>
    <w:semiHidden/>
    <w:unhideWhenUsed/>
    <w:rsid w:val="001101F3"/>
    <w:rPr>
      <w:color w:val="954F72" w:themeColor="followedHyperlink"/>
      <w:u w:val="single"/>
    </w:rPr>
  </w:style>
  <w:style w:type="paragraph" w:styleId="Bibliography">
    <w:name w:val="Bibliography"/>
    <w:basedOn w:val="Normal"/>
    <w:next w:val="Normal"/>
    <w:uiPriority w:val="37"/>
    <w:unhideWhenUsed/>
    <w:rsid w:val="003055CA"/>
  </w:style>
  <w:style w:type="character" w:customStyle="1" w:styleId="Heading2Char">
    <w:name w:val="Heading 2 Char"/>
    <w:basedOn w:val="DefaultParagraphFont"/>
    <w:link w:val="Heading2"/>
    <w:uiPriority w:val="9"/>
    <w:rsid w:val="00B16558"/>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F817CC"/>
    <w:pPr>
      <w:outlineLvl w:val="9"/>
    </w:pPr>
  </w:style>
  <w:style w:type="paragraph" w:styleId="TOC1">
    <w:name w:val="toc 1"/>
    <w:basedOn w:val="Normal"/>
    <w:next w:val="Normal"/>
    <w:autoRedefine/>
    <w:uiPriority w:val="39"/>
    <w:unhideWhenUsed/>
    <w:rsid w:val="00F817CC"/>
    <w:pPr>
      <w:spacing w:after="100"/>
    </w:pPr>
  </w:style>
  <w:style w:type="paragraph" w:styleId="TOC2">
    <w:name w:val="toc 2"/>
    <w:basedOn w:val="Normal"/>
    <w:next w:val="Normal"/>
    <w:autoRedefine/>
    <w:uiPriority w:val="39"/>
    <w:unhideWhenUsed/>
    <w:rsid w:val="00F817CC"/>
    <w:pPr>
      <w:spacing w:after="100"/>
      <w:ind w:left="220"/>
    </w:pPr>
  </w:style>
</w:styles>
</file>

<file path=word/webSettings.xml><?xml version="1.0" encoding="utf-8"?>
<w:webSettings xmlns:r="http://schemas.openxmlformats.org/officeDocument/2006/relationships" xmlns:w="http://schemas.openxmlformats.org/wordprocessingml/2006/main">
  <w:divs>
    <w:div w:id="10112715">
      <w:bodyDiv w:val="1"/>
      <w:marLeft w:val="0"/>
      <w:marRight w:val="0"/>
      <w:marTop w:val="0"/>
      <w:marBottom w:val="0"/>
      <w:divBdr>
        <w:top w:val="none" w:sz="0" w:space="0" w:color="auto"/>
        <w:left w:val="none" w:sz="0" w:space="0" w:color="auto"/>
        <w:bottom w:val="none" w:sz="0" w:space="0" w:color="auto"/>
        <w:right w:val="none" w:sz="0" w:space="0" w:color="auto"/>
      </w:divBdr>
    </w:div>
    <w:div w:id="22830438">
      <w:bodyDiv w:val="1"/>
      <w:marLeft w:val="0"/>
      <w:marRight w:val="0"/>
      <w:marTop w:val="0"/>
      <w:marBottom w:val="0"/>
      <w:divBdr>
        <w:top w:val="none" w:sz="0" w:space="0" w:color="auto"/>
        <w:left w:val="none" w:sz="0" w:space="0" w:color="auto"/>
        <w:bottom w:val="none" w:sz="0" w:space="0" w:color="auto"/>
        <w:right w:val="none" w:sz="0" w:space="0" w:color="auto"/>
      </w:divBdr>
    </w:div>
    <w:div w:id="29457074">
      <w:bodyDiv w:val="1"/>
      <w:marLeft w:val="0"/>
      <w:marRight w:val="0"/>
      <w:marTop w:val="0"/>
      <w:marBottom w:val="0"/>
      <w:divBdr>
        <w:top w:val="none" w:sz="0" w:space="0" w:color="auto"/>
        <w:left w:val="none" w:sz="0" w:space="0" w:color="auto"/>
        <w:bottom w:val="none" w:sz="0" w:space="0" w:color="auto"/>
        <w:right w:val="none" w:sz="0" w:space="0" w:color="auto"/>
      </w:divBdr>
    </w:div>
    <w:div w:id="33817173">
      <w:bodyDiv w:val="1"/>
      <w:marLeft w:val="0"/>
      <w:marRight w:val="0"/>
      <w:marTop w:val="0"/>
      <w:marBottom w:val="0"/>
      <w:divBdr>
        <w:top w:val="none" w:sz="0" w:space="0" w:color="auto"/>
        <w:left w:val="none" w:sz="0" w:space="0" w:color="auto"/>
        <w:bottom w:val="none" w:sz="0" w:space="0" w:color="auto"/>
        <w:right w:val="none" w:sz="0" w:space="0" w:color="auto"/>
      </w:divBdr>
    </w:div>
    <w:div w:id="34430383">
      <w:bodyDiv w:val="1"/>
      <w:marLeft w:val="0"/>
      <w:marRight w:val="0"/>
      <w:marTop w:val="0"/>
      <w:marBottom w:val="0"/>
      <w:divBdr>
        <w:top w:val="none" w:sz="0" w:space="0" w:color="auto"/>
        <w:left w:val="none" w:sz="0" w:space="0" w:color="auto"/>
        <w:bottom w:val="none" w:sz="0" w:space="0" w:color="auto"/>
        <w:right w:val="none" w:sz="0" w:space="0" w:color="auto"/>
      </w:divBdr>
    </w:div>
    <w:div w:id="35206348">
      <w:bodyDiv w:val="1"/>
      <w:marLeft w:val="0"/>
      <w:marRight w:val="0"/>
      <w:marTop w:val="0"/>
      <w:marBottom w:val="0"/>
      <w:divBdr>
        <w:top w:val="none" w:sz="0" w:space="0" w:color="auto"/>
        <w:left w:val="none" w:sz="0" w:space="0" w:color="auto"/>
        <w:bottom w:val="none" w:sz="0" w:space="0" w:color="auto"/>
        <w:right w:val="none" w:sz="0" w:space="0" w:color="auto"/>
      </w:divBdr>
    </w:div>
    <w:div w:id="37366980">
      <w:bodyDiv w:val="1"/>
      <w:marLeft w:val="0"/>
      <w:marRight w:val="0"/>
      <w:marTop w:val="0"/>
      <w:marBottom w:val="0"/>
      <w:divBdr>
        <w:top w:val="none" w:sz="0" w:space="0" w:color="auto"/>
        <w:left w:val="none" w:sz="0" w:space="0" w:color="auto"/>
        <w:bottom w:val="none" w:sz="0" w:space="0" w:color="auto"/>
        <w:right w:val="none" w:sz="0" w:space="0" w:color="auto"/>
      </w:divBdr>
    </w:div>
    <w:div w:id="38626271">
      <w:bodyDiv w:val="1"/>
      <w:marLeft w:val="0"/>
      <w:marRight w:val="0"/>
      <w:marTop w:val="0"/>
      <w:marBottom w:val="0"/>
      <w:divBdr>
        <w:top w:val="none" w:sz="0" w:space="0" w:color="auto"/>
        <w:left w:val="none" w:sz="0" w:space="0" w:color="auto"/>
        <w:bottom w:val="none" w:sz="0" w:space="0" w:color="auto"/>
        <w:right w:val="none" w:sz="0" w:space="0" w:color="auto"/>
      </w:divBdr>
    </w:div>
    <w:div w:id="44454558">
      <w:bodyDiv w:val="1"/>
      <w:marLeft w:val="0"/>
      <w:marRight w:val="0"/>
      <w:marTop w:val="0"/>
      <w:marBottom w:val="0"/>
      <w:divBdr>
        <w:top w:val="none" w:sz="0" w:space="0" w:color="auto"/>
        <w:left w:val="none" w:sz="0" w:space="0" w:color="auto"/>
        <w:bottom w:val="none" w:sz="0" w:space="0" w:color="auto"/>
        <w:right w:val="none" w:sz="0" w:space="0" w:color="auto"/>
      </w:divBdr>
    </w:div>
    <w:div w:id="46489629">
      <w:bodyDiv w:val="1"/>
      <w:marLeft w:val="0"/>
      <w:marRight w:val="0"/>
      <w:marTop w:val="0"/>
      <w:marBottom w:val="0"/>
      <w:divBdr>
        <w:top w:val="none" w:sz="0" w:space="0" w:color="auto"/>
        <w:left w:val="none" w:sz="0" w:space="0" w:color="auto"/>
        <w:bottom w:val="none" w:sz="0" w:space="0" w:color="auto"/>
        <w:right w:val="none" w:sz="0" w:space="0" w:color="auto"/>
      </w:divBdr>
    </w:div>
    <w:div w:id="76022469">
      <w:bodyDiv w:val="1"/>
      <w:marLeft w:val="0"/>
      <w:marRight w:val="0"/>
      <w:marTop w:val="0"/>
      <w:marBottom w:val="0"/>
      <w:divBdr>
        <w:top w:val="none" w:sz="0" w:space="0" w:color="auto"/>
        <w:left w:val="none" w:sz="0" w:space="0" w:color="auto"/>
        <w:bottom w:val="none" w:sz="0" w:space="0" w:color="auto"/>
        <w:right w:val="none" w:sz="0" w:space="0" w:color="auto"/>
      </w:divBdr>
    </w:div>
    <w:div w:id="76632664">
      <w:bodyDiv w:val="1"/>
      <w:marLeft w:val="0"/>
      <w:marRight w:val="0"/>
      <w:marTop w:val="0"/>
      <w:marBottom w:val="0"/>
      <w:divBdr>
        <w:top w:val="none" w:sz="0" w:space="0" w:color="auto"/>
        <w:left w:val="none" w:sz="0" w:space="0" w:color="auto"/>
        <w:bottom w:val="none" w:sz="0" w:space="0" w:color="auto"/>
        <w:right w:val="none" w:sz="0" w:space="0" w:color="auto"/>
      </w:divBdr>
    </w:div>
    <w:div w:id="83842533">
      <w:bodyDiv w:val="1"/>
      <w:marLeft w:val="0"/>
      <w:marRight w:val="0"/>
      <w:marTop w:val="0"/>
      <w:marBottom w:val="0"/>
      <w:divBdr>
        <w:top w:val="none" w:sz="0" w:space="0" w:color="auto"/>
        <w:left w:val="none" w:sz="0" w:space="0" w:color="auto"/>
        <w:bottom w:val="none" w:sz="0" w:space="0" w:color="auto"/>
        <w:right w:val="none" w:sz="0" w:space="0" w:color="auto"/>
      </w:divBdr>
    </w:div>
    <w:div w:id="84738330">
      <w:bodyDiv w:val="1"/>
      <w:marLeft w:val="0"/>
      <w:marRight w:val="0"/>
      <w:marTop w:val="0"/>
      <w:marBottom w:val="0"/>
      <w:divBdr>
        <w:top w:val="none" w:sz="0" w:space="0" w:color="auto"/>
        <w:left w:val="none" w:sz="0" w:space="0" w:color="auto"/>
        <w:bottom w:val="none" w:sz="0" w:space="0" w:color="auto"/>
        <w:right w:val="none" w:sz="0" w:space="0" w:color="auto"/>
      </w:divBdr>
    </w:div>
    <w:div w:id="98987577">
      <w:bodyDiv w:val="1"/>
      <w:marLeft w:val="0"/>
      <w:marRight w:val="0"/>
      <w:marTop w:val="0"/>
      <w:marBottom w:val="0"/>
      <w:divBdr>
        <w:top w:val="none" w:sz="0" w:space="0" w:color="auto"/>
        <w:left w:val="none" w:sz="0" w:space="0" w:color="auto"/>
        <w:bottom w:val="none" w:sz="0" w:space="0" w:color="auto"/>
        <w:right w:val="none" w:sz="0" w:space="0" w:color="auto"/>
      </w:divBdr>
    </w:div>
    <w:div w:id="100297676">
      <w:bodyDiv w:val="1"/>
      <w:marLeft w:val="0"/>
      <w:marRight w:val="0"/>
      <w:marTop w:val="0"/>
      <w:marBottom w:val="0"/>
      <w:divBdr>
        <w:top w:val="none" w:sz="0" w:space="0" w:color="auto"/>
        <w:left w:val="none" w:sz="0" w:space="0" w:color="auto"/>
        <w:bottom w:val="none" w:sz="0" w:space="0" w:color="auto"/>
        <w:right w:val="none" w:sz="0" w:space="0" w:color="auto"/>
      </w:divBdr>
    </w:div>
    <w:div w:id="102464135">
      <w:bodyDiv w:val="1"/>
      <w:marLeft w:val="0"/>
      <w:marRight w:val="0"/>
      <w:marTop w:val="0"/>
      <w:marBottom w:val="0"/>
      <w:divBdr>
        <w:top w:val="none" w:sz="0" w:space="0" w:color="auto"/>
        <w:left w:val="none" w:sz="0" w:space="0" w:color="auto"/>
        <w:bottom w:val="none" w:sz="0" w:space="0" w:color="auto"/>
        <w:right w:val="none" w:sz="0" w:space="0" w:color="auto"/>
      </w:divBdr>
    </w:div>
    <w:div w:id="109130245">
      <w:bodyDiv w:val="1"/>
      <w:marLeft w:val="0"/>
      <w:marRight w:val="0"/>
      <w:marTop w:val="0"/>
      <w:marBottom w:val="0"/>
      <w:divBdr>
        <w:top w:val="none" w:sz="0" w:space="0" w:color="auto"/>
        <w:left w:val="none" w:sz="0" w:space="0" w:color="auto"/>
        <w:bottom w:val="none" w:sz="0" w:space="0" w:color="auto"/>
        <w:right w:val="none" w:sz="0" w:space="0" w:color="auto"/>
      </w:divBdr>
    </w:div>
    <w:div w:id="112289318">
      <w:bodyDiv w:val="1"/>
      <w:marLeft w:val="0"/>
      <w:marRight w:val="0"/>
      <w:marTop w:val="0"/>
      <w:marBottom w:val="0"/>
      <w:divBdr>
        <w:top w:val="none" w:sz="0" w:space="0" w:color="auto"/>
        <w:left w:val="none" w:sz="0" w:space="0" w:color="auto"/>
        <w:bottom w:val="none" w:sz="0" w:space="0" w:color="auto"/>
        <w:right w:val="none" w:sz="0" w:space="0" w:color="auto"/>
      </w:divBdr>
    </w:div>
    <w:div w:id="117602865">
      <w:bodyDiv w:val="1"/>
      <w:marLeft w:val="0"/>
      <w:marRight w:val="0"/>
      <w:marTop w:val="0"/>
      <w:marBottom w:val="0"/>
      <w:divBdr>
        <w:top w:val="none" w:sz="0" w:space="0" w:color="auto"/>
        <w:left w:val="none" w:sz="0" w:space="0" w:color="auto"/>
        <w:bottom w:val="none" w:sz="0" w:space="0" w:color="auto"/>
        <w:right w:val="none" w:sz="0" w:space="0" w:color="auto"/>
      </w:divBdr>
    </w:div>
    <w:div w:id="122575868">
      <w:bodyDiv w:val="1"/>
      <w:marLeft w:val="0"/>
      <w:marRight w:val="0"/>
      <w:marTop w:val="0"/>
      <w:marBottom w:val="0"/>
      <w:divBdr>
        <w:top w:val="none" w:sz="0" w:space="0" w:color="auto"/>
        <w:left w:val="none" w:sz="0" w:space="0" w:color="auto"/>
        <w:bottom w:val="none" w:sz="0" w:space="0" w:color="auto"/>
        <w:right w:val="none" w:sz="0" w:space="0" w:color="auto"/>
      </w:divBdr>
    </w:div>
    <w:div w:id="136530173">
      <w:bodyDiv w:val="1"/>
      <w:marLeft w:val="0"/>
      <w:marRight w:val="0"/>
      <w:marTop w:val="0"/>
      <w:marBottom w:val="0"/>
      <w:divBdr>
        <w:top w:val="none" w:sz="0" w:space="0" w:color="auto"/>
        <w:left w:val="none" w:sz="0" w:space="0" w:color="auto"/>
        <w:bottom w:val="none" w:sz="0" w:space="0" w:color="auto"/>
        <w:right w:val="none" w:sz="0" w:space="0" w:color="auto"/>
      </w:divBdr>
    </w:div>
    <w:div w:id="138883298">
      <w:bodyDiv w:val="1"/>
      <w:marLeft w:val="0"/>
      <w:marRight w:val="0"/>
      <w:marTop w:val="0"/>
      <w:marBottom w:val="0"/>
      <w:divBdr>
        <w:top w:val="none" w:sz="0" w:space="0" w:color="auto"/>
        <w:left w:val="none" w:sz="0" w:space="0" w:color="auto"/>
        <w:bottom w:val="none" w:sz="0" w:space="0" w:color="auto"/>
        <w:right w:val="none" w:sz="0" w:space="0" w:color="auto"/>
      </w:divBdr>
    </w:div>
    <w:div w:id="141314679">
      <w:bodyDiv w:val="1"/>
      <w:marLeft w:val="0"/>
      <w:marRight w:val="0"/>
      <w:marTop w:val="0"/>
      <w:marBottom w:val="0"/>
      <w:divBdr>
        <w:top w:val="none" w:sz="0" w:space="0" w:color="auto"/>
        <w:left w:val="none" w:sz="0" w:space="0" w:color="auto"/>
        <w:bottom w:val="none" w:sz="0" w:space="0" w:color="auto"/>
        <w:right w:val="none" w:sz="0" w:space="0" w:color="auto"/>
      </w:divBdr>
    </w:div>
    <w:div w:id="143930310">
      <w:bodyDiv w:val="1"/>
      <w:marLeft w:val="0"/>
      <w:marRight w:val="0"/>
      <w:marTop w:val="0"/>
      <w:marBottom w:val="0"/>
      <w:divBdr>
        <w:top w:val="none" w:sz="0" w:space="0" w:color="auto"/>
        <w:left w:val="none" w:sz="0" w:space="0" w:color="auto"/>
        <w:bottom w:val="none" w:sz="0" w:space="0" w:color="auto"/>
        <w:right w:val="none" w:sz="0" w:space="0" w:color="auto"/>
      </w:divBdr>
    </w:div>
    <w:div w:id="148832984">
      <w:bodyDiv w:val="1"/>
      <w:marLeft w:val="0"/>
      <w:marRight w:val="0"/>
      <w:marTop w:val="0"/>
      <w:marBottom w:val="0"/>
      <w:divBdr>
        <w:top w:val="none" w:sz="0" w:space="0" w:color="auto"/>
        <w:left w:val="none" w:sz="0" w:space="0" w:color="auto"/>
        <w:bottom w:val="none" w:sz="0" w:space="0" w:color="auto"/>
        <w:right w:val="none" w:sz="0" w:space="0" w:color="auto"/>
      </w:divBdr>
    </w:div>
    <w:div w:id="151913328">
      <w:bodyDiv w:val="1"/>
      <w:marLeft w:val="0"/>
      <w:marRight w:val="0"/>
      <w:marTop w:val="0"/>
      <w:marBottom w:val="0"/>
      <w:divBdr>
        <w:top w:val="none" w:sz="0" w:space="0" w:color="auto"/>
        <w:left w:val="none" w:sz="0" w:space="0" w:color="auto"/>
        <w:bottom w:val="none" w:sz="0" w:space="0" w:color="auto"/>
        <w:right w:val="none" w:sz="0" w:space="0" w:color="auto"/>
      </w:divBdr>
    </w:div>
    <w:div w:id="153644602">
      <w:bodyDiv w:val="1"/>
      <w:marLeft w:val="0"/>
      <w:marRight w:val="0"/>
      <w:marTop w:val="0"/>
      <w:marBottom w:val="0"/>
      <w:divBdr>
        <w:top w:val="none" w:sz="0" w:space="0" w:color="auto"/>
        <w:left w:val="none" w:sz="0" w:space="0" w:color="auto"/>
        <w:bottom w:val="none" w:sz="0" w:space="0" w:color="auto"/>
        <w:right w:val="none" w:sz="0" w:space="0" w:color="auto"/>
      </w:divBdr>
    </w:div>
    <w:div w:id="155538987">
      <w:bodyDiv w:val="1"/>
      <w:marLeft w:val="0"/>
      <w:marRight w:val="0"/>
      <w:marTop w:val="0"/>
      <w:marBottom w:val="0"/>
      <w:divBdr>
        <w:top w:val="none" w:sz="0" w:space="0" w:color="auto"/>
        <w:left w:val="none" w:sz="0" w:space="0" w:color="auto"/>
        <w:bottom w:val="none" w:sz="0" w:space="0" w:color="auto"/>
        <w:right w:val="none" w:sz="0" w:space="0" w:color="auto"/>
      </w:divBdr>
    </w:div>
    <w:div w:id="162626218">
      <w:bodyDiv w:val="1"/>
      <w:marLeft w:val="0"/>
      <w:marRight w:val="0"/>
      <w:marTop w:val="0"/>
      <w:marBottom w:val="0"/>
      <w:divBdr>
        <w:top w:val="none" w:sz="0" w:space="0" w:color="auto"/>
        <w:left w:val="none" w:sz="0" w:space="0" w:color="auto"/>
        <w:bottom w:val="none" w:sz="0" w:space="0" w:color="auto"/>
        <w:right w:val="none" w:sz="0" w:space="0" w:color="auto"/>
      </w:divBdr>
    </w:div>
    <w:div w:id="168524896">
      <w:bodyDiv w:val="1"/>
      <w:marLeft w:val="0"/>
      <w:marRight w:val="0"/>
      <w:marTop w:val="0"/>
      <w:marBottom w:val="0"/>
      <w:divBdr>
        <w:top w:val="none" w:sz="0" w:space="0" w:color="auto"/>
        <w:left w:val="none" w:sz="0" w:space="0" w:color="auto"/>
        <w:bottom w:val="none" w:sz="0" w:space="0" w:color="auto"/>
        <w:right w:val="none" w:sz="0" w:space="0" w:color="auto"/>
      </w:divBdr>
    </w:div>
    <w:div w:id="170880910">
      <w:bodyDiv w:val="1"/>
      <w:marLeft w:val="0"/>
      <w:marRight w:val="0"/>
      <w:marTop w:val="0"/>
      <w:marBottom w:val="0"/>
      <w:divBdr>
        <w:top w:val="none" w:sz="0" w:space="0" w:color="auto"/>
        <w:left w:val="none" w:sz="0" w:space="0" w:color="auto"/>
        <w:bottom w:val="none" w:sz="0" w:space="0" w:color="auto"/>
        <w:right w:val="none" w:sz="0" w:space="0" w:color="auto"/>
      </w:divBdr>
    </w:div>
    <w:div w:id="171458891">
      <w:bodyDiv w:val="1"/>
      <w:marLeft w:val="0"/>
      <w:marRight w:val="0"/>
      <w:marTop w:val="0"/>
      <w:marBottom w:val="0"/>
      <w:divBdr>
        <w:top w:val="none" w:sz="0" w:space="0" w:color="auto"/>
        <w:left w:val="none" w:sz="0" w:space="0" w:color="auto"/>
        <w:bottom w:val="none" w:sz="0" w:space="0" w:color="auto"/>
        <w:right w:val="none" w:sz="0" w:space="0" w:color="auto"/>
      </w:divBdr>
    </w:div>
    <w:div w:id="172652964">
      <w:bodyDiv w:val="1"/>
      <w:marLeft w:val="0"/>
      <w:marRight w:val="0"/>
      <w:marTop w:val="0"/>
      <w:marBottom w:val="0"/>
      <w:divBdr>
        <w:top w:val="none" w:sz="0" w:space="0" w:color="auto"/>
        <w:left w:val="none" w:sz="0" w:space="0" w:color="auto"/>
        <w:bottom w:val="none" w:sz="0" w:space="0" w:color="auto"/>
        <w:right w:val="none" w:sz="0" w:space="0" w:color="auto"/>
      </w:divBdr>
    </w:div>
    <w:div w:id="178080017">
      <w:bodyDiv w:val="1"/>
      <w:marLeft w:val="0"/>
      <w:marRight w:val="0"/>
      <w:marTop w:val="0"/>
      <w:marBottom w:val="0"/>
      <w:divBdr>
        <w:top w:val="none" w:sz="0" w:space="0" w:color="auto"/>
        <w:left w:val="none" w:sz="0" w:space="0" w:color="auto"/>
        <w:bottom w:val="none" w:sz="0" w:space="0" w:color="auto"/>
        <w:right w:val="none" w:sz="0" w:space="0" w:color="auto"/>
      </w:divBdr>
    </w:div>
    <w:div w:id="187721650">
      <w:bodyDiv w:val="1"/>
      <w:marLeft w:val="0"/>
      <w:marRight w:val="0"/>
      <w:marTop w:val="0"/>
      <w:marBottom w:val="0"/>
      <w:divBdr>
        <w:top w:val="none" w:sz="0" w:space="0" w:color="auto"/>
        <w:left w:val="none" w:sz="0" w:space="0" w:color="auto"/>
        <w:bottom w:val="none" w:sz="0" w:space="0" w:color="auto"/>
        <w:right w:val="none" w:sz="0" w:space="0" w:color="auto"/>
      </w:divBdr>
    </w:div>
    <w:div w:id="190533832">
      <w:bodyDiv w:val="1"/>
      <w:marLeft w:val="0"/>
      <w:marRight w:val="0"/>
      <w:marTop w:val="0"/>
      <w:marBottom w:val="0"/>
      <w:divBdr>
        <w:top w:val="none" w:sz="0" w:space="0" w:color="auto"/>
        <w:left w:val="none" w:sz="0" w:space="0" w:color="auto"/>
        <w:bottom w:val="none" w:sz="0" w:space="0" w:color="auto"/>
        <w:right w:val="none" w:sz="0" w:space="0" w:color="auto"/>
      </w:divBdr>
    </w:div>
    <w:div w:id="201283250">
      <w:bodyDiv w:val="1"/>
      <w:marLeft w:val="0"/>
      <w:marRight w:val="0"/>
      <w:marTop w:val="0"/>
      <w:marBottom w:val="0"/>
      <w:divBdr>
        <w:top w:val="none" w:sz="0" w:space="0" w:color="auto"/>
        <w:left w:val="none" w:sz="0" w:space="0" w:color="auto"/>
        <w:bottom w:val="none" w:sz="0" w:space="0" w:color="auto"/>
        <w:right w:val="none" w:sz="0" w:space="0" w:color="auto"/>
      </w:divBdr>
    </w:div>
    <w:div w:id="213348598">
      <w:bodyDiv w:val="1"/>
      <w:marLeft w:val="0"/>
      <w:marRight w:val="0"/>
      <w:marTop w:val="0"/>
      <w:marBottom w:val="0"/>
      <w:divBdr>
        <w:top w:val="none" w:sz="0" w:space="0" w:color="auto"/>
        <w:left w:val="none" w:sz="0" w:space="0" w:color="auto"/>
        <w:bottom w:val="none" w:sz="0" w:space="0" w:color="auto"/>
        <w:right w:val="none" w:sz="0" w:space="0" w:color="auto"/>
      </w:divBdr>
    </w:div>
    <w:div w:id="221989447">
      <w:bodyDiv w:val="1"/>
      <w:marLeft w:val="0"/>
      <w:marRight w:val="0"/>
      <w:marTop w:val="0"/>
      <w:marBottom w:val="0"/>
      <w:divBdr>
        <w:top w:val="none" w:sz="0" w:space="0" w:color="auto"/>
        <w:left w:val="none" w:sz="0" w:space="0" w:color="auto"/>
        <w:bottom w:val="none" w:sz="0" w:space="0" w:color="auto"/>
        <w:right w:val="none" w:sz="0" w:space="0" w:color="auto"/>
      </w:divBdr>
    </w:div>
    <w:div w:id="227375610">
      <w:bodyDiv w:val="1"/>
      <w:marLeft w:val="0"/>
      <w:marRight w:val="0"/>
      <w:marTop w:val="0"/>
      <w:marBottom w:val="0"/>
      <w:divBdr>
        <w:top w:val="none" w:sz="0" w:space="0" w:color="auto"/>
        <w:left w:val="none" w:sz="0" w:space="0" w:color="auto"/>
        <w:bottom w:val="none" w:sz="0" w:space="0" w:color="auto"/>
        <w:right w:val="none" w:sz="0" w:space="0" w:color="auto"/>
      </w:divBdr>
    </w:div>
    <w:div w:id="246888684">
      <w:bodyDiv w:val="1"/>
      <w:marLeft w:val="0"/>
      <w:marRight w:val="0"/>
      <w:marTop w:val="0"/>
      <w:marBottom w:val="0"/>
      <w:divBdr>
        <w:top w:val="none" w:sz="0" w:space="0" w:color="auto"/>
        <w:left w:val="none" w:sz="0" w:space="0" w:color="auto"/>
        <w:bottom w:val="none" w:sz="0" w:space="0" w:color="auto"/>
        <w:right w:val="none" w:sz="0" w:space="0" w:color="auto"/>
      </w:divBdr>
    </w:div>
    <w:div w:id="252973973">
      <w:bodyDiv w:val="1"/>
      <w:marLeft w:val="0"/>
      <w:marRight w:val="0"/>
      <w:marTop w:val="0"/>
      <w:marBottom w:val="0"/>
      <w:divBdr>
        <w:top w:val="none" w:sz="0" w:space="0" w:color="auto"/>
        <w:left w:val="none" w:sz="0" w:space="0" w:color="auto"/>
        <w:bottom w:val="none" w:sz="0" w:space="0" w:color="auto"/>
        <w:right w:val="none" w:sz="0" w:space="0" w:color="auto"/>
      </w:divBdr>
    </w:div>
    <w:div w:id="256062185">
      <w:bodyDiv w:val="1"/>
      <w:marLeft w:val="0"/>
      <w:marRight w:val="0"/>
      <w:marTop w:val="0"/>
      <w:marBottom w:val="0"/>
      <w:divBdr>
        <w:top w:val="none" w:sz="0" w:space="0" w:color="auto"/>
        <w:left w:val="none" w:sz="0" w:space="0" w:color="auto"/>
        <w:bottom w:val="none" w:sz="0" w:space="0" w:color="auto"/>
        <w:right w:val="none" w:sz="0" w:space="0" w:color="auto"/>
      </w:divBdr>
    </w:div>
    <w:div w:id="259028094">
      <w:bodyDiv w:val="1"/>
      <w:marLeft w:val="0"/>
      <w:marRight w:val="0"/>
      <w:marTop w:val="0"/>
      <w:marBottom w:val="0"/>
      <w:divBdr>
        <w:top w:val="none" w:sz="0" w:space="0" w:color="auto"/>
        <w:left w:val="none" w:sz="0" w:space="0" w:color="auto"/>
        <w:bottom w:val="none" w:sz="0" w:space="0" w:color="auto"/>
        <w:right w:val="none" w:sz="0" w:space="0" w:color="auto"/>
      </w:divBdr>
    </w:div>
    <w:div w:id="272251125">
      <w:bodyDiv w:val="1"/>
      <w:marLeft w:val="0"/>
      <w:marRight w:val="0"/>
      <w:marTop w:val="0"/>
      <w:marBottom w:val="0"/>
      <w:divBdr>
        <w:top w:val="none" w:sz="0" w:space="0" w:color="auto"/>
        <w:left w:val="none" w:sz="0" w:space="0" w:color="auto"/>
        <w:bottom w:val="none" w:sz="0" w:space="0" w:color="auto"/>
        <w:right w:val="none" w:sz="0" w:space="0" w:color="auto"/>
      </w:divBdr>
    </w:div>
    <w:div w:id="273825387">
      <w:bodyDiv w:val="1"/>
      <w:marLeft w:val="0"/>
      <w:marRight w:val="0"/>
      <w:marTop w:val="0"/>
      <w:marBottom w:val="0"/>
      <w:divBdr>
        <w:top w:val="none" w:sz="0" w:space="0" w:color="auto"/>
        <w:left w:val="none" w:sz="0" w:space="0" w:color="auto"/>
        <w:bottom w:val="none" w:sz="0" w:space="0" w:color="auto"/>
        <w:right w:val="none" w:sz="0" w:space="0" w:color="auto"/>
      </w:divBdr>
    </w:div>
    <w:div w:id="287393370">
      <w:bodyDiv w:val="1"/>
      <w:marLeft w:val="0"/>
      <w:marRight w:val="0"/>
      <w:marTop w:val="0"/>
      <w:marBottom w:val="0"/>
      <w:divBdr>
        <w:top w:val="none" w:sz="0" w:space="0" w:color="auto"/>
        <w:left w:val="none" w:sz="0" w:space="0" w:color="auto"/>
        <w:bottom w:val="none" w:sz="0" w:space="0" w:color="auto"/>
        <w:right w:val="none" w:sz="0" w:space="0" w:color="auto"/>
      </w:divBdr>
    </w:div>
    <w:div w:id="295454285">
      <w:bodyDiv w:val="1"/>
      <w:marLeft w:val="0"/>
      <w:marRight w:val="0"/>
      <w:marTop w:val="0"/>
      <w:marBottom w:val="0"/>
      <w:divBdr>
        <w:top w:val="none" w:sz="0" w:space="0" w:color="auto"/>
        <w:left w:val="none" w:sz="0" w:space="0" w:color="auto"/>
        <w:bottom w:val="none" w:sz="0" w:space="0" w:color="auto"/>
        <w:right w:val="none" w:sz="0" w:space="0" w:color="auto"/>
      </w:divBdr>
    </w:div>
    <w:div w:id="303386965">
      <w:bodyDiv w:val="1"/>
      <w:marLeft w:val="0"/>
      <w:marRight w:val="0"/>
      <w:marTop w:val="0"/>
      <w:marBottom w:val="0"/>
      <w:divBdr>
        <w:top w:val="none" w:sz="0" w:space="0" w:color="auto"/>
        <w:left w:val="none" w:sz="0" w:space="0" w:color="auto"/>
        <w:bottom w:val="none" w:sz="0" w:space="0" w:color="auto"/>
        <w:right w:val="none" w:sz="0" w:space="0" w:color="auto"/>
      </w:divBdr>
    </w:div>
    <w:div w:id="307900609">
      <w:bodyDiv w:val="1"/>
      <w:marLeft w:val="0"/>
      <w:marRight w:val="0"/>
      <w:marTop w:val="0"/>
      <w:marBottom w:val="0"/>
      <w:divBdr>
        <w:top w:val="none" w:sz="0" w:space="0" w:color="auto"/>
        <w:left w:val="none" w:sz="0" w:space="0" w:color="auto"/>
        <w:bottom w:val="none" w:sz="0" w:space="0" w:color="auto"/>
        <w:right w:val="none" w:sz="0" w:space="0" w:color="auto"/>
      </w:divBdr>
    </w:div>
    <w:div w:id="308705840">
      <w:bodyDiv w:val="1"/>
      <w:marLeft w:val="0"/>
      <w:marRight w:val="0"/>
      <w:marTop w:val="0"/>
      <w:marBottom w:val="0"/>
      <w:divBdr>
        <w:top w:val="none" w:sz="0" w:space="0" w:color="auto"/>
        <w:left w:val="none" w:sz="0" w:space="0" w:color="auto"/>
        <w:bottom w:val="none" w:sz="0" w:space="0" w:color="auto"/>
        <w:right w:val="none" w:sz="0" w:space="0" w:color="auto"/>
      </w:divBdr>
    </w:div>
    <w:div w:id="312831178">
      <w:bodyDiv w:val="1"/>
      <w:marLeft w:val="0"/>
      <w:marRight w:val="0"/>
      <w:marTop w:val="0"/>
      <w:marBottom w:val="0"/>
      <w:divBdr>
        <w:top w:val="none" w:sz="0" w:space="0" w:color="auto"/>
        <w:left w:val="none" w:sz="0" w:space="0" w:color="auto"/>
        <w:bottom w:val="none" w:sz="0" w:space="0" w:color="auto"/>
        <w:right w:val="none" w:sz="0" w:space="0" w:color="auto"/>
      </w:divBdr>
    </w:div>
    <w:div w:id="318778047">
      <w:bodyDiv w:val="1"/>
      <w:marLeft w:val="0"/>
      <w:marRight w:val="0"/>
      <w:marTop w:val="0"/>
      <w:marBottom w:val="0"/>
      <w:divBdr>
        <w:top w:val="none" w:sz="0" w:space="0" w:color="auto"/>
        <w:left w:val="none" w:sz="0" w:space="0" w:color="auto"/>
        <w:bottom w:val="none" w:sz="0" w:space="0" w:color="auto"/>
        <w:right w:val="none" w:sz="0" w:space="0" w:color="auto"/>
      </w:divBdr>
    </w:div>
    <w:div w:id="319817389">
      <w:bodyDiv w:val="1"/>
      <w:marLeft w:val="0"/>
      <w:marRight w:val="0"/>
      <w:marTop w:val="0"/>
      <w:marBottom w:val="0"/>
      <w:divBdr>
        <w:top w:val="none" w:sz="0" w:space="0" w:color="auto"/>
        <w:left w:val="none" w:sz="0" w:space="0" w:color="auto"/>
        <w:bottom w:val="none" w:sz="0" w:space="0" w:color="auto"/>
        <w:right w:val="none" w:sz="0" w:space="0" w:color="auto"/>
      </w:divBdr>
    </w:div>
    <w:div w:id="328215088">
      <w:bodyDiv w:val="1"/>
      <w:marLeft w:val="0"/>
      <w:marRight w:val="0"/>
      <w:marTop w:val="0"/>
      <w:marBottom w:val="0"/>
      <w:divBdr>
        <w:top w:val="none" w:sz="0" w:space="0" w:color="auto"/>
        <w:left w:val="none" w:sz="0" w:space="0" w:color="auto"/>
        <w:bottom w:val="none" w:sz="0" w:space="0" w:color="auto"/>
        <w:right w:val="none" w:sz="0" w:space="0" w:color="auto"/>
      </w:divBdr>
    </w:div>
    <w:div w:id="329141194">
      <w:bodyDiv w:val="1"/>
      <w:marLeft w:val="0"/>
      <w:marRight w:val="0"/>
      <w:marTop w:val="0"/>
      <w:marBottom w:val="0"/>
      <w:divBdr>
        <w:top w:val="none" w:sz="0" w:space="0" w:color="auto"/>
        <w:left w:val="none" w:sz="0" w:space="0" w:color="auto"/>
        <w:bottom w:val="none" w:sz="0" w:space="0" w:color="auto"/>
        <w:right w:val="none" w:sz="0" w:space="0" w:color="auto"/>
      </w:divBdr>
    </w:div>
    <w:div w:id="333654615">
      <w:bodyDiv w:val="1"/>
      <w:marLeft w:val="0"/>
      <w:marRight w:val="0"/>
      <w:marTop w:val="0"/>
      <w:marBottom w:val="0"/>
      <w:divBdr>
        <w:top w:val="none" w:sz="0" w:space="0" w:color="auto"/>
        <w:left w:val="none" w:sz="0" w:space="0" w:color="auto"/>
        <w:bottom w:val="none" w:sz="0" w:space="0" w:color="auto"/>
        <w:right w:val="none" w:sz="0" w:space="0" w:color="auto"/>
      </w:divBdr>
    </w:div>
    <w:div w:id="337774062">
      <w:bodyDiv w:val="1"/>
      <w:marLeft w:val="0"/>
      <w:marRight w:val="0"/>
      <w:marTop w:val="0"/>
      <w:marBottom w:val="0"/>
      <w:divBdr>
        <w:top w:val="none" w:sz="0" w:space="0" w:color="auto"/>
        <w:left w:val="none" w:sz="0" w:space="0" w:color="auto"/>
        <w:bottom w:val="none" w:sz="0" w:space="0" w:color="auto"/>
        <w:right w:val="none" w:sz="0" w:space="0" w:color="auto"/>
      </w:divBdr>
    </w:div>
    <w:div w:id="337972757">
      <w:bodyDiv w:val="1"/>
      <w:marLeft w:val="0"/>
      <w:marRight w:val="0"/>
      <w:marTop w:val="0"/>
      <w:marBottom w:val="0"/>
      <w:divBdr>
        <w:top w:val="none" w:sz="0" w:space="0" w:color="auto"/>
        <w:left w:val="none" w:sz="0" w:space="0" w:color="auto"/>
        <w:bottom w:val="none" w:sz="0" w:space="0" w:color="auto"/>
        <w:right w:val="none" w:sz="0" w:space="0" w:color="auto"/>
      </w:divBdr>
    </w:div>
    <w:div w:id="338964925">
      <w:bodyDiv w:val="1"/>
      <w:marLeft w:val="0"/>
      <w:marRight w:val="0"/>
      <w:marTop w:val="0"/>
      <w:marBottom w:val="0"/>
      <w:divBdr>
        <w:top w:val="none" w:sz="0" w:space="0" w:color="auto"/>
        <w:left w:val="none" w:sz="0" w:space="0" w:color="auto"/>
        <w:bottom w:val="none" w:sz="0" w:space="0" w:color="auto"/>
        <w:right w:val="none" w:sz="0" w:space="0" w:color="auto"/>
      </w:divBdr>
    </w:div>
    <w:div w:id="339894462">
      <w:bodyDiv w:val="1"/>
      <w:marLeft w:val="0"/>
      <w:marRight w:val="0"/>
      <w:marTop w:val="0"/>
      <w:marBottom w:val="0"/>
      <w:divBdr>
        <w:top w:val="none" w:sz="0" w:space="0" w:color="auto"/>
        <w:left w:val="none" w:sz="0" w:space="0" w:color="auto"/>
        <w:bottom w:val="none" w:sz="0" w:space="0" w:color="auto"/>
        <w:right w:val="none" w:sz="0" w:space="0" w:color="auto"/>
      </w:divBdr>
    </w:div>
    <w:div w:id="344400123">
      <w:bodyDiv w:val="1"/>
      <w:marLeft w:val="0"/>
      <w:marRight w:val="0"/>
      <w:marTop w:val="0"/>
      <w:marBottom w:val="0"/>
      <w:divBdr>
        <w:top w:val="none" w:sz="0" w:space="0" w:color="auto"/>
        <w:left w:val="none" w:sz="0" w:space="0" w:color="auto"/>
        <w:bottom w:val="none" w:sz="0" w:space="0" w:color="auto"/>
        <w:right w:val="none" w:sz="0" w:space="0" w:color="auto"/>
      </w:divBdr>
    </w:div>
    <w:div w:id="347873401">
      <w:bodyDiv w:val="1"/>
      <w:marLeft w:val="0"/>
      <w:marRight w:val="0"/>
      <w:marTop w:val="0"/>
      <w:marBottom w:val="0"/>
      <w:divBdr>
        <w:top w:val="none" w:sz="0" w:space="0" w:color="auto"/>
        <w:left w:val="none" w:sz="0" w:space="0" w:color="auto"/>
        <w:bottom w:val="none" w:sz="0" w:space="0" w:color="auto"/>
        <w:right w:val="none" w:sz="0" w:space="0" w:color="auto"/>
      </w:divBdr>
    </w:div>
    <w:div w:id="347874559">
      <w:bodyDiv w:val="1"/>
      <w:marLeft w:val="0"/>
      <w:marRight w:val="0"/>
      <w:marTop w:val="0"/>
      <w:marBottom w:val="0"/>
      <w:divBdr>
        <w:top w:val="none" w:sz="0" w:space="0" w:color="auto"/>
        <w:left w:val="none" w:sz="0" w:space="0" w:color="auto"/>
        <w:bottom w:val="none" w:sz="0" w:space="0" w:color="auto"/>
        <w:right w:val="none" w:sz="0" w:space="0" w:color="auto"/>
      </w:divBdr>
    </w:div>
    <w:div w:id="353117147">
      <w:bodyDiv w:val="1"/>
      <w:marLeft w:val="0"/>
      <w:marRight w:val="0"/>
      <w:marTop w:val="0"/>
      <w:marBottom w:val="0"/>
      <w:divBdr>
        <w:top w:val="none" w:sz="0" w:space="0" w:color="auto"/>
        <w:left w:val="none" w:sz="0" w:space="0" w:color="auto"/>
        <w:bottom w:val="none" w:sz="0" w:space="0" w:color="auto"/>
        <w:right w:val="none" w:sz="0" w:space="0" w:color="auto"/>
      </w:divBdr>
    </w:div>
    <w:div w:id="353727102">
      <w:bodyDiv w:val="1"/>
      <w:marLeft w:val="0"/>
      <w:marRight w:val="0"/>
      <w:marTop w:val="0"/>
      <w:marBottom w:val="0"/>
      <w:divBdr>
        <w:top w:val="none" w:sz="0" w:space="0" w:color="auto"/>
        <w:left w:val="none" w:sz="0" w:space="0" w:color="auto"/>
        <w:bottom w:val="none" w:sz="0" w:space="0" w:color="auto"/>
        <w:right w:val="none" w:sz="0" w:space="0" w:color="auto"/>
      </w:divBdr>
    </w:div>
    <w:div w:id="355236800">
      <w:bodyDiv w:val="1"/>
      <w:marLeft w:val="0"/>
      <w:marRight w:val="0"/>
      <w:marTop w:val="0"/>
      <w:marBottom w:val="0"/>
      <w:divBdr>
        <w:top w:val="none" w:sz="0" w:space="0" w:color="auto"/>
        <w:left w:val="none" w:sz="0" w:space="0" w:color="auto"/>
        <w:bottom w:val="none" w:sz="0" w:space="0" w:color="auto"/>
        <w:right w:val="none" w:sz="0" w:space="0" w:color="auto"/>
      </w:divBdr>
    </w:div>
    <w:div w:id="367611139">
      <w:bodyDiv w:val="1"/>
      <w:marLeft w:val="0"/>
      <w:marRight w:val="0"/>
      <w:marTop w:val="0"/>
      <w:marBottom w:val="0"/>
      <w:divBdr>
        <w:top w:val="none" w:sz="0" w:space="0" w:color="auto"/>
        <w:left w:val="none" w:sz="0" w:space="0" w:color="auto"/>
        <w:bottom w:val="none" w:sz="0" w:space="0" w:color="auto"/>
        <w:right w:val="none" w:sz="0" w:space="0" w:color="auto"/>
      </w:divBdr>
    </w:div>
    <w:div w:id="373428586">
      <w:bodyDiv w:val="1"/>
      <w:marLeft w:val="0"/>
      <w:marRight w:val="0"/>
      <w:marTop w:val="0"/>
      <w:marBottom w:val="0"/>
      <w:divBdr>
        <w:top w:val="none" w:sz="0" w:space="0" w:color="auto"/>
        <w:left w:val="none" w:sz="0" w:space="0" w:color="auto"/>
        <w:bottom w:val="none" w:sz="0" w:space="0" w:color="auto"/>
        <w:right w:val="none" w:sz="0" w:space="0" w:color="auto"/>
      </w:divBdr>
    </w:div>
    <w:div w:id="373890858">
      <w:bodyDiv w:val="1"/>
      <w:marLeft w:val="0"/>
      <w:marRight w:val="0"/>
      <w:marTop w:val="0"/>
      <w:marBottom w:val="0"/>
      <w:divBdr>
        <w:top w:val="none" w:sz="0" w:space="0" w:color="auto"/>
        <w:left w:val="none" w:sz="0" w:space="0" w:color="auto"/>
        <w:bottom w:val="none" w:sz="0" w:space="0" w:color="auto"/>
        <w:right w:val="none" w:sz="0" w:space="0" w:color="auto"/>
      </w:divBdr>
    </w:div>
    <w:div w:id="375392457">
      <w:bodyDiv w:val="1"/>
      <w:marLeft w:val="0"/>
      <w:marRight w:val="0"/>
      <w:marTop w:val="0"/>
      <w:marBottom w:val="0"/>
      <w:divBdr>
        <w:top w:val="none" w:sz="0" w:space="0" w:color="auto"/>
        <w:left w:val="none" w:sz="0" w:space="0" w:color="auto"/>
        <w:bottom w:val="none" w:sz="0" w:space="0" w:color="auto"/>
        <w:right w:val="none" w:sz="0" w:space="0" w:color="auto"/>
      </w:divBdr>
    </w:div>
    <w:div w:id="375937070">
      <w:bodyDiv w:val="1"/>
      <w:marLeft w:val="0"/>
      <w:marRight w:val="0"/>
      <w:marTop w:val="0"/>
      <w:marBottom w:val="0"/>
      <w:divBdr>
        <w:top w:val="none" w:sz="0" w:space="0" w:color="auto"/>
        <w:left w:val="none" w:sz="0" w:space="0" w:color="auto"/>
        <w:bottom w:val="none" w:sz="0" w:space="0" w:color="auto"/>
        <w:right w:val="none" w:sz="0" w:space="0" w:color="auto"/>
      </w:divBdr>
    </w:div>
    <w:div w:id="383872836">
      <w:bodyDiv w:val="1"/>
      <w:marLeft w:val="0"/>
      <w:marRight w:val="0"/>
      <w:marTop w:val="0"/>
      <w:marBottom w:val="0"/>
      <w:divBdr>
        <w:top w:val="none" w:sz="0" w:space="0" w:color="auto"/>
        <w:left w:val="none" w:sz="0" w:space="0" w:color="auto"/>
        <w:bottom w:val="none" w:sz="0" w:space="0" w:color="auto"/>
        <w:right w:val="none" w:sz="0" w:space="0" w:color="auto"/>
      </w:divBdr>
    </w:div>
    <w:div w:id="385683383">
      <w:bodyDiv w:val="1"/>
      <w:marLeft w:val="0"/>
      <w:marRight w:val="0"/>
      <w:marTop w:val="0"/>
      <w:marBottom w:val="0"/>
      <w:divBdr>
        <w:top w:val="none" w:sz="0" w:space="0" w:color="auto"/>
        <w:left w:val="none" w:sz="0" w:space="0" w:color="auto"/>
        <w:bottom w:val="none" w:sz="0" w:space="0" w:color="auto"/>
        <w:right w:val="none" w:sz="0" w:space="0" w:color="auto"/>
      </w:divBdr>
    </w:div>
    <w:div w:id="393360977">
      <w:bodyDiv w:val="1"/>
      <w:marLeft w:val="0"/>
      <w:marRight w:val="0"/>
      <w:marTop w:val="0"/>
      <w:marBottom w:val="0"/>
      <w:divBdr>
        <w:top w:val="none" w:sz="0" w:space="0" w:color="auto"/>
        <w:left w:val="none" w:sz="0" w:space="0" w:color="auto"/>
        <w:bottom w:val="none" w:sz="0" w:space="0" w:color="auto"/>
        <w:right w:val="none" w:sz="0" w:space="0" w:color="auto"/>
      </w:divBdr>
    </w:div>
    <w:div w:id="393822615">
      <w:bodyDiv w:val="1"/>
      <w:marLeft w:val="0"/>
      <w:marRight w:val="0"/>
      <w:marTop w:val="0"/>
      <w:marBottom w:val="0"/>
      <w:divBdr>
        <w:top w:val="none" w:sz="0" w:space="0" w:color="auto"/>
        <w:left w:val="none" w:sz="0" w:space="0" w:color="auto"/>
        <w:bottom w:val="none" w:sz="0" w:space="0" w:color="auto"/>
        <w:right w:val="none" w:sz="0" w:space="0" w:color="auto"/>
      </w:divBdr>
    </w:div>
    <w:div w:id="393965625">
      <w:bodyDiv w:val="1"/>
      <w:marLeft w:val="0"/>
      <w:marRight w:val="0"/>
      <w:marTop w:val="0"/>
      <w:marBottom w:val="0"/>
      <w:divBdr>
        <w:top w:val="none" w:sz="0" w:space="0" w:color="auto"/>
        <w:left w:val="none" w:sz="0" w:space="0" w:color="auto"/>
        <w:bottom w:val="none" w:sz="0" w:space="0" w:color="auto"/>
        <w:right w:val="none" w:sz="0" w:space="0" w:color="auto"/>
      </w:divBdr>
    </w:div>
    <w:div w:id="396779936">
      <w:bodyDiv w:val="1"/>
      <w:marLeft w:val="0"/>
      <w:marRight w:val="0"/>
      <w:marTop w:val="0"/>
      <w:marBottom w:val="0"/>
      <w:divBdr>
        <w:top w:val="none" w:sz="0" w:space="0" w:color="auto"/>
        <w:left w:val="none" w:sz="0" w:space="0" w:color="auto"/>
        <w:bottom w:val="none" w:sz="0" w:space="0" w:color="auto"/>
        <w:right w:val="none" w:sz="0" w:space="0" w:color="auto"/>
      </w:divBdr>
    </w:div>
    <w:div w:id="398677152">
      <w:bodyDiv w:val="1"/>
      <w:marLeft w:val="0"/>
      <w:marRight w:val="0"/>
      <w:marTop w:val="0"/>
      <w:marBottom w:val="0"/>
      <w:divBdr>
        <w:top w:val="none" w:sz="0" w:space="0" w:color="auto"/>
        <w:left w:val="none" w:sz="0" w:space="0" w:color="auto"/>
        <w:bottom w:val="none" w:sz="0" w:space="0" w:color="auto"/>
        <w:right w:val="none" w:sz="0" w:space="0" w:color="auto"/>
      </w:divBdr>
    </w:div>
    <w:div w:id="399642067">
      <w:bodyDiv w:val="1"/>
      <w:marLeft w:val="0"/>
      <w:marRight w:val="0"/>
      <w:marTop w:val="0"/>
      <w:marBottom w:val="0"/>
      <w:divBdr>
        <w:top w:val="none" w:sz="0" w:space="0" w:color="auto"/>
        <w:left w:val="none" w:sz="0" w:space="0" w:color="auto"/>
        <w:bottom w:val="none" w:sz="0" w:space="0" w:color="auto"/>
        <w:right w:val="none" w:sz="0" w:space="0" w:color="auto"/>
      </w:divBdr>
    </w:div>
    <w:div w:id="405224516">
      <w:bodyDiv w:val="1"/>
      <w:marLeft w:val="0"/>
      <w:marRight w:val="0"/>
      <w:marTop w:val="0"/>
      <w:marBottom w:val="0"/>
      <w:divBdr>
        <w:top w:val="none" w:sz="0" w:space="0" w:color="auto"/>
        <w:left w:val="none" w:sz="0" w:space="0" w:color="auto"/>
        <w:bottom w:val="none" w:sz="0" w:space="0" w:color="auto"/>
        <w:right w:val="none" w:sz="0" w:space="0" w:color="auto"/>
      </w:divBdr>
    </w:div>
    <w:div w:id="406612569">
      <w:bodyDiv w:val="1"/>
      <w:marLeft w:val="0"/>
      <w:marRight w:val="0"/>
      <w:marTop w:val="0"/>
      <w:marBottom w:val="0"/>
      <w:divBdr>
        <w:top w:val="none" w:sz="0" w:space="0" w:color="auto"/>
        <w:left w:val="none" w:sz="0" w:space="0" w:color="auto"/>
        <w:bottom w:val="none" w:sz="0" w:space="0" w:color="auto"/>
        <w:right w:val="none" w:sz="0" w:space="0" w:color="auto"/>
      </w:divBdr>
    </w:div>
    <w:div w:id="426539808">
      <w:bodyDiv w:val="1"/>
      <w:marLeft w:val="0"/>
      <w:marRight w:val="0"/>
      <w:marTop w:val="0"/>
      <w:marBottom w:val="0"/>
      <w:divBdr>
        <w:top w:val="none" w:sz="0" w:space="0" w:color="auto"/>
        <w:left w:val="none" w:sz="0" w:space="0" w:color="auto"/>
        <w:bottom w:val="none" w:sz="0" w:space="0" w:color="auto"/>
        <w:right w:val="none" w:sz="0" w:space="0" w:color="auto"/>
      </w:divBdr>
    </w:div>
    <w:div w:id="428551099">
      <w:bodyDiv w:val="1"/>
      <w:marLeft w:val="0"/>
      <w:marRight w:val="0"/>
      <w:marTop w:val="0"/>
      <w:marBottom w:val="0"/>
      <w:divBdr>
        <w:top w:val="none" w:sz="0" w:space="0" w:color="auto"/>
        <w:left w:val="none" w:sz="0" w:space="0" w:color="auto"/>
        <w:bottom w:val="none" w:sz="0" w:space="0" w:color="auto"/>
        <w:right w:val="none" w:sz="0" w:space="0" w:color="auto"/>
      </w:divBdr>
    </w:div>
    <w:div w:id="431442101">
      <w:bodyDiv w:val="1"/>
      <w:marLeft w:val="0"/>
      <w:marRight w:val="0"/>
      <w:marTop w:val="0"/>
      <w:marBottom w:val="0"/>
      <w:divBdr>
        <w:top w:val="none" w:sz="0" w:space="0" w:color="auto"/>
        <w:left w:val="none" w:sz="0" w:space="0" w:color="auto"/>
        <w:bottom w:val="none" w:sz="0" w:space="0" w:color="auto"/>
        <w:right w:val="none" w:sz="0" w:space="0" w:color="auto"/>
      </w:divBdr>
    </w:div>
    <w:div w:id="434373600">
      <w:bodyDiv w:val="1"/>
      <w:marLeft w:val="0"/>
      <w:marRight w:val="0"/>
      <w:marTop w:val="0"/>
      <w:marBottom w:val="0"/>
      <w:divBdr>
        <w:top w:val="none" w:sz="0" w:space="0" w:color="auto"/>
        <w:left w:val="none" w:sz="0" w:space="0" w:color="auto"/>
        <w:bottom w:val="none" w:sz="0" w:space="0" w:color="auto"/>
        <w:right w:val="none" w:sz="0" w:space="0" w:color="auto"/>
      </w:divBdr>
    </w:div>
    <w:div w:id="435448640">
      <w:bodyDiv w:val="1"/>
      <w:marLeft w:val="0"/>
      <w:marRight w:val="0"/>
      <w:marTop w:val="0"/>
      <w:marBottom w:val="0"/>
      <w:divBdr>
        <w:top w:val="none" w:sz="0" w:space="0" w:color="auto"/>
        <w:left w:val="none" w:sz="0" w:space="0" w:color="auto"/>
        <w:bottom w:val="none" w:sz="0" w:space="0" w:color="auto"/>
        <w:right w:val="none" w:sz="0" w:space="0" w:color="auto"/>
      </w:divBdr>
    </w:div>
    <w:div w:id="439032570">
      <w:bodyDiv w:val="1"/>
      <w:marLeft w:val="0"/>
      <w:marRight w:val="0"/>
      <w:marTop w:val="0"/>
      <w:marBottom w:val="0"/>
      <w:divBdr>
        <w:top w:val="none" w:sz="0" w:space="0" w:color="auto"/>
        <w:left w:val="none" w:sz="0" w:space="0" w:color="auto"/>
        <w:bottom w:val="none" w:sz="0" w:space="0" w:color="auto"/>
        <w:right w:val="none" w:sz="0" w:space="0" w:color="auto"/>
      </w:divBdr>
    </w:div>
    <w:div w:id="439641729">
      <w:bodyDiv w:val="1"/>
      <w:marLeft w:val="0"/>
      <w:marRight w:val="0"/>
      <w:marTop w:val="0"/>
      <w:marBottom w:val="0"/>
      <w:divBdr>
        <w:top w:val="none" w:sz="0" w:space="0" w:color="auto"/>
        <w:left w:val="none" w:sz="0" w:space="0" w:color="auto"/>
        <w:bottom w:val="none" w:sz="0" w:space="0" w:color="auto"/>
        <w:right w:val="none" w:sz="0" w:space="0" w:color="auto"/>
      </w:divBdr>
    </w:div>
    <w:div w:id="442696290">
      <w:bodyDiv w:val="1"/>
      <w:marLeft w:val="0"/>
      <w:marRight w:val="0"/>
      <w:marTop w:val="0"/>
      <w:marBottom w:val="0"/>
      <w:divBdr>
        <w:top w:val="none" w:sz="0" w:space="0" w:color="auto"/>
        <w:left w:val="none" w:sz="0" w:space="0" w:color="auto"/>
        <w:bottom w:val="none" w:sz="0" w:space="0" w:color="auto"/>
        <w:right w:val="none" w:sz="0" w:space="0" w:color="auto"/>
      </w:divBdr>
    </w:div>
    <w:div w:id="449713410">
      <w:bodyDiv w:val="1"/>
      <w:marLeft w:val="0"/>
      <w:marRight w:val="0"/>
      <w:marTop w:val="0"/>
      <w:marBottom w:val="0"/>
      <w:divBdr>
        <w:top w:val="none" w:sz="0" w:space="0" w:color="auto"/>
        <w:left w:val="none" w:sz="0" w:space="0" w:color="auto"/>
        <w:bottom w:val="none" w:sz="0" w:space="0" w:color="auto"/>
        <w:right w:val="none" w:sz="0" w:space="0" w:color="auto"/>
      </w:divBdr>
    </w:div>
    <w:div w:id="477722405">
      <w:bodyDiv w:val="1"/>
      <w:marLeft w:val="0"/>
      <w:marRight w:val="0"/>
      <w:marTop w:val="0"/>
      <w:marBottom w:val="0"/>
      <w:divBdr>
        <w:top w:val="none" w:sz="0" w:space="0" w:color="auto"/>
        <w:left w:val="none" w:sz="0" w:space="0" w:color="auto"/>
        <w:bottom w:val="none" w:sz="0" w:space="0" w:color="auto"/>
        <w:right w:val="none" w:sz="0" w:space="0" w:color="auto"/>
      </w:divBdr>
    </w:div>
    <w:div w:id="479155449">
      <w:bodyDiv w:val="1"/>
      <w:marLeft w:val="0"/>
      <w:marRight w:val="0"/>
      <w:marTop w:val="0"/>
      <w:marBottom w:val="0"/>
      <w:divBdr>
        <w:top w:val="none" w:sz="0" w:space="0" w:color="auto"/>
        <w:left w:val="none" w:sz="0" w:space="0" w:color="auto"/>
        <w:bottom w:val="none" w:sz="0" w:space="0" w:color="auto"/>
        <w:right w:val="none" w:sz="0" w:space="0" w:color="auto"/>
      </w:divBdr>
    </w:div>
    <w:div w:id="481625092">
      <w:bodyDiv w:val="1"/>
      <w:marLeft w:val="0"/>
      <w:marRight w:val="0"/>
      <w:marTop w:val="0"/>
      <w:marBottom w:val="0"/>
      <w:divBdr>
        <w:top w:val="none" w:sz="0" w:space="0" w:color="auto"/>
        <w:left w:val="none" w:sz="0" w:space="0" w:color="auto"/>
        <w:bottom w:val="none" w:sz="0" w:space="0" w:color="auto"/>
        <w:right w:val="none" w:sz="0" w:space="0" w:color="auto"/>
      </w:divBdr>
    </w:div>
    <w:div w:id="484903088">
      <w:bodyDiv w:val="1"/>
      <w:marLeft w:val="0"/>
      <w:marRight w:val="0"/>
      <w:marTop w:val="0"/>
      <w:marBottom w:val="0"/>
      <w:divBdr>
        <w:top w:val="none" w:sz="0" w:space="0" w:color="auto"/>
        <w:left w:val="none" w:sz="0" w:space="0" w:color="auto"/>
        <w:bottom w:val="none" w:sz="0" w:space="0" w:color="auto"/>
        <w:right w:val="none" w:sz="0" w:space="0" w:color="auto"/>
      </w:divBdr>
    </w:div>
    <w:div w:id="494803096">
      <w:bodyDiv w:val="1"/>
      <w:marLeft w:val="0"/>
      <w:marRight w:val="0"/>
      <w:marTop w:val="0"/>
      <w:marBottom w:val="0"/>
      <w:divBdr>
        <w:top w:val="none" w:sz="0" w:space="0" w:color="auto"/>
        <w:left w:val="none" w:sz="0" w:space="0" w:color="auto"/>
        <w:bottom w:val="none" w:sz="0" w:space="0" w:color="auto"/>
        <w:right w:val="none" w:sz="0" w:space="0" w:color="auto"/>
      </w:divBdr>
    </w:div>
    <w:div w:id="496774289">
      <w:bodyDiv w:val="1"/>
      <w:marLeft w:val="0"/>
      <w:marRight w:val="0"/>
      <w:marTop w:val="0"/>
      <w:marBottom w:val="0"/>
      <w:divBdr>
        <w:top w:val="none" w:sz="0" w:space="0" w:color="auto"/>
        <w:left w:val="none" w:sz="0" w:space="0" w:color="auto"/>
        <w:bottom w:val="none" w:sz="0" w:space="0" w:color="auto"/>
        <w:right w:val="none" w:sz="0" w:space="0" w:color="auto"/>
      </w:divBdr>
    </w:div>
    <w:div w:id="503013905">
      <w:bodyDiv w:val="1"/>
      <w:marLeft w:val="0"/>
      <w:marRight w:val="0"/>
      <w:marTop w:val="0"/>
      <w:marBottom w:val="0"/>
      <w:divBdr>
        <w:top w:val="none" w:sz="0" w:space="0" w:color="auto"/>
        <w:left w:val="none" w:sz="0" w:space="0" w:color="auto"/>
        <w:bottom w:val="none" w:sz="0" w:space="0" w:color="auto"/>
        <w:right w:val="none" w:sz="0" w:space="0" w:color="auto"/>
      </w:divBdr>
    </w:div>
    <w:div w:id="503783262">
      <w:bodyDiv w:val="1"/>
      <w:marLeft w:val="0"/>
      <w:marRight w:val="0"/>
      <w:marTop w:val="0"/>
      <w:marBottom w:val="0"/>
      <w:divBdr>
        <w:top w:val="none" w:sz="0" w:space="0" w:color="auto"/>
        <w:left w:val="none" w:sz="0" w:space="0" w:color="auto"/>
        <w:bottom w:val="none" w:sz="0" w:space="0" w:color="auto"/>
        <w:right w:val="none" w:sz="0" w:space="0" w:color="auto"/>
      </w:divBdr>
    </w:div>
    <w:div w:id="508370498">
      <w:bodyDiv w:val="1"/>
      <w:marLeft w:val="0"/>
      <w:marRight w:val="0"/>
      <w:marTop w:val="0"/>
      <w:marBottom w:val="0"/>
      <w:divBdr>
        <w:top w:val="none" w:sz="0" w:space="0" w:color="auto"/>
        <w:left w:val="none" w:sz="0" w:space="0" w:color="auto"/>
        <w:bottom w:val="none" w:sz="0" w:space="0" w:color="auto"/>
        <w:right w:val="none" w:sz="0" w:space="0" w:color="auto"/>
      </w:divBdr>
    </w:div>
    <w:div w:id="510486347">
      <w:bodyDiv w:val="1"/>
      <w:marLeft w:val="0"/>
      <w:marRight w:val="0"/>
      <w:marTop w:val="0"/>
      <w:marBottom w:val="0"/>
      <w:divBdr>
        <w:top w:val="none" w:sz="0" w:space="0" w:color="auto"/>
        <w:left w:val="none" w:sz="0" w:space="0" w:color="auto"/>
        <w:bottom w:val="none" w:sz="0" w:space="0" w:color="auto"/>
        <w:right w:val="none" w:sz="0" w:space="0" w:color="auto"/>
      </w:divBdr>
    </w:div>
    <w:div w:id="520826129">
      <w:bodyDiv w:val="1"/>
      <w:marLeft w:val="0"/>
      <w:marRight w:val="0"/>
      <w:marTop w:val="0"/>
      <w:marBottom w:val="0"/>
      <w:divBdr>
        <w:top w:val="none" w:sz="0" w:space="0" w:color="auto"/>
        <w:left w:val="none" w:sz="0" w:space="0" w:color="auto"/>
        <w:bottom w:val="none" w:sz="0" w:space="0" w:color="auto"/>
        <w:right w:val="none" w:sz="0" w:space="0" w:color="auto"/>
      </w:divBdr>
    </w:div>
    <w:div w:id="524289030">
      <w:bodyDiv w:val="1"/>
      <w:marLeft w:val="0"/>
      <w:marRight w:val="0"/>
      <w:marTop w:val="0"/>
      <w:marBottom w:val="0"/>
      <w:divBdr>
        <w:top w:val="none" w:sz="0" w:space="0" w:color="auto"/>
        <w:left w:val="none" w:sz="0" w:space="0" w:color="auto"/>
        <w:bottom w:val="none" w:sz="0" w:space="0" w:color="auto"/>
        <w:right w:val="none" w:sz="0" w:space="0" w:color="auto"/>
      </w:divBdr>
    </w:div>
    <w:div w:id="526063726">
      <w:bodyDiv w:val="1"/>
      <w:marLeft w:val="0"/>
      <w:marRight w:val="0"/>
      <w:marTop w:val="0"/>
      <w:marBottom w:val="0"/>
      <w:divBdr>
        <w:top w:val="none" w:sz="0" w:space="0" w:color="auto"/>
        <w:left w:val="none" w:sz="0" w:space="0" w:color="auto"/>
        <w:bottom w:val="none" w:sz="0" w:space="0" w:color="auto"/>
        <w:right w:val="none" w:sz="0" w:space="0" w:color="auto"/>
      </w:divBdr>
    </w:div>
    <w:div w:id="526604884">
      <w:bodyDiv w:val="1"/>
      <w:marLeft w:val="0"/>
      <w:marRight w:val="0"/>
      <w:marTop w:val="0"/>
      <w:marBottom w:val="0"/>
      <w:divBdr>
        <w:top w:val="none" w:sz="0" w:space="0" w:color="auto"/>
        <w:left w:val="none" w:sz="0" w:space="0" w:color="auto"/>
        <w:bottom w:val="none" w:sz="0" w:space="0" w:color="auto"/>
        <w:right w:val="none" w:sz="0" w:space="0" w:color="auto"/>
      </w:divBdr>
    </w:div>
    <w:div w:id="532423783">
      <w:bodyDiv w:val="1"/>
      <w:marLeft w:val="0"/>
      <w:marRight w:val="0"/>
      <w:marTop w:val="0"/>
      <w:marBottom w:val="0"/>
      <w:divBdr>
        <w:top w:val="none" w:sz="0" w:space="0" w:color="auto"/>
        <w:left w:val="none" w:sz="0" w:space="0" w:color="auto"/>
        <w:bottom w:val="none" w:sz="0" w:space="0" w:color="auto"/>
        <w:right w:val="none" w:sz="0" w:space="0" w:color="auto"/>
      </w:divBdr>
    </w:div>
    <w:div w:id="534199340">
      <w:bodyDiv w:val="1"/>
      <w:marLeft w:val="0"/>
      <w:marRight w:val="0"/>
      <w:marTop w:val="0"/>
      <w:marBottom w:val="0"/>
      <w:divBdr>
        <w:top w:val="none" w:sz="0" w:space="0" w:color="auto"/>
        <w:left w:val="none" w:sz="0" w:space="0" w:color="auto"/>
        <w:bottom w:val="none" w:sz="0" w:space="0" w:color="auto"/>
        <w:right w:val="none" w:sz="0" w:space="0" w:color="auto"/>
      </w:divBdr>
    </w:div>
    <w:div w:id="537469791">
      <w:bodyDiv w:val="1"/>
      <w:marLeft w:val="0"/>
      <w:marRight w:val="0"/>
      <w:marTop w:val="0"/>
      <w:marBottom w:val="0"/>
      <w:divBdr>
        <w:top w:val="none" w:sz="0" w:space="0" w:color="auto"/>
        <w:left w:val="none" w:sz="0" w:space="0" w:color="auto"/>
        <w:bottom w:val="none" w:sz="0" w:space="0" w:color="auto"/>
        <w:right w:val="none" w:sz="0" w:space="0" w:color="auto"/>
      </w:divBdr>
    </w:div>
    <w:div w:id="541134365">
      <w:bodyDiv w:val="1"/>
      <w:marLeft w:val="0"/>
      <w:marRight w:val="0"/>
      <w:marTop w:val="0"/>
      <w:marBottom w:val="0"/>
      <w:divBdr>
        <w:top w:val="none" w:sz="0" w:space="0" w:color="auto"/>
        <w:left w:val="none" w:sz="0" w:space="0" w:color="auto"/>
        <w:bottom w:val="none" w:sz="0" w:space="0" w:color="auto"/>
        <w:right w:val="none" w:sz="0" w:space="0" w:color="auto"/>
      </w:divBdr>
    </w:div>
    <w:div w:id="547301935">
      <w:bodyDiv w:val="1"/>
      <w:marLeft w:val="0"/>
      <w:marRight w:val="0"/>
      <w:marTop w:val="0"/>
      <w:marBottom w:val="0"/>
      <w:divBdr>
        <w:top w:val="none" w:sz="0" w:space="0" w:color="auto"/>
        <w:left w:val="none" w:sz="0" w:space="0" w:color="auto"/>
        <w:bottom w:val="none" w:sz="0" w:space="0" w:color="auto"/>
        <w:right w:val="none" w:sz="0" w:space="0" w:color="auto"/>
      </w:divBdr>
    </w:div>
    <w:div w:id="551962517">
      <w:bodyDiv w:val="1"/>
      <w:marLeft w:val="0"/>
      <w:marRight w:val="0"/>
      <w:marTop w:val="0"/>
      <w:marBottom w:val="0"/>
      <w:divBdr>
        <w:top w:val="none" w:sz="0" w:space="0" w:color="auto"/>
        <w:left w:val="none" w:sz="0" w:space="0" w:color="auto"/>
        <w:bottom w:val="none" w:sz="0" w:space="0" w:color="auto"/>
        <w:right w:val="none" w:sz="0" w:space="0" w:color="auto"/>
      </w:divBdr>
    </w:div>
    <w:div w:id="566647276">
      <w:bodyDiv w:val="1"/>
      <w:marLeft w:val="0"/>
      <w:marRight w:val="0"/>
      <w:marTop w:val="0"/>
      <w:marBottom w:val="0"/>
      <w:divBdr>
        <w:top w:val="none" w:sz="0" w:space="0" w:color="auto"/>
        <w:left w:val="none" w:sz="0" w:space="0" w:color="auto"/>
        <w:bottom w:val="none" w:sz="0" w:space="0" w:color="auto"/>
        <w:right w:val="none" w:sz="0" w:space="0" w:color="auto"/>
      </w:divBdr>
    </w:div>
    <w:div w:id="568078497">
      <w:bodyDiv w:val="1"/>
      <w:marLeft w:val="0"/>
      <w:marRight w:val="0"/>
      <w:marTop w:val="0"/>
      <w:marBottom w:val="0"/>
      <w:divBdr>
        <w:top w:val="none" w:sz="0" w:space="0" w:color="auto"/>
        <w:left w:val="none" w:sz="0" w:space="0" w:color="auto"/>
        <w:bottom w:val="none" w:sz="0" w:space="0" w:color="auto"/>
        <w:right w:val="none" w:sz="0" w:space="0" w:color="auto"/>
      </w:divBdr>
    </w:div>
    <w:div w:id="576938375">
      <w:bodyDiv w:val="1"/>
      <w:marLeft w:val="0"/>
      <w:marRight w:val="0"/>
      <w:marTop w:val="0"/>
      <w:marBottom w:val="0"/>
      <w:divBdr>
        <w:top w:val="none" w:sz="0" w:space="0" w:color="auto"/>
        <w:left w:val="none" w:sz="0" w:space="0" w:color="auto"/>
        <w:bottom w:val="none" w:sz="0" w:space="0" w:color="auto"/>
        <w:right w:val="none" w:sz="0" w:space="0" w:color="auto"/>
      </w:divBdr>
    </w:div>
    <w:div w:id="602500114">
      <w:bodyDiv w:val="1"/>
      <w:marLeft w:val="0"/>
      <w:marRight w:val="0"/>
      <w:marTop w:val="0"/>
      <w:marBottom w:val="0"/>
      <w:divBdr>
        <w:top w:val="none" w:sz="0" w:space="0" w:color="auto"/>
        <w:left w:val="none" w:sz="0" w:space="0" w:color="auto"/>
        <w:bottom w:val="none" w:sz="0" w:space="0" w:color="auto"/>
        <w:right w:val="none" w:sz="0" w:space="0" w:color="auto"/>
      </w:divBdr>
    </w:div>
    <w:div w:id="603197994">
      <w:bodyDiv w:val="1"/>
      <w:marLeft w:val="0"/>
      <w:marRight w:val="0"/>
      <w:marTop w:val="0"/>
      <w:marBottom w:val="0"/>
      <w:divBdr>
        <w:top w:val="none" w:sz="0" w:space="0" w:color="auto"/>
        <w:left w:val="none" w:sz="0" w:space="0" w:color="auto"/>
        <w:bottom w:val="none" w:sz="0" w:space="0" w:color="auto"/>
        <w:right w:val="none" w:sz="0" w:space="0" w:color="auto"/>
      </w:divBdr>
    </w:div>
    <w:div w:id="608394683">
      <w:bodyDiv w:val="1"/>
      <w:marLeft w:val="0"/>
      <w:marRight w:val="0"/>
      <w:marTop w:val="0"/>
      <w:marBottom w:val="0"/>
      <w:divBdr>
        <w:top w:val="none" w:sz="0" w:space="0" w:color="auto"/>
        <w:left w:val="none" w:sz="0" w:space="0" w:color="auto"/>
        <w:bottom w:val="none" w:sz="0" w:space="0" w:color="auto"/>
        <w:right w:val="none" w:sz="0" w:space="0" w:color="auto"/>
      </w:divBdr>
    </w:div>
    <w:div w:id="609437952">
      <w:bodyDiv w:val="1"/>
      <w:marLeft w:val="0"/>
      <w:marRight w:val="0"/>
      <w:marTop w:val="0"/>
      <w:marBottom w:val="0"/>
      <w:divBdr>
        <w:top w:val="none" w:sz="0" w:space="0" w:color="auto"/>
        <w:left w:val="none" w:sz="0" w:space="0" w:color="auto"/>
        <w:bottom w:val="none" w:sz="0" w:space="0" w:color="auto"/>
        <w:right w:val="none" w:sz="0" w:space="0" w:color="auto"/>
      </w:divBdr>
    </w:div>
    <w:div w:id="614869239">
      <w:bodyDiv w:val="1"/>
      <w:marLeft w:val="0"/>
      <w:marRight w:val="0"/>
      <w:marTop w:val="0"/>
      <w:marBottom w:val="0"/>
      <w:divBdr>
        <w:top w:val="none" w:sz="0" w:space="0" w:color="auto"/>
        <w:left w:val="none" w:sz="0" w:space="0" w:color="auto"/>
        <w:bottom w:val="none" w:sz="0" w:space="0" w:color="auto"/>
        <w:right w:val="none" w:sz="0" w:space="0" w:color="auto"/>
      </w:divBdr>
    </w:div>
    <w:div w:id="617220162">
      <w:bodyDiv w:val="1"/>
      <w:marLeft w:val="0"/>
      <w:marRight w:val="0"/>
      <w:marTop w:val="0"/>
      <w:marBottom w:val="0"/>
      <w:divBdr>
        <w:top w:val="none" w:sz="0" w:space="0" w:color="auto"/>
        <w:left w:val="none" w:sz="0" w:space="0" w:color="auto"/>
        <w:bottom w:val="none" w:sz="0" w:space="0" w:color="auto"/>
        <w:right w:val="none" w:sz="0" w:space="0" w:color="auto"/>
      </w:divBdr>
    </w:div>
    <w:div w:id="623002792">
      <w:bodyDiv w:val="1"/>
      <w:marLeft w:val="0"/>
      <w:marRight w:val="0"/>
      <w:marTop w:val="0"/>
      <w:marBottom w:val="0"/>
      <w:divBdr>
        <w:top w:val="none" w:sz="0" w:space="0" w:color="auto"/>
        <w:left w:val="none" w:sz="0" w:space="0" w:color="auto"/>
        <w:bottom w:val="none" w:sz="0" w:space="0" w:color="auto"/>
        <w:right w:val="none" w:sz="0" w:space="0" w:color="auto"/>
      </w:divBdr>
    </w:div>
    <w:div w:id="624238652">
      <w:bodyDiv w:val="1"/>
      <w:marLeft w:val="0"/>
      <w:marRight w:val="0"/>
      <w:marTop w:val="0"/>
      <w:marBottom w:val="0"/>
      <w:divBdr>
        <w:top w:val="none" w:sz="0" w:space="0" w:color="auto"/>
        <w:left w:val="none" w:sz="0" w:space="0" w:color="auto"/>
        <w:bottom w:val="none" w:sz="0" w:space="0" w:color="auto"/>
        <w:right w:val="none" w:sz="0" w:space="0" w:color="auto"/>
      </w:divBdr>
    </w:div>
    <w:div w:id="630596648">
      <w:bodyDiv w:val="1"/>
      <w:marLeft w:val="0"/>
      <w:marRight w:val="0"/>
      <w:marTop w:val="0"/>
      <w:marBottom w:val="0"/>
      <w:divBdr>
        <w:top w:val="none" w:sz="0" w:space="0" w:color="auto"/>
        <w:left w:val="none" w:sz="0" w:space="0" w:color="auto"/>
        <w:bottom w:val="none" w:sz="0" w:space="0" w:color="auto"/>
        <w:right w:val="none" w:sz="0" w:space="0" w:color="auto"/>
      </w:divBdr>
    </w:div>
    <w:div w:id="631787744">
      <w:bodyDiv w:val="1"/>
      <w:marLeft w:val="0"/>
      <w:marRight w:val="0"/>
      <w:marTop w:val="0"/>
      <w:marBottom w:val="0"/>
      <w:divBdr>
        <w:top w:val="none" w:sz="0" w:space="0" w:color="auto"/>
        <w:left w:val="none" w:sz="0" w:space="0" w:color="auto"/>
        <w:bottom w:val="none" w:sz="0" w:space="0" w:color="auto"/>
        <w:right w:val="none" w:sz="0" w:space="0" w:color="auto"/>
      </w:divBdr>
    </w:div>
    <w:div w:id="634681074">
      <w:bodyDiv w:val="1"/>
      <w:marLeft w:val="0"/>
      <w:marRight w:val="0"/>
      <w:marTop w:val="0"/>
      <w:marBottom w:val="0"/>
      <w:divBdr>
        <w:top w:val="none" w:sz="0" w:space="0" w:color="auto"/>
        <w:left w:val="none" w:sz="0" w:space="0" w:color="auto"/>
        <w:bottom w:val="none" w:sz="0" w:space="0" w:color="auto"/>
        <w:right w:val="none" w:sz="0" w:space="0" w:color="auto"/>
      </w:divBdr>
    </w:div>
    <w:div w:id="656156510">
      <w:bodyDiv w:val="1"/>
      <w:marLeft w:val="0"/>
      <w:marRight w:val="0"/>
      <w:marTop w:val="0"/>
      <w:marBottom w:val="0"/>
      <w:divBdr>
        <w:top w:val="none" w:sz="0" w:space="0" w:color="auto"/>
        <w:left w:val="none" w:sz="0" w:space="0" w:color="auto"/>
        <w:bottom w:val="none" w:sz="0" w:space="0" w:color="auto"/>
        <w:right w:val="none" w:sz="0" w:space="0" w:color="auto"/>
      </w:divBdr>
    </w:div>
    <w:div w:id="661011385">
      <w:bodyDiv w:val="1"/>
      <w:marLeft w:val="0"/>
      <w:marRight w:val="0"/>
      <w:marTop w:val="0"/>
      <w:marBottom w:val="0"/>
      <w:divBdr>
        <w:top w:val="none" w:sz="0" w:space="0" w:color="auto"/>
        <w:left w:val="none" w:sz="0" w:space="0" w:color="auto"/>
        <w:bottom w:val="none" w:sz="0" w:space="0" w:color="auto"/>
        <w:right w:val="none" w:sz="0" w:space="0" w:color="auto"/>
      </w:divBdr>
    </w:div>
    <w:div w:id="663554616">
      <w:bodyDiv w:val="1"/>
      <w:marLeft w:val="0"/>
      <w:marRight w:val="0"/>
      <w:marTop w:val="0"/>
      <w:marBottom w:val="0"/>
      <w:divBdr>
        <w:top w:val="none" w:sz="0" w:space="0" w:color="auto"/>
        <w:left w:val="none" w:sz="0" w:space="0" w:color="auto"/>
        <w:bottom w:val="none" w:sz="0" w:space="0" w:color="auto"/>
        <w:right w:val="none" w:sz="0" w:space="0" w:color="auto"/>
      </w:divBdr>
    </w:div>
    <w:div w:id="667946327">
      <w:bodyDiv w:val="1"/>
      <w:marLeft w:val="0"/>
      <w:marRight w:val="0"/>
      <w:marTop w:val="0"/>
      <w:marBottom w:val="0"/>
      <w:divBdr>
        <w:top w:val="none" w:sz="0" w:space="0" w:color="auto"/>
        <w:left w:val="none" w:sz="0" w:space="0" w:color="auto"/>
        <w:bottom w:val="none" w:sz="0" w:space="0" w:color="auto"/>
        <w:right w:val="none" w:sz="0" w:space="0" w:color="auto"/>
      </w:divBdr>
    </w:div>
    <w:div w:id="669023796">
      <w:bodyDiv w:val="1"/>
      <w:marLeft w:val="0"/>
      <w:marRight w:val="0"/>
      <w:marTop w:val="0"/>
      <w:marBottom w:val="0"/>
      <w:divBdr>
        <w:top w:val="none" w:sz="0" w:space="0" w:color="auto"/>
        <w:left w:val="none" w:sz="0" w:space="0" w:color="auto"/>
        <w:bottom w:val="none" w:sz="0" w:space="0" w:color="auto"/>
        <w:right w:val="none" w:sz="0" w:space="0" w:color="auto"/>
      </w:divBdr>
    </w:div>
    <w:div w:id="683360700">
      <w:bodyDiv w:val="1"/>
      <w:marLeft w:val="0"/>
      <w:marRight w:val="0"/>
      <w:marTop w:val="0"/>
      <w:marBottom w:val="0"/>
      <w:divBdr>
        <w:top w:val="none" w:sz="0" w:space="0" w:color="auto"/>
        <w:left w:val="none" w:sz="0" w:space="0" w:color="auto"/>
        <w:bottom w:val="none" w:sz="0" w:space="0" w:color="auto"/>
        <w:right w:val="none" w:sz="0" w:space="0" w:color="auto"/>
      </w:divBdr>
    </w:div>
    <w:div w:id="689065633">
      <w:bodyDiv w:val="1"/>
      <w:marLeft w:val="0"/>
      <w:marRight w:val="0"/>
      <w:marTop w:val="0"/>
      <w:marBottom w:val="0"/>
      <w:divBdr>
        <w:top w:val="none" w:sz="0" w:space="0" w:color="auto"/>
        <w:left w:val="none" w:sz="0" w:space="0" w:color="auto"/>
        <w:bottom w:val="none" w:sz="0" w:space="0" w:color="auto"/>
        <w:right w:val="none" w:sz="0" w:space="0" w:color="auto"/>
      </w:divBdr>
    </w:div>
    <w:div w:id="690376527">
      <w:bodyDiv w:val="1"/>
      <w:marLeft w:val="0"/>
      <w:marRight w:val="0"/>
      <w:marTop w:val="0"/>
      <w:marBottom w:val="0"/>
      <w:divBdr>
        <w:top w:val="none" w:sz="0" w:space="0" w:color="auto"/>
        <w:left w:val="none" w:sz="0" w:space="0" w:color="auto"/>
        <w:bottom w:val="none" w:sz="0" w:space="0" w:color="auto"/>
        <w:right w:val="none" w:sz="0" w:space="0" w:color="auto"/>
      </w:divBdr>
    </w:div>
    <w:div w:id="692270484">
      <w:bodyDiv w:val="1"/>
      <w:marLeft w:val="0"/>
      <w:marRight w:val="0"/>
      <w:marTop w:val="0"/>
      <w:marBottom w:val="0"/>
      <w:divBdr>
        <w:top w:val="none" w:sz="0" w:space="0" w:color="auto"/>
        <w:left w:val="none" w:sz="0" w:space="0" w:color="auto"/>
        <w:bottom w:val="none" w:sz="0" w:space="0" w:color="auto"/>
        <w:right w:val="none" w:sz="0" w:space="0" w:color="auto"/>
      </w:divBdr>
    </w:div>
    <w:div w:id="693771118">
      <w:bodyDiv w:val="1"/>
      <w:marLeft w:val="0"/>
      <w:marRight w:val="0"/>
      <w:marTop w:val="0"/>
      <w:marBottom w:val="0"/>
      <w:divBdr>
        <w:top w:val="none" w:sz="0" w:space="0" w:color="auto"/>
        <w:left w:val="none" w:sz="0" w:space="0" w:color="auto"/>
        <w:bottom w:val="none" w:sz="0" w:space="0" w:color="auto"/>
        <w:right w:val="none" w:sz="0" w:space="0" w:color="auto"/>
      </w:divBdr>
    </w:div>
    <w:div w:id="701132675">
      <w:bodyDiv w:val="1"/>
      <w:marLeft w:val="0"/>
      <w:marRight w:val="0"/>
      <w:marTop w:val="0"/>
      <w:marBottom w:val="0"/>
      <w:divBdr>
        <w:top w:val="none" w:sz="0" w:space="0" w:color="auto"/>
        <w:left w:val="none" w:sz="0" w:space="0" w:color="auto"/>
        <w:bottom w:val="none" w:sz="0" w:space="0" w:color="auto"/>
        <w:right w:val="none" w:sz="0" w:space="0" w:color="auto"/>
      </w:divBdr>
    </w:div>
    <w:div w:id="706026675">
      <w:bodyDiv w:val="1"/>
      <w:marLeft w:val="0"/>
      <w:marRight w:val="0"/>
      <w:marTop w:val="0"/>
      <w:marBottom w:val="0"/>
      <w:divBdr>
        <w:top w:val="none" w:sz="0" w:space="0" w:color="auto"/>
        <w:left w:val="none" w:sz="0" w:space="0" w:color="auto"/>
        <w:bottom w:val="none" w:sz="0" w:space="0" w:color="auto"/>
        <w:right w:val="none" w:sz="0" w:space="0" w:color="auto"/>
      </w:divBdr>
    </w:div>
    <w:div w:id="714157289">
      <w:bodyDiv w:val="1"/>
      <w:marLeft w:val="0"/>
      <w:marRight w:val="0"/>
      <w:marTop w:val="0"/>
      <w:marBottom w:val="0"/>
      <w:divBdr>
        <w:top w:val="none" w:sz="0" w:space="0" w:color="auto"/>
        <w:left w:val="none" w:sz="0" w:space="0" w:color="auto"/>
        <w:bottom w:val="none" w:sz="0" w:space="0" w:color="auto"/>
        <w:right w:val="none" w:sz="0" w:space="0" w:color="auto"/>
      </w:divBdr>
    </w:div>
    <w:div w:id="722480826">
      <w:bodyDiv w:val="1"/>
      <w:marLeft w:val="0"/>
      <w:marRight w:val="0"/>
      <w:marTop w:val="0"/>
      <w:marBottom w:val="0"/>
      <w:divBdr>
        <w:top w:val="none" w:sz="0" w:space="0" w:color="auto"/>
        <w:left w:val="none" w:sz="0" w:space="0" w:color="auto"/>
        <w:bottom w:val="none" w:sz="0" w:space="0" w:color="auto"/>
        <w:right w:val="none" w:sz="0" w:space="0" w:color="auto"/>
      </w:divBdr>
    </w:div>
    <w:div w:id="730691993">
      <w:bodyDiv w:val="1"/>
      <w:marLeft w:val="0"/>
      <w:marRight w:val="0"/>
      <w:marTop w:val="0"/>
      <w:marBottom w:val="0"/>
      <w:divBdr>
        <w:top w:val="none" w:sz="0" w:space="0" w:color="auto"/>
        <w:left w:val="none" w:sz="0" w:space="0" w:color="auto"/>
        <w:bottom w:val="none" w:sz="0" w:space="0" w:color="auto"/>
        <w:right w:val="none" w:sz="0" w:space="0" w:color="auto"/>
      </w:divBdr>
    </w:div>
    <w:div w:id="734475479">
      <w:bodyDiv w:val="1"/>
      <w:marLeft w:val="0"/>
      <w:marRight w:val="0"/>
      <w:marTop w:val="0"/>
      <w:marBottom w:val="0"/>
      <w:divBdr>
        <w:top w:val="none" w:sz="0" w:space="0" w:color="auto"/>
        <w:left w:val="none" w:sz="0" w:space="0" w:color="auto"/>
        <w:bottom w:val="none" w:sz="0" w:space="0" w:color="auto"/>
        <w:right w:val="none" w:sz="0" w:space="0" w:color="auto"/>
      </w:divBdr>
    </w:div>
    <w:div w:id="738475684">
      <w:bodyDiv w:val="1"/>
      <w:marLeft w:val="0"/>
      <w:marRight w:val="0"/>
      <w:marTop w:val="0"/>
      <w:marBottom w:val="0"/>
      <w:divBdr>
        <w:top w:val="none" w:sz="0" w:space="0" w:color="auto"/>
        <w:left w:val="none" w:sz="0" w:space="0" w:color="auto"/>
        <w:bottom w:val="none" w:sz="0" w:space="0" w:color="auto"/>
        <w:right w:val="none" w:sz="0" w:space="0" w:color="auto"/>
      </w:divBdr>
    </w:div>
    <w:div w:id="740178186">
      <w:bodyDiv w:val="1"/>
      <w:marLeft w:val="0"/>
      <w:marRight w:val="0"/>
      <w:marTop w:val="0"/>
      <w:marBottom w:val="0"/>
      <w:divBdr>
        <w:top w:val="none" w:sz="0" w:space="0" w:color="auto"/>
        <w:left w:val="none" w:sz="0" w:space="0" w:color="auto"/>
        <w:bottom w:val="none" w:sz="0" w:space="0" w:color="auto"/>
        <w:right w:val="none" w:sz="0" w:space="0" w:color="auto"/>
      </w:divBdr>
    </w:div>
    <w:div w:id="741217929">
      <w:bodyDiv w:val="1"/>
      <w:marLeft w:val="0"/>
      <w:marRight w:val="0"/>
      <w:marTop w:val="0"/>
      <w:marBottom w:val="0"/>
      <w:divBdr>
        <w:top w:val="none" w:sz="0" w:space="0" w:color="auto"/>
        <w:left w:val="none" w:sz="0" w:space="0" w:color="auto"/>
        <w:bottom w:val="none" w:sz="0" w:space="0" w:color="auto"/>
        <w:right w:val="none" w:sz="0" w:space="0" w:color="auto"/>
      </w:divBdr>
    </w:div>
    <w:div w:id="742220187">
      <w:bodyDiv w:val="1"/>
      <w:marLeft w:val="0"/>
      <w:marRight w:val="0"/>
      <w:marTop w:val="0"/>
      <w:marBottom w:val="0"/>
      <w:divBdr>
        <w:top w:val="none" w:sz="0" w:space="0" w:color="auto"/>
        <w:left w:val="none" w:sz="0" w:space="0" w:color="auto"/>
        <w:bottom w:val="none" w:sz="0" w:space="0" w:color="auto"/>
        <w:right w:val="none" w:sz="0" w:space="0" w:color="auto"/>
      </w:divBdr>
    </w:div>
    <w:div w:id="752245456">
      <w:bodyDiv w:val="1"/>
      <w:marLeft w:val="0"/>
      <w:marRight w:val="0"/>
      <w:marTop w:val="0"/>
      <w:marBottom w:val="0"/>
      <w:divBdr>
        <w:top w:val="none" w:sz="0" w:space="0" w:color="auto"/>
        <w:left w:val="none" w:sz="0" w:space="0" w:color="auto"/>
        <w:bottom w:val="none" w:sz="0" w:space="0" w:color="auto"/>
        <w:right w:val="none" w:sz="0" w:space="0" w:color="auto"/>
      </w:divBdr>
    </w:div>
    <w:div w:id="754982849">
      <w:bodyDiv w:val="1"/>
      <w:marLeft w:val="0"/>
      <w:marRight w:val="0"/>
      <w:marTop w:val="0"/>
      <w:marBottom w:val="0"/>
      <w:divBdr>
        <w:top w:val="none" w:sz="0" w:space="0" w:color="auto"/>
        <w:left w:val="none" w:sz="0" w:space="0" w:color="auto"/>
        <w:bottom w:val="none" w:sz="0" w:space="0" w:color="auto"/>
        <w:right w:val="none" w:sz="0" w:space="0" w:color="auto"/>
      </w:divBdr>
    </w:div>
    <w:div w:id="756101136">
      <w:bodyDiv w:val="1"/>
      <w:marLeft w:val="0"/>
      <w:marRight w:val="0"/>
      <w:marTop w:val="0"/>
      <w:marBottom w:val="0"/>
      <w:divBdr>
        <w:top w:val="none" w:sz="0" w:space="0" w:color="auto"/>
        <w:left w:val="none" w:sz="0" w:space="0" w:color="auto"/>
        <w:bottom w:val="none" w:sz="0" w:space="0" w:color="auto"/>
        <w:right w:val="none" w:sz="0" w:space="0" w:color="auto"/>
      </w:divBdr>
    </w:div>
    <w:div w:id="764108385">
      <w:bodyDiv w:val="1"/>
      <w:marLeft w:val="0"/>
      <w:marRight w:val="0"/>
      <w:marTop w:val="0"/>
      <w:marBottom w:val="0"/>
      <w:divBdr>
        <w:top w:val="none" w:sz="0" w:space="0" w:color="auto"/>
        <w:left w:val="none" w:sz="0" w:space="0" w:color="auto"/>
        <w:bottom w:val="none" w:sz="0" w:space="0" w:color="auto"/>
        <w:right w:val="none" w:sz="0" w:space="0" w:color="auto"/>
      </w:divBdr>
    </w:div>
    <w:div w:id="764377752">
      <w:bodyDiv w:val="1"/>
      <w:marLeft w:val="0"/>
      <w:marRight w:val="0"/>
      <w:marTop w:val="0"/>
      <w:marBottom w:val="0"/>
      <w:divBdr>
        <w:top w:val="none" w:sz="0" w:space="0" w:color="auto"/>
        <w:left w:val="none" w:sz="0" w:space="0" w:color="auto"/>
        <w:bottom w:val="none" w:sz="0" w:space="0" w:color="auto"/>
        <w:right w:val="none" w:sz="0" w:space="0" w:color="auto"/>
      </w:divBdr>
    </w:div>
    <w:div w:id="768041750">
      <w:bodyDiv w:val="1"/>
      <w:marLeft w:val="0"/>
      <w:marRight w:val="0"/>
      <w:marTop w:val="0"/>
      <w:marBottom w:val="0"/>
      <w:divBdr>
        <w:top w:val="none" w:sz="0" w:space="0" w:color="auto"/>
        <w:left w:val="none" w:sz="0" w:space="0" w:color="auto"/>
        <w:bottom w:val="none" w:sz="0" w:space="0" w:color="auto"/>
        <w:right w:val="none" w:sz="0" w:space="0" w:color="auto"/>
      </w:divBdr>
    </w:div>
    <w:div w:id="771821526">
      <w:bodyDiv w:val="1"/>
      <w:marLeft w:val="0"/>
      <w:marRight w:val="0"/>
      <w:marTop w:val="0"/>
      <w:marBottom w:val="0"/>
      <w:divBdr>
        <w:top w:val="none" w:sz="0" w:space="0" w:color="auto"/>
        <w:left w:val="none" w:sz="0" w:space="0" w:color="auto"/>
        <w:bottom w:val="none" w:sz="0" w:space="0" w:color="auto"/>
        <w:right w:val="none" w:sz="0" w:space="0" w:color="auto"/>
      </w:divBdr>
    </w:div>
    <w:div w:id="772046649">
      <w:bodyDiv w:val="1"/>
      <w:marLeft w:val="0"/>
      <w:marRight w:val="0"/>
      <w:marTop w:val="0"/>
      <w:marBottom w:val="0"/>
      <w:divBdr>
        <w:top w:val="none" w:sz="0" w:space="0" w:color="auto"/>
        <w:left w:val="none" w:sz="0" w:space="0" w:color="auto"/>
        <w:bottom w:val="none" w:sz="0" w:space="0" w:color="auto"/>
        <w:right w:val="none" w:sz="0" w:space="0" w:color="auto"/>
      </w:divBdr>
    </w:div>
    <w:div w:id="795683520">
      <w:bodyDiv w:val="1"/>
      <w:marLeft w:val="0"/>
      <w:marRight w:val="0"/>
      <w:marTop w:val="0"/>
      <w:marBottom w:val="0"/>
      <w:divBdr>
        <w:top w:val="none" w:sz="0" w:space="0" w:color="auto"/>
        <w:left w:val="none" w:sz="0" w:space="0" w:color="auto"/>
        <w:bottom w:val="none" w:sz="0" w:space="0" w:color="auto"/>
        <w:right w:val="none" w:sz="0" w:space="0" w:color="auto"/>
      </w:divBdr>
    </w:div>
    <w:div w:id="802650127">
      <w:bodyDiv w:val="1"/>
      <w:marLeft w:val="0"/>
      <w:marRight w:val="0"/>
      <w:marTop w:val="0"/>
      <w:marBottom w:val="0"/>
      <w:divBdr>
        <w:top w:val="none" w:sz="0" w:space="0" w:color="auto"/>
        <w:left w:val="none" w:sz="0" w:space="0" w:color="auto"/>
        <w:bottom w:val="none" w:sz="0" w:space="0" w:color="auto"/>
        <w:right w:val="none" w:sz="0" w:space="0" w:color="auto"/>
      </w:divBdr>
    </w:div>
    <w:div w:id="803814841">
      <w:bodyDiv w:val="1"/>
      <w:marLeft w:val="0"/>
      <w:marRight w:val="0"/>
      <w:marTop w:val="0"/>
      <w:marBottom w:val="0"/>
      <w:divBdr>
        <w:top w:val="none" w:sz="0" w:space="0" w:color="auto"/>
        <w:left w:val="none" w:sz="0" w:space="0" w:color="auto"/>
        <w:bottom w:val="none" w:sz="0" w:space="0" w:color="auto"/>
        <w:right w:val="none" w:sz="0" w:space="0" w:color="auto"/>
      </w:divBdr>
    </w:div>
    <w:div w:id="812524806">
      <w:bodyDiv w:val="1"/>
      <w:marLeft w:val="0"/>
      <w:marRight w:val="0"/>
      <w:marTop w:val="0"/>
      <w:marBottom w:val="0"/>
      <w:divBdr>
        <w:top w:val="none" w:sz="0" w:space="0" w:color="auto"/>
        <w:left w:val="none" w:sz="0" w:space="0" w:color="auto"/>
        <w:bottom w:val="none" w:sz="0" w:space="0" w:color="auto"/>
        <w:right w:val="none" w:sz="0" w:space="0" w:color="auto"/>
      </w:divBdr>
    </w:div>
    <w:div w:id="815298152">
      <w:bodyDiv w:val="1"/>
      <w:marLeft w:val="0"/>
      <w:marRight w:val="0"/>
      <w:marTop w:val="0"/>
      <w:marBottom w:val="0"/>
      <w:divBdr>
        <w:top w:val="none" w:sz="0" w:space="0" w:color="auto"/>
        <w:left w:val="none" w:sz="0" w:space="0" w:color="auto"/>
        <w:bottom w:val="none" w:sz="0" w:space="0" w:color="auto"/>
        <w:right w:val="none" w:sz="0" w:space="0" w:color="auto"/>
      </w:divBdr>
    </w:div>
    <w:div w:id="829564083">
      <w:bodyDiv w:val="1"/>
      <w:marLeft w:val="0"/>
      <w:marRight w:val="0"/>
      <w:marTop w:val="0"/>
      <w:marBottom w:val="0"/>
      <w:divBdr>
        <w:top w:val="none" w:sz="0" w:space="0" w:color="auto"/>
        <w:left w:val="none" w:sz="0" w:space="0" w:color="auto"/>
        <w:bottom w:val="none" w:sz="0" w:space="0" w:color="auto"/>
        <w:right w:val="none" w:sz="0" w:space="0" w:color="auto"/>
      </w:divBdr>
    </w:div>
    <w:div w:id="829951477">
      <w:bodyDiv w:val="1"/>
      <w:marLeft w:val="0"/>
      <w:marRight w:val="0"/>
      <w:marTop w:val="0"/>
      <w:marBottom w:val="0"/>
      <w:divBdr>
        <w:top w:val="none" w:sz="0" w:space="0" w:color="auto"/>
        <w:left w:val="none" w:sz="0" w:space="0" w:color="auto"/>
        <w:bottom w:val="none" w:sz="0" w:space="0" w:color="auto"/>
        <w:right w:val="none" w:sz="0" w:space="0" w:color="auto"/>
      </w:divBdr>
    </w:div>
    <w:div w:id="834222177">
      <w:bodyDiv w:val="1"/>
      <w:marLeft w:val="0"/>
      <w:marRight w:val="0"/>
      <w:marTop w:val="0"/>
      <w:marBottom w:val="0"/>
      <w:divBdr>
        <w:top w:val="none" w:sz="0" w:space="0" w:color="auto"/>
        <w:left w:val="none" w:sz="0" w:space="0" w:color="auto"/>
        <w:bottom w:val="none" w:sz="0" w:space="0" w:color="auto"/>
        <w:right w:val="none" w:sz="0" w:space="0" w:color="auto"/>
      </w:divBdr>
    </w:div>
    <w:div w:id="847712430">
      <w:bodyDiv w:val="1"/>
      <w:marLeft w:val="0"/>
      <w:marRight w:val="0"/>
      <w:marTop w:val="0"/>
      <w:marBottom w:val="0"/>
      <w:divBdr>
        <w:top w:val="none" w:sz="0" w:space="0" w:color="auto"/>
        <w:left w:val="none" w:sz="0" w:space="0" w:color="auto"/>
        <w:bottom w:val="none" w:sz="0" w:space="0" w:color="auto"/>
        <w:right w:val="none" w:sz="0" w:space="0" w:color="auto"/>
      </w:divBdr>
    </w:div>
    <w:div w:id="855464544">
      <w:bodyDiv w:val="1"/>
      <w:marLeft w:val="0"/>
      <w:marRight w:val="0"/>
      <w:marTop w:val="0"/>
      <w:marBottom w:val="0"/>
      <w:divBdr>
        <w:top w:val="none" w:sz="0" w:space="0" w:color="auto"/>
        <w:left w:val="none" w:sz="0" w:space="0" w:color="auto"/>
        <w:bottom w:val="none" w:sz="0" w:space="0" w:color="auto"/>
        <w:right w:val="none" w:sz="0" w:space="0" w:color="auto"/>
      </w:divBdr>
    </w:div>
    <w:div w:id="871111905">
      <w:bodyDiv w:val="1"/>
      <w:marLeft w:val="0"/>
      <w:marRight w:val="0"/>
      <w:marTop w:val="0"/>
      <w:marBottom w:val="0"/>
      <w:divBdr>
        <w:top w:val="none" w:sz="0" w:space="0" w:color="auto"/>
        <w:left w:val="none" w:sz="0" w:space="0" w:color="auto"/>
        <w:bottom w:val="none" w:sz="0" w:space="0" w:color="auto"/>
        <w:right w:val="none" w:sz="0" w:space="0" w:color="auto"/>
      </w:divBdr>
    </w:div>
    <w:div w:id="880089505">
      <w:bodyDiv w:val="1"/>
      <w:marLeft w:val="0"/>
      <w:marRight w:val="0"/>
      <w:marTop w:val="0"/>
      <w:marBottom w:val="0"/>
      <w:divBdr>
        <w:top w:val="none" w:sz="0" w:space="0" w:color="auto"/>
        <w:left w:val="none" w:sz="0" w:space="0" w:color="auto"/>
        <w:bottom w:val="none" w:sz="0" w:space="0" w:color="auto"/>
        <w:right w:val="none" w:sz="0" w:space="0" w:color="auto"/>
      </w:divBdr>
    </w:div>
    <w:div w:id="881403311">
      <w:bodyDiv w:val="1"/>
      <w:marLeft w:val="0"/>
      <w:marRight w:val="0"/>
      <w:marTop w:val="0"/>
      <w:marBottom w:val="0"/>
      <w:divBdr>
        <w:top w:val="none" w:sz="0" w:space="0" w:color="auto"/>
        <w:left w:val="none" w:sz="0" w:space="0" w:color="auto"/>
        <w:bottom w:val="none" w:sz="0" w:space="0" w:color="auto"/>
        <w:right w:val="none" w:sz="0" w:space="0" w:color="auto"/>
      </w:divBdr>
    </w:div>
    <w:div w:id="886140425">
      <w:bodyDiv w:val="1"/>
      <w:marLeft w:val="0"/>
      <w:marRight w:val="0"/>
      <w:marTop w:val="0"/>
      <w:marBottom w:val="0"/>
      <w:divBdr>
        <w:top w:val="none" w:sz="0" w:space="0" w:color="auto"/>
        <w:left w:val="none" w:sz="0" w:space="0" w:color="auto"/>
        <w:bottom w:val="none" w:sz="0" w:space="0" w:color="auto"/>
        <w:right w:val="none" w:sz="0" w:space="0" w:color="auto"/>
      </w:divBdr>
    </w:div>
    <w:div w:id="897981020">
      <w:bodyDiv w:val="1"/>
      <w:marLeft w:val="0"/>
      <w:marRight w:val="0"/>
      <w:marTop w:val="0"/>
      <w:marBottom w:val="0"/>
      <w:divBdr>
        <w:top w:val="none" w:sz="0" w:space="0" w:color="auto"/>
        <w:left w:val="none" w:sz="0" w:space="0" w:color="auto"/>
        <w:bottom w:val="none" w:sz="0" w:space="0" w:color="auto"/>
        <w:right w:val="none" w:sz="0" w:space="0" w:color="auto"/>
      </w:divBdr>
    </w:div>
    <w:div w:id="899829221">
      <w:bodyDiv w:val="1"/>
      <w:marLeft w:val="0"/>
      <w:marRight w:val="0"/>
      <w:marTop w:val="0"/>
      <w:marBottom w:val="0"/>
      <w:divBdr>
        <w:top w:val="none" w:sz="0" w:space="0" w:color="auto"/>
        <w:left w:val="none" w:sz="0" w:space="0" w:color="auto"/>
        <w:bottom w:val="none" w:sz="0" w:space="0" w:color="auto"/>
        <w:right w:val="none" w:sz="0" w:space="0" w:color="auto"/>
      </w:divBdr>
    </w:div>
    <w:div w:id="905191475">
      <w:bodyDiv w:val="1"/>
      <w:marLeft w:val="0"/>
      <w:marRight w:val="0"/>
      <w:marTop w:val="0"/>
      <w:marBottom w:val="0"/>
      <w:divBdr>
        <w:top w:val="none" w:sz="0" w:space="0" w:color="auto"/>
        <w:left w:val="none" w:sz="0" w:space="0" w:color="auto"/>
        <w:bottom w:val="none" w:sz="0" w:space="0" w:color="auto"/>
        <w:right w:val="none" w:sz="0" w:space="0" w:color="auto"/>
      </w:divBdr>
    </w:div>
    <w:div w:id="906451471">
      <w:bodyDiv w:val="1"/>
      <w:marLeft w:val="0"/>
      <w:marRight w:val="0"/>
      <w:marTop w:val="0"/>
      <w:marBottom w:val="0"/>
      <w:divBdr>
        <w:top w:val="none" w:sz="0" w:space="0" w:color="auto"/>
        <w:left w:val="none" w:sz="0" w:space="0" w:color="auto"/>
        <w:bottom w:val="none" w:sz="0" w:space="0" w:color="auto"/>
        <w:right w:val="none" w:sz="0" w:space="0" w:color="auto"/>
      </w:divBdr>
    </w:div>
    <w:div w:id="923760903">
      <w:bodyDiv w:val="1"/>
      <w:marLeft w:val="0"/>
      <w:marRight w:val="0"/>
      <w:marTop w:val="0"/>
      <w:marBottom w:val="0"/>
      <w:divBdr>
        <w:top w:val="none" w:sz="0" w:space="0" w:color="auto"/>
        <w:left w:val="none" w:sz="0" w:space="0" w:color="auto"/>
        <w:bottom w:val="none" w:sz="0" w:space="0" w:color="auto"/>
        <w:right w:val="none" w:sz="0" w:space="0" w:color="auto"/>
      </w:divBdr>
    </w:div>
    <w:div w:id="934901789">
      <w:bodyDiv w:val="1"/>
      <w:marLeft w:val="0"/>
      <w:marRight w:val="0"/>
      <w:marTop w:val="0"/>
      <w:marBottom w:val="0"/>
      <w:divBdr>
        <w:top w:val="none" w:sz="0" w:space="0" w:color="auto"/>
        <w:left w:val="none" w:sz="0" w:space="0" w:color="auto"/>
        <w:bottom w:val="none" w:sz="0" w:space="0" w:color="auto"/>
        <w:right w:val="none" w:sz="0" w:space="0" w:color="auto"/>
      </w:divBdr>
    </w:div>
    <w:div w:id="937180875">
      <w:bodyDiv w:val="1"/>
      <w:marLeft w:val="0"/>
      <w:marRight w:val="0"/>
      <w:marTop w:val="0"/>
      <w:marBottom w:val="0"/>
      <w:divBdr>
        <w:top w:val="none" w:sz="0" w:space="0" w:color="auto"/>
        <w:left w:val="none" w:sz="0" w:space="0" w:color="auto"/>
        <w:bottom w:val="none" w:sz="0" w:space="0" w:color="auto"/>
        <w:right w:val="none" w:sz="0" w:space="0" w:color="auto"/>
      </w:divBdr>
    </w:div>
    <w:div w:id="942617392">
      <w:bodyDiv w:val="1"/>
      <w:marLeft w:val="0"/>
      <w:marRight w:val="0"/>
      <w:marTop w:val="0"/>
      <w:marBottom w:val="0"/>
      <w:divBdr>
        <w:top w:val="none" w:sz="0" w:space="0" w:color="auto"/>
        <w:left w:val="none" w:sz="0" w:space="0" w:color="auto"/>
        <w:bottom w:val="none" w:sz="0" w:space="0" w:color="auto"/>
        <w:right w:val="none" w:sz="0" w:space="0" w:color="auto"/>
      </w:divBdr>
    </w:div>
    <w:div w:id="944188818">
      <w:bodyDiv w:val="1"/>
      <w:marLeft w:val="0"/>
      <w:marRight w:val="0"/>
      <w:marTop w:val="0"/>
      <w:marBottom w:val="0"/>
      <w:divBdr>
        <w:top w:val="none" w:sz="0" w:space="0" w:color="auto"/>
        <w:left w:val="none" w:sz="0" w:space="0" w:color="auto"/>
        <w:bottom w:val="none" w:sz="0" w:space="0" w:color="auto"/>
        <w:right w:val="none" w:sz="0" w:space="0" w:color="auto"/>
      </w:divBdr>
    </w:div>
    <w:div w:id="949165939">
      <w:bodyDiv w:val="1"/>
      <w:marLeft w:val="0"/>
      <w:marRight w:val="0"/>
      <w:marTop w:val="0"/>
      <w:marBottom w:val="0"/>
      <w:divBdr>
        <w:top w:val="none" w:sz="0" w:space="0" w:color="auto"/>
        <w:left w:val="none" w:sz="0" w:space="0" w:color="auto"/>
        <w:bottom w:val="none" w:sz="0" w:space="0" w:color="auto"/>
        <w:right w:val="none" w:sz="0" w:space="0" w:color="auto"/>
      </w:divBdr>
    </w:div>
    <w:div w:id="953176551">
      <w:bodyDiv w:val="1"/>
      <w:marLeft w:val="0"/>
      <w:marRight w:val="0"/>
      <w:marTop w:val="0"/>
      <w:marBottom w:val="0"/>
      <w:divBdr>
        <w:top w:val="none" w:sz="0" w:space="0" w:color="auto"/>
        <w:left w:val="none" w:sz="0" w:space="0" w:color="auto"/>
        <w:bottom w:val="none" w:sz="0" w:space="0" w:color="auto"/>
        <w:right w:val="none" w:sz="0" w:space="0" w:color="auto"/>
      </w:divBdr>
    </w:div>
    <w:div w:id="954558232">
      <w:bodyDiv w:val="1"/>
      <w:marLeft w:val="0"/>
      <w:marRight w:val="0"/>
      <w:marTop w:val="0"/>
      <w:marBottom w:val="0"/>
      <w:divBdr>
        <w:top w:val="none" w:sz="0" w:space="0" w:color="auto"/>
        <w:left w:val="none" w:sz="0" w:space="0" w:color="auto"/>
        <w:bottom w:val="none" w:sz="0" w:space="0" w:color="auto"/>
        <w:right w:val="none" w:sz="0" w:space="0" w:color="auto"/>
      </w:divBdr>
    </w:div>
    <w:div w:id="957688934">
      <w:bodyDiv w:val="1"/>
      <w:marLeft w:val="0"/>
      <w:marRight w:val="0"/>
      <w:marTop w:val="0"/>
      <w:marBottom w:val="0"/>
      <w:divBdr>
        <w:top w:val="none" w:sz="0" w:space="0" w:color="auto"/>
        <w:left w:val="none" w:sz="0" w:space="0" w:color="auto"/>
        <w:bottom w:val="none" w:sz="0" w:space="0" w:color="auto"/>
        <w:right w:val="none" w:sz="0" w:space="0" w:color="auto"/>
      </w:divBdr>
    </w:div>
    <w:div w:id="964117999">
      <w:bodyDiv w:val="1"/>
      <w:marLeft w:val="0"/>
      <w:marRight w:val="0"/>
      <w:marTop w:val="0"/>
      <w:marBottom w:val="0"/>
      <w:divBdr>
        <w:top w:val="none" w:sz="0" w:space="0" w:color="auto"/>
        <w:left w:val="none" w:sz="0" w:space="0" w:color="auto"/>
        <w:bottom w:val="none" w:sz="0" w:space="0" w:color="auto"/>
        <w:right w:val="none" w:sz="0" w:space="0" w:color="auto"/>
      </w:divBdr>
    </w:div>
    <w:div w:id="970749114">
      <w:bodyDiv w:val="1"/>
      <w:marLeft w:val="0"/>
      <w:marRight w:val="0"/>
      <w:marTop w:val="0"/>
      <w:marBottom w:val="0"/>
      <w:divBdr>
        <w:top w:val="none" w:sz="0" w:space="0" w:color="auto"/>
        <w:left w:val="none" w:sz="0" w:space="0" w:color="auto"/>
        <w:bottom w:val="none" w:sz="0" w:space="0" w:color="auto"/>
        <w:right w:val="none" w:sz="0" w:space="0" w:color="auto"/>
      </w:divBdr>
    </w:div>
    <w:div w:id="989166783">
      <w:bodyDiv w:val="1"/>
      <w:marLeft w:val="0"/>
      <w:marRight w:val="0"/>
      <w:marTop w:val="0"/>
      <w:marBottom w:val="0"/>
      <w:divBdr>
        <w:top w:val="none" w:sz="0" w:space="0" w:color="auto"/>
        <w:left w:val="none" w:sz="0" w:space="0" w:color="auto"/>
        <w:bottom w:val="none" w:sz="0" w:space="0" w:color="auto"/>
        <w:right w:val="none" w:sz="0" w:space="0" w:color="auto"/>
      </w:divBdr>
    </w:div>
    <w:div w:id="998924323">
      <w:bodyDiv w:val="1"/>
      <w:marLeft w:val="0"/>
      <w:marRight w:val="0"/>
      <w:marTop w:val="0"/>
      <w:marBottom w:val="0"/>
      <w:divBdr>
        <w:top w:val="none" w:sz="0" w:space="0" w:color="auto"/>
        <w:left w:val="none" w:sz="0" w:space="0" w:color="auto"/>
        <w:bottom w:val="none" w:sz="0" w:space="0" w:color="auto"/>
        <w:right w:val="none" w:sz="0" w:space="0" w:color="auto"/>
      </w:divBdr>
    </w:div>
    <w:div w:id="1006371388">
      <w:bodyDiv w:val="1"/>
      <w:marLeft w:val="0"/>
      <w:marRight w:val="0"/>
      <w:marTop w:val="0"/>
      <w:marBottom w:val="0"/>
      <w:divBdr>
        <w:top w:val="none" w:sz="0" w:space="0" w:color="auto"/>
        <w:left w:val="none" w:sz="0" w:space="0" w:color="auto"/>
        <w:bottom w:val="none" w:sz="0" w:space="0" w:color="auto"/>
        <w:right w:val="none" w:sz="0" w:space="0" w:color="auto"/>
      </w:divBdr>
    </w:div>
    <w:div w:id="1015812395">
      <w:bodyDiv w:val="1"/>
      <w:marLeft w:val="0"/>
      <w:marRight w:val="0"/>
      <w:marTop w:val="0"/>
      <w:marBottom w:val="0"/>
      <w:divBdr>
        <w:top w:val="none" w:sz="0" w:space="0" w:color="auto"/>
        <w:left w:val="none" w:sz="0" w:space="0" w:color="auto"/>
        <w:bottom w:val="none" w:sz="0" w:space="0" w:color="auto"/>
        <w:right w:val="none" w:sz="0" w:space="0" w:color="auto"/>
      </w:divBdr>
    </w:div>
    <w:div w:id="1021011045">
      <w:bodyDiv w:val="1"/>
      <w:marLeft w:val="0"/>
      <w:marRight w:val="0"/>
      <w:marTop w:val="0"/>
      <w:marBottom w:val="0"/>
      <w:divBdr>
        <w:top w:val="none" w:sz="0" w:space="0" w:color="auto"/>
        <w:left w:val="none" w:sz="0" w:space="0" w:color="auto"/>
        <w:bottom w:val="none" w:sz="0" w:space="0" w:color="auto"/>
        <w:right w:val="none" w:sz="0" w:space="0" w:color="auto"/>
      </w:divBdr>
    </w:div>
    <w:div w:id="1023702538">
      <w:bodyDiv w:val="1"/>
      <w:marLeft w:val="0"/>
      <w:marRight w:val="0"/>
      <w:marTop w:val="0"/>
      <w:marBottom w:val="0"/>
      <w:divBdr>
        <w:top w:val="none" w:sz="0" w:space="0" w:color="auto"/>
        <w:left w:val="none" w:sz="0" w:space="0" w:color="auto"/>
        <w:bottom w:val="none" w:sz="0" w:space="0" w:color="auto"/>
        <w:right w:val="none" w:sz="0" w:space="0" w:color="auto"/>
      </w:divBdr>
    </w:div>
    <w:div w:id="1027950024">
      <w:bodyDiv w:val="1"/>
      <w:marLeft w:val="0"/>
      <w:marRight w:val="0"/>
      <w:marTop w:val="0"/>
      <w:marBottom w:val="0"/>
      <w:divBdr>
        <w:top w:val="none" w:sz="0" w:space="0" w:color="auto"/>
        <w:left w:val="none" w:sz="0" w:space="0" w:color="auto"/>
        <w:bottom w:val="none" w:sz="0" w:space="0" w:color="auto"/>
        <w:right w:val="none" w:sz="0" w:space="0" w:color="auto"/>
      </w:divBdr>
    </w:div>
    <w:div w:id="1032262329">
      <w:bodyDiv w:val="1"/>
      <w:marLeft w:val="0"/>
      <w:marRight w:val="0"/>
      <w:marTop w:val="0"/>
      <w:marBottom w:val="0"/>
      <w:divBdr>
        <w:top w:val="none" w:sz="0" w:space="0" w:color="auto"/>
        <w:left w:val="none" w:sz="0" w:space="0" w:color="auto"/>
        <w:bottom w:val="none" w:sz="0" w:space="0" w:color="auto"/>
        <w:right w:val="none" w:sz="0" w:space="0" w:color="auto"/>
      </w:divBdr>
    </w:div>
    <w:div w:id="1036807328">
      <w:bodyDiv w:val="1"/>
      <w:marLeft w:val="0"/>
      <w:marRight w:val="0"/>
      <w:marTop w:val="0"/>
      <w:marBottom w:val="0"/>
      <w:divBdr>
        <w:top w:val="none" w:sz="0" w:space="0" w:color="auto"/>
        <w:left w:val="none" w:sz="0" w:space="0" w:color="auto"/>
        <w:bottom w:val="none" w:sz="0" w:space="0" w:color="auto"/>
        <w:right w:val="none" w:sz="0" w:space="0" w:color="auto"/>
      </w:divBdr>
    </w:div>
    <w:div w:id="1037509806">
      <w:bodyDiv w:val="1"/>
      <w:marLeft w:val="0"/>
      <w:marRight w:val="0"/>
      <w:marTop w:val="0"/>
      <w:marBottom w:val="0"/>
      <w:divBdr>
        <w:top w:val="none" w:sz="0" w:space="0" w:color="auto"/>
        <w:left w:val="none" w:sz="0" w:space="0" w:color="auto"/>
        <w:bottom w:val="none" w:sz="0" w:space="0" w:color="auto"/>
        <w:right w:val="none" w:sz="0" w:space="0" w:color="auto"/>
      </w:divBdr>
    </w:div>
    <w:div w:id="1038310801">
      <w:bodyDiv w:val="1"/>
      <w:marLeft w:val="0"/>
      <w:marRight w:val="0"/>
      <w:marTop w:val="0"/>
      <w:marBottom w:val="0"/>
      <w:divBdr>
        <w:top w:val="none" w:sz="0" w:space="0" w:color="auto"/>
        <w:left w:val="none" w:sz="0" w:space="0" w:color="auto"/>
        <w:bottom w:val="none" w:sz="0" w:space="0" w:color="auto"/>
        <w:right w:val="none" w:sz="0" w:space="0" w:color="auto"/>
      </w:divBdr>
    </w:div>
    <w:div w:id="1042558507">
      <w:bodyDiv w:val="1"/>
      <w:marLeft w:val="0"/>
      <w:marRight w:val="0"/>
      <w:marTop w:val="0"/>
      <w:marBottom w:val="0"/>
      <w:divBdr>
        <w:top w:val="none" w:sz="0" w:space="0" w:color="auto"/>
        <w:left w:val="none" w:sz="0" w:space="0" w:color="auto"/>
        <w:bottom w:val="none" w:sz="0" w:space="0" w:color="auto"/>
        <w:right w:val="none" w:sz="0" w:space="0" w:color="auto"/>
      </w:divBdr>
    </w:div>
    <w:div w:id="1052146893">
      <w:bodyDiv w:val="1"/>
      <w:marLeft w:val="0"/>
      <w:marRight w:val="0"/>
      <w:marTop w:val="0"/>
      <w:marBottom w:val="0"/>
      <w:divBdr>
        <w:top w:val="none" w:sz="0" w:space="0" w:color="auto"/>
        <w:left w:val="none" w:sz="0" w:space="0" w:color="auto"/>
        <w:bottom w:val="none" w:sz="0" w:space="0" w:color="auto"/>
        <w:right w:val="none" w:sz="0" w:space="0" w:color="auto"/>
      </w:divBdr>
    </w:div>
    <w:div w:id="1052537656">
      <w:bodyDiv w:val="1"/>
      <w:marLeft w:val="0"/>
      <w:marRight w:val="0"/>
      <w:marTop w:val="0"/>
      <w:marBottom w:val="0"/>
      <w:divBdr>
        <w:top w:val="none" w:sz="0" w:space="0" w:color="auto"/>
        <w:left w:val="none" w:sz="0" w:space="0" w:color="auto"/>
        <w:bottom w:val="none" w:sz="0" w:space="0" w:color="auto"/>
        <w:right w:val="none" w:sz="0" w:space="0" w:color="auto"/>
      </w:divBdr>
    </w:div>
    <w:div w:id="1073435393">
      <w:bodyDiv w:val="1"/>
      <w:marLeft w:val="0"/>
      <w:marRight w:val="0"/>
      <w:marTop w:val="0"/>
      <w:marBottom w:val="0"/>
      <w:divBdr>
        <w:top w:val="none" w:sz="0" w:space="0" w:color="auto"/>
        <w:left w:val="none" w:sz="0" w:space="0" w:color="auto"/>
        <w:bottom w:val="none" w:sz="0" w:space="0" w:color="auto"/>
        <w:right w:val="none" w:sz="0" w:space="0" w:color="auto"/>
      </w:divBdr>
    </w:div>
    <w:div w:id="1083844565">
      <w:bodyDiv w:val="1"/>
      <w:marLeft w:val="0"/>
      <w:marRight w:val="0"/>
      <w:marTop w:val="0"/>
      <w:marBottom w:val="0"/>
      <w:divBdr>
        <w:top w:val="none" w:sz="0" w:space="0" w:color="auto"/>
        <w:left w:val="none" w:sz="0" w:space="0" w:color="auto"/>
        <w:bottom w:val="none" w:sz="0" w:space="0" w:color="auto"/>
        <w:right w:val="none" w:sz="0" w:space="0" w:color="auto"/>
      </w:divBdr>
    </w:div>
    <w:div w:id="1093285090">
      <w:bodyDiv w:val="1"/>
      <w:marLeft w:val="0"/>
      <w:marRight w:val="0"/>
      <w:marTop w:val="0"/>
      <w:marBottom w:val="0"/>
      <w:divBdr>
        <w:top w:val="none" w:sz="0" w:space="0" w:color="auto"/>
        <w:left w:val="none" w:sz="0" w:space="0" w:color="auto"/>
        <w:bottom w:val="none" w:sz="0" w:space="0" w:color="auto"/>
        <w:right w:val="none" w:sz="0" w:space="0" w:color="auto"/>
      </w:divBdr>
    </w:div>
    <w:div w:id="1094134104">
      <w:bodyDiv w:val="1"/>
      <w:marLeft w:val="0"/>
      <w:marRight w:val="0"/>
      <w:marTop w:val="0"/>
      <w:marBottom w:val="0"/>
      <w:divBdr>
        <w:top w:val="none" w:sz="0" w:space="0" w:color="auto"/>
        <w:left w:val="none" w:sz="0" w:space="0" w:color="auto"/>
        <w:bottom w:val="none" w:sz="0" w:space="0" w:color="auto"/>
        <w:right w:val="none" w:sz="0" w:space="0" w:color="auto"/>
      </w:divBdr>
    </w:div>
    <w:div w:id="1106848640">
      <w:bodyDiv w:val="1"/>
      <w:marLeft w:val="0"/>
      <w:marRight w:val="0"/>
      <w:marTop w:val="0"/>
      <w:marBottom w:val="0"/>
      <w:divBdr>
        <w:top w:val="none" w:sz="0" w:space="0" w:color="auto"/>
        <w:left w:val="none" w:sz="0" w:space="0" w:color="auto"/>
        <w:bottom w:val="none" w:sz="0" w:space="0" w:color="auto"/>
        <w:right w:val="none" w:sz="0" w:space="0" w:color="auto"/>
      </w:divBdr>
    </w:div>
    <w:div w:id="1109663825">
      <w:bodyDiv w:val="1"/>
      <w:marLeft w:val="0"/>
      <w:marRight w:val="0"/>
      <w:marTop w:val="0"/>
      <w:marBottom w:val="0"/>
      <w:divBdr>
        <w:top w:val="none" w:sz="0" w:space="0" w:color="auto"/>
        <w:left w:val="none" w:sz="0" w:space="0" w:color="auto"/>
        <w:bottom w:val="none" w:sz="0" w:space="0" w:color="auto"/>
        <w:right w:val="none" w:sz="0" w:space="0" w:color="auto"/>
      </w:divBdr>
    </w:div>
    <w:div w:id="1119178145">
      <w:bodyDiv w:val="1"/>
      <w:marLeft w:val="0"/>
      <w:marRight w:val="0"/>
      <w:marTop w:val="0"/>
      <w:marBottom w:val="0"/>
      <w:divBdr>
        <w:top w:val="none" w:sz="0" w:space="0" w:color="auto"/>
        <w:left w:val="none" w:sz="0" w:space="0" w:color="auto"/>
        <w:bottom w:val="none" w:sz="0" w:space="0" w:color="auto"/>
        <w:right w:val="none" w:sz="0" w:space="0" w:color="auto"/>
      </w:divBdr>
    </w:div>
    <w:div w:id="1121074913">
      <w:bodyDiv w:val="1"/>
      <w:marLeft w:val="0"/>
      <w:marRight w:val="0"/>
      <w:marTop w:val="0"/>
      <w:marBottom w:val="0"/>
      <w:divBdr>
        <w:top w:val="none" w:sz="0" w:space="0" w:color="auto"/>
        <w:left w:val="none" w:sz="0" w:space="0" w:color="auto"/>
        <w:bottom w:val="none" w:sz="0" w:space="0" w:color="auto"/>
        <w:right w:val="none" w:sz="0" w:space="0" w:color="auto"/>
      </w:divBdr>
    </w:div>
    <w:div w:id="1123962343">
      <w:bodyDiv w:val="1"/>
      <w:marLeft w:val="0"/>
      <w:marRight w:val="0"/>
      <w:marTop w:val="0"/>
      <w:marBottom w:val="0"/>
      <w:divBdr>
        <w:top w:val="none" w:sz="0" w:space="0" w:color="auto"/>
        <w:left w:val="none" w:sz="0" w:space="0" w:color="auto"/>
        <w:bottom w:val="none" w:sz="0" w:space="0" w:color="auto"/>
        <w:right w:val="none" w:sz="0" w:space="0" w:color="auto"/>
      </w:divBdr>
    </w:div>
    <w:div w:id="1126580294">
      <w:bodyDiv w:val="1"/>
      <w:marLeft w:val="0"/>
      <w:marRight w:val="0"/>
      <w:marTop w:val="0"/>
      <w:marBottom w:val="0"/>
      <w:divBdr>
        <w:top w:val="none" w:sz="0" w:space="0" w:color="auto"/>
        <w:left w:val="none" w:sz="0" w:space="0" w:color="auto"/>
        <w:bottom w:val="none" w:sz="0" w:space="0" w:color="auto"/>
        <w:right w:val="none" w:sz="0" w:space="0" w:color="auto"/>
      </w:divBdr>
    </w:div>
    <w:div w:id="1133257632">
      <w:bodyDiv w:val="1"/>
      <w:marLeft w:val="0"/>
      <w:marRight w:val="0"/>
      <w:marTop w:val="0"/>
      <w:marBottom w:val="0"/>
      <w:divBdr>
        <w:top w:val="none" w:sz="0" w:space="0" w:color="auto"/>
        <w:left w:val="none" w:sz="0" w:space="0" w:color="auto"/>
        <w:bottom w:val="none" w:sz="0" w:space="0" w:color="auto"/>
        <w:right w:val="none" w:sz="0" w:space="0" w:color="auto"/>
      </w:divBdr>
    </w:div>
    <w:div w:id="1136727560">
      <w:bodyDiv w:val="1"/>
      <w:marLeft w:val="0"/>
      <w:marRight w:val="0"/>
      <w:marTop w:val="0"/>
      <w:marBottom w:val="0"/>
      <w:divBdr>
        <w:top w:val="none" w:sz="0" w:space="0" w:color="auto"/>
        <w:left w:val="none" w:sz="0" w:space="0" w:color="auto"/>
        <w:bottom w:val="none" w:sz="0" w:space="0" w:color="auto"/>
        <w:right w:val="none" w:sz="0" w:space="0" w:color="auto"/>
      </w:divBdr>
    </w:div>
    <w:div w:id="1137139128">
      <w:bodyDiv w:val="1"/>
      <w:marLeft w:val="0"/>
      <w:marRight w:val="0"/>
      <w:marTop w:val="0"/>
      <w:marBottom w:val="0"/>
      <w:divBdr>
        <w:top w:val="none" w:sz="0" w:space="0" w:color="auto"/>
        <w:left w:val="none" w:sz="0" w:space="0" w:color="auto"/>
        <w:bottom w:val="none" w:sz="0" w:space="0" w:color="auto"/>
        <w:right w:val="none" w:sz="0" w:space="0" w:color="auto"/>
      </w:divBdr>
    </w:div>
    <w:div w:id="1146775026">
      <w:bodyDiv w:val="1"/>
      <w:marLeft w:val="0"/>
      <w:marRight w:val="0"/>
      <w:marTop w:val="0"/>
      <w:marBottom w:val="0"/>
      <w:divBdr>
        <w:top w:val="none" w:sz="0" w:space="0" w:color="auto"/>
        <w:left w:val="none" w:sz="0" w:space="0" w:color="auto"/>
        <w:bottom w:val="none" w:sz="0" w:space="0" w:color="auto"/>
        <w:right w:val="none" w:sz="0" w:space="0" w:color="auto"/>
      </w:divBdr>
    </w:div>
    <w:div w:id="1150290425">
      <w:bodyDiv w:val="1"/>
      <w:marLeft w:val="0"/>
      <w:marRight w:val="0"/>
      <w:marTop w:val="0"/>
      <w:marBottom w:val="0"/>
      <w:divBdr>
        <w:top w:val="none" w:sz="0" w:space="0" w:color="auto"/>
        <w:left w:val="none" w:sz="0" w:space="0" w:color="auto"/>
        <w:bottom w:val="none" w:sz="0" w:space="0" w:color="auto"/>
        <w:right w:val="none" w:sz="0" w:space="0" w:color="auto"/>
      </w:divBdr>
    </w:div>
    <w:div w:id="1150749500">
      <w:bodyDiv w:val="1"/>
      <w:marLeft w:val="0"/>
      <w:marRight w:val="0"/>
      <w:marTop w:val="0"/>
      <w:marBottom w:val="0"/>
      <w:divBdr>
        <w:top w:val="none" w:sz="0" w:space="0" w:color="auto"/>
        <w:left w:val="none" w:sz="0" w:space="0" w:color="auto"/>
        <w:bottom w:val="none" w:sz="0" w:space="0" w:color="auto"/>
        <w:right w:val="none" w:sz="0" w:space="0" w:color="auto"/>
      </w:divBdr>
    </w:div>
    <w:div w:id="1156147802">
      <w:bodyDiv w:val="1"/>
      <w:marLeft w:val="0"/>
      <w:marRight w:val="0"/>
      <w:marTop w:val="0"/>
      <w:marBottom w:val="0"/>
      <w:divBdr>
        <w:top w:val="none" w:sz="0" w:space="0" w:color="auto"/>
        <w:left w:val="none" w:sz="0" w:space="0" w:color="auto"/>
        <w:bottom w:val="none" w:sz="0" w:space="0" w:color="auto"/>
        <w:right w:val="none" w:sz="0" w:space="0" w:color="auto"/>
      </w:divBdr>
    </w:div>
    <w:div w:id="1169561317">
      <w:bodyDiv w:val="1"/>
      <w:marLeft w:val="0"/>
      <w:marRight w:val="0"/>
      <w:marTop w:val="0"/>
      <w:marBottom w:val="0"/>
      <w:divBdr>
        <w:top w:val="none" w:sz="0" w:space="0" w:color="auto"/>
        <w:left w:val="none" w:sz="0" w:space="0" w:color="auto"/>
        <w:bottom w:val="none" w:sz="0" w:space="0" w:color="auto"/>
        <w:right w:val="none" w:sz="0" w:space="0" w:color="auto"/>
      </w:divBdr>
    </w:div>
    <w:div w:id="1170872089">
      <w:bodyDiv w:val="1"/>
      <w:marLeft w:val="0"/>
      <w:marRight w:val="0"/>
      <w:marTop w:val="0"/>
      <w:marBottom w:val="0"/>
      <w:divBdr>
        <w:top w:val="none" w:sz="0" w:space="0" w:color="auto"/>
        <w:left w:val="none" w:sz="0" w:space="0" w:color="auto"/>
        <w:bottom w:val="none" w:sz="0" w:space="0" w:color="auto"/>
        <w:right w:val="none" w:sz="0" w:space="0" w:color="auto"/>
      </w:divBdr>
    </w:div>
    <w:div w:id="1171408757">
      <w:bodyDiv w:val="1"/>
      <w:marLeft w:val="0"/>
      <w:marRight w:val="0"/>
      <w:marTop w:val="0"/>
      <w:marBottom w:val="0"/>
      <w:divBdr>
        <w:top w:val="none" w:sz="0" w:space="0" w:color="auto"/>
        <w:left w:val="none" w:sz="0" w:space="0" w:color="auto"/>
        <w:bottom w:val="none" w:sz="0" w:space="0" w:color="auto"/>
        <w:right w:val="none" w:sz="0" w:space="0" w:color="auto"/>
      </w:divBdr>
    </w:div>
    <w:div w:id="1175266673">
      <w:bodyDiv w:val="1"/>
      <w:marLeft w:val="0"/>
      <w:marRight w:val="0"/>
      <w:marTop w:val="0"/>
      <w:marBottom w:val="0"/>
      <w:divBdr>
        <w:top w:val="none" w:sz="0" w:space="0" w:color="auto"/>
        <w:left w:val="none" w:sz="0" w:space="0" w:color="auto"/>
        <w:bottom w:val="none" w:sz="0" w:space="0" w:color="auto"/>
        <w:right w:val="none" w:sz="0" w:space="0" w:color="auto"/>
      </w:divBdr>
    </w:div>
    <w:div w:id="1189414249">
      <w:bodyDiv w:val="1"/>
      <w:marLeft w:val="0"/>
      <w:marRight w:val="0"/>
      <w:marTop w:val="0"/>
      <w:marBottom w:val="0"/>
      <w:divBdr>
        <w:top w:val="none" w:sz="0" w:space="0" w:color="auto"/>
        <w:left w:val="none" w:sz="0" w:space="0" w:color="auto"/>
        <w:bottom w:val="none" w:sz="0" w:space="0" w:color="auto"/>
        <w:right w:val="none" w:sz="0" w:space="0" w:color="auto"/>
      </w:divBdr>
    </w:div>
    <w:div w:id="1192841082">
      <w:bodyDiv w:val="1"/>
      <w:marLeft w:val="0"/>
      <w:marRight w:val="0"/>
      <w:marTop w:val="0"/>
      <w:marBottom w:val="0"/>
      <w:divBdr>
        <w:top w:val="none" w:sz="0" w:space="0" w:color="auto"/>
        <w:left w:val="none" w:sz="0" w:space="0" w:color="auto"/>
        <w:bottom w:val="none" w:sz="0" w:space="0" w:color="auto"/>
        <w:right w:val="none" w:sz="0" w:space="0" w:color="auto"/>
      </w:divBdr>
    </w:div>
    <w:div w:id="1198397988">
      <w:bodyDiv w:val="1"/>
      <w:marLeft w:val="0"/>
      <w:marRight w:val="0"/>
      <w:marTop w:val="0"/>
      <w:marBottom w:val="0"/>
      <w:divBdr>
        <w:top w:val="none" w:sz="0" w:space="0" w:color="auto"/>
        <w:left w:val="none" w:sz="0" w:space="0" w:color="auto"/>
        <w:bottom w:val="none" w:sz="0" w:space="0" w:color="auto"/>
        <w:right w:val="none" w:sz="0" w:space="0" w:color="auto"/>
      </w:divBdr>
    </w:div>
    <w:div w:id="1208760145">
      <w:bodyDiv w:val="1"/>
      <w:marLeft w:val="0"/>
      <w:marRight w:val="0"/>
      <w:marTop w:val="0"/>
      <w:marBottom w:val="0"/>
      <w:divBdr>
        <w:top w:val="none" w:sz="0" w:space="0" w:color="auto"/>
        <w:left w:val="none" w:sz="0" w:space="0" w:color="auto"/>
        <w:bottom w:val="none" w:sz="0" w:space="0" w:color="auto"/>
        <w:right w:val="none" w:sz="0" w:space="0" w:color="auto"/>
      </w:divBdr>
    </w:div>
    <w:div w:id="1213689013">
      <w:bodyDiv w:val="1"/>
      <w:marLeft w:val="0"/>
      <w:marRight w:val="0"/>
      <w:marTop w:val="0"/>
      <w:marBottom w:val="0"/>
      <w:divBdr>
        <w:top w:val="none" w:sz="0" w:space="0" w:color="auto"/>
        <w:left w:val="none" w:sz="0" w:space="0" w:color="auto"/>
        <w:bottom w:val="none" w:sz="0" w:space="0" w:color="auto"/>
        <w:right w:val="none" w:sz="0" w:space="0" w:color="auto"/>
      </w:divBdr>
    </w:div>
    <w:div w:id="1219705781">
      <w:bodyDiv w:val="1"/>
      <w:marLeft w:val="0"/>
      <w:marRight w:val="0"/>
      <w:marTop w:val="0"/>
      <w:marBottom w:val="0"/>
      <w:divBdr>
        <w:top w:val="none" w:sz="0" w:space="0" w:color="auto"/>
        <w:left w:val="none" w:sz="0" w:space="0" w:color="auto"/>
        <w:bottom w:val="none" w:sz="0" w:space="0" w:color="auto"/>
        <w:right w:val="none" w:sz="0" w:space="0" w:color="auto"/>
      </w:divBdr>
    </w:div>
    <w:div w:id="1245072556">
      <w:bodyDiv w:val="1"/>
      <w:marLeft w:val="0"/>
      <w:marRight w:val="0"/>
      <w:marTop w:val="0"/>
      <w:marBottom w:val="0"/>
      <w:divBdr>
        <w:top w:val="none" w:sz="0" w:space="0" w:color="auto"/>
        <w:left w:val="none" w:sz="0" w:space="0" w:color="auto"/>
        <w:bottom w:val="none" w:sz="0" w:space="0" w:color="auto"/>
        <w:right w:val="none" w:sz="0" w:space="0" w:color="auto"/>
      </w:divBdr>
    </w:div>
    <w:div w:id="1246573138">
      <w:bodyDiv w:val="1"/>
      <w:marLeft w:val="0"/>
      <w:marRight w:val="0"/>
      <w:marTop w:val="0"/>
      <w:marBottom w:val="0"/>
      <w:divBdr>
        <w:top w:val="none" w:sz="0" w:space="0" w:color="auto"/>
        <w:left w:val="none" w:sz="0" w:space="0" w:color="auto"/>
        <w:bottom w:val="none" w:sz="0" w:space="0" w:color="auto"/>
        <w:right w:val="none" w:sz="0" w:space="0" w:color="auto"/>
      </w:divBdr>
    </w:div>
    <w:div w:id="1266840940">
      <w:bodyDiv w:val="1"/>
      <w:marLeft w:val="0"/>
      <w:marRight w:val="0"/>
      <w:marTop w:val="0"/>
      <w:marBottom w:val="0"/>
      <w:divBdr>
        <w:top w:val="none" w:sz="0" w:space="0" w:color="auto"/>
        <w:left w:val="none" w:sz="0" w:space="0" w:color="auto"/>
        <w:bottom w:val="none" w:sz="0" w:space="0" w:color="auto"/>
        <w:right w:val="none" w:sz="0" w:space="0" w:color="auto"/>
      </w:divBdr>
    </w:div>
    <w:div w:id="1269511103">
      <w:bodyDiv w:val="1"/>
      <w:marLeft w:val="0"/>
      <w:marRight w:val="0"/>
      <w:marTop w:val="0"/>
      <w:marBottom w:val="0"/>
      <w:divBdr>
        <w:top w:val="none" w:sz="0" w:space="0" w:color="auto"/>
        <w:left w:val="none" w:sz="0" w:space="0" w:color="auto"/>
        <w:bottom w:val="none" w:sz="0" w:space="0" w:color="auto"/>
        <w:right w:val="none" w:sz="0" w:space="0" w:color="auto"/>
      </w:divBdr>
    </w:div>
    <w:div w:id="1275747776">
      <w:bodyDiv w:val="1"/>
      <w:marLeft w:val="0"/>
      <w:marRight w:val="0"/>
      <w:marTop w:val="0"/>
      <w:marBottom w:val="0"/>
      <w:divBdr>
        <w:top w:val="none" w:sz="0" w:space="0" w:color="auto"/>
        <w:left w:val="none" w:sz="0" w:space="0" w:color="auto"/>
        <w:bottom w:val="none" w:sz="0" w:space="0" w:color="auto"/>
        <w:right w:val="none" w:sz="0" w:space="0" w:color="auto"/>
      </w:divBdr>
    </w:div>
    <w:div w:id="1287005069">
      <w:bodyDiv w:val="1"/>
      <w:marLeft w:val="0"/>
      <w:marRight w:val="0"/>
      <w:marTop w:val="0"/>
      <w:marBottom w:val="0"/>
      <w:divBdr>
        <w:top w:val="none" w:sz="0" w:space="0" w:color="auto"/>
        <w:left w:val="none" w:sz="0" w:space="0" w:color="auto"/>
        <w:bottom w:val="none" w:sz="0" w:space="0" w:color="auto"/>
        <w:right w:val="none" w:sz="0" w:space="0" w:color="auto"/>
      </w:divBdr>
    </w:div>
    <w:div w:id="1298147420">
      <w:bodyDiv w:val="1"/>
      <w:marLeft w:val="0"/>
      <w:marRight w:val="0"/>
      <w:marTop w:val="0"/>
      <w:marBottom w:val="0"/>
      <w:divBdr>
        <w:top w:val="none" w:sz="0" w:space="0" w:color="auto"/>
        <w:left w:val="none" w:sz="0" w:space="0" w:color="auto"/>
        <w:bottom w:val="none" w:sz="0" w:space="0" w:color="auto"/>
        <w:right w:val="none" w:sz="0" w:space="0" w:color="auto"/>
      </w:divBdr>
    </w:div>
    <w:div w:id="1298149121">
      <w:bodyDiv w:val="1"/>
      <w:marLeft w:val="0"/>
      <w:marRight w:val="0"/>
      <w:marTop w:val="0"/>
      <w:marBottom w:val="0"/>
      <w:divBdr>
        <w:top w:val="none" w:sz="0" w:space="0" w:color="auto"/>
        <w:left w:val="none" w:sz="0" w:space="0" w:color="auto"/>
        <w:bottom w:val="none" w:sz="0" w:space="0" w:color="auto"/>
        <w:right w:val="none" w:sz="0" w:space="0" w:color="auto"/>
      </w:divBdr>
    </w:div>
    <w:div w:id="1301768532">
      <w:bodyDiv w:val="1"/>
      <w:marLeft w:val="0"/>
      <w:marRight w:val="0"/>
      <w:marTop w:val="0"/>
      <w:marBottom w:val="0"/>
      <w:divBdr>
        <w:top w:val="none" w:sz="0" w:space="0" w:color="auto"/>
        <w:left w:val="none" w:sz="0" w:space="0" w:color="auto"/>
        <w:bottom w:val="none" w:sz="0" w:space="0" w:color="auto"/>
        <w:right w:val="none" w:sz="0" w:space="0" w:color="auto"/>
      </w:divBdr>
    </w:div>
    <w:div w:id="1310866743">
      <w:bodyDiv w:val="1"/>
      <w:marLeft w:val="0"/>
      <w:marRight w:val="0"/>
      <w:marTop w:val="0"/>
      <w:marBottom w:val="0"/>
      <w:divBdr>
        <w:top w:val="none" w:sz="0" w:space="0" w:color="auto"/>
        <w:left w:val="none" w:sz="0" w:space="0" w:color="auto"/>
        <w:bottom w:val="none" w:sz="0" w:space="0" w:color="auto"/>
        <w:right w:val="none" w:sz="0" w:space="0" w:color="auto"/>
      </w:divBdr>
    </w:div>
    <w:div w:id="1318800847">
      <w:bodyDiv w:val="1"/>
      <w:marLeft w:val="0"/>
      <w:marRight w:val="0"/>
      <w:marTop w:val="0"/>
      <w:marBottom w:val="0"/>
      <w:divBdr>
        <w:top w:val="none" w:sz="0" w:space="0" w:color="auto"/>
        <w:left w:val="none" w:sz="0" w:space="0" w:color="auto"/>
        <w:bottom w:val="none" w:sz="0" w:space="0" w:color="auto"/>
        <w:right w:val="none" w:sz="0" w:space="0" w:color="auto"/>
      </w:divBdr>
    </w:div>
    <w:div w:id="1321929172">
      <w:bodyDiv w:val="1"/>
      <w:marLeft w:val="0"/>
      <w:marRight w:val="0"/>
      <w:marTop w:val="0"/>
      <w:marBottom w:val="0"/>
      <w:divBdr>
        <w:top w:val="none" w:sz="0" w:space="0" w:color="auto"/>
        <w:left w:val="none" w:sz="0" w:space="0" w:color="auto"/>
        <w:bottom w:val="none" w:sz="0" w:space="0" w:color="auto"/>
        <w:right w:val="none" w:sz="0" w:space="0" w:color="auto"/>
      </w:divBdr>
    </w:div>
    <w:div w:id="1327636278">
      <w:bodyDiv w:val="1"/>
      <w:marLeft w:val="0"/>
      <w:marRight w:val="0"/>
      <w:marTop w:val="0"/>
      <w:marBottom w:val="0"/>
      <w:divBdr>
        <w:top w:val="none" w:sz="0" w:space="0" w:color="auto"/>
        <w:left w:val="none" w:sz="0" w:space="0" w:color="auto"/>
        <w:bottom w:val="none" w:sz="0" w:space="0" w:color="auto"/>
        <w:right w:val="none" w:sz="0" w:space="0" w:color="auto"/>
      </w:divBdr>
    </w:div>
    <w:div w:id="1332104312">
      <w:bodyDiv w:val="1"/>
      <w:marLeft w:val="0"/>
      <w:marRight w:val="0"/>
      <w:marTop w:val="0"/>
      <w:marBottom w:val="0"/>
      <w:divBdr>
        <w:top w:val="none" w:sz="0" w:space="0" w:color="auto"/>
        <w:left w:val="none" w:sz="0" w:space="0" w:color="auto"/>
        <w:bottom w:val="none" w:sz="0" w:space="0" w:color="auto"/>
        <w:right w:val="none" w:sz="0" w:space="0" w:color="auto"/>
      </w:divBdr>
    </w:div>
    <w:div w:id="1333413613">
      <w:bodyDiv w:val="1"/>
      <w:marLeft w:val="0"/>
      <w:marRight w:val="0"/>
      <w:marTop w:val="0"/>
      <w:marBottom w:val="0"/>
      <w:divBdr>
        <w:top w:val="none" w:sz="0" w:space="0" w:color="auto"/>
        <w:left w:val="none" w:sz="0" w:space="0" w:color="auto"/>
        <w:bottom w:val="none" w:sz="0" w:space="0" w:color="auto"/>
        <w:right w:val="none" w:sz="0" w:space="0" w:color="auto"/>
      </w:divBdr>
    </w:div>
    <w:div w:id="1338341724">
      <w:bodyDiv w:val="1"/>
      <w:marLeft w:val="0"/>
      <w:marRight w:val="0"/>
      <w:marTop w:val="0"/>
      <w:marBottom w:val="0"/>
      <w:divBdr>
        <w:top w:val="none" w:sz="0" w:space="0" w:color="auto"/>
        <w:left w:val="none" w:sz="0" w:space="0" w:color="auto"/>
        <w:bottom w:val="none" w:sz="0" w:space="0" w:color="auto"/>
        <w:right w:val="none" w:sz="0" w:space="0" w:color="auto"/>
      </w:divBdr>
    </w:div>
    <w:div w:id="1341589511">
      <w:bodyDiv w:val="1"/>
      <w:marLeft w:val="0"/>
      <w:marRight w:val="0"/>
      <w:marTop w:val="0"/>
      <w:marBottom w:val="0"/>
      <w:divBdr>
        <w:top w:val="none" w:sz="0" w:space="0" w:color="auto"/>
        <w:left w:val="none" w:sz="0" w:space="0" w:color="auto"/>
        <w:bottom w:val="none" w:sz="0" w:space="0" w:color="auto"/>
        <w:right w:val="none" w:sz="0" w:space="0" w:color="auto"/>
      </w:divBdr>
    </w:div>
    <w:div w:id="1342466226">
      <w:bodyDiv w:val="1"/>
      <w:marLeft w:val="0"/>
      <w:marRight w:val="0"/>
      <w:marTop w:val="0"/>
      <w:marBottom w:val="0"/>
      <w:divBdr>
        <w:top w:val="none" w:sz="0" w:space="0" w:color="auto"/>
        <w:left w:val="none" w:sz="0" w:space="0" w:color="auto"/>
        <w:bottom w:val="none" w:sz="0" w:space="0" w:color="auto"/>
        <w:right w:val="none" w:sz="0" w:space="0" w:color="auto"/>
      </w:divBdr>
    </w:div>
    <w:div w:id="1345279714">
      <w:bodyDiv w:val="1"/>
      <w:marLeft w:val="0"/>
      <w:marRight w:val="0"/>
      <w:marTop w:val="0"/>
      <w:marBottom w:val="0"/>
      <w:divBdr>
        <w:top w:val="none" w:sz="0" w:space="0" w:color="auto"/>
        <w:left w:val="none" w:sz="0" w:space="0" w:color="auto"/>
        <w:bottom w:val="none" w:sz="0" w:space="0" w:color="auto"/>
        <w:right w:val="none" w:sz="0" w:space="0" w:color="auto"/>
      </w:divBdr>
    </w:div>
    <w:div w:id="1345353219">
      <w:bodyDiv w:val="1"/>
      <w:marLeft w:val="0"/>
      <w:marRight w:val="0"/>
      <w:marTop w:val="0"/>
      <w:marBottom w:val="0"/>
      <w:divBdr>
        <w:top w:val="none" w:sz="0" w:space="0" w:color="auto"/>
        <w:left w:val="none" w:sz="0" w:space="0" w:color="auto"/>
        <w:bottom w:val="none" w:sz="0" w:space="0" w:color="auto"/>
        <w:right w:val="none" w:sz="0" w:space="0" w:color="auto"/>
      </w:divBdr>
    </w:div>
    <w:div w:id="1359889625">
      <w:bodyDiv w:val="1"/>
      <w:marLeft w:val="0"/>
      <w:marRight w:val="0"/>
      <w:marTop w:val="0"/>
      <w:marBottom w:val="0"/>
      <w:divBdr>
        <w:top w:val="none" w:sz="0" w:space="0" w:color="auto"/>
        <w:left w:val="none" w:sz="0" w:space="0" w:color="auto"/>
        <w:bottom w:val="none" w:sz="0" w:space="0" w:color="auto"/>
        <w:right w:val="none" w:sz="0" w:space="0" w:color="auto"/>
      </w:divBdr>
    </w:div>
    <w:div w:id="1360281536">
      <w:bodyDiv w:val="1"/>
      <w:marLeft w:val="0"/>
      <w:marRight w:val="0"/>
      <w:marTop w:val="0"/>
      <w:marBottom w:val="0"/>
      <w:divBdr>
        <w:top w:val="none" w:sz="0" w:space="0" w:color="auto"/>
        <w:left w:val="none" w:sz="0" w:space="0" w:color="auto"/>
        <w:bottom w:val="none" w:sz="0" w:space="0" w:color="auto"/>
        <w:right w:val="none" w:sz="0" w:space="0" w:color="auto"/>
      </w:divBdr>
    </w:div>
    <w:div w:id="1365593378">
      <w:bodyDiv w:val="1"/>
      <w:marLeft w:val="0"/>
      <w:marRight w:val="0"/>
      <w:marTop w:val="0"/>
      <w:marBottom w:val="0"/>
      <w:divBdr>
        <w:top w:val="none" w:sz="0" w:space="0" w:color="auto"/>
        <w:left w:val="none" w:sz="0" w:space="0" w:color="auto"/>
        <w:bottom w:val="none" w:sz="0" w:space="0" w:color="auto"/>
        <w:right w:val="none" w:sz="0" w:space="0" w:color="auto"/>
      </w:divBdr>
    </w:div>
    <w:div w:id="1367096581">
      <w:bodyDiv w:val="1"/>
      <w:marLeft w:val="0"/>
      <w:marRight w:val="0"/>
      <w:marTop w:val="0"/>
      <w:marBottom w:val="0"/>
      <w:divBdr>
        <w:top w:val="none" w:sz="0" w:space="0" w:color="auto"/>
        <w:left w:val="none" w:sz="0" w:space="0" w:color="auto"/>
        <w:bottom w:val="none" w:sz="0" w:space="0" w:color="auto"/>
        <w:right w:val="none" w:sz="0" w:space="0" w:color="auto"/>
      </w:divBdr>
    </w:div>
    <w:div w:id="1367869336">
      <w:bodyDiv w:val="1"/>
      <w:marLeft w:val="0"/>
      <w:marRight w:val="0"/>
      <w:marTop w:val="0"/>
      <w:marBottom w:val="0"/>
      <w:divBdr>
        <w:top w:val="none" w:sz="0" w:space="0" w:color="auto"/>
        <w:left w:val="none" w:sz="0" w:space="0" w:color="auto"/>
        <w:bottom w:val="none" w:sz="0" w:space="0" w:color="auto"/>
        <w:right w:val="none" w:sz="0" w:space="0" w:color="auto"/>
      </w:divBdr>
    </w:div>
    <w:div w:id="1368724809">
      <w:bodyDiv w:val="1"/>
      <w:marLeft w:val="0"/>
      <w:marRight w:val="0"/>
      <w:marTop w:val="0"/>
      <w:marBottom w:val="0"/>
      <w:divBdr>
        <w:top w:val="none" w:sz="0" w:space="0" w:color="auto"/>
        <w:left w:val="none" w:sz="0" w:space="0" w:color="auto"/>
        <w:bottom w:val="none" w:sz="0" w:space="0" w:color="auto"/>
        <w:right w:val="none" w:sz="0" w:space="0" w:color="auto"/>
      </w:divBdr>
    </w:div>
    <w:div w:id="1377924534">
      <w:bodyDiv w:val="1"/>
      <w:marLeft w:val="0"/>
      <w:marRight w:val="0"/>
      <w:marTop w:val="0"/>
      <w:marBottom w:val="0"/>
      <w:divBdr>
        <w:top w:val="none" w:sz="0" w:space="0" w:color="auto"/>
        <w:left w:val="none" w:sz="0" w:space="0" w:color="auto"/>
        <w:bottom w:val="none" w:sz="0" w:space="0" w:color="auto"/>
        <w:right w:val="none" w:sz="0" w:space="0" w:color="auto"/>
      </w:divBdr>
    </w:div>
    <w:div w:id="1380935474">
      <w:bodyDiv w:val="1"/>
      <w:marLeft w:val="0"/>
      <w:marRight w:val="0"/>
      <w:marTop w:val="0"/>
      <w:marBottom w:val="0"/>
      <w:divBdr>
        <w:top w:val="none" w:sz="0" w:space="0" w:color="auto"/>
        <w:left w:val="none" w:sz="0" w:space="0" w:color="auto"/>
        <w:bottom w:val="none" w:sz="0" w:space="0" w:color="auto"/>
        <w:right w:val="none" w:sz="0" w:space="0" w:color="auto"/>
      </w:divBdr>
    </w:div>
    <w:div w:id="1387802160">
      <w:bodyDiv w:val="1"/>
      <w:marLeft w:val="0"/>
      <w:marRight w:val="0"/>
      <w:marTop w:val="0"/>
      <w:marBottom w:val="0"/>
      <w:divBdr>
        <w:top w:val="none" w:sz="0" w:space="0" w:color="auto"/>
        <w:left w:val="none" w:sz="0" w:space="0" w:color="auto"/>
        <w:bottom w:val="none" w:sz="0" w:space="0" w:color="auto"/>
        <w:right w:val="none" w:sz="0" w:space="0" w:color="auto"/>
      </w:divBdr>
    </w:div>
    <w:div w:id="1390374741">
      <w:bodyDiv w:val="1"/>
      <w:marLeft w:val="0"/>
      <w:marRight w:val="0"/>
      <w:marTop w:val="0"/>
      <w:marBottom w:val="0"/>
      <w:divBdr>
        <w:top w:val="none" w:sz="0" w:space="0" w:color="auto"/>
        <w:left w:val="none" w:sz="0" w:space="0" w:color="auto"/>
        <w:bottom w:val="none" w:sz="0" w:space="0" w:color="auto"/>
        <w:right w:val="none" w:sz="0" w:space="0" w:color="auto"/>
      </w:divBdr>
    </w:div>
    <w:div w:id="1395275090">
      <w:bodyDiv w:val="1"/>
      <w:marLeft w:val="0"/>
      <w:marRight w:val="0"/>
      <w:marTop w:val="0"/>
      <w:marBottom w:val="0"/>
      <w:divBdr>
        <w:top w:val="none" w:sz="0" w:space="0" w:color="auto"/>
        <w:left w:val="none" w:sz="0" w:space="0" w:color="auto"/>
        <w:bottom w:val="none" w:sz="0" w:space="0" w:color="auto"/>
        <w:right w:val="none" w:sz="0" w:space="0" w:color="auto"/>
      </w:divBdr>
    </w:div>
    <w:div w:id="1407998231">
      <w:bodyDiv w:val="1"/>
      <w:marLeft w:val="0"/>
      <w:marRight w:val="0"/>
      <w:marTop w:val="0"/>
      <w:marBottom w:val="0"/>
      <w:divBdr>
        <w:top w:val="none" w:sz="0" w:space="0" w:color="auto"/>
        <w:left w:val="none" w:sz="0" w:space="0" w:color="auto"/>
        <w:bottom w:val="none" w:sz="0" w:space="0" w:color="auto"/>
        <w:right w:val="none" w:sz="0" w:space="0" w:color="auto"/>
      </w:divBdr>
    </w:div>
    <w:div w:id="1412433038">
      <w:bodyDiv w:val="1"/>
      <w:marLeft w:val="0"/>
      <w:marRight w:val="0"/>
      <w:marTop w:val="0"/>
      <w:marBottom w:val="0"/>
      <w:divBdr>
        <w:top w:val="none" w:sz="0" w:space="0" w:color="auto"/>
        <w:left w:val="none" w:sz="0" w:space="0" w:color="auto"/>
        <w:bottom w:val="none" w:sz="0" w:space="0" w:color="auto"/>
        <w:right w:val="none" w:sz="0" w:space="0" w:color="auto"/>
      </w:divBdr>
    </w:div>
    <w:div w:id="1417283396">
      <w:bodyDiv w:val="1"/>
      <w:marLeft w:val="0"/>
      <w:marRight w:val="0"/>
      <w:marTop w:val="0"/>
      <w:marBottom w:val="0"/>
      <w:divBdr>
        <w:top w:val="none" w:sz="0" w:space="0" w:color="auto"/>
        <w:left w:val="none" w:sz="0" w:space="0" w:color="auto"/>
        <w:bottom w:val="none" w:sz="0" w:space="0" w:color="auto"/>
        <w:right w:val="none" w:sz="0" w:space="0" w:color="auto"/>
      </w:divBdr>
    </w:div>
    <w:div w:id="1418480109">
      <w:bodyDiv w:val="1"/>
      <w:marLeft w:val="0"/>
      <w:marRight w:val="0"/>
      <w:marTop w:val="0"/>
      <w:marBottom w:val="0"/>
      <w:divBdr>
        <w:top w:val="none" w:sz="0" w:space="0" w:color="auto"/>
        <w:left w:val="none" w:sz="0" w:space="0" w:color="auto"/>
        <w:bottom w:val="none" w:sz="0" w:space="0" w:color="auto"/>
        <w:right w:val="none" w:sz="0" w:space="0" w:color="auto"/>
      </w:divBdr>
    </w:div>
    <w:div w:id="1429813940">
      <w:bodyDiv w:val="1"/>
      <w:marLeft w:val="0"/>
      <w:marRight w:val="0"/>
      <w:marTop w:val="0"/>
      <w:marBottom w:val="0"/>
      <w:divBdr>
        <w:top w:val="none" w:sz="0" w:space="0" w:color="auto"/>
        <w:left w:val="none" w:sz="0" w:space="0" w:color="auto"/>
        <w:bottom w:val="none" w:sz="0" w:space="0" w:color="auto"/>
        <w:right w:val="none" w:sz="0" w:space="0" w:color="auto"/>
      </w:divBdr>
    </w:div>
    <w:div w:id="1441953202">
      <w:bodyDiv w:val="1"/>
      <w:marLeft w:val="0"/>
      <w:marRight w:val="0"/>
      <w:marTop w:val="0"/>
      <w:marBottom w:val="0"/>
      <w:divBdr>
        <w:top w:val="none" w:sz="0" w:space="0" w:color="auto"/>
        <w:left w:val="none" w:sz="0" w:space="0" w:color="auto"/>
        <w:bottom w:val="none" w:sz="0" w:space="0" w:color="auto"/>
        <w:right w:val="none" w:sz="0" w:space="0" w:color="auto"/>
      </w:divBdr>
    </w:div>
    <w:div w:id="1447387791">
      <w:bodyDiv w:val="1"/>
      <w:marLeft w:val="0"/>
      <w:marRight w:val="0"/>
      <w:marTop w:val="0"/>
      <w:marBottom w:val="0"/>
      <w:divBdr>
        <w:top w:val="none" w:sz="0" w:space="0" w:color="auto"/>
        <w:left w:val="none" w:sz="0" w:space="0" w:color="auto"/>
        <w:bottom w:val="none" w:sz="0" w:space="0" w:color="auto"/>
        <w:right w:val="none" w:sz="0" w:space="0" w:color="auto"/>
      </w:divBdr>
    </w:div>
    <w:div w:id="1470241693">
      <w:bodyDiv w:val="1"/>
      <w:marLeft w:val="0"/>
      <w:marRight w:val="0"/>
      <w:marTop w:val="0"/>
      <w:marBottom w:val="0"/>
      <w:divBdr>
        <w:top w:val="none" w:sz="0" w:space="0" w:color="auto"/>
        <w:left w:val="none" w:sz="0" w:space="0" w:color="auto"/>
        <w:bottom w:val="none" w:sz="0" w:space="0" w:color="auto"/>
        <w:right w:val="none" w:sz="0" w:space="0" w:color="auto"/>
      </w:divBdr>
    </w:div>
    <w:div w:id="1472595933">
      <w:bodyDiv w:val="1"/>
      <w:marLeft w:val="0"/>
      <w:marRight w:val="0"/>
      <w:marTop w:val="0"/>
      <w:marBottom w:val="0"/>
      <w:divBdr>
        <w:top w:val="none" w:sz="0" w:space="0" w:color="auto"/>
        <w:left w:val="none" w:sz="0" w:space="0" w:color="auto"/>
        <w:bottom w:val="none" w:sz="0" w:space="0" w:color="auto"/>
        <w:right w:val="none" w:sz="0" w:space="0" w:color="auto"/>
      </w:divBdr>
    </w:div>
    <w:div w:id="1473983976">
      <w:bodyDiv w:val="1"/>
      <w:marLeft w:val="0"/>
      <w:marRight w:val="0"/>
      <w:marTop w:val="0"/>
      <w:marBottom w:val="0"/>
      <w:divBdr>
        <w:top w:val="none" w:sz="0" w:space="0" w:color="auto"/>
        <w:left w:val="none" w:sz="0" w:space="0" w:color="auto"/>
        <w:bottom w:val="none" w:sz="0" w:space="0" w:color="auto"/>
        <w:right w:val="none" w:sz="0" w:space="0" w:color="auto"/>
      </w:divBdr>
    </w:div>
    <w:div w:id="1479767340">
      <w:bodyDiv w:val="1"/>
      <w:marLeft w:val="0"/>
      <w:marRight w:val="0"/>
      <w:marTop w:val="0"/>
      <w:marBottom w:val="0"/>
      <w:divBdr>
        <w:top w:val="none" w:sz="0" w:space="0" w:color="auto"/>
        <w:left w:val="none" w:sz="0" w:space="0" w:color="auto"/>
        <w:bottom w:val="none" w:sz="0" w:space="0" w:color="auto"/>
        <w:right w:val="none" w:sz="0" w:space="0" w:color="auto"/>
      </w:divBdr>
    </w:div>
    <w:div w:id="1487358632">
      <w:bodyDiv w:val="1"/>
      <w:marLeft w:val="0"/>
      <w:marRight w:val="0"/>
      <w:marTop w:val="0"/>
      <w:marBottom w:val="0"/>
      <w:divBdr>
        <w:top w:val="none" w:sz="0" w:space="0" w:color="auto"/>
        <w:left w:val="none" w:sz="0" w:space="0" w:color="auto"/>
        <w:bottom w:val="none" w:sz="0" w:space="0" w:color="auto"/>
        <w:right w:val="none" w:sz="0" w:space="0" w:color="auto"/>
      </w:divBdr>
    </w:div>
    <w:div w:id="1495144626">
      <w:bodyDiv w:val="1"/>
      <w:marLeft w:val="0"/>
      <w:marRight w:val="0"/>
      <w:marTop w:val="0"/>
      <w:marBottom w:val="0"/>
      <w:divBdr>
        <w:top w:val="none" w:sz="0" w:space="0" w:color="auto"/>
        <w:left w:val="none" w:sz="0" w:space="0" w:color="auto"/>
        <w:bottom w:val="none" w:sz="0" w:space="0" w:color="auto"/>
        <w:right w:val="none" w:sz="0" w:space="0" w:color="auto"/>
      </w:divBdr>
    </w:div>
    <w:div w:id="1496795687">
      <w:bodyDiv w:val="1"/>
      <w:marLeft w:val="0"/>
      <w:marRight w:val="0"/>
      <w:marTop w:val="0"/>
      <w:marBottom w:val="0"/>
      <w:divBdr>
        <w:top w:val="none" w:sz="0" w:space="0" w:color="auto"/>
        <w:left w:val="none" w:sz="0" w:space="0" w:color="auto"/>
        <w:bottom w:val="none" w:sz="0" w:space="0" w:color="auto"/>
        <w:right w:val="none" w:sz="0" w:space="0" w:color="auto"/>
      </w:divBdr>
    </w:div>
    <w:div w:id="1498960949">
      <w:bodyDiv w:val="1"/>
      <w:marLeft w:val="0"/>
      <w:marRight w:val="0"/>
      <w:marTop w:val="0"/>
      <w:marBottom w:val="0"/>
      <w:divBdr>
        <w:top w:val="none" w:sz="0" w:space="0" w:color="auto"/>
        <w:left w:val="none" w:sz="0" w:space="0" w:color="auto"/>
        <w:bottom w:val="none" w:sz="0" w:space="0" w:color="auto"/>
        <w:right w:val="none" w:sz="0" w:space="0" w:color="auto"/>
      </w:divBdr>
    </w:div>
    <w:div w:id="1500072546">
      <w:bodyDiv w:val="1"/>
      <w:marLeft w:val="0"/>
      <w:marRight w:val="0"/>
      <w:marTop w:val="0"/>
      <w:marBottom w:val="0"/>
      <w:divBdr>
        <w:top w:val="none" w:sz="0" w:space="0" w:color="auto"/>
        <w:left w:val="none" w:sz="0" w:space="0" w:color="auto"/>
        <w:bottom w:val="none" w:sz="0" w:space="0" w:color="auto"/>
        <w:right w:val="none" w:sz="0" w:space="0" w:color="auto"/>
      </w:divBdr>
    </w:div>
    <w:div w:id="1505439458">
      <w:bodyDiv w:val="1"/>
      <w:marLeft w:val="0"/>
      <w:marRight w:val="0"/>
      <w:marTop w:val="0"/>
      <w:marBottom w:val="0"/>
      <w:divBdr>
        <w:top w:val="none" w:sz="0" w:space="0" w:color="auto"/>
        <w:left w:val="none" w:sz="0" w:space="0" w:color="auto"/>
        <w:bottom w:val="none" w:sz="0" w:space="0" w:color="auto"/>
        <w:right w:val="none" w:sz="0" w:space="0" w:color="auto"/>
      </w:divBdr>
    </w:div>
    <w:div w:id="1507011891">
      <w:bodyDiv w:val="1"/>
      <w:marLeft w:val="0"/>
      <w:marRight w:val="0"/>
      <w:marTop w:val="0"/>
      <w:marBottom w:val="0"/>
      <w:divBdr>
        <w:top w:val="none" w:sz="0" w:space="0" w:color="auto"/>
        <w:left w:val="none" w:sz="0" w:space="0" w:color="auto"/>
        <w:bottom w:val="none" w:sz="0" w:space="0" w:color="auto"/>
        <w:right w:val="none" w:sz="0" w:space="0" w:color="auto"/>
      </w:divBdr>
    </w:div>
    <w:div w:id="1508324473">
      <w:bodyDiv w:val="1"/>
      <w:marLeft w:val="0"/>
      <w:marRight w:val="0"/>
      <w:marTop w:val="0"/>
      <w:marBottom w:val="0"/>
      <w:divBdr>
        <w:top w:val="none" w:sz="0" w:space="0" w:color="auto"/>
        <w:left w:val="none" w:sz="0" w:space="0" w:color="auto"/>
        <w:bottom w:val="none" w:sz="0" w:space="0" w:color="auto"/>
        <w:right w:val="none" w:sz="0" w:space="0" w:color="auto"/>
      </w:divBdr>
    </w:div>
    <w:div w:id="1512331338">
      <w:bodyDiv w:val="1"/>
      <w:marLeft w:val="0"/>
      <w:marRight w:val="0"/>
      <w:marTop w:val="0"/>
      <w:marBottom w:val="0"/>
      <w:divBdr>
        <w:top w:val="none" w:sz="0" w:space="0" w:color="auto"/>
        <w:left w:val="none" w:sz="0" w:space="0" w:color="auto"/>
        <w:bottom w:val="none" w:sz="0" w:space="0" w:color="auto"/>
        <w:right w:val="none" w:sz="0" w:space="0" w:color="auto"/>
      </w:divBdr>
    </w:div>
    <w:div w:id="1512991123">
      <w:bodyDiv w:val="1"/>
      <w:marLeft w:val="0"/>
      <w:marRight w:val="0"/>
      <w:marTop w:val="0"/>
      <w:marBottom w:val="0"/>
      <w:divBdr>
        <w:top w:val="none" w:sz="0" w:space="0" w:color="auto"/>
        <w:left w:val="none" w:sz="0" w:space="0" w:color="auto"/>
        <w:bottom w:val="none" w:sz="0" w:space="0" w:color="auto"/>
        <w:right w:val="none" w:sz="0" w:space="0" w:color="auto"/>
      </w:divBdr>
    </w:div>
    <w:div w:id="1516454639">
      <w:bodyDiv w:val="1"/>
      <w:marLeft w:val="0"/>
      <w:marRight w:val="0"/>
      <w:marTop w:val="0"/>
      <w:marBottom w:val="0"/>
      <w:divBdr>
        <w:top w:val="none" w:sz="0" w:space="0" w:color="auto"/>
        <w:left w:val="none" w:sz="0" w:space="0" w:color="auto"/>
        <w:bottom w:val="none" w:sz="0" w:space="0" w:color="auto"/>
        <w:right w:val="none" w:sz="0" w:space="0" w:color="auto"/>
      </w:divBdr>
    </w:div>
    <w:div w:id="1527015534">
      <w:bodyDiv w:val="1"/>
      <w:marLeft w:val="0"/>
      <w:marRight w:val="0"/>
      <w:marTop w:val="0"/>
      <w:marBottom w:val="0"/>
      <w:divBdr>
        <w:top w:val="none" w:sz="0" w:space="0" w:color="auto"/>
        <w:left w:val="none" w:sz="0" w:space="0" w:color="auto"/>
        <w:bottom w:val="none" w:sz="0" w:space="0" w:color="auto"/>
        <w:right w:val="none" w:sz="0" w:space="0" w:color="auto"/>
      </w:divBdr>
    </w:div>
    <w:div w:id="1533300313">
      <w:bodyDiv w:val="1"/>
      <w:marLeft w:val="0"/>
      <w:marRight w:val="0"/>
      <w:marTop w:val="0"/>
      <w:marBottom w:val="0"/>
      <w:divBdr>
        <w:top w:val="none" w:sz="0" w:space="0" w:color="auto"/>
        <w:left w:val="none" w:sz="0" w:space="0" w:color="auto"/>
        <w:bottom w:val="none" w:sz="0" w:space="0" w:color="auto"/>
        <w:right w:val="none" w:sz="0" w:space="0" w:color="auto"/>
      </w:divBdr>
    </w:div>
    <w:div w:id="1551649561">
      <w:bodyDiv w:val="1"/>
      <w:marLeft w:val="0"/>
      <w:marRight w:val="0"/>
      <w:marTop w:val="0"/>
      <w:marBottom w:val="0"/>
      <w:divBdr>
        <w:top w:val="none" w:sz="0" w:space="0" w:color="auto"/>
        <w:left w:val="none" w:sz="0" w:space="0" w:color="auto"/>
        <w:bottom w:val="none" w:sz="0" w:space="0" w:color="auto"/>
        <w:right w:val="none" w:sz="0" w:space="0" w:color="auto"/>
      </w:divBdr>
    </w:div>
    <w:div w:id="1561357290">
      <w:bodyDiv w:val="1"/>
      <w:marLeft w:val="0"/>
      <w:marRight w:val="0"/>
      <w:marTop w:val="0"/>
      <w:marBottom w:val="0"/>
      <w:divBdr>
        <w:top w:val="none" w:sz="0" w:space="0" w:color="auto"/>
        <w:left w:val="none" w:sz="0" w:space="0" w:color="auto"/>
        <w:bottom w:val="none" w:sz="0" w:space="0" w:color="auto"/>
        <w:right w:val="none" w:sz="0" w:space="0" w:color="auto"/>
      </w:divBdr>
    </w:div>
    <w:div w:id="1572736590">
      <w:bodyDiv w:val="1"/>
      <w:marLeft w:val="0"/>
      <w:marRight w:val="0"/>
      <w:marTop w:val="0"/>
      <w:marBottom w:val="0"/>
      <w:divBdr>
        <w:top w:val="none" w:sz="0" w:space="0" w:color="auto"/>
        <w:left w:val="none" w:sz="0" w:space="0" w:color="auto"/>
        <w:bottom w:val="none" w:sz="0" w:space="0" w:color="auto"/>
        <w:right w:val="none" w:sz="0" w:space="0" w:color="auto"/>
      </w:divBdr>
    </w:div>
    <w:div w:id="1582520369">
      <w:bodyDiv w:val="1"/>
      <w:marLeft w:val="0"/>
      <w:marRight w:val="0"/>
      <w:marTop w:val="0"/>
      <w:marBottom w:val="0"/>
      <w:divBdr>
        <w:top w:val="none" w:sz="0" w:space="0" w:color="auto"/>
        <w:left w:val="none" w:sz="0" w:space="0" w:color="auto"/>
        <w:bottom w:val="none" w:sz="0" w:space="0" w:color="auto"/>
        <w:right w:val="none" w:sz="0" w:space="0" w:color="auto"/>
      </w:divBdr>
    </w:div>
    <w:div w:id="1591163223">
      <w:bodyDiv w:val="1"/>
      <w:marLeft w:val="0"/>
      <w:marRight w:val="0"/>
      <w:marTop w:val="0"/>
      <w:marBottom w:val="0"/>
      <w:divBdr>
        <w:top w:val="none" w:sz="0" w:space="0" w:color="auto"/>
        <w:left w:val="none" w:sz="0" w:space="0" w:color="auto"/>
        <w:bottom w:val="none" w:sz="0" w:space="0" w:color="auto"/>
        <w:right w:val="none" w:sz="0" w:space="0" w:color="auto"/>
      </w:divBdr>
    </w:div>
    <w:div w:id="1598561360">
      <w:bodyDiv w:val="1"/>
      <w:marLeft w:val="0"/>
      <w:marRight w:val="0"/>
      <w:marTop w:val="0"/>
      <w:marBottom w:val="0"/>
      <w:divBdr>
        <w:top w:val="none" w:sz="0" w:space="0" w:color="auto"/>
        <w:left w:val="none" w:sz="0" w:space="0" w:color="auto"/>
        <w:bottom w:val="none" w:sz="0" w:space="0" w:color="auto"/>
        <w:right w:val="none" w:sz="0" w:space="0" w:color="auto"/>
      </w:divBdr>
    </w:div>
    <w:div w:id="1600335333">
      <w:bodyDiv w:val="1"/>
      <w:marLeft w:val="0"/>
      <w:marRight w:val="0"/>
      <w:marTop w:val="0"/>
      <w:marBottom w:val="0"/>
      <w:divBdr>
        <w:top w:val="none" w:sz="0" w:space="0" w:color="auto"/>
        <w:left w:val="none" w:sz="0" w:space="0" w:color="auto"/>
        <w:bottom w:val="none" w:sz="0" w:space="0" w:color="auto"/>
        <w:right w:val="none" w:sz="0" w:space="0" w:color="auto"/>
      </w:divBdr>
    </w:div>
    <w:div w:id="1606890293">
      <w:bodyDiv w:val="1"/>
      <w:marLeft w:val="0"/>
      <w:marRight w:val="0"/>
      <w:marTop w:val="0"/>
      <w:marBottom w:val="0"/>
      <w:divBdr>
        <w:top w:val="none" w:sz="0" w:space="0" w:color="auto"/>
        <w:left w:val="none" w:sz="0" w:space="0" w:color="auto"/>
        <w:bottom w:val="none" w:sz="0" w:space="0" w:color="auto"/>
        <w:right w:val="none" w:sz="0" w:space="0" w:color="auto"/>
      </w:divBdr>
    </w:div>
    <w:div w:id="1606960250">
      <w:bodyDiv w:val="1"/>
      <w:marLeft w:val="0"/>
      <w:marRight w:val="0"/>
      <w:marTop w:val="0"/>
      <w:marBottom w:val="0"/>
      <w:divBdr>
        <w:top w:val="none" w:sz="0" w:space="0" w:color="auto"/>
        <w:left w:val="none" w:sz="0" w:space="0" w:color="auto"/>
        <w:bottom w:val="none" w:sz="0" w:space="0" w:color="auto"/>
        <w:right w:val="none" w:sz="0" w:space="0" w:color="auto"/>
      </w:divBdr>
    </w:div>
    <w:div w:id="1607300341">
      <w:bodyDiv w:val="1"/>
      <w:marLeft w:val="0"/>
      <w:marRight w:val="0"/>
      <w:marTop w:val="0"/>
      <w:marBottom w:val="0"/>
      <w:divBdr>
        <w:top w:val="none" w:sz="0" w:space="0" w:color="auto"/>
        <w:left w:val="none" w:sz="0" w:space="0" w:color="auto"/>
        <w:bottom w:val="none" w:sz="0" w:space="0" w:color="auto"/>
        <w:right w:val="none" w:sz="0" w:space="0" w:color="auto"/>
      </w:divBdr>
    </w:div>
    <w:div w:id="1608343641">
      <w:bodyDiv w:val="1"/>
      <w:marLeft w:val="0"/>
      <w:marRight w:val="0"/>
      <w:marTop w:val="0"/>
      <w:marBottom w:val="0"/>
      <w:divBdr>
        <w:top w:val="none" w:sz="0" w:space="0" w:color="auto"/>
        <w:left w:val="none" w:sz="0" w:space="0" w:color="auto"/>
        <w:bottom w:val="none" w:sz="0" w:space="0" w:color="auto"/>
        <w:right w:val="none" w:sz="0" w:space="0" w:color="auto"/>
      </w:divBdr>
    </w:div>
    <w:div w:id="1609923287">
      <w:bodyDiv w:val="1"/>
      <w:marLeft w:val="0"/>
      <w:marRight w:val="0"/>
      <w:marTop w:val="0"/>
      <w:marBottom w:val="0"/>
      <w:divBdr>
        <w:top w:val="none" w:sz="0" w:space="0" w:color="auto"/>
        <w:left w:val="none" w:sz="0" w:space="0" w:color="auto"/>
        <w:bottom w:val="none" w:sz="0" w:space="0" w:color="auto"/>
        <w:right w:val="none" w:sz="0" w:space="0" w:color="auto"/>
      </w:divBdr>
    </w:div>
    <w:div w:id="1624069104">
      <w:bodyDiv w:val="1"/>
      <w:marLeft w:val="0"/>
      <w:marRight w:val="0"/>
      <w:marTop w:val="0"/>
      <w:marBottom w:val="0"/>
      <w:divBdr>
        <w:top w:val="none" w:sz="0" w:space="0" w:color="auto"/>
        <w:left w:val="none" w:sz="0" w:space="0" w:color="auto"/>
        <w:bottom w:val="none" w:sz="0" w:space="0" w:color="auto"/>
        <w:right w:val="none" w:sz="0" w:space="0" w:color="auto"/>
      </w:divBdr>
    </w:div>
    <w:div w:id="1628048254">
      <w:bodyDiv w:val="1"/>
      <w:marLeft w:val="0"/>
      <w:marRight w:val="0"/>
      <w:marTop w:val="0"/>
      <w:marBottom w:val="0"/>
      <w:divBdr>
        <w:top w:val="none" w:sz="0" w:space="0" w:color="auto"/>
        <w:left w:val="none" w:sz="0" w:space="0" w:color="auto"/>
        <w:bottom w:val="none" w:sz="0" w:space="0" w:color="auto"/>
        <w:right w:val="none" w:sz="0" w:space="0" w:color="auto"/>
      </w:divBdr>
    </w:div>
    <w:div w:id="1635255411">
      <w:bodyDiv w:val="1"/>
      <w:marLeft w:val="0"/>
      <w:marRight w:val="0"/>
      <w:marTop w:val="0"/>
      <w:marBottom w:val="0"/>
      <w:divBdr>
        <w:top w:val="none" w:sz="0" w:space="0" w:color="auto"/>
        <w:left w:val="none" w:sz="0" w:space="0" w:color="auto"/>
        <w:bottom w:val="none" w:sz="0" w:space="0" w:color="auto"/>
        <w:right w:val="none" w:sz="0" w:space="0" w:color="auto"/>
      </w:divBdr>
    </w:div>
    <w:div w:id="1635989661">
      <w:bodyDiv w:val="1"/>
      <w:marLeft w:val="0"/>
      <w:marRight w:val="0"/>
      <w:marTop w:val="0"/>
      <w:marBottom w:val="0"/>
      <w:divBdr>
        <w:top w:val="none" w:sz="0" w:space="0" w:color="auto"/>
        <w:left w:val="none" w:sz="0" w:space="0" w:color="auto"/>
        <w:bottom w:val="none" w:sz="0" w:space="0" w:color="auto"/>
        <w:right w:val="none" w:sz="0" w:space="0" w:color="auto"/>
      </w:divBdr>
    </w:div>
    <w:div w:id="1639653658">
      <w:bodyDiv w:val="1"/>
      <w:marLeft w:val="0"/>
      <w:marRight w:val="0"/>
      <w:marTop w:val="0"/>
      <w:marBottom w:val="0"/>
      <w:divBdr>
        <w:top w:val="none" w:sz="0" w:space="0" w:color="auto"/>
        <w:left w:val="none" w:sz="0" w:space="0" w:color="auto"/>
        <w:bottom w:val="none" w:sz="0" w:space="0" w:color="auto"/>
        <w:right w:val="none" w:sz="0" w:space="0" w:color="auto"/>
      </w:divBdr>
    </w:div>
    <w:div w:id="1643387863">
      <w:bodyDiv w:val="1"/>
      <w:marLeft w:val="0"/>
      <w:marRight w:val="0"/>
      <w:marTop w:val="0"/>
      <w:marBottom w:val="0"/>
      <w:divBdr>
        <w:top w:val="none" w:sz="0" w:space="0" w:color="auto"/>
        <w:left w:val="none" w:sz="0" w:space="0" w:color="auto"/>
        <w:bottom w:val="none" w:sz="0" w:space="0" w:color="auto"/>
        <w:right w:val="none" w:sz="0" w:space="0" w:color="auto"/>
      </w:divBdr>
    </w:div>
    <w:div w:id="1649704663">
      <w:bodyDiv w:val="1"/>
      <w:marLeft w:val="0"/>
      <w:marRight w:val="0"/>
      <w:marTop w:val="0"/>
      <w:marBottom w:val="0"/>
      <w:divBdr>
        <w:top w:val="none" w:sz="0" w:space="0" w:color="auto"/>
        <w:left w:val="none" w:sz="0" w:space="0" w:color="auto"/>
        <w:bottom w:val="none" w:sz="0" w:space="0" w:color="auto"/>
        <w:right w:val="none" w:sz="0" w:space="0" w:color="auto"/>
      </w:divBdr>
    </w:div>
    <w:div w:id="1665280283">
      <w:bodyDiv w:val="1"/>
      <w:marLeft w:val="0"/>
      <w:marRight w:val="0"/>
      <w:marTop w:val="0"/>
      <w:marBottom w:val="0"/>
      <w:divBdr>
        <w:top w:val="none" w:sz="0" w:space="0" w:color="auto"/>
        <w:left w:val="none" w:sz="0" w:space="0" w:color="auto"/>
        <w:bottom w:val="none" w:sz="0" w:space="0" w:color="auto"/>
        <w:right w:val="none" w:sz="0" w:space="0" w:color="auto"/>
      </w:divBdr>
    </w:div>
    <w:div w:id="1670908717">
      <w:bodyDiv w:val="1"/>
      <w:marLeft w:val="0"/>
      <w:marRight w:val="0"/>
      <w:marTop w:val="0"/>
      <w:marBottom w:val="0"/>
      <w:divBdr>
        <w:top w:val="none" w:sz="0" w:space="0" w:color="auto"/>
        <w:left w:val="none" w:sz="0" w:space="0" w:color="auto"/>
        <w:bottom w:val="none" w:sz="0" w:space="0" w:color="auto"/>
        <w:right w:val="none" w:sz="0" w:space="0" w:color="auto"/>
      </w:divBdr>
    </w:div>
    <w:div w:id="1686008870">
      <w:bodyDiv w:val="1"/>
      <w:marLeft w:val="0"/>
      <w:marRight w:val="0"/>
      <w:marTop w:val="0"/>
      <w:marBottom w:val="0"/>
      <w:divBdr>
        <w:top w:val="none" w:sz="0" w:space="0" w:color="auto"/>
        <w:left w:val="none" w:sz="0" w:space="0" w:color="auto"/>
        <w:bottom w:val="none" w:sz="0" w:space="0" w:color="auto"/>
        <w:right w:val="none" w:sz="0" w:space="0" w:color="auto"/>
      </w:divBdr>
    </w:div>
    <w:div w:id="1689985242">
      <w:bodyDiv w:val="1"/>
      <w:marLeft w:val="0"/>
      <w:marRight w:val="0"/>
      <w:marTop w:val="0"/>
      <w:marBottom w:val="0"/>
      <w:divBdr>
        <w:top w:val="none" w:sz="0" w:space="0" w:color="auto"/>
        <w:left w:val="none" w:sz="0" w:space="0" w:color="auto"/>
        <w:bottom w:val="none" w:sz="0" w:space="0" w:color="auto"/>
        <w:right w:val="none" w:sz="0" w:space="0" w:color="auto"/>
      </w:divBdr>
    </w:div>
    <w:div w:id="1693220441">
      <w:bodyDiv w:val="1"/>
      <w:marLeft w:val="0"/>
      <w:marRight w:val="0"/>
      <w:marTop w:val="0"/>
      <w:marBottom w:val="0"/>
      <w:divBdr>
        <w:top w:val="none" w:sz="0" w:space="0" w:color="auto"/>
        <w:left w:val="none" w:sz="0" w:space="0" w:color="auto"/>
        <w:bottom w:val="none" w:sz="0" w:space="0" w:color="auto"/>
        <w:right w:val="none" w:sz="0" w:space="0" w:color="auto"/>
      </w:divBdr>
    </w:div>
    <w:div w:id="1697080119">
      <w:bodyDiv w:val="1"/>
      <w:marLeft w:val="0"/>
      <w:marRight w:val="0"/>
      <w:marTop w:val="0"/>
      <w:marBottom w:val="0"/>
      <w:divBdr>
        <w:top w:val="none" w:sz="0" w:space="0" w:color="auto"/>
        <w:left w:val="none" w:sz="0" w:space="0" w:color="auto"/>
        <w:bottom w:val="none" w:sz="0" w:space="0" w:color="auto"/>
        <w:right w:val="none" w:sz="0" w:space="0" w:color="auto"/>
      </w:divBdr>
    </w:div>
    <w:div w:id="1697272816">
      <w:bodyDiv w:val="1"/>
      <w:marLeft w:val="0"/>
      <w:marRight w:val="0"/>
      <w:marTop w:val="0"/>
      <w:marBottom w:val="0"/>
      <w:divBdr>
        <w:top w:val="none" w:sz="0" w:space="0" w:color="auto"/>
        <w:left w:val="none" w:sz="0" w:space="0" w:color="auto"/>
        <w:bottom w:val="none" w:sz="0" w:space="0" w:color="auto"/>
        <w:right w:val="none" w:sz="0" w:space="0" w:color="auto"/>
      </w:divBdr>
    </w:div>
    <w:div w:id="1707637888">
      <w:bodyDiv w:val="1"/>
      <w:marLeft w:val="0"/>
      <w:marRight w:val="0"/>
      <w:marTop w:val="0"/>
      <w:marBottom w:val="0"/>
      <w:divBdr>
        <w:top w:val="none" w:sz="0" w:space="0" w:color="auto"/>
        <w:left w:val="none" w:sz="0" w:space="0" w:color="auto"/>
        <w:bottom w:val="none" w:sz="0" w:space="0" w:color="auto"/>
        <w:right w:val="none" w:sz="0" w:space="0" w:color="auto"/>
      </w:divBdr>
    </w:div>
    <w:div w:id="1708873962">
      <w:bodyDiv w:val="1"/>
      <w:marLeft w:val="0"/>
      <w:marRight w:val="0"/>
      <w:marTop w:val="0"/>
      <w:marBottom w:val="0"/>
      <w:divBdr>
        <w:top w:val="none" w:sz="0" w:space="0" w:color="auto"/>
        <w:left w:val="none" w:sz="0" w:space="0" w:color="auto"/>
        <w:bottom w:val="none" w:sz="0" w:space="0" w:color="auto"/>
        <w:right w:val="none" w:sz="0" w:space="0" w:color="auto"/>
      </w:divBdr>
    </w:div>
    <w:div w:id="1713190939">
      <w:bodyDiv w:val="1"/>
      <w:marLeft w:val="0"/>
      <w:marRight w:val="0"/>
      <w:marTop w:val="0"/>
      <w:marBottom w:val="0"/>
      <w:divBdr>
        <w:top w:val="none" w:sz="0" w:space="0" w:color="auto"/>
        <w:left w:val="none" w:sz="0" w:space="0" w:color="auto"/>
        <w:bottom w:val="none" w:sz="0" w:space="0" w:color="auto"/>
        <w:right w:val="none" w:sz="0" w:space="0" w:color="auto"/>
      </w:divBdr>
    </w:div>
    <w:div w:id="1713455290">
      <w:bodyDiv w:val="1"/>
      <w:marLeft w:val="0"/>
      <w:marRight w:val="0"/>
      <w:marTop w:val="0"/>
      <w:marBottom w:val="0"/>
      <w:divBdr>
        <w:top w:val="none" w:sz="0" w:space="0" w:color="auto"/>
        <w:left w:val="none" w:sz="0" w:space="0" w:color="auto"/>
        <w:bottom w:val="none" w:sz="0" w:space="0" w:color="auto"/>
        <w:right w:val="none" w:sz="0" w:space="0" w:color="auto"/>
      </w:divBdr>
    </w:div>
    <w:div w:id="1728456509">
      <w:bodyDiv w:val="1"/>
      <w:marLeft w:val="0"/>
      <w:marRight w:val="0"/>
      <w:marTop w:val="0"/>
      <w:marBottom w:val="0"/>
      <w:divBdr>
        <w:top w:val="none" w:sz="0" w:space="0" w:color="auto"/>
        <w:left w:val="none" w:sz="0" w:space="0" w:color="auto"/>
        <w:bottom w:val="none" w:sz="0" w:space="0" w:color="auto"/>
        <w:right w:val="none" w:sz="0" w:space="0" w:color="auto"/>
      </w:divBdr>
    </w:div>
    <w:div w:id="1735280039">
      <w:bodyDiv w:val="1"/>
      <w:marLeft w:val="0"/>
      <w:marRight w:val="0"/>
      <w:marTop w:val="0"/>
      <w:marBottom w:val="0"/>
      <w:divBdr>
        <w:top w:val="none" w:sz="0" w:space="0" w:color="auto"/>
        <w:left w:val="none" w:sz="0" w:space="0" w:color="auto"/>
        <w:bottom w:val="none" w:sz="0" w:space="0" w:color="auto"/>
        <w:right w:val="none" w:sz="0" w:space="0" w:color="auto"/>
      </w:divBdr>
    </w:div>
    <w:div w:id="1738017897">
      <w:bodyDiv w:val="1"/>
      <w:marLeft w:val="0"/>
      <w:marRight w:val="0"/>
      <w:marTop w:val="0"/>
      <w:marBottom w:val="0"/>
      <w:divBdr>
        <w:top w:val="none" w:sz="0" w:space="0" w:color="auto"/>
        <w:left w:val="none" w:sz="0" w:space="0" w:color="auto"/>
        <w:bottom w:val="none" w:sz="0" w:space="0" w:color="auto"/>
        <w:right w:val="none" w:sz="0" w:space="0" w:color="auto"/>
      </w:divBdr>
    </w:div>
    <w:div w:id="1740400079">
      <w:bodyDiv w:val="1"/>
      <w:marLeft w:val="0"/>
      <w:marRight w:val="0"/>
      <w:marTop w:val="0"/>
      <w:marBottom w:val="0"/>
      <w:divBdr>
        <w:top w:val="none" w:sz="0" w:space="0" w:color="auto"/>
        <w:left w:val="none" w:sz="0" w:space="0" w:color="auto"/>
        <w:bottom w:val="none" w:sz="0" w:space="0" w:color="auto"/>
        <w:right w:val="none" w:sz="0" w:space="0" w:color="auto"/>
      </w:divBdr>
    </w:div>
    <w:div w:id="1742830659">
      <w:bodyDiv w:val="1"/>
      <w:marLeft w:val="0"/>
      <w:marRight w:val="0"/>
      <w:marTop w:val="0"/>
      <w:marBottom w:val="0"/>
      <w:divBdr>
        <w:top w:val="none" w:sz="0" w:space="0" w:color="auto"/>
        <w:left w:val="none" w:sz="0" w:space="0" w:color="auto"/>
        <w:bottom w:val="none" w:sz="0" w:space="0" w:color="auto"/>
        <w:right w:val="none" w:sz="0" w:space="0" w:color="auto"/>
      </w:divBdr>
    </w:div>
    <w:div w:id="1748654082">
      <w:bodyDiv w:val="1"/>
      <w:marLeft w:val="0"/>
      <w:marRight w:val="0"/>
      <w:marTop w:val="0"/>
      <w:marBottom w:val="0"/>
      <w:divBdr>
        <w:top w:val="none" w:sz="0" w:space="0" w:color="auto"/>
        <w:left w:val="none" w:sz="0" w:space="0" w:color="auto"/>
        <w:bottom w:val="none" w:sz="0" w:space="0" w:color="auto"/>
        <w:right w:val="none" w:sz="0" w:space="0" w:color="auto"/>
      </w:divBdr>
    </w:div>
    <w:div w:id="1758820519">
      <w:bodyDiv w:val="1"/>
      <w:marLeft w:val="0"/>
      <w:marRight w:val="0"/>
      <w:marTop w:val="0"/>
      <w:marBottom w:val="0"/>
      <w:divBdr>
        <w:top w:val="none" w:sz="0" w:space="0" w:color="auto"/>
        <w:left w:val="none" w:sz="0" w:space="0" w:color="auto"/>
        <w:bottom w:val="none" w:sz="0" w:space="0" w:color="auto"/>
        <w:right w:val="none" w:sz="0" w:space="0" w:color="auto"/>
      </w:divBdr>
    </w:div>
    <w:div w:id="1761292098">
      <w:bodyDiv w:val="1"/>
      <w:marLeft w:val="0"/>
      <w:marRight w:val="0"/>
      <w:marTop w:val="0"/>
      <w:marBottom w:val="0"/>
      <w:divBdr>
        <w:top w:val="none" w:sz="0" w:space="0" w:color="auto"/>
        <w:left w:val="none" w:sz="0" w:space="0" w:color="auto"/>
        <w:bottom w:val="none" w:sz="0" w:space="0" w:color="auto"/>
        <w:right w:val="none" w:sz="0" w:space="0" w:color="auto"/>
      </w:divBdr>
    </w:div>
    <w:div w:id="1771050609">
      <w:bodyDiv w:val="1"/>
      <w:marLeft w:val="0"/>
      <w:marRight w:val="0"/>
      <w:marTop w:val="0"/>
      <w:marBottom w:val="0"/>
      <w:divBdr>
        <w:top w:val="none" w:sz="0" w:space="0" w:color="auto"/>
        <w:left w:val="none" w:sz="0" w:space="0" w:color="auto"/>
        <w:bottom w:val="none" w:sz="0" w:space="0" w:color="auto"/>
        <w:right w:val="none" w:sz="0" w:space="0" w:color="auto"/>
      </w:divBdr>
    </w:div>
    <w:div w:id="1784031023">
      <w:bodyDiv w:val="1"/>
      <w:marLeft w:val="0"/>
      <w:marRight w:val="0"/>
      <w:marTop w:val="0"/>
      <w:marBottom w:val="0"/>
      <w:divBdr>
        <w:top w:val="none" w:sz="0" w:space="0" w:color="auto"/>
        <w:left w:val="none" w:sz="0" w:space="0" w:color="auto"/>
        <w:bottom w:val="none" w:sz="0" w:space="0" w:color="auto"/>
        <w:right w:val="none" w:sz="0" w:space="0" w:color="auto"/>
      </w:divBdr>
    </w:div>
    <w:div w:id="1785343251">
      <w:bodyDiv w:val="1"/>
      <w:marLeft w:val="0"/>
      <w:marRight w:val="0"/>
      <w:marTop w:val="0"/>
      <w:marBottom w:val="0"/>
      <w:divBdr>
        <w:top w:val="none" w:sz="0" w:space="0" w:color="auto"/>
        <w:left w:val="none" w:sz="0" w:space="0" w:color="auto"/>
        <w:bottom w:val="none" w:sz="0" w:space="0" w:color="auto"/>
        <w:right w:val="none" w:sz="0" w:space="0" w:color="auto"/>
      </w:divBdr>
    </w:div>
    <w:div w:id="1786147925">
      <w:bodyDiv w:val="1"/>
      <w:marLeft w:val="0"/>
      <w:marRight w:val="0"/>
      <w:marTop w:val="0"/>
      <w:marBottom w:val="0"/>
      <w:divBdr>
        <w:top w:val="none" w:sz="0" w:space="0" w:color="auto"/>
        <w:left w:val="none" w:sz="0" w:space="0" w:color="auto"/>
        <w:bottom w:val="none" w:sz="0" w:space="0" w:color="auto"/>
        <w:right w:val="none" w:sz="0" w:space="0" w:color="auto"/>
      </w:divBdr>
    </w:div>
    <w:div w:id="1787963377">
      <w:bodyDiv w:val="1"/>
      <w:marLeft w:val="0"/>
      <w:marRight w:val="0"/>
      <w:marTop w:val="0"/>
      <w:marBottom w:val="0"/>
      <w:divBdr>
        <w:top w:val="none" w:sz="0" w:space="0" w:color="auto"/>
        <w:left w:val="none" w:sz="0" w:space="0" w:color="auto"/>
        <w:bottom w:val="none" w:sz="0" w:space="0" w:color="auto"/>
        <w:right w:val="none" w:sz="0" w:space="0" w:color="auto"/>
      </w:divBdr>
    </w:div>
    <w:div w:id="1789741287">
      <w:bodyDiv w:val="1"/>
      <w:marLeft w:val="0"/>
      <w:marRight w:val="0"/>
      <w:marTop w:val="0"/>
      <w:marBottom w:val="0"/>
      <w:divBdr>
        <w:top w:val="none" w:sz="0" w:space="0" w:color="auto"/>
        <w:left w:val="none" w:sz="0" w:space="0" w:color="auto"/>
        <w:bottom w:val="none" w:sz="0" w:space="0" w:color="auto"/>
        <w:right w:val="none" w:sz="0" w:space="0" w:color="auto"/>
      </w:divBdr>
    </w:div>
    <w:div w:id="1796291861">
      <w:bodyDiv w:val="1"/>
      <w:marLeft w:val="0"/>
      <w:marRight w:val="0"/>
      <w:marTop w:val="0"/>
      <w:marBottom w:val="0"/>
      <w:divBdr>
        <w:top w:val="none" w:sz="0" w:space="0" w:color="auto"/>
        <w:left w:val="none" w:sz="0" w:space="0" w:color="auto"/>
        <w:bottom w:val="none" w:sz="0" w:space="0" w:color="auto"/>
        <w:right w:val="none" w:sz="0" w:space="0" w:color="auto"/>
      </w:divBdr>
    </w:div>
    <w:div w:id="1799255907">
      <w:bodyDiv w:val="1"/>
      <w:marLeft w:val="0"/>
      <w:marRight w:val="0"/>
      <w:marTop w:val="0"/>
      <w:marBottom w:val="0"/>
      <w:divBdr>
        <w:top w:val="none" w:sz="0" w:space="0" w:color="auto"/>
        <w:left w:val="none" w:sz="0" w:space="0" w:color="auto"/>
        <w:bottom w:val="none" w:sz="0" w:space="0" w:color="auto"/>
        <w:right w:val="none" w:sz="0" w:space="0" w:color="auto"/>
      </w:divBdr>
    </w:div>
    <w:div w:id="1799641203">
      <w:bodyDiv w:val="1"/>
      <w:marLeft w:val="0"/>
      <w:marRight w:val="0"/>
      <w:marTop w:val="0"/>
      <w:marBottom w:val="0"/>
      <w:divBdr>
        <w:top w:val="none" w:sz="0" w:space="0" w:color="auto"/>
        <w:left w:val="none" w:sz="0" w:space="0" w:color="auto"/>
        <w:bottom w:val="none" w:sz="0" w:space="0" w:color="auto"/>
        <w:right w:val="none" w:sz="0" w:space="0" w:color="auto"/>
      </w:divBdr>
    </w:div>
    <w:div w:id="1804806588">
      <w:bodyDiv w:val="1"/>
      <w:marLeft w:val="0"/>
      <w:marRight w:val="0"/>
      <w:marTop w:val="0"/>
      <w:marBottom w:val="0"/>
      <w:divBdr>
        <w:top w:val="none" w:sz="0" w:space="0" w:color="auto"/>
        <w:left w:val="none" w:sz="0" w:space="0" w:color="auto"/>
        <w:bottom w:val="none" w:sz="0" w:space="0" w:color="auto"/>
        <w:right w:val="none" w:sz="0" w:space="0" w:color="auto"/>
      </w:divBdr>
    </w:div>
    <w:div w:id="1825269910">
      <w:bodyDiv w:val="1"/>
      <w:marLeft w:val="0"/>
      <w:marRight w:val="0"/>
      <w:marTop w:val="0"/>
      <w:marBottom w:val="0"/>
      <w:divBdr>
        <w:top w:val="none" w:sz="0" w:space="0" w:color="auto"/>
        <w:left w:val="none" w:sz="0" w:space="0" w:color="auto"/>
        <w:bottom w:val="none" w:sz="0" w:space="0" w:color="auto"/>
        <w:right w:val="none" w:sz="0" w:space="0" w:color="auto"/>
      </w:divBdr>
    </w:div>
    <w:div w:id="1827044121">
      <w:bodyDiv w:val="1"/>
      <w:marLeft w:val="0"/>
      <w:marRight w:val="0"/>
      <w:marTop w:val="0"/>
      <w:marBottom w:val="0"/>
      <w:divBdr>
        <w:top w:val="none" w:sz="0" w:space="0" w:color="auto"/>
        <w:left w:val="none" w:sz="0" w:space="0" w:color="auto"/>
        <w:bottom w:val="none" w:sz="0" w:space="0" w:color="auto"/>
        <w:right w:val="none" w:sz="0" w:space="0" w:color="auto"/>
      </w:divBdr>
    </w:div>
    <w:div w:id="1834687237">
      <w:bodyDiv w:val="1"/>
      <w:marLeft w:val="0"/>
      <w:marRight w:val="0"/>
      <w:marTop w:val="0"/>
      <w:marBottom w:val="0"/>
      <w:divBdr>
        <w:top w:val="none" w:sz="0" w:space="0" w:color="auto"/>
        <w:left w:val="none" w:sz="0" w:space="0" w:color="auto"/>
        <w:bottom w:val="none" w:sz="0" w:space="0" w:color="auto"/>
        <w:right w:val="none" w:sz="0" w:space="0" w:color="auto"/>
      </w:divBdr>
    </w:div>
    <w:div w:id="1844079309">
      <w:bodyDiv w:val="1"/>
      <w:marLeft w:val="0"/>
      <w:marRight w:val="0"/>
      <w:marTop w:val="0"/>
      <w:marBottom w:val="0"/>
      <w:divBdr>
        <w:top w:val="none" w:sz="0" w:space="0" w:color="auto"/>
        <w:left w:val="none" w:sz="0" w:space="0" w:color="auto"/>
        <w:bottom w:val="none" w:sz="0" w:space="0" w:color="auto"/>
        <w:right w:val="none" w:sz="0" w:space="0" w:color="auto"/>
      </w:divBdr>
    </w:div>
    <w:div w:id="1862356490">
      <w:bodyDiv w:val="1"/>
      <w:marLeft w:val="0"/>
      <w:marRight w:val="0"/>
      <w:marTop w:val="0"/>
      <w:marBottom w:val="0"/>
      <w:divBdr>
        <w:top w:val="none" w:sz="0" w:space="0" w:color="auto"/>
        <w:left w:val="none" w:sz="0" w:space="0" w:color="auto"/>
        <w:bottom w:val="none" w:sz="0" w:space="0" w:color="auto"/>
        <w:right w:val="none" w:sz="0" w:space="0" w:color="auto"/>
      </w:divBdr>
    </w:div>
    <w:div w:id="1863854876">
      <w:bodyDiv w:val="1"/>
      <w:marLeft w:val="0"/>
      <w:marRight w:val="0"/>
      <w:marTop w:val="0"/>
      <w:marBottom w:val="0"/>
      <w:divBdr>
        <w:top w:val="none" w:sz="0" w:space="0" w:color="auto"/>
        <w:left w:val="none" w:sz="0" w:space="0" w:color="auto"/>
        <w:bottom w:val="none" w:sz="0" w:space="0" w:color="auto"/>
        <w:right w:val="none" w:sz="0" w:space="0" w:color="auto"/>
      </w:divBdr>
    </w:div>
    <w:div w:id="1884488393">
      <w:bodyDiv w:val="1"/>
      <w:marLeft w:val="0"/>
      <w:marRight w:val="0"/>
      <w:marTop w:val="0"/>
      <w:marBottom w:val="0"/>
      <w:divBdr>
        <w:top w:val="none" w:sz="0" w:space="0" w:color="auto"/>
        <w:left w:val="none" w:sz="0" w:space="0" w:color="auto"/>
        <w:bottom w:val="none" w:sz="0" w:space="0" w:color="auto"/>
        <w:right w:val="none" w:sz="0" w:space="0" w:color="auto"/>
      </w:divBdr>
    </w:div>
    <w:div w:id="1903179337">
      <w:bodyDiv w:val="1"/>
      <w:marLeft w:val="0"/>
      <w:marRight w:val="0"/>
      <w:marTop w:val="0"/>
      <w:marBottom w:val="0"/>
      <w:divBdr>
        <w:top w:val="none" w:sz="0" w:space="0" w:color="auto"/>
        <w:left w:val="none" w:sz="0" w:space="0" w:color="auto"/>
        <w:bottom w:val="none" w:sz="0" w:space="0" w:color="auto"/>
        <w:right w:val="none" w:sz="0" w:space="0" w:color="auto"/>
      </w:divBdr>
    </w:div>
    <w:div w:id="1919633987">
      <w:bodyDiv w:val="1"/>
      <w:marLeft w:val="0"/>
      <w:marRight w:val="0"/>
      <w:marTop w:val="0"/>
      <w:marBottom w:val="0"/>
      <w:divBdr>
        <w:top w:val="none" w:sz="0" w:space="0" w:color="auto"/>
        <w:left w:val="none" w:sz="0" w:space="0" w:color="auto"/>
        <w:bottom w:val="none" w:sz="0" w:space="0" w:color="auto"/>
        <w:right w:val="none" w:sz="0" w:space="0" w:color="auto"/>
      </w:divBdr>
    </w:div>
    <w:div w:id="1938558433">
      <w:bodyDiv w:val="1"/>
      <w:marLeft w:val="0"/>
      <w:marRight w:val="0"/>
      <w:marTop w:val="0"/>
      <w:marBottom w:val="0"/>
      <w:divBdr>
        <w:top w:val="none" w:sz="0" w:space="0" w:color="auto"/>
        <w:left w:val="none" w:sz="0" w:space="0" w:color="auto"/>
        <w:bottom w:val="none" w:sz="0" w:space="0" w:color="auto"/>
        <w:right w:val="none" w:sz="0" w:space="0" w:color="auto"/>
      </w:divBdr>
    </w:div>
    <w:div w:id="1938781234">
      <w:bodyDiv w:val="1"/>
      <w:marLeft w:val="0"/>
      <w:marRight w:val="0"/>
      <w:marTop w:val="0"/>
      <w:marBottom w:val="0"/>
      <w:divBdr>
        <w:top w:val="none" w:sz="0" w:space="0" w:color="auto"/>
        <w:left w:val="none" w:sz="0" w:space="0" w:color="auto"/>
        <w:bottom w:val="none" w:sz="0" w:space="0" w:color="auto"/>
        <w:right w:val="none" w:sz="0" w:space="0" w:color="auto"/>
      </w:divBdr>
    </w:div>
    <w:div w:id="1942373790">
      <w:bodyDiv w:val="1"/>
      <w:marLeft w:val="0"/>
      <w:marRight w:val="0"/>
      <w:marTop w:val="0"/>
      <w:marBottom w:val="0"/>
      <w:divBdr>
        <w:top w:val="none" w:sz="0" w:space="0" w:color="auto"/>
        <w:left w:val="none" w:sz="0" w:space="0" w:color="auto"/>
        <w:bottom w:val="none" w:sz="0" w:space="0" w:color="auto"/>
        <w:right w:val="none" w:sz="0" w:space="0" w:color="auto"/>
      </w:divBdr>
    </w:div>
    <w:div w:id="1947692497">
      <w:bodyDiv w:val="1"/>
      <w:marLeft w:val="0"/>
      <w:marRight w:val="0"/>
      <w:marTop w:val="0"/>
      <w:marBottom w:val="0"/>
      <w:divBdr>
        <w:top w:val="none" w:sz="0" w:space="0" w:color="auto"/>
        <w:left w:val="none" w:sz="0" w:space="0" w:color="auto"/>
        <w:bottom w:val="none" w:sz="0" w:space="0" w:color="auto"/>
        <w:right w:val="none" w:sz="0" w:space="0" w:color="auto"/>
      </w:divBdr>
    </w:div>
    <w:div w:id="1952391365">
      <w:bodyDiv w:val="1"/>
      <w:marLeft w:val="0"/>
      <w:marRight w:val="0"/>
      <w:marTop w:val="0"/>
      <w:marBottom w:val="0"/>
      <w:divBdr>
        <w:top w:val="none" w:sz="0" w:space="0" w:color="auto"/>
        <w:left w:val="none" w:sz="0" w:space="0" w:color="auto"/>
        <w:bottom w:val="none" w:sz="0" w:space="0" w:color="auto"/>
        <w:right w:val="none" w:sz="0" w:space="0" w:color="auto"/>
      </w:divBdr>
    </w:div>
    <w:div w:id="1955284666">
      <w:bodyDiv w:val="1"/>
      <w:marLeft w:val="0"/>
      <w:marRight w:val="0"/>
      <w:marTop w:val="0"/>
      <w:marBottom w:val="0"/>
      <w:divBdr>
        <w:top w:val="none" w:sz="0" w:space="0" w:color="auto"/>
        <w:left w:val="none" w:sz="0" w:space="0" w:color="auto"/>
        <w:bottom w:val="none" w:sz="0" w:space="0" w:color="auto"/>
        <w:right w:val="none" w:sz="0" w:space="0" w:color="auto"/>
      </w:divBdr>
    </w:div>
    <w:div w:id="1967538414">
      <w:bodyDiv w:val="1"/>
      <w:marLeft w:val="0"/>
      <w:marRight w:val="0"/>
      <w:marTop w:val="0"/>
      <w:marBottom w:val="0"/>
      <w:divBdr>
        <w:top w:val="none" w:sz="0" w:space="0" w:color="auto"/>
        <w:left w:val="none" w:sz="0" w:space="0" w:color="auto"/>
        <w:bottom w:val="none" w:sz="0" w:space="0" w:color="auto"/>
        <w:right w:val="none" w:sz="0" w:space="0" w:color="auto"/>
      </w:divBdr>
    </w:div>
    <w:div w:id="1985423697">
      <w:bodyDiv w:val="1"/>
      <w:marLeft w:val="0"/>
      <w:marRight w:val="0"/>
      <w:marTop w:val="0"/>
      <w:marBottom w:val="0"/>
      <w:divBdr>
        <w:top w:val="none" w:sz="0" w:space="0" w:color="auto"/>
        <w:left w:val="none" w:sz="0" w:space="0" w:color="auto"/>
        <w:bottom w:val="none" w:sz="0" w:space="0" w:color="auto"/>
        <w:right w:val="none" w:sz="0" w:space="0" w:color="auto"/>
      </w:divBdr>
    </w:div>
    <w:div w:id="1997219266">
      <w:bodyDiv w:val="1"/>
      <w:marLeft w:val="0"/>
      <w:marRight w:val="0"/>
      <w:marTop w:val="0"/>
      <w:marBottom w:val="0"/>
      <w:divBdr>
        <w:top w:val="none" w:sz="0" w:space="0" w:color="auto"/>
        <w:left w:val="none" w:sz="0" w:space="0" w:color="auto"/>
        <w:bottom w:val="none" w:sz="0" w:space="0" w:color="auto"/>
        <w:right w:val="none" w:sz="0" w:space="0" w:color="auto"/>
      </w:divBdr>
    </w:div>
    <w:div w:id="2004048023">
      <w:bodyDiv w:val="1"/>
      <w:marLeft w:val="0"/>
      <w:marRight w:val="0"/>
      <w:marTop w:val="0"/>
      <w:marBottom w:val="0"/>
      <w:divBdr>
        <w:top w:val="none" w:sz="0" w:space="0" w:color="auto"/>
        <w:left w:val="none" w:sz="0" w:space="0" w:color="auto"/>
        <w:bottom w:val="none" w:sz="0" w:space="0" w:color="auto"/>
        <w:right w:val="none" w:sz="0" w:space="0" w:color="auto"/>
      </w:divBdr>
    </w:div>
    <w:div w:id="2004777398">
      <w:bodyDiv w:val="1"/>
      <w:marLeft w:val="0"/>
      <w:marRight w:val="0"/>
      <w:marTop w:val="0"/>
      <w:marBottom w:val="0"/>
      <w:divBdr>
        <w:top w:val="none" w:sz="0" w:space="0" w:color="auto"/>
        <w:left w:val="none" w:sz="0" w:space="0" w:color="auto"/>
        <w:bottom w:val="none" w:sz="0" w:space="0" w:color="auto"/>
        <w:right w:val="none" w:sz="0" w:space="0" w:color="auto"/>
      </w:divBdr>
    </w:div>
    <w:div w:id="2007392358">
      <w:bodyDiv w:val="1"/>
      <w:marLeft w:val="0"/>
      <w:marRight w:val="0"/>
      <w:marTop w:val="0"/>
      <w:marBottom w:val="0"/>
      <w:divBdr>
        <w:top w:val="none" w:sz="0" w:space="0" w:color="auto"/>
        <w:left w:val="none" w:sz="0" w:space="0" w:color="auto"/>
        <w:bottom w:val="none" w:sz="0" w:space="0" w:color="auto"/>
        <w:right w:val="none" w:sz="0" w:space="0" w:color="auto"/>
      </w:divBdr>
    </w:div>
    <w:div w:id="2013558688">
      <w:bodyDiv w:val="1"/>
      <w:marLeft w:val="0"/>
      <w:marRight w:val="0"/>
      <w:marTop w:val="0"/>
      <w:marBottom w:val="0"/>
      <w:divBdr>
        <w:top w:val="none" w:sz="0" w:space="0" w:color="auto"/>
        <w:left w:val="none" w:sz="0" w:space="0" w:color="auto"/>
        <w:bottom w:val="none" w:sz="0" w:space="0" w:color="auto"/>
        <w:right w:val="none" w:sz="0" w:space="0" w:color="auto"/>
      </w:divBdr>
    </w:div>
    <w:div w:id="2014991203">
      <w:bodyDiv w:val="1"/>
      <w:marLeft w:val="0"/>
      <w:marRight w:val="0"/>
      <w:marTop w:val="0"/>
      <w:marBottom w:val="0"/>
      <w:divBdr>
        <w:top w:val="none" w:sz="0" w:space="0" w:color="auto"/>
        <w:left w:val="none" w:sz="0" w:space="0" w:color="auto"/>
        <w:bottom w:val="none" w:sz="0" w:space="0" w:color="auto"/>
        <w:right w:val="none" w:sz="0" w:space="0" w:color="auto"/>
      </w:divBdr>
    </w:div>
    <w:div w:id="2026594661">
      <w:bodyDiv w:val="1"/>
      <w:marLeft w:val="0"/>
      <w:marRight w:val="0"/>
      <w:marTop w:val="0"/>
      <w:marBottom w:val="0"/>
      <w:divBdr>
        <w:top w:val="none" w:sz="0" w:space="0" w:color="auto"/>
        <w:left w:val="none" w:sz="0" w:space="0" w:color="auto"/>
        <w:bottom w:val="none" w:sz="0" w:space="0" w:color="auto"/>
        <w:right w:val="none" w:sz="0" w:space="0" w:color="auto"/>
      </w:divBdr>
    </w:div>
    <w:div w:id="2030720457">
      <w:bodyDiv w:val="1"/>
      <w:marLeft w:val="0"/>
      <w:marRight w:val="0"/>
      <w:marTop w:val="0"/>
      <w:marBottom w:val="0"/>
      <w:divBdr>
        <w:top w:val="none" w:sz="0" w:space="0" w:color="auto"/>
        <w:left w:val="none" w:sz="0" w:space="0" w:color="auto"/>
        <w:bottom w:val="none" w:sz="0" w:space="0" w:color="auto"/>
        <w:right w:val="none" w:sz="0" w:space="0" w:color="auto"/>
      </w:divBdr>
    </w:div>
    <w:div w:id="2032103539">
      <w:bodyDiv w:val="1"/>
      <w:marLeft w:val="0"/>
      <w:marRight w:val="0"/>
      <w:marTop w:val="0"/>
      <w:marBottom w:val="0"/>
      <w:divBdr>
        <w:top w:val="none" w:sz="0" w:space="0" w:color="auto"/>
        <w:left w:val="none" w:sz="0" w:space="0" w:color="auto"/>
        <w:bottom w:val="none" w:sz="0" w:space="0" w:color="auto"/>
        <w:right w:val="none" w:sz="0" w:space="0" w:color="auto"/>
      </w:divBdr>
    </w:div>
    <w:div w:id="2034064969">
      <w:bodyDiv w:val="1"/>
      <w:marLeft w:val="0"/>
      <w:marRight w:val="0"/>
      <w:marTop w:val="0"/>
      <w:marBottom w:val="0"/>
      <w:divBdr>
        <w:top w:val="none" w:sz="0" w:space="0" w:color="auto"/>
        <w:left w:val="none" w:sz="0" w:space="0" w:color="auto"/>
        <w:bottom w:val="none" w:sz="0" w:space="0" w:color="auto"/>
        <w:right w:val="none" w:sz="0" w:space="0" w:color="auto"/>
      </w:divBdr>
    </w:div>
    <w:div w:id="2040012952">
      <w:bodyDiv w:val="1"/>
      <w:marLeft w:val="0"/>
      <w:marRight w:val="0"/>
      <w:marTop w:val="0"/>
      <w:marBottom w:val="0"/>
      <w:divBdr>
        <w:top w:val="none" w:sz="0" w:space="0" w:color="auto"/>
        <w:left w:val="none" w:sz="0" w:space="0" w:color="auto"/>
        <w:bottom w:val="none" w:sz="0" w:space="0" w:color="auto"/>
        <w:right w:val="none" w:sz="0" w:space="0" w:color="auto"/>
      </w:divBdr>
    </w:div>
    <w:div w:id="2052873384">
      <w:bodyDiv w:val="1"/>
      <w:marLeft w:val="0"/>
      <w:marRight w:val="0"/>
      <w:marTop w:val="0"/>
      <w:marBottom w:val="0"/>
      <w:divBdr>
        <w:top w:val="none" w:sz="0" w:space="0" w:color="auto"/>
        <w:left w:val="none" w:sz="0" w:space="0" w:color="auto"/>
        <w:bottom w:val="none" w:sz="0" w:space="0" w:color="auto"/>
        <w:right w:val="none" w:sz="0" w:space="0" w:color="auto"/>
      </w:divBdr>
    </w:div>
    <w:div w:id="2062902417">
      <w:bodyDiv w:val="1"/>
      <w:marLeft w:val="0"/>
      <w:marRight w:val="0"/>
      <w:marTop w:val="0"/>
      <w:marBottom w:val="0"/>
      <w:divBdr>
        <w:top w:val="none" w:sz="0" w:space="0" w:color="auto"/>
        <w:left w:val="none" w:sz="0" w:space="0" w:color="auto"/>
        <w:bottom w:val="none" w:sz="0" w:space="0" w:color="auto"/>
        <w:right w:val="none" w:sz="0" w:space="0" w:color="auto"/>
      </w:divBdr>
    </w:div>
    <w:div w:id="2065059556">
      <w:bodyDiv w:val="1"/>
      <w:marLeft w:val="0"/>
      <w:marRight w:val="0"/>
      <w:marTop w:val="0"/>
      <w:marBottom w:val="0"/>
      <w:divBdr>
        <w:top w:val="none" w:sz="0" w:space="0" w:color="auto"/>
        <w:left w:val="none" w:sz="0" w:space="0" w:color="auto"/>
        <w:bottom w:val="none" w:sz="0" w:space="0" w:color="auto"/>
        <w:right w:val="none" w:sz="0" w:space="0" w:color="auto"/>
      </w:divBdr>
    </w:div>
    <w:div w:id="2066176711">
      <w:bodyDiv w:val="1"/>
      <w:marLeft w:val="0"/>
      <w:marRight w:val="0"/>
      <w:marTop w:val="0"/>
      <w:marBottom w:val="0"/>
      <w:divBdr>
        <w:top w:val="none" w:sz="0" w:space="0" w:color="auto"/>
        <w:left w:val="none" w:sz="0" w:space="0" w:color="auto"/>
        <w:bottom w:val="none" w:sz="0" w:space="0" w:color="auto"/>
        <w:right w:val="none" w:sz="0" w:space="0" w:color="auto"/>
      </w:divBdr>
    </w:div>
    <w:div w:id="2070956644">
      <w:bodyDiv w:val="1"/>
      <w:marLeft w:val="0"/>
      <w:marRight w:val="0"/>
      <w:marTop w:val="0"/>
      <w:marBottom w:val="0"/>
      <w:divBdr>
        <w:top w:val="none" w:sz="0" w:space="0" w:color="auto"/>
        <w:left w:val="none" w:sz="0" w:space="0" w:color="auto"/>
        <w:bottom w:val="none" w:sz="0" w:space="0" w:color="auto"/>
        <w:right w:val="none" w:sz="0" w:space="0" w:color="auto"/>
      </w:divBdr>
    </w:div>
    <w:div w:id="2074965777">
      <w:bodyDiv w:val="1"/>
      <w:marLeft w:val="0"/>
      <w:marRight w:val="0"/>
      <w:marTop w:val="0"/>
      <w:marBottom w:val="0"/>
      <w:divBdr>
        <w:top w:val="none" w:sz="0" w:space="0" w:color="auto"/>
        <w:left w:val="none" w:sz="0" w:space="0" w:color="auto"/>
        <w:bottom w:val="none" w:sz="0" w:space="0" w:color="auto"/>
        <w:right w:val="none" w:sz="0" w:space="0" w:color="auto"/>
      </w:divBdr>
    </w:div>
    <w:div w:id="2078630694">
      <w:bodyDiv w:val="1"/>
      <w:marLeft w:val="0"/>
      <w:marRight w:val="0"/>
      <w:marTop w:val="0"/>
      <w:marBottom w:val="0"/>
      <w:divBdr>
        <w:top w:val="none" w:sz="0" w:space="0" w:color="auto"/>
        <w:left w:val="none" w:sz="0" w:space="0" w:color="auto"/>
        <w:bottom w:val="none" w:sz="0" w:space="0" w:color="auto"/>
        <w:right w:val="none" w:sz="0" w:space="0" w:color="auto"/>
      </w:divBdr>
    </w:div>
    <w:div w:id="2079791130">
      <w:bodyDiv w:val="1"/>
      <w:marLeft w:val="0"/>
      <w:marRight w:val="0"/>
      <w:marTop w:val="0"/>
      <w:marBottom w:val="0"/>
      <w:divBdr>
        <w:top w:val="none" w:sz="0" w:space="0" w:color="auto"/>
        <w:left w:val="none" w:sz="0" w:space="0" w:color="auto"/>
        <w:bottom w:val="none" w:sz="0" w:space="0" w:color="auto"/>
        <w:right w:val="none" w:sz="0" w:space="0" w:color="auto"/>
      </w:divBdr>
    </w:div>
    <w:div w:id="2082869000">
      <w:bodyDiv w:val="1"/>
      <w:marLeft w:val="0"/>
      <w:marRight w:val="0"/>
      <w:marTop w:val="0"/>
      <w:marBottom w:val="0"/>
      <w:divBdr>
        <w:top w:val="none" w:sz="0" w:space="0" w:color="auto"/>
        <w:left w:val="none" w:sz="0" w:space="0" w:color="auto"/>
        <w:bottom w:val="none" w:sz="0" w:space="0" w:color="auto"/>
        <w:right w:val="none" w:sz="0" w:space="0" w:color="auto"/>
      </w:divBdr>
    </w:div>
    <w:div w:id="2092582090">
      <w:bodyDiv w:val="1"/>
      <w:marLeft w:val="0"/>
      <w:marRight w:val="0"/>
      <w:marTop w:val="0"/>
      <w:marBottom w:val="0"/>
      <w:divBdr>
        <w:top w:val="none" w:sz="0" w:space="0" w:color="auto"/>
        <w:left w:val="none" w:sz="0" w:space="0" w:color="auto"/>
        <w:bottom w:val="none" w:sz="0" w:space="0" w:color="auto"/>
        <w:right w:val="none" w:sz="0" w:space="0" w:color="auto"/>
      </w:divBdr>
    </w:div>
    <w:div w:id="2097315336">
      <w:bodyDiv w:val="1"/>
      <w:marLeft w:val="0"/>
      <w:marRight w:val="0"/>
      <w:marTop w:val="0"/>
      <w:marBottom w:val="0"/>
      <w:divBdr>
        <w:top w:val="none" w:sz="0" w:space="0" w:color="auto"/>
        <w:left w:val="none" w:sz="0" w:space="0" w:color="auto"/>
        <w:bottom w:val="none" w:sz="0" w:space="0" w:color="auto"/>
        <w:right w:val="none" w:sz="0" w:space="0" w:color="auto"/>
      </w:divBdr>
    </w:div>
    <w:div w:id="2115860352">
      <w:bodyDiv w:val="1"/>
      <w:marLeft w:val="0"/>
      <w:marRight w:val="0"/>
      <w:marTop w:val="0"/>
      <w:marBottom w:val="0"/>
      <w:divBdr>
        <w:top w:val="none" w:sz="0" w:space="0" w:color="auto"/>
        <w:left w:val="none" w:sz="0" w:space="0" w:color="auto"/>
        <w:bottom w:val="none" w:sz="0" w:space="0" w:color="auto"/>
        <w:right w:val="none" w:sz="0" w:space="0" w:color="auto"/>
      </w:divBdr>
    </w:div>
    <w:div w:id="2119711585">
      <w:bodyDiv w:val="1"/>
      <w:marLeft w:val="0"/>
      <w:marRight w:val="0"/>
      <w:marTop w:val="0"/>
      <w:marBottom w:val="0"/>
      <w:divBdr>
        <w:top w:val="none" w:sz="0" w:space="0" w:color="auto"/>
        <w:left w:val="none" w:sz="0" w:space="0" w:color="auto"/>
        <w:bottom w:val="none" w:sz="0" w:space="0" w:color="auto"/>
        <w:right w:val="none" w:sz="0" w:space="0" w:color="auto"/>
      </w:divBdr>
    </w:div>
    <w:div w:id="2137530108">
      <w:bodyDiv w:val="1"/>
      <w:marLeft w:val="0"/>
      <w:marRight w:val="0"/>
      <w:marTop w:val="0"/>
      <w:marBottom w:val="0"/>
      <w:divBdr>
        <w:top w:val="none" w:sz="0" w:space="0" w:color="auto"/>
        <w:left w:val="none" w:sz="0" w:space="0" w:color="auto"/>
        <w:bottom w:val="none" w:sz="0" w:space="0" w:color="auto"/>
        <w:right w:val="none" w:sz="0" w:space="0" w:color="auto"/>
      </w:divBdr>
    </w:div>
    <w:div w:id="2141266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oleObject" Target="file:///D:\Documenten\Documenten%20School\Economie%20en%20Bedrijfseconomie\Bachelor%203%20-%20Economie%20en%20Bedrijfseconomie\Blok%205\Bachelorscriptie\Part%20Two.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title>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en-US"/>
        </a:p>
      </c:txPr>
    </c:title>
    <c:plotArea>
      <c:layout/>
      <c:barChart>
        <c:barDir val="col"/>
        <c:grouping val="clustered"/>
        <c:ser>
          <c:idx val="0"/>
          <c:order val="0"/>
          <c:tx>
            <c:strRef>
              <c:f>Blad2!$A$2</c:f>
              <c:strCache>
                <c:ptCount val="1"/>
                <c:pt idx="0">
                  <c:v>Cash flow</c:v>
                </c:pt>
              </c:strCache>
            </c:strRef>
          </c:tx>
          <c:spPr>
            <a:solidFill>
              <a:schemeClr val="accent1"/>
            </a:solidFill>
            <a:ln>
              <a:noFill/>
            </a:ln>
            <a:effectLst/>
          </c:spPr>
          <c:cat>
            <c:strRef>
              <c:f>Blad2!$B$1:$H$1</c:f>
              <c:strCache>
                <c:ptCount val="7"/>
                <c:pt idx="0">
                  <c:v>t=1</c:v>
                </c:pt>
                <c:pt idx="1">
                  <c:v>t=2</c:v>
                </c:pt>
                <c:pt idx="2">
                  <c:v>t=3</c:v>
                </c:pt>
                <c:pt idx="3">
                  <c:v>t=4</c:v>
                </c:pt>
                <c:pt idx="4">
                  <c:v>t=5</c:v>
                </c:pt>
                <c:pt idx="5">
                  <c:v>t=6</c:v>
                </c:pt>
                <c:pt idx="6">
                  <c:v>Horizon value</c:v>
                </c:pt>
              </c:strCache>
            </c:strRef>
          </c:cat>
          <c:val>
            <c:numRef>
              <c:f>Blad2!$B$2:$H$2</c:f>
              <c:numCache>
                <c:formatCode>Standaard</c:formatCode>
                <c:ptCount val="7"/>
                <c:pt idx="0">
                  <c:v>-50</c:v>
                </c:pt>
                <c:pt idx="1">
                  <c:v>10</c:v>
                </c:pt>
                <c:pt idx="2">
                  <c:v>15</c:v>
                </c:pt>
                <c:pt idx="3">
                  <c:v>10</c:v>
                </c:pt>
                <c:pt idx="4">
                  <c:v>5</c:v>
                </c:pt>
                <c:pt idx="5">
                  <c:v>20</c:v>
                </c:pt>
                <c:pt idx="6">
                  <c:v>0</c:v>
                </c:pt>
              </c:numCache>
            </c:numRef>
          </c:val>
        </c:ser>
        <c:dLbls/>
        <c:gapWidth val="444"/>
        <c:overlap val="-90"/>
        <c:axId val="88252800"/>
        <c:axId val="88254720"/>
      </c:barChart>
      <c:catAx>
        <c:axId val="88252800"/>
        <c:scaling>
          <c:orientation val="minMax"/>
        </c:scaling>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Time</a:t>
                </a:r>
              </a:p>
            </c:rich>
          </c:tx>
          <c:spPr>
            <a:noFill/>
            <a:ln>
              <a:noFill/>
            </a:ln>
            <a:effectLst/>
          </c:spPr>
        </c:title>
        <c:numFmt formatCode="Standaard"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US"/>
          </a:p>
        </c:txPr>
        <c:crossAx val="88254720"/>
        <c:crosses val="autoZero"/>
        <c:auto val="1"/>
        <c:lblAlgn val="ctr"/>
        <c:lblOffset val="100"/>
      </c:catAx>
      <c:valAx>
        <c:axId val="88254720"/>
        <c:scaling>
          <c:orientation val="minMax"/>
        </c:scaling>
        <c:delete val="1"/>
        <c:axPos val="l"/>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NPV</a:t>
                </a:r>
              </a:p>
            </c:rich>
          </c:tx>
          <c:spPr>
            <a:noFill/>
            <a:ln>
              <a:noFill/>
            </a:ln>
            <a:effectLst/>
          </c:spPr>
        </c:title>
        <c:numFmt formatCode="Standaard" sourceLinked="1"/>
        <c:majorTickMark val="none"/>
        <c:tickLblPos val="none"/>
        <c:crossAx val="88252800"/>
        <c:crosses val="autoZero"/>
        <c:crossBetween val="between"/>
      </c:valAx>
      <c:spPr>
        <a:noFill/>
        <a:ln>
          <a:noFill/>
        </a:ln>
        <a:effectLst/>
      </c:spPr>
    </c:plotArea>
    <c:plotVisOnly val="1"/>
    <c:dispBlanksAs val="gap"/>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The12</b:Tag>
    <b:SourceType>ArticleInAPeriodical</b:SourceType>
    <b:Guid>{103B41DD-634D-45C6-B5E0-36D15D873058}</b:Guid>
    <b:Author>
      <b:Author>
        <b:Corporate>The Economist</b:Corporate>
      </b:Author>
    </b:Author>
    <b:Title>Merger waves, state subsidies</b:Title>
    <b:Year>2012</b:Year>
    <b:Month>May</b:Month>
    <b:Day>16</b:Day>
    <b:PeriodicalTitle>The Economist</b:PeriodicalTitle>
    <b:RefOrder>17</b:RefOrder>
  </b:Source>
  <b:Source>
    <b:Tag>The121</b:Tag>
    <b:SourceType>ArticleInAPeriodical</b:SourceType>
    <b:Guid>{9B6F3E78-94F9-452D-ADD2-5C675A5042A6}</b:Guid>
    <b:Title>Surf's up</b:Title>
    <b:Year>2012</b:Year>
    <b:Month>May</b:Month>
    <b:Day>19</b:Day>
    <b:Author>
      <b:Author>
        <b:Corporate>The Economist</b:Corporate>
      </b:Author>
    </b:Author>
    <b:PeriodicalTitle>The Economist</b:PeriodicalTitle>
    <b:RefOrder>18</b:RefOrder>
  </b:Source>
  <b:Source>
    <b:Tag>Bec86</b:Tag>
    <b:SourceType>JournalArticle</b:SourceType>
    <b:Guid>{796DC194-305A-4560-93CD-C97A80EFE9EE}</b:Guid>
    <b:Title>Corporate Mergers and the Business Cycle</b:Title>
    <b:Year>1986</b:Year>
    <b:Pages>13-26</b:Pages>
    <b:JournalName>Federal Reserve Bank of Kansas City: Economic Review</b:JournalName>
    <b:Author>
      <b:Author>
        <b:NameList>
          <b:Person>
            <b:Last>Becketti</b:Last>
            <b:First>Sean</b:First>
          </b:Person>
        </b:NameList>
      </b:Author>
    </b:Author>
    <b:RefOrder>14</b:RefOrder>
  </b:Source>
  <b:Source>
    <b:Tag>Smi14</b:Tag>
    <b:SourceType>JournalArticle</b:SourceType>
    <b:Guid>{FCE27B4B-97DC-4C76-8B5C-BAB46C0A3C52}</b:Guid>
    <b:Title>Valuation Biases: Solutions for Hot and Cold Deal Markets</b:Title>
    <b:Year>2014</b:Year>
    <b:Author>
      <b:Author>
        <b:NameList>
          <b:Person>
            <b:Last>Smit</b:Last>
            <b:First>Han</b:First>
          </b:Person>
          <b:Person>
            <b:Last>Lovallo</b:Last>
            <b:First>Dan</b:First>
          </b:Person>
        </b:NameList>
      </b:Author>
    </b:Author>
    <b:JournalName>Working paper</b:JournalName>
    <b:Pages>1-15</b:Pages>
    <b:RefOrder>19</b:RefOrder>
  </b:Source>
  <b:Source>
    <b:Tag>Kah93</b:Tag>
    <b:SourceType>JournalArticle</b:SourceType>
    <b:Guid>{FD049B00-7B09-4A59-8735-96970BF82A0F}</b:Guid>
    <b:Author>
      <b:Author>
        <b:NameList>
          <b:Person>
            <b:Last>Kahneman</b:Last>
            <b:First>Daniel</b:First>
          </b:Person>
          <b:Person>
            <b:Last>Lovallo</b:Last>
            <b:First>Dan</b:First>
          </b:Person>
        </b:NameList>
      </b:Author>
    </b:Author>
    <b:Title>Timid Choices and Bold Forecasts: A Cognitive Perspective on Risk Taking</b:Title>
    <b:JournalName>Management Science, 39</b:JournalName>
    <b:Year>1993</b:Year>
    <b:Pages>17-31</b:Pages>
    <b:Publisher>Department of Psychology, University of California, Berkeley</b:Publisher>
    <b:City>California</b:City>
    <b:RefOrder>20</b:RefOrder>
  </b:Source>
  <b:Source>
    <b:Tag>Tve81</b:Tag>
    <b:SourceType>JournalArticle</b:SourceType>
    <b:Guid>{4E58BFFD-D90A-4AD1-A0CE-C1F833FCAFA1}</b:Guid>
    <b:Author>
      <b:Author>
        <b:NameList>
          <b:Person>
            <b:Last>Tversky</b:Last>
            <b:First>Amos</b:First>
          </b:Person>
          <b:Person>
            <b:Last>Kahneman</b:Last>
            <b:First>Daniel</b:First>
          </b:Person>
        </b:NameList>
      </b:Author>
    </b:Author>
    <b:Title>The Framing of Decisions and the Psychology of Choice</b:Title>
    <b:JournalName>Science, 211</b:JournalName>
    <b:Year>1981</b:Year>
    <b:Pages>453-458</b:Pages>
    <b:RefOrder>21</b:RefOrder>
  </b:Source>
  <b:Source>
    <b:Tag>Wil08</b:Tag>
    <b:SourceType>Book</b:SourceType>
    <b:Guid>{77FA4C5A-70CF-4B6F-AF72-08FBF3C914A2}</b:Guid>
    <b:Title>An Introduction to Behavioral Economics</b:Title>
    <b:Year>2008</b:Year>
    <b:Author>
      <b:Author>
        <b:NameList>
          <b:Person>
            <b:Last>Wilkinson</b:Last>
            <b:First>Nick</b:First>
          </b:Person>
        </b:NameList>
      </b:Author>
    </b:Author>
    <b:Publisher>Palgrave Macmillan</b:Publisher>
    <b:RefOrder>5</b:RefOrder>
  </b:Source>
  <b:Source>
    <b:Tag>Kah79</b:Tag>
    <b:SourceType>JournalArticle</b:SourceType>
    <b:Guid>{D27FF42C-C0A8-4915-ADC7-0337D31D986C}</b:Guid>
    <b:Title>Prospect Theory: An Analysis of Decision under Risk</b:Title>
    <b:Year>1979</b:Year>
    <b:Author>
      <b:Author>
        <b:NameList>
          <b:Person>
            <b:Last>Kahneman</b:Last>
            <b:First>Daniel</b:First>
          </b:Person>
          <b:Person>
            <b:Last>Tversky</b:Last>
            <b:First>Amos</b:First>
          </b:Person>
        </b:NameList>
      </b:Author>
    </b:Author>
    <b:JournalName>Econometrica, 47</b:JournalName>
    <b:Pages>263-292</b:Pages>
    <b:RefOrder>22</b:RefOrder>
  </b:Source>
  <b:Source>
    <b:Tag>Wei96</b:Tag>
    <b:SourceType>JournalArticle</b:SourceType>
    <b:Guid>{B74AEF23-448C-4143-AF5E-A221DADB7860}</b:Guid>
    <b:Author>
      <b:Author>
        <b:NameList>
          <b:Person>
            <b:Last>Weinstein</b:Last>
            <b:First>Neil</b:First>
            <b:Middle>D.</b:Middle>
          </b:Person>
          <b:Person>
            <b:Last>Klein</b:Last>
            <b:First>William</b:First>
            <b:Middle>M.</b:Middle>
          </b:Person>
        </b:NameList>
      </b:Author>
    </b:Author>
    <b:Title>Unrealistic Optimism: Present and Future</b:Title>
    <b:JournalName>Journal of Social and Clinical Psychology, 15</b:JournalName>
    <b:Year>1996</b:Year>
    <b:Pages>1-8</b:Pages>
    <b:RefOrder>4</b:RefOrder>
  </b:Source>
  <b:Source>
    <b:Tag>Hel01</b:Tag>
    <b:SourceType>JournalArticle</b:SourceType>
    <b:Guid>{F4452737-04C4-4F67-9B4E-AD0ADDAB5606}</b:Guid>
    <b:Author>
      <b:Author>
        <b:NameList>
          <b:Person>
            <b:Last>Helweg-Larsen</b:Last>
            <b:First>Marie</b:First>
          </b:Person>
          <b:Person>
            <b:Last>Shepperd</b:Last>
            <b:First>James</b:First>
            <b:Middle>A.</b:Middle>
          </b:Person>
        </b:NameList>
      </b:Author>
    </b:Author>
    <b:Title>Do Moderators of the Optimistic Bias Affect Personal or Target Risk Estimates? A Review of the Literature</b:Title>
    <b:JournalName>Personality and Social Psychology Review</b:JournalName>
    <b:Year>2001</b:Year>
    <b:Pages>74-95</b:Pages>
    <b:RefOrder>3</b:RefOrder>
  </b:Source>
  <b:Source>
    <b:Tag>Bre111</b:Tag>
    <b:SourceType>Book</b:SourceType>
    <b:Guid>{894E05B3-0902-4DF3-B2CE-FE111B966B9B}</b:Guid>
    <b:Title>Principles of Corporate Finance, 10th edition</b:Title>
    <b:Year>2011</b:Year>
    <b:Author>
      <b:Author>
        <b:NameList>
          <b:Person>
            <b:Last>Brealey</b:Last>
            <b:First>Richard</b:First>
            <b:Middle>A.</b:Middle>
          </b:Person>
          <b:Person>
            <b:Last>Myers</b:Last>
            <b:First>Stewart</b:First>
            <b:Middle>C.</b:Middle>
          </b:Person>
          <b:Person>
            <b:Last>Allen</b:Last>
            <b:First>Franklin</b:First>
          </b:Person>
        </b:NameList>
      </b:Author>
    </b:Author>
    <b:City>New York</b:City>
    <b:Publisher>McGraw-Hill/Irwin</b:Publisher>
    <b:RefOrder>2</b:RefOrder>
  </b:Source>
  <b:Source>
    <b:Tag>Pik06</b:Tag>
    <b:SourceType>Book</b:SourceType>
    <b:Guid>{37A376C0-604B-429D-B11E-570AFB99FFE8}</b:Guid>
    <b:Author>
      <b:Author>
        <b:NameList>
          <b:Person>
            <b:Last>Pike</b:Last>
            <b:First>Richard</b:First>
          </b:Person>
          <b:Person>
            <b:Last>Neale</b:Last>
            <b:First>Bill</b:First>
          </b:Person>
        </b:NameList>
      </b:Author>
    </b:Author>
    <b:Title>Corporate Finance and Investment, 5th edition</b:Title>
    <b:Year>2006</b:Year>
    <b:City>Essex</b:City>
    <b:Publisher>Pearson Education</b:Publisher>
    <b:RefOrder>15</b:RefOrder>
  </b:Source>
  <b:Source>
    <b:Tag>Smi04</b:Tag>
    <b:SourceType>Book</b:SourceType>
    <b:Guid>{BDA23FB4-C181-4841-A8A0-F218FA26608D}</b:Guid>
    <b:Author>
      <b:Author>
        <b:NameList>
          <b:Person>
            <b:Last>Smit</b:Last>
            <b:First>Han</b:First>
            <b:Middle>T.J.</b:Middle>
          </b:Person>
          <b:Person>
            <b:Last>Trigeorgis</b:Last>
            <b:First>Lenos</b:First>
          </b:Person>
        </b:NameList>
      </b:Author>
    </b:Author>
    <b:Title>Strategic Investment: Real Options and Games</b:Title>
    <b:Year>2004</b:Year>
    <b:City>New Jersey</b:City>
    <b:Publisher>Princeton University Press</b:Publisher>
    <b:RefOrder>16</b:RefOrder>
  </b:Source>
  <b:Source>
    <b:Tag>Ber14</b:Tag>
    <b:SourceType>Book</b:SourceType>
    <b:Guid>{E3C5965B-3936-4E1D-A45E-60395FDFD7F4}</b:Guid>
    <b:Title>Corporate Finance, 3rd edition</b:Title>
    <b:Year>2014</b:Year>
    <b:Author>
      <b:Author>
        <b:NameList>
          <b:Person>
            <b:Last>Berk</b:Last>
            <b:First>Jonathan</b:First>
          </b:Person>
          <b:Person>
            <b:Last>DeMarzo</b:Last>
            <b:First>Peter</b:First>
          </b:Person>
        </b:NameList>
      </b:Author>
    </b:Author>
    <b:City>Boston</b:City>
    <b:Publisher>Pearson Education</b:Publisher>
    <b:RefOrder>1</b:RefOrder>
  </b:Source>
  <b:Source>
    <b:Tag>Tve921</b:Tag>
    <b:SourceType>JournalArticle</b:SourceType>
    <b:Guid>{516FABE1-899E-4141-B1F1-69E71472E38B}</b:Guid>
    <b:Author>
      <b:Author>
        <b:NameList>
          <b:Person>
            <b:Last>Tversky</b:Last>
            <b:First>Amos</b:First>
          </b:Person>
          <b:Person>
            <b:Last>Kahneman</b:Last>
            <b:First>Daniel</b:First>
          </b:Person>
        </b:NameList>
      </b:Author>
    </b:Author>
    <b:Title>Advances in Prospect Theory: Cumulative Representation of Uncertainty</b:Title>
    <b:JournalName>Journal of Risk and Uncertainity</b:JournalName>
    <b:Year>1992</b:Year>
    <b:Pages>297-323</b:Pages>
    <b:RefOrder>23</b:RefOrder>
  </b:Source>
  <b:Source>
    <b:Tag>Tve91</b:Tag>
    <b:SourceType>JournalArticle</b:SourceType>
    <b:Guid>{9DE5A22E-8B7F-42CF-A949-D4568259047B}</b:Guid>
    <b:Author>
      <b:Author>
        <b:NameList>
          <b:Person>
            <b:Last>Tversky</b:Last>
            <b:First>Amos</b:First>
          </b:Person>
          <b:Person>
            <b:Last>Kahneman</b:Last>
            <b:First>Daniel</b:First>
          </b:Person>
        </b:NameList>
      </b:Author>
    </b:Author>
    <b:Title>Loss Aversion in Riskless Choice: A Reference-Dependent Model</b:Title>
    <b:JournalName>The Quarterly Journal of Economics, Vol. 106</b:JournalName>
    <b:Year>1991</b:Year>
    <b:Pages>1039-1061</b:Pages>
    <b:RefOrder>24</b:RefOrder>
  </b:Source>
  <b:Source>
    <b:Tag>Web05</b:Tag>
    <b:SourceType>JournalArticle</b:SourceType>
    <b:Guid>{EF9CF971-1DA4-4888-A65F-780F5F57FD6F}</b:Guid>
    <b:Author>
      <b:Author>
        <b:NameList>
          <b:Person>
            <b:Last>Weber</b:Last>
            <b:First>Martin</b:First>
          </b:Person>
          <b:Person>
            <b:Last>Zuchel</b:Last>
            <b:First>Heiko</b:First>
          </b:Person>
        </b:NameList>
      </b:Author>
    </b:Author>
    <b:Title>How Do Prior Outcomes Affect Risk Attitude: Comparing Escalation of Commitment and the House-Money Effect</b:Title>
    <b:JournalName>Decisions Analysis, Vol. 2</b:JournalName>
    <b:Year>2005</b:Year>
    <b:Pages>30-43</b:Pages>
    <b:RefOrder>11</b:RefOrder>
  </b:Source>
  <b:Source>
    <b:Tag>Bar081</b:Tag>
    <b:SourceType>BookSection</b:SourceType>
    <b:Guid>{29AA50D2-B414-4C45-811E-BA850889514C}</b:Guid>
    <b:Title>The Loss Aversion/Narrow Framing Approach to the Equity Premium Puzzle</b:Title>
    <b:Year>2008</b:Year>
    <b:Pages>199-236</b:Pages>
    <b:Author>
      <b:Author>
        <b:NameList>
          <b:Person>
            <b:Last>Barberis</b:Last>
            <b:First>Nicholas</b:First>
          </b:Person>
          <b:Person>
            <b:Last>Huang</b:Last>
            <b:First>Ming</b:First>
          </b:Person>
        </b:NameList>
      </b:Author>
      <b:BookAuthor>
        <b:NameList>
          <b:Person>
            <b:Last>Mehra</b:Last>
            <b:First>Rajnish</b:First>
          </b:Person>
        </b:NameList>
      </b:BookAuthor>
    </b:Author>
    <b:BookTitle>Handbook of the Equity Risk Premium</b:BookTitle>
    <b:City>Amsterdam</b:City>
    <b:Publisher>Elsevier</b:Publisher>
    <b:RefOrder>12</b:RefOrder>
  </b:Source>
  <b:Source>
    <b:Tag>Kah82</b:Tag>
    <b:SourceType>JournalArticle</b:SourceType>
    <b:Guid>{9CCD22C8-9A70-48E3-88E9-B86BF7628423}</b:Guid>
    <b:Title>The psychology of preferences</b:Title>
    <b:Year>1982</b:Year>
    <b:Pages>160-173</b:Pages>
    <b:Author>
      <b:Author>
        <b:NameList>
          <b:Person>
            <b:Last>Kahneman</b:Last>
            <b:First>Daniel</b:First>
          </b:Person>
          <b:Person>
            <b:Last>Tversky</b:Last>
            <b:First>Amos</b:First>
          </b:Person>
        </b:NameList>
      </b:Author>
    </b:Author>
    <b:JournalName>Scientific American, 246</b:JournalName>
    <b:RefOrder>13</b:RefOrder>
  </b:Source>
  <b:Source>
    <b:Tag>Kah031</b:Tag>
    <b:SourceType>JournalArticle</b:SourceType>
    <b:Guid>{16082030-D212-4201-97B2-B28F97D4DC6B}</b:Guid>
    <b:Author>
      <b:Author>
        <b:NameList>
          <b:Person>
            <b:Last>Kahneman</b:Last>
            <b:First>Daniel</b:First>
          </b:Person>
        </b:NameList>
      </b:Author>
    </b:Author>
    <b:Title>Maps of Bounded Rationality: Psychology for Behavioral Economics</b:Title>
    <b:JournalName>The American Economic Review, Vol. 93</b:JournalName>
    <b:Year>2003</b:Year>
    <b:Pages>1449-1475</b:Pages>
    <b:RefOrder>25</b:RefOrder>
  </b:Source>
  <b:Source>
    <b:Tag>Sta00</b:Tag>
    <b:SourceType>JournalArticle</b:SourceType>
    <b:Guid>{A93EACE3-549A-4F88-B2E3-3EF11AEE7BA0}</b:Guid>
    <b:Author>
      <b:Author>
        <b:NameList>
          <b:Person>
            <b:Last>Stanovich</b:Last>
            <b:First>Keith</b:First>
            <b:Middle>E.</b:Middle>
          </b:Person>
          <b:Person>
            <b:Last>West</b:Last>
            <b:First>Richard</b:First>
            <b:Middle>F.</b:Middle>
          </b:Person>
        </b:NameList>
      </b:Author>
    </b:Author>
    <b:Title>Individual Differences in Reasoning: Implications for the Rationality Debate?</b:Title>
    <b:JournalName>Behavioral and Brain Sciences, 23</b:JournalName>
    <b:Year>2000</b:Year>
    <b:Pages>645-665</b:Pages>
    <b:RefOrder>26</b:RefOrder>
  </b:Source>
  <b:Source>
    <b:Tag>TijdelijkeAanduiding1</b:Tag>
    <b:SourceType>JournalArticle</b:SourceType>
    <b:Guid>{797BABB3-E84D-48FC-A502-011D4F85B8EC}</b:Guid>
    <b:Author>
      <b:Author>
        <b:NameList>
          <b:Person>
            <b:Last>Kahneman</b:Last>
          </b:Person>
          <b:Person>
            <b:Last>Lovallo</b:Last>
          </b:Person>
        </b:NameList>
      </b:Author>
    </b:Author>
    <b:Title>Timid choices and bold forecasts: a cognitive perspective on risk taking</b:Title>
    <b:JournalName>Management Science</b:JournalName>
    <b:Year>1993</b:Year>
    <b:Pages>17-31</b:Pages>
    <b:RefOrder>27</b:RefOrder>
  </b:Source>
  <b:Source>
    <b:Tag>Moo08</b:Tag>
    <b:SourceType>JournalArticle</b:SourceType>
    <b:Guid>{7020F541-80EA-48A9-9B57-5370E1346C01}</b:Guid>
    <b:Author>
      <b:Author>
        <b:NameList>
          <b:Person>
            <b:Last>Moore</b:Last>
          </b:Person>
          <b:Person>
            <b:Last>Healy</b:Last>
          </b:Person>
        </b:NameList>
      </b:Author>
    </b:Author>
    <b:Title>The trouble with overconfidence. </b:Title>
    <b:Year>2008</b:Year>
    <b:JournalName>Psychological review</b:JournalName>
    <b:Pages>502-517</b:Pages>
    <b:RefOrder>28</b:RefOrder>
  </b:Source>
  <b:Source>
    <b:Tag>Mal05</b:Tag>
    <b:SourceType>JournalArticle</b:SourceType>
    <b:Guid>{8C223F3E-842C-4D6E-A45D-C512699F173F}</b:Guid>
    <b:Author>
      <b:Author>
        <b:NameList>
          <b:Person>
            <b:Last>Malmendier</b:Last>
          </b:Person>
          <b:Person>
            <b:Last>Tate</b:Last>
          </b:Person>
        </b:NameList>
      </b:Author>
    </b:Author>
    <b:Title>CEO overconfidence and corporate investment</b:Title>
    <b:JournalName>Journal of Finance</b:JournalName>
    <b:Year>2005</b:Year>
    <b:Pages>2661-2700</b:Pages>
    <b:RefOrder>9</b:RefOrder>
  </b:Source>
  <b:Source>
    <b:Tag>Lan75</b:Tag>
    <b:SourceType>JournalArticle</b:SourceType>
    <b:Guid>{CEBB68CC-5220-4414-9F05-6F1CD9C65931}</b:Guid>
    <b:Title>The illusion of control</b:Title>
    <b:Year>1975</b:Year>
    <b:Author>
      <b:Author>
        <b:NameList>
          <b:Person>
            <b:Last>Langer</b:Last>
            <b:First>Ellen</b:First>
          </b:Person>
        </b:NameList>
      </b:Author>
    </b:Author>
    <b:JournalName>Journal of Personality and Social Psychology</b:JournalName>
    <b:Pages>311-328</b:Pages>
    <b:Volume>32</b:Volume>
    <b:Issue>2</b:Issue>
    <b:RefOrder>6</b:RefOrder>
  </b:Source>
  <b:Source>
    <b:Tag>Jon01</b:Tag>
    <b:SourceType>JournalArticle</b:SourceType>
    <b:Guid>{F6DE3360-6557-4AC5-8338-E6E70F01F560}</b:Guid>
    <b:Author>
      <b:Author>
        <b:NameList>
          <b:Person>
            <b:Last>Jones</b:Last>
            <b:First>Martin</b:First>
          </b:Person>
          <b:Person>
            <b:Last>Sugden</b:Last>
            <b:First>Robert</b:First>
          </b:Person>
        </b:NameList>
      </b:Author>
    </b:Author>
    <b:Title>Positive confirmation bias in the acquisition of information</b:Title>
    <b:JournalName>Theory and Discussion</b:JournalName>
    <b:Year>2001</b:Year>
    <b:Pages>59-99</b:Pages>
    <b:RefOrder>7</b:RefOrder>
  </b:Source>
  <b:Source>
    <b:Tag>Hay97</b:Tag>
    <b:SourceType>JournalArticle</b:SourceType>
    <b:Guid>{02D8C5B9-0F00-4514-AA54-8549D6A823F7}</b:Guid>
    <b:Author>
      <b:Author>
        <b:NameList>
          <b:Person>
            <b:Last>Hayward</b:Last>
            <b:First>M.L.A.</b:First>
          </b:Person>
          <b:Person>
            <b:Last>Hambrick</b:Last>
            <b:First>D.C.</b:First>
          </b:Person>
        </b:NameList>
      </b:Author>
    </b:Author>
    <b:Title>Explaining the premiums paid for large acquisitions: evidence of CEO hubris</b:Title>
    <b:JournalName>Administrative Science Quarterly</b:JournalName>
    <b:Year>1997</b:Year>
    <b:Pages>103-127</b:Pages>
    <b:RefOrder>8</b:RefOrder>
  </b:Source>
  <b:Source>
    <b:Tag>Tha90</b:Tag>
    <b:SourceType>JournalArticle</b:SourceType>
    <b:Guid>{938ADF63-B8C8-479A-A70F-5C0D05D581E3}</b:Guid>
    <b:Author>
      <b:Author>
        <b:NameList>
          <b:Person>
            <b:Last>Thaler</b:Last>
            <b:First>Richard</b:First>
            <b:Middle>H.</b:Middle>
          </b:Person>
          <b:Person>
            <b:Last>Johnson</b:Last>
            <b:First>Eric</b:First>
            <b:Middle>J.</b:Middle>
          </b:Person>
        </b:NameList>
      </b:Author>
    </b:Author>
    <b:Title>Gambling with the House Money and Trying to Break Even: The Effects of Prior Outcomes on Risky Choice</b:Title>
    <b:JournalName>Management Science</b:JournalName>
    <b:Year>1990</b:Year>
    <b:Pages>643-660</b:Pages>
    <b:Issue>36</b:Issue>
    <b:RefOrder>10</b:RefOrder>
  </b:Source>
</b:Sources>
</file>

<file path=customXml/itemProps1.xml><?xml version="1.0" encoding="utf-8"?>
<ds:datastoreItem xmlns:ds="http://schemas.openxmlformats.org/officeDocument/2006/customXml" ds:itemID="{235263AA-C800-4DDD-BC0B-3D0F2A1D6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10168</Words>
  <Characters>57964</Characters>
  <Application>Microsoft Office Word</Application>
  <DocSecurity>4</DocSecurity>
  <Lines>483</Lines>
  <Paragraphs>135</Paragraphs>
  <ScaleCrop>false</ScaleCrop>
  <HeadingPairs>
    <vt:vector size="2" baseType="variant">
      <vt:variant>
        <vt:lpstr>Titel</vt:lpstr>
      </vt:variant>
      <vt:variant>
        <vt:i4>1</vt:i4>
      </vt:variant>
    </vt:vector>
  </HeadingPairs>
  <TitlesOfParts>
    <vt:vector size="1" baseType="lpstr">
      <vt:lpstr/>
    </vt:vector>
  </TitlesOfParts>
  <Company>Hunter</Company>
  <LinksUpToDate>false</LinksUpToDate>
  <CharactersWithSpaces>67997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Flint</dc:creator>
  <cp:lastModifiedBy>K. Steenbeek</cp:lastModifiedBy>
  <cp:revision>2</cp:revision>
  <dcterms:created xsi:type="dcterms:W3CDTF">2014-09-09T08:53:00Z</dcterms:created>
  <dcterms:modified xsi:type="dcterms:W3CDTF">2014-09-09T08:53:00Z</dcterms:modified>
</cp:coreProperties>
</file>